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40" w:lineRule="exact"/>
        <w:ind w:right="420"/>
        <w:jc w:val="center"/>
        <w:rPr>
          <w:rFonts w:hint="eastAsia" w:asciiTheme="majorEastAsia" w:hAnsiTheme="majorEastAsia" w:eastAsiaTheme="majorEastAsia" w:cstheme="majorEastAsia"/>
          <w:b/>
          <w:bCs/>
          <w:sz w:val="36"/>
          <w:szCs w:val="36"/>
          <w:lang w:val="en-US" w:eastAsia="zh-CN"/>
        </w:rPr>
      </w:pPr>
      <w:bookmarkStart w:id="0" w:name="_GoBack"/>
      <w:bookmarkEnd w:id="0"/>
      <w:r>
        <w:rPr>
          <w:rFonts w:hint="eastAsia" w:asciiTheme="majorEastAsia" w:hAnsiTheme="majorEastAsia" w:eastAsiaTheme="majorEastAsia" w:cstheme="majorEastAsia"/>
          <w:b/>
          <w:bCs/>
          <w:sz w:val="36"/>
          <w:szCs w:val="36"/>
          <w:lang w:val="en-US" w:eastAsia="zh-CN"/>
        </w:rPr>
        <w:t>曲靖市麒麟区自然资源局关于曲靖金科房地产开发有限公司</w:t>
      </w:r>
      <w:r>
        <w:rPr>
          <w:rFonts w:hint="eastAsia" w:asciiTheme="majorEastAsia" w:hAnsiTheme="majorEastAsia" w:eastAsiaTheme="majorEastAsia" w:cstheme="majorEastAsia"/>
          <w:b/>
          <w:bCs/>
          <w:sz w:val="36"/>
          <w:szCs w:val="36"/>
        </w:rPr>
        <w:t>金科溪谷花园二期建设项目</w:t>
      </w:r>
      <w:r>
        <w:rPr>
          <w:rFonts w:hint="eastAsia" w:asciiTheme="majorEastAsia" w:hAnsiTheme="majorEastAsia" w:eastAsiaTheme="majorEastAsia" w:cstheme="majorEastAsia"/>
          <w:b/>
          <w:bCs/>
          <w:sz w:val="36"/>
          <w:szCs w:val="36"/>
          <w:lang w:eastAsia="zh-CN"/>
        </w:rPr>
        <w:t>整改方案</w:t>
      </w:r>
      <w:r>
        <w:rPr>
          <w:rFonts w:hint="eastAsia" w:asciiTheme="majorEastAsia" w:hAnsiTheme="majorEastAsia" w:eastAsiaTheme="majorEastAsia" w:cstheme="majorEastAsia"/>
          <w:b/>
          <w:bCs/>
          <w:sz w:val="36"/>
          <w:szCs w:val="36"/>
          <w:lang w:val="en-US" w:eastAsia="zh-CN"/>
        </w:rPr>
        <w:t>的公示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曲靖金科房地产开发有限公司金科溪谷花园二期建设项目整改方案经曲靖市自然资源和规划局研究，拟同意整改方案，现将主要内容及详细情况进行公示。</w:t>
      </w:r>
    </w:p>
    <w:p>
      <w:pPr>
        <w:numPr>
          <w:ilvl w:val="0"/>
          <w:numId w:val="0"/>
        </w:num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一、基本情况</w:t>
      </w:r>
    </w:p>
    <w:p>
      <w:pPr>
        <w:keepNext w:val="0"/>
        <w:keepLines w:val="0"/>
        <w:widowControl/>
        <w:suppressLineNumbers w:val="0"/>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本项目位于曲靖市麒麟区玉带路东侧，南江花园西侧。该项目于2018年通过修建性详细规划，</w:t>
      </w:r>
      <w:r>
        <w:rPr>
          <w:rFonts w:hint="eastAsia" w:ascii="仿宋" w:hAnsi="仿宋" w:eastAsia="仿宋" w:cs="仿宋"/>
          <w:sz w:val="32"/>
          <w:szCs w:val="32"/>
          <w:lang w:val="en-US" w:eastAsia="zh-CN"/>
        </w:rPr>
        <w:t>2019</w:t>
      </w:r>
      <w:r>
        <w:rPr>
          <w:rFonts w:hint="eastAsia" w:ascii="仿宋" w:hAnsi="仿宋" w:eastAsia="仿宋" w:cs="仿宋"/>
          <w:b w:val="0"/>
          <w:bCs w:val="0"/>
          <w:sz w:val="32"/>
          <w:szCs w:val="32"/>
          <w:lang w:val="en-US" w:eastAsia="zh-CN"/>
        </w:rPr>
        <w:t>年4月29日取得建设工程规划许可证，2020年11月12日开始启动建设，现已竣工。该项目在开工建设后，未严格按照批准规划实施，造成小区绿化未实施到位、活动场地不足、地下建筑面积超行政审批许可、违规建设围墙护栏等问题。2023年1月18日麒麟区自然资源局下达整改意见通知书后，建设单位对照问题上报整改方案。2023年2月28日，经市局会议专题研究决定，同意项目整改方案。</w:t>
      </w:r>
    </w:p>
    <w:p>
      <w:pPr>
        <w:numPr>
          <w:ilvl w:val="0"/>
          <w:numId w:val="1"/>
        </w:num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整改内容</w:t>
      </w:r>
    </w:p>
    <w:p>
      <w:pPr>
        <w:keepNext w:val="0"/>
        <w:keepLines w:val="0"/>
        <w:widowControl/>
        <w:suppressLineNumbers w:val="0"/>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1、按审批规划审批绿地率，重新编制绿化方案上报麒麟区园林绿化处审定并备案的绿化整改方案。</w:t>
      </w:r>
    </w:p>
    <w:p>
      <w:pPr>
        <w:numPr>
          <w:ilvl w:val="0"/>
          <w:numId w:val="0"/>
        </w:numPr>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drawing>
          <wp:anchor distT="0" distB="0" distL="114300" distR="114300" simplePos="0" relativeHeight="251684864" behindDoc="0" locked="0" layoutInCell="1" allowOverlap="1">
            <wp:simplePos x="0" y="0"/>
            <wp:positionH relativeFrom="column">
              <wp:posOffset>7455535</wp:posOffset>
            </wp:positionH>
            <wp:positionV relativeFrom="paragraph">
              <wp:posOffset>-784860</wp:posOffset>
            </wp:positionV>
            <wp:extent cx="4810760" cy="6814185"/>
            <wp:effectExtent l="0" t="0" r="5715" b="8890"/>
            <wp:wrapNone/>
            <wp:docPr id="4" name="图片 4" descr="金科溪谷花园二期绿化景观种总平面图最后完成_t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金科溪谷花园二期绿化景观种总平面图最后完成_t3-Model"/>
                    <pic:cNvPicPr>
                      <a:picLocks noChangeAspect="1"/>
                    </pic:cNvPicPr>
                  </pic:nvPicPr>
                  <pic:blipFill>
                    <a:blip r:embed="rId5"/>
                    <a:stretch>
                      <a:fillRect/>
                    </a:stretch>
                  </pic:blipFill>
                  <pic:spPr>
                    <a:xfrm rot="16200000">
                      <a:off x="0" y="0"/>
                      <a:ext cx="4810760" cy="6814185"/>
                    </a:xfrm>
                    <a:prstGeom prst="rect">
                      <a:avLst/>
                    </a:prstGeom>
                  </pic:spPr>
                </pic:pic>
              </a:graphicData>
            </a:graphic>
          </wp:anchor>
        </w:drawing>
      </w:r>
      <w:r>
        <w:rPr>
          <w:rFonts w:hint="eastAsia" w:asciiTheme="minorEastAsia" w:hAnsiTheme="minorEastAsia" w:cstheme="minorEastAsia"/>
          <w:b w:val="0"/>
          <w:bCs w:val="0"/>
          <w:sz w:val="28"/>
          <w:szCs w:val="28"/>
          <w:lang w:val="en-US" w:eastAsia="zh-CN"/>
        </w:rPr>
        <w:drawing>
          <wp:inline distT="0" distB="0" distL="114300" distR="114300">
            <wp:extent cx="4745355" cy="6722745"/>
            <wp:effectExtent l="0" t="0" r="1905" b="17145"/>
            <wp:docPr id="2" name="图片 2" descr="金科溪谷花园二期绿化景观种总平面图最后完成_t3-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金科溪谷花园二期绿化景观种总平面图最后完成_t3-模型"/>
                    <pic:cNvPicPr>
                      <a:picLocks noChangeAspect="1"/>
                    </pic:cNvPicPr>
                  </pic:nvPicPr>
                  <pic:blipFill>
                    <a:blip r:embed="rId6"/>
                    <a:stretch>
                      <a:fillRect/>
                    </a:stretch>
                  </pic:blipFill>
                  <pic:spPr>
                    <a:xfrm rot="16200000">
                      <a:off x="0" y="0"/>
                      <a:ext cx="4745355" cy="6722745"/>
                    </a:xfrm>
                    <a:prstGeom prst="rect">
                      <a:avLst/>
                    </a:prstGeom>
                  </pic:spPr>
                </pic:pic>
              </a:graphicData>
            </a:graphic>
          </wp:inline>
        </w:drawing>
      </w:r>
      <w:r>
        <w:rPr>
          <w:rFonts w:hint="eastAsia" w:asciiTheme="minorEastAsia" w:hAnsiTheme="minorEastAsia" w:cstheme="minorEastAsia"/>
          <w:b w:val="0"/>
          <w:bCs w:val="0"/>
          <w:sz w:val="28"/>
          <w:szCs w:val="28"/>
          <w:lang w:val="en-US" w:eastAsia="zh-CN"/>
        </w:rPr>
        <w:drawing>
          <wp:inline distT="0" distB="0" distL="114300" distR="114300">
            <wp:extent cx="8619490" cy="12214225"/>
            <wp:effectExtent l="0" t="0" r="15875" b="10160"/>
            <wp:docPr id="3" name="图片 3" descr="金科溪谷花园二期绿化景观种彩色总平面图_t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金科溪谷花园二期绿化景观种彩色总平面图_t3-Model"/>
                    <pic:cNvPicPr>
                      <a:picLocks noChangeAspect="1"/>
                    </pic:cNvPicPr>
                  </pic:nvPicPr>
                  <pic:blipFill>
                    <a:blip r:embed="rId7"/>
                    <a:stretch>
                      <a:fillRect/>
                    </a:stretch>
                  </pic:blipFill>
                  <pic:spPr>
                    <a:xfrm rot="16200000">
                      <a:off x="0" y="0"/>
                      <a:ext cx="8619490" cy="12214225"/>
                    </a:xfrm>
                    <a:prstGeom prst="rect">
                      <a:avLst/>
                    </a:prstGeom>
                  </pic:spPr>
                </pic:pic>
              </a:graphicData>
            </a:graphic>
          </wp:inline>
        </w:drawing>
      </w:r>
    </w:p>
    <w:p>
      <w:pPr>
        <w:keepNext w:val="0"/>
        <w:keepLines w:val="0"/>
        <w:widowControl/>
        <w:suppressLineNumbers w:val="0"/>
        <w:ind w:firstLine="560" w:firstLineChars="200"/>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2.围墙护栏整改方案。</w:t>
      </w:r>
    </w:p>
    <w:p>
      <w:pPr>
        <w:keepNext w:val="0"/>
        <w:keepLines w:val="0"/>
        <w:widowControl/>
        <w:suppressLineNumbers w:val="0"/>
        <w:ind w:firstLine="560" w:firstLineChars="200"/>
        <w:jc w:val="left"/>
        <w:rPr>
          <w:sz w:val="28"/>
          <w:szCs w:val="28"/>
        </w:rPr>
      </w:pPr>
      <w:r>
        <w:rPr>
          <w:rFonts w:hint="eastAsia" w:asciiTheme="minorEastAsia" w:hAnsiTheme="minorEastAsia" w:cstheme="minorEastAsia"/>
          <w:b w:val="0"/>
          <w:bCs w:val="0"/>
          <w:sz w:val="28"/>
          <w:szCs w:val="28"/>
          <w:lang w:val="en-US" w:eastAsia="zh-CN"/>
        </w:rPr>
        <w:t>在确保安全前提下，按照应拆尽拆的原则，拆除违法违规建设的围墙护栏等建（构）筑物，确因安全问题需保留的，移交麒麟区城市综合管理局进行处理后予以认可。</w:t>
      </w:r>
    </w:p>
    <w:p>
      <w:pPr>
        <w:keepNext w:val="0"/>
        <w:keepLines w:val="0"/>
        <w:widowControl/>
        <w:suppressLineNumbers w:val="0"/>
        <w:ind w:firstLine="560" w:firstLineChars="200"/>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3.活动场地按照整体面积不减少，功能配合完善的要求补建整改。</w:t>
      </w:r>
    </w:p>
    <w:p>
      <w:pPr>
        <w:keepNext w:val="0"/>
        <w:keepLines w:val="0"/>
        <w:widowControl/>
        <w:suppressLineNumbers w:val="0"/>
        <w:ind w:firstLine="560" w:firstLineChars="200"/>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文化场所差447.34㎡，根据项目实际情况调整位置建设，具体位置见下图：</w:t>
      </w:r>
    </w:p>
    <w:p>
      <w:pPr>
        <w:numPr>
          <w:ilvl w:val="0"/>
          <w:numId w:val="0"/>
        </w:numPr>
      </w:pPr>
      <w:r>
        <w:drawing>
          <wp:inline distT="0" distB="0" distL="114300" distR="114300">
            <wp:extent cx="9426575" cy="4642485"/>
            <wp:effectExtent l="0" t="0" r="3175" b="5715"/>
            <wp:docPr id="10255" name="图片 2" descr="金科溪谷二期-竣工地形图202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 name="图片 2" descr="金科溪谷二期-竣工地形图2023.3.13"/>
                    <pic:cNvPicPr>
                      <a:picLocks noChangeAspect="1"/>
                    </pic:cNvPicPr>
                  </pic:nvPicPr>
                  <pic:blipFill>
                    <a:blip r:embed="rId8"/>
                    <a:srcRect l="7149" t="6075" r="10262" b="10249"/>
                    <a:stretch>
                      <a:fillRect/>
                    </a:stretch>
                  </pic:blipFill>
                  <pic:spPr>
                    <a:xfrm>
                      <a:off x="0" y="0"/>
                      <a:ext cx="9426575" cy="4642485"/>
                    </a:xfrm>
                    <a:prstGeom prst="rect">
                      <a:avLst/>
                    </a:prstGeom>
                    <a:noFill/>
                    <a:ln w="9525">
                      <a:noFill/>
                    </a:ln>
                  </pic:spPr>
                </pic:pic>
              </a:graphicData>
            </a:graphic>
          </wp:inline>
        </w:drawing>
      </w:r>
    </w:p>
    <w:p>
      <w:pPr>
        <w:keepNext w:val="0"/>
        <w:keepLines w:val="0"/>
        <w:widowControl/>
        <w:suppressLineNumbers w:val="0"/>
        <w:ind w:firstLine="560" w:firstLineChars="200"/>
        <w:jc w:val="left"/>
        <w:rPr>
          <w:rFonts w:hint="default" w:eastAsiaTheme="minorEastAsia"/>
          <w:lang w:val="en-US" w:eastAsia="zh-CN"/>
        </w:rPr>
      </w:pPr>
      <w:r>
        <w:rPr>
          <w:rFonts w:hint="eastAsia" w:asciiTheme="minorEastAsia" w:hAnsiTheme="minorEastAsia" w:cstheme="minorEastAsia"/>
          <w:b w:val="0"/>
          <w:bCs w:val="0"/>
          <w:sz w:val="28"/>
          <w:szCs w:val="28"/>
          <w:lang w:val="en-US" w:eastAsia="zh-CN"/>
        </w:rPr>
        <w:t>4.地下建筑面积超行政审批许可及其他违规建设行为移交区城市综合管理局处理。</w:t>
      </w:r>
    </w:p>
    <w:p>
      <w:pPr>
        <w:numPr>
          <w:ilvl w:val="0"/>
          <w:numId w:val="0"/>
        </w:numPr>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三、如有异议，请于2023年3月29日以前以书面形式反馈至曲靖市麒麟区自然资源局测绘和地理信息管理科</w:t>
      </w:r>
    </w:p>
    <w:p>
      <w:pPr>
        <w:numPr>
          <w:ilvl w:val="0"/>
          <w:numId w:val="0"/>
        </w:numPr>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   电话号码：0874-3187818</w:t>
      </w:r>
    </w:p>
    <w:p>
      <w:pPr>
        <w:numPr>
          <w:ilvl w:val="0"/>
          <w:numId w:val="0"/>
        </w:numPr>
        <w:ind w:firstLine="3640" w:firstLineChars="1300"/>
        <w:jc w:val="righ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曲靖市麒麟区自然资源局</w:t>
      </w:r>
    </w:p>
    <w:p>
      <w:pPr>
        <w:numPr>
          <w:ilvl w:val="0"/>
          <w:numId w:val="0"/>
        </w:numPr>
        <w:ind w:firstLine="3640" w:firstLineChars="1300"/>
        <w:jc w:val="right"/>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2023年3月20日</w:t>
      </w:r>
    </w:p>
    <w:sectPr>
      <w:footerReference r:id="rId3" w:type="default"/>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4B528"/>
    <w:multiLevelType w:val="singleLevel"/>
    <w:tmpl w:val="5AF4B52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lN2VkOWM4MGEyZTkxYWM4MDRjZWYxODg2MzQ2NmIifQ=="/>
  </w:docVars>
  <w:rsids>
    <w:rsidRoot w:val="00000000"/>
    <w:rsid w:val="002304DE"/>
    <w:rsid w:val="0112174B"/>
    <w:rsid w:val="011B0F6C"/>
    <w:rsid w:val="018D4368"/>
    <w:rsid w:val="02720132"/>
    <w:rsid w:val="067134C6"/>
    <w:rsid w:val="09363922"/>
    <w:rsid w:val="095D38E2"/>
    <w:rsid w:val="09C040D4"/>
    <w:rsid w:val="0A387832"/>
    <w:rsid w:val="0A9D63B5"/>
    <w:rsid w:val="0CC2571A"/>
    <w:rsid w:val="0D570FED"/>
    <w:rsid w:val="0DE436C1"/>
    <w:rsid w:val="0EBA7546"/>
    <w:rsid w:val="0F56625F"/>
    <w:rsid w:val="0FA10324"/>
    <w:rsid w:val="0FB42DFF"/>
    <w:rsid w:val="100471E0"/>
    <w:rsid w:val="10461F9E"/>
    <w:rsid w:val="12BE34E4"/>
    <w:rsid w:val="1369556C"/>
    <w:rsid w:val="147A63A4"/>
    <w:rsid w:val="14C80F6E"/>
    <w:rsid w:val="15503F59"/>
    <w:rsid w:val="15C90660"/>
    <w:rsid w:val="15E0577B"/>
    <w:rsid w:val="175F6621"/>
    <w:rsid w:val="17BB57BB"/>
    <w:rsid w:val="18DA283C"/>
    <w:rsid w:val="18F267C3"/>
    <w:rsid w:val="19A0534B"/>
    <w:rsid w:val="1BB651A5"/>
    <w:rsid w:val="1C133CB8"/>
    <w:rsid w:val="1C9521DC"/>
    <w:rsid w:val="1DF87D3F"/>
    <w:rsid w:val="1E363B6B"/>
    <w:rsid w:val="1F626306"/>
    <w:rsid w:val="1FC7720D"/>
    <w:rsid w:val="200F584A"/>
    <w:rsid w:val="21E7745F"/>
    <w:rsid w:val="220C6FD0"/>
    <w:rsid w:val="232A17C7"/>
    <w:rsid w:val="23340343"/>
    <w:rsid w:val="258B1D44"/>
    <w:rsid w:val="27350EAF"/>
    <w:rsid w:val="274B6DD8"/>
    <w:rsid w:val="28932156"/>
    <w:rsid w:val="29007BCD"/>
    <w:rsid w:val="29B26C23"/>
    <w:rsid w:val="2A8079E2"/>
    <w:rsid w:val="2E553BF9"/>
    <w:rsid w:val="2FE7130D"/>
    <w:rsid w:val="31E6481E"/>
    <w:rsid w:val="3266049F"/>
    <w:rsid w:val="33196B32"/>
    <w:rsid w:val="33D80DC7"/>
    <w:rsid w:val="35227F3C"/>
    <w:rsid w:val="3580555C"/>
    <w:rsid w:val="36FE3EA5"/>
    <w:rsid w:val="38170F36"/>
    <w:rsid w:val="384D6A12"/>
    <w:rsid w:val="38CB7909"/>
    <w:rsid w:val="38E92BF5"/>
    <w:rsid w:val="3BE32897"/>
    <w:rsid w:val="3BFB139D"/>
    <w:rsid w:val="3CAB6E49"/>
    <w:rsid w:val="3D0C7816"/>
    <w:rsid w:val="3D235163"/>
    <w:rsid w:val="3D4535EB"/>
    <w:rsid w:val="3F4513AD"/>
    <w:rsid w:val="40F20EC7"/>
    <w:rsid w:val="42944826"/>
    <w:rsid w:val="42BD2703"/>
    <w:rsid w:val="42EB27F5"/>
    <w:rsid w:val="43131133"/>
    <w:rsid w:val="43A6407E"/>
    <w:rsid w:val="46176B22"/>
    <w:rsid w:val="49AF6075"/>
    <w:rsid w:val="4A55265D"/>
    <w:rsid w:val="4AB97C24"/>
    <w:rsid w:val="4B851D22"/>
    <w:rsid w:val="51925AAD"/>
    <w:rsid w:val="51A3577A"/>
    <w:rsid w:val="52650DED"/>
    <w:rsid w:val="526A5C1D"/>
    <w:rsid w:val="53406EAD"/>
    <w:rsid w:val="550D2580"/>
    <w:rsid w:val="579E14AA"/>
    <w:rsid w:val="57CB41ED"/>
    <w:rsid w:val="580D69A8"/>
    <w:rsid w:val="58A942E2"/>
    <w:rsid w:val="58B35B51"/>
    <w:rsid w:val="593205CE"/>
    <w:rsid w:val="5A8663FB"/>
    <w:rsid w:val="5B1466B5"/>
    <w:rsid w:val="5D5D26C1"/>
    <w:rsid w:val="5EB567DD"/>
    <w:rsid w:val="5F275FEB"/>
    <w:rsid w:val="61116029"/>
    <w:rsid w:val="61E153E5"/>
    <w:rsid w:val="63D4102A"/>
    <w:rsid w:val="64FC413D"/>
    <w:rsid w:val="688B5529"/>
    <w:rsid w:val="69D06241"/>
    <w:rsid w:val="6B777F82"/>
    <w:rsid w:val="6BBD1305"/>
    <w:rsid w:val="6DF10021"/>
    <w:rsid w:val="6E7A1CD3"/>
    <w:rsid w:val="6EF8049C"/>
    <w:rsid w:val="6F84336D"/>
    <w:rsid w:val="6FCF56B9"/>
    <w:rsid w:val="71381E32"/>
    <w:rsid w:val="71495D5F"/>
    <w:rsid w:val="72A71FDA"/>
    <w:rsid w:val="731F6DD8"/>
    <w:rsid w:val="75A812BF"/>
    <w:rsid w:val="761B2972"/>
    <w:rsid w:val="76EE58B6"/>
    <w:rsid w:val="76F6192A"/>
    <w:rsid w:val="77C625B9"/>
    <w:rsid w:val="78B05A6F"/>
    <w:rsid w:val="78F70355"/>
    <w:rsid w:val="795A0CBC"/>
    <w:rsid w:val="79763ED1"/>
    <w:rsid w:val="7A2A74C0"/>
    <w:rsid w:val="7D5B053D"/>
    <w:rsid w:val="7E3F6292"/>
    <w:rsid w:val="7EAB7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615</Words>
  <Characters>653</Characters>
  <Lines>0</Lines>
  <Paragraphs>0</Paragraphs>
  <TotalTime>8</TotalTime>
  <ScaleCrop>false</ScaleCrop>
  <LinksUpToDate>false</LinksUpToDate>
  <CharactersWithSpaces>756</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2023-01-28T07:30:00Z</dcterms:created>
  <dc:creator>yx</dc:creator>
  <cp:lastModifiedBy>包华</cp:lastModifiedBy>
  <dcterms:modified xsi:type="dcterms:W3CDTF">2023-03-20T01:03:24Z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3A0CA35997BA4F3794B15EDA0A712817</vt:lpwstr>
  </property>
</Properties>
</file>