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spacing w:beforeLines="0" w:afterLines="0"/>
        <w:rPr>
          <w:rFonts w:hint="eastAsia" w:ascii="宋体" w:hAnsi="宋体" w:eastAsia="宋体" w:cs="宋体"/>
          <w:kern w:val="2"/>
          <w:sz w:val="24"/>
          <w:szCs w:val="24"/>
          <w:vertAlign w:val="baseline"/>
          <w:lang w:val="en-US" w:eastAsia="zh-CN" w:bidi="ar-SA"/>
        </w:rPr>
      </w:pPr>
      <w:r>
        <w:rPr>
          <w:rFonts w:hint="eastAsia" w:ascii="黑体" w:hAnsi="黑体" w:eastAsia="黑体" w:cs="黑体"/>
          <w:color w:val="auto"/>
          <w:kern w:val="2"/>
          <w:sz w:val="30"/>
          <w:szCs w:val="30"/>
          <w:lang w:val="en-US" w:eastAsia="zh-CN" w:bidi="ar-SA"/>
        </w:rPr>
        <w:t>附件1</w:t>
      </w:r>
    </w:p>
    <w:p>
      <w:pPr>
        <w:pStyle w:val="3"/>
        <w:kinsoku w:val="0"/>
        <w:overflowPunct w:val="0"/>
        <w:spacing w:before="8" w:beforeLines="0" w:afterLines="0"/>
        <w:ind w:left="0" w:leftChars="0" w:firstLine="0" w:firstLineChars="0"/>
        <w:jc w:val="center"/>
        <w:rPr>
          <w:rFonts w:hint="eastAsia" w:ascii="黑体" w:hAnsi="黑体" w:eastAsia="黑体" w:cs="黑体"/>
          <w:color w:val="auto"/>
          <w:kern w:val="2"/>
          <w:sz w:val="44"/>
          <w:szCs w:val="44"/>
          <w:lang w:val="en-US" w:eastAsia="zh-CN" w:bidi="ar-SA"/>
        </w:rPr>
      </w:pPr>
      <w:r>
        <w:rPr>
          <w:rFonts w:hint="eastAsia" w:ascii="黑体" w:hAnsi="黑体" w:eastAsia="黑体" w:cs="黑体"/>
          <w:color w:val="auto"/>
          <w:kern w:val="2"/>
          <w:sz w:val="44"/>
          <w:szCs w:val="44"/>
          <w:lang w:val="en-US" w:eastAsia="zh-CN" w:bidi="ar-SA"/>
        </w:rPr>
        <w:t>区政府组成部门服务群众服务基层服务企业“三服务”清单</w:t>
      </w:r>
    </w:p>
    <w:p>
      <w:pPr>
        <w:pStyle w:val="4"/>
        <w:keepNext w:val="0"/>
        <w:keepLines w:val="0"/>
        <w:pageBreakBefore w:val="0"/>
        <w:widowControl w:val="0"/>
        <w:tabs>
          <w:tab w:val="left" w:pos="6279"/>
          <w:tab w:val="left" w:pos="11739"/>
        </w:tabs>
        <w:kinsoku w:val="0"/>
        <w:wordWrap/>
        <w:overflowPunct w:val="0"/>
        <w:topLinePunct w:val="0"/>
        <w:autoSpaceDE w:val="0"/>
        <w:autoSpaceDN w:val="0"/>
        <w:bidi w:val="0"/>
        <w:adjustRightInd w:val="0"/>
        <w:snapToGrid/>
        <w:spacing w:before="382" w:beforeLines="0" w:afterLines="0" w:line="500" w:lineRule="exact"/>
        <w:ind w:firstLine="640" w:firstLineChars="200"/>
        <w:textAlignment w:val="auto"/>
        <w:rPr>
          <w:rFonts w:hint="default" w:ascii="华文仿宋" w:hAnsi="华文仿宋" w:eastAsia="华文仿宋" w:cs="华文仿宋"/>
          <w:kern w:val="2"/>
          <w:sz w:val="32"/>
          <w:szCs w:val="32"/>
          <w:vertAlign w:val="baseline"/>
          <w:lang w:val="en-US" w:eastAsia="zh-CN" w:bidi="ar-SA"/>
        </w:rPr>
      </w:pPr>
      <w:r>
        <w:rPr>
          <w:rFonts w:hint="eastAsia" w:ascii="华文仿宋" w:hAnsi="华文仿宋" w:eastAsia="华文仿宋" w:cs="华文仿宋"/>
          <w:kern w:val="2"/>
          <w:sz w:val="32"/>
          <w:szCs w:val="32"/>
          <w:vertAlign w:val="baseline"/>
          <w:lang w:val="en-US" w:eastAsia="zh-CN" w:bidi="ar-SA"/>
        </w:rPr>
        <w:t>填报单位：曲靖市麒麟区能源局</w:t>
      </w:r>
      <w:r>
        <w:rPr>
          <w:rFonts w:hint="eastAsia" w:ascii="华文仿宋" w:hAnsi="华文仿宋" w:eastAsia="华文仿宋" w:cs="华文仿宋"/>
          <w:kern w:val="2"/>
          <w:sz w:val="32"/>
          <w:szCs w:val="32"/>
          <w:vertAlign w:val="baseline"/>
          <w:lang w:val="en-US" w:eastAsia="zh-CN" w:bidi="ar-SA"/>
        </w:rPr>
        <w:tab/>
      </w:r>
      <w:r>
        <w:rPr>
          <w:rFonts w:hint="eastAsia" w:ascii="华文仿宋" w:hAnsi="华文仿宋" w:eastAsia="华文仿宋" w:cs="华文仿宋"/>
          <w:kern w:val="2"/>
          <w:sz w:val="32"/>
          <w:szCs w:val="32"/>
          <w:vertAlign w:val="baseline"/>
          <w:lang w:val="en-US" w:eastAsia="zh-CN" w:bidi="ar-SA"/>
        </w:rPr>
        <w:t xml:space="preserve">       填表联系人及电话：李虹利  0874-6089029</w:t>
      </w:r>
      <w:bookmarkStart w:id="0" w:name="_GoBack"/>
      <w:bookmarkEnd w:id="0"/>
    </w:p>
    <w:tbl>
      <w:tblPr>
        <w:tblStyle w:val="6"/>
        <w:tblW w:w="1441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2738"/>
        <w:gridCol w:w="7425"/>
        <w:gridCol w:w="3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exact"/>
        </w:trPr>
        <w:tc>
          <w:tcPr>
            <w:tcW w:w="8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序号</w:t>
            </w:r>
          </w:p>
        </w:tc>
        <w:tc>
          <w:tcPr>
            <w:tcW w:w="2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服务事项</w:t>
            </w:r>
          </w:p>
        </w:tc>
        <w:tc>
          <w:tcPr>
            <w:tcW w:w="7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具体内容</w:t>
            </w:r>
          </w:p>
        </w:tc>
        <w:tc>
          <w:tcPr>
            <w:tcW w:w="3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exact"/>
        </w:trPr>
        <w:tc>
          <w:tcPr>
            <w:tcW w:w="8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2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both"/>
              <w:rPr>
                <w:rFonts w:hint="eastAsia" w:ascii="方正楷体简体" w:hAnsi="方正楷体简体" w:eastAsia="方正楷体简体" w:cs="方正楷体简体"/>
                <w:kern w:val="2"/>
                <w:sz w:val="24"/>
                <w:szCs w:val="24"/>
                <w:vertAlign w:val="baseline"/>
                <w:lang w:val="en-US" w:eastAsia="zh-CN" w:bidi="ar-SA"/>
              </w:rPr>
            </w:pPr>
            <w:r>
              <w:rPr>
                <w:rFonts w:hint="eastAsia" w:ascii="方正楷体简体" w:hAnsi="方正楷体简体" w:eastAsia="方正楷体简体" w:cs="方正楷体简体"/>
                <w:kern w:val="2"/>
                <w:sz w:val="24"/>
                <w:szCs w:val="24"/>
                <w:vertAlign w:val="baseline"/>
                <w:lang w:val="en-US" w:eastAsia="zh-CN" w:bidi="ar-SA"/>
              </w:rPr>
              <w:t>加快煤矿技改升级</w:t>
            </w:r>
          </w:p>
        </w:tc>
        <w:tc>
          <w:tcPr>
            <w:tcW w:w="7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一是大山煤矿30万吨/年升级改造项目建成投产。</w:t>
            </w:r>
          </w:p>
          <w:p>
            <w:pPr>
              <w:autoSpaceDE/>
              <w:autoSpaceDN/>
              <w:adjustRightInd/>
              <w:spacing w:beforeLines="0" w:afterLine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二是龙潭田煤矿</w:t>
            </w:r>
            <w:r>
              <w:rPr>
                <w:rFonts w:hint="default" w:ascii="宋体" w:hAnsi="宋体" w:eastAsia="宋体" w:cs="宋体"/>
                <w:kern w:val="2"/>
                <w:sz w:val="24"/>
                <w:szCs w:val="24"/>
                <w:vertAlign w:val="baseline"/>
                <w:lang w:val="zh-CN" w:eastAsia="zh-CN" w:bidi="ar-SA"/>
              </w:rPr>
              <w:t>完成</w:t>
            </w:r>
            <w:r>
              <w:rPr>
                <w:rFonts w:hint="eastAsia" w:ascii="宋体" w:hAnsi="宋体" w:eastAsia="宋体" w:cs="宋体"/>
                <w:kern w:val="2"/>
                <w:sz w:val="24"/>
                <w:szCs w:val="24"/>
                <w:vertAlign w:val="baseline"/>
                <w:lang w:val="en-US" w:eastAsia="zh-CN" w:bidi="ar-SA"/>
              </w:rPr>
              <w:t>120万吨/年产能</w:t>
            </w:r>
            <w:r>
              <w:rPr>
                <w:rFonts w:hint="default" w:ascii="宋体" w:hAnsi="宋体" w:eastAsia="宋体" w:cs="宋体"/>
                <w:kern w:val="2"/>
                <w:sz w:val="24"/>
                <w:szCs w:val="24"/>
                <w:vertAlign w:val="baseline"/>
                <w:lang w:val="zh-CN" w:eastAsia="zh-CN" w:bidi="ar-SA"/>
              </w:rPr>
              <w:t>核增</w:t>
            </w:r>
            <w:r>
              <w:rPr>
                <w:rFonts w:hint="eastAsia" w:ascii="宋体" w:hAnsi="宋体" w:eastAsia="宋体" w:cs="宋体"/>
                <w:kern w:val="2"/>
                <w:sz w:val="24"/>
                <w:szCs w:val="24"/>
                <w:vertAlign w:val="baseline"/>
                <w:lang w:val="en-US" w:eastAsia="zh-CN" w:bidi="ar-SA"/>
              </w:rPr>
              <w:t>及相关手续办理。待恩洪矿区规划批复、狮子山煤矿矿权解封及取得矿权后，按批准的建设工期时间建设完成120万吨/年升级改造项目。</w:t>
            </w:r>
          </w:p>
          <w:p>
            <w:pPr>
              <w:autoSpaceDE/>
              <w:autoSpaceDN/>
              <w:adjustRightInd/>
              <w:spacing w:beforeLines="0" w:afterLines="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三是待恩洪矿区规划批复后，着力推动陆东煤矿60万吨技改升级、</w:t>
            </w:r>
            <w:r>
              <w:rPr>
                <w:rFonts w:hint="default" w:ascii="宋体" w:hAnsi="宋体" w:eastAsia="宋体" w:cs="宋体"/>
                <w:kern w:val="2"/>
                <w:sz w:val="24"/>
                <w:szCs w:val="24"/>
                <w:vertAlign w:val="baseline"/>
                <w:lang w:val="zh-CN" w:eastAsia="zh-CN" w:bidi="ar-SA"/>
              </w:rPr>
              <w:t>众豪煤业岔沟煤矿60万吨/年升级改造</w:t>
            </w:r>
            <w:r>
              <w:rPr>
                <w:rFonts w:hint="eastAsia" w:ascii="宋体" w:hAnsi="宋体" w:eastAsia="宋体" w:cs="宋体"/>
                <w:kern w:val="2"/>
                <w:sz w:val="24"/>
                <w:szCs w:val="24"/>
                <w:vertAlign w:val="baseline"/>
                <w:lang w:val="zh-CN" w:eastAsia="zh-CN" w:bidi="ar-SA"/>
              </w:rPr>
              <w:t>等煤矿</w:t>
            </w:r>
            <w:r>
              <w:rPr>
                <w:rFonts w:hint="default" w:ascii="宋体" w:hAnsi="宋体" w:eastAsia="宋体" w:cs="宋体"/>
                <w:kern w:val="2"/>
                <w:sz w:val="24"/>
                <w:szCs w:val="24"/>
                <w:vertAlign w:val="baseline"/>
                <w:lang w:val="zh-CN" w:eastAsia="zh-CN" w:bidi="ar-SA"/>
              </w:rPr>
              <w:t>项目</w:t>
            </w:r>
            <w:r>
              <w:rPr>
                <w:rFonts w:hint="eastAsia" w:ascii="宋体" w:hAnsi="宋体" w:eastAsia="宋体" w:cs="宋体"/>
                <w:kern w:val="2"/>
                <w:sz w:val="24"/>
                <w:szCs w:val="24"/>
                <w:vertAlign w:val="baseline"/>
                <w:lang w:val="en-US" w:eastAsia="zh-CN" w:bidi="ar-SA"/>
              </w:rPr>
              <w:t>建设手续办理。</w:t>
            </w:r>
          </w:p>
        </w:tc>
        <w:tc>
          <w:tcPr>
            <w:tcW w:w="3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大山煤矿、龙潭田煤矿、陆东煤矿、</w:t>
            </w:r>
            <w:r>
              <w:rPr>
                <w:rFonts w:hint="default" w:ascii="宋体" w:hAnsi="宋体" w:eastAsia="宋体" w:cs="宋体"/>
                <w:kern w:val="2"/>
                <w:sz w:val="21"/>
                <w:szCs w:val="21"/>
                <w:vertAlign w:val="baseline"/>
                <w:lang w:val="zh-CN" w:eastAsia="zh-CN" w:bidi="ar-SA"/>
              </w:rPr>
              <w:t>众豪煤业岔沟煤矿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exact"/>
        </w:trPr>
        <w:tc>
          <w:tcPr>
            <w:tcW w:w="8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c>
          <w:tcPr>
            <w:tcW w:w="2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both"/>
              <w:rPr>
                <w:rFonts w:hint="eastAsia" w:ascii="方正楷体简体" w:hAnsi="方正楷体简体" w:eastAsia="方正楷体简体" w:cs="方正楷体简体"/>
                <w:kern w:val="2"/>
                <w:sz w:val="24"/>
                <w:szCs w:val="24"/>
                <w:vertAlign w:val="baseline"/>
                <w:lang w:val="en-US" w:eastAsia="zh-CN" w:bidi="ar-SA"/>
              </w:rPr>
            </w:pPr>
            <w:r>
              <w:rPr>
                <w:rFonts w:hint="eastAsia" w:ascii="方正楷体简体" w:hAnsi="方正楷体简体" w:eastAsia="方正楷体简体" w:cs="方正楷体简体"/>
                <w:kern w:val="2"/>
                <w:sz w:val="24"/>
                <w:szCs w:val="24"/>
                <w:vertAlign w:val="baseline"/>
                <w:lang w:val="en-US" w:eastAsia="zh-CN" w:bidi="ar-SA"/>
              </w:rPr>
              <w:t>稳步推进煤矿五化建设</w:t>
            </w:r>
          </w:p>
        </w:tc>
        <w:tc>
          <w:tcPr>
            <w:tcW w:w="7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一是全区地方井工煤矿主要采煤工作面及主要掘进工作面实现综采综掘，</w:t>
            </w:r>
            <w:r>
              <w:rPr>
                <w:rFonts w:hint="default" w:ascii="宋体" w:hAnsi="宋体" w:eastAsia="宋体" w:cs="宋体"/>
                <w:kern w:val="2"/>
                <w:sz w:val="24"/>
                <w:szCs w:val="24"/>
                <w:vertAlign w:val="baseline"/>
                <w:lang w:val="en-US" w:eastAsia="zh-CN" w:bidi="ar-SA"/>
              </w:rPr>
              <w:t>实现辅助生产系统自动化</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二是完成</w:t>
            </w:r>
            <w:r>
              <w:rPr>
                <w:rFonts w:hint="eastAsia" w:ascii="宋体" w:hAnsi="宋体" w:eastAsia="宋体" w:cs="宋体"/>
                <w:kern w:val="2"/>
                <w:sz w:val="24"/>
                <w:szCs w:val="24"/>
                <w:vertAlign w:val="baseline"/>
                <w:lang w:val="zh-CN" w:eastAsia="zh-CN" w:bidi="ar-SA"/>
              </w:rPr>
              <w:t>莲花冲岔沟煤矿、巴家沟煤矿、牙必克煤矿、众豪岔沟煤矿、龙潭田煤矿</w:t>
            </w:r>
            <w:r>
              <w:rPr>
                <w:rFonts w:hint="eastAsia" w:ascii="宋体" w:hAnsi="宋体" w:eastAsia="宋体" w:cs="宋体"/>
                <w:kern w:val="2"/>
                <w:sz w:val="24"/>
                <w:szCs w:val="24"/>
                <w:vertAlign w:val="baseline"/>
                <w:lang w:val="en-US" w:eastAsia="zh-CN" w:bidi="ar-SA"/>
              </w:rPr>
              <w:t>10kV</w:t>
            </w:r>
            <w:r>
              <w:rPr>
                <w:rFonts w:hint="eastAsia" w:ascii="宋体" w:hAnsi="宋体" w:eastAsia="宋体" w:cs="宋体"/>
                <w:kern w:val="2"/>
                <w:sz w:val="24"/>
                <w:szCs w:val="24"/>
                <w:vertAlign w:val="baseline"/>
                <w:lang w:val="zh-CN" w:eastAsia="zh-CN" w:bidi="ar-SA"/>
              </w:rPr>
              <w:t>“双电源、双回路”建设投运，启动大山煤矿</w:t>
            </w:r>
            <w:r>
              <w:rPr>
                <w:rFonts w:hint="eastAsia" w:ascii="宋体" w:hAnsi="宋体" w:eastAsia="宋体" w:cs="宋体"/>
                <w:kern w:val="2"/>
                <w:sz w:val="24"/>
                <w:szCs w:val="24"/>
                <w:vertAlign w:val="baseline"/>
                <w:lang w:val="en-US" w:eastAsia="zh-CN" w:bidi="ar-SA"/>
              </w:rPr>
              <w:t>35kV大山煤矿总降变工程建设。</w:t>
            </w:r>
          </w:p>
        </w:tc>
        <w:tc>
          <w:tcPr>
            <w:tcW w:w="3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恩洪</w:t>
            </w:r>
            <w:r>
              <w:rPr>
                <w:rFonts w:hint="eastAsia" w:ascii="宋体" w:hAnsi="宋体" w:eastAsia="宋体" w:cs="宋体"/>
                <w:kern w:val="2"/>
                <w:sz w:val="21"/>
                <w:szCs w:val="21"/>
                <w:vertAlign w:val="baseline"/>
                <w:lang w:val="en-US" w:eastAsia="zh-CN" w:bidi="ar-SA"/>
              </w:rPr>
              <w:t>煤矿、</w:t>
            </w:r>
            <w:r>
              <w:rPr>
                <w:rFonts w:hint="default" w:ascii="宋体" w:hAnsi="宋体" w:eastAsia="宋体" w:cs="宋体"/>
                <w:kern w:val="2"/>
                <w:sz w:val="21"/>
                <w:szCs w:val="21"/>
                <w:vertAlign w:val="baseline"/>
                <w:lang w:val="en-US" w:eastAsia="zh-CN" w:bidi="ar-SA"/>
              </w:rPr>
              <w:t>陆东</w:t>
            </w:r>
            <w:r>
              <w:rPr>
                <w:rFonts w:hint="eastAsia" w:ascii="宋体" w:hAnsi="宋体" w:eastAsia="宋体" w:cs="宋体"/>
                <w:kern w:val="2"/>
                <w:sz w:val="21"/>
                <w:szCs w:val="21"/>
                <w:vertAlign w:val="baseline"/>
                <w:lang w:val="en-US" w:eastAsia="zh-CN" w:bidi="ar-SA"/>
              </w:rPr>
              <w:t>煤矿</w:t>
            </w:r>
            <w:r>
              <w:rPr>
                <w:rFonts w:hint="default" w:ascii="宋体" w:hAnsi="宋体" w:eastAsia="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龙潭田煤矿、莲花冲岔沟煤矿、</w:t>
            </w:r>
            <w:r>
              <w:rPr>
                <w:rFonts w:hint="default" w:ascii="宋体" w:hAnsi="宋体" w:eastAsia="宋体" w:cs="宋体"/>
                <w:kern w:val="2"/>
                <w:sz w:val="21"/>
                <w:szCs w:val="21"/>
                <w:vertAlign w:val="baseline"/>
                <w:lang w:val="en-US" w:eastAsia="zh-CN" w:bidi="ar-SA"/>
              </w:rPr>
              <w:t>众豪岔沟</w:t>
            </w:r>
            <w:r>
              <w:rPr>
                <w:rFonts w:hint="eastAsia" w:ascii="宋体" w:hAnsi="宋体" w:eastAsia="宋体" w:cs="宋体"/>
                <w:kern w:val="2"/>
                <w:sz w:val="21"/>
                <w:szCs w:val="21"/>
                <w:vertAlign w:val="baseline"/>
                <w:lang w:val="en-US" w:eastAsia="zh-CN" w:bidi="ar-SA"/>
              </w:rPr>
              <w:t>煤矿、大山煤矿、巴家沟煤矿、牙必克煤矿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7" w:hRule="exact"/>
        </w:trPr>
        <w:tc>
          <w:tcPr>
            <w:tcW w:w="8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w:t>
            </w:r>
          </w:p>
        </w:tc>
        <w:tc>
          <w:tcPr>
            <w:tcW w:w="2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both"/>
              <w:rPr>
                <w:rFonts w:hint="eastAsia" w:ascii="方正楷体简体" w:hAnsi="方正楷体简体" w:eastAsia="方正楷体简体" w:cs="方正楷体简体"/>
                <w:kern w:val="2"/>
                <w:sz w:val="24"/>
                <w:szCs w:val="24"/>
                <w:vertAlign w:val="baseline"/>
                <w:lang w:val="en-US" w:eastAsia="zh-CN" w:bidi="ar-SA"/>
              </w:rPr>
            </w:pPr>
            <w:r>
              <w:rPr>
                <w:rFonts w:hint="eastAsia" w:ascii="方正楷体简体" w:hAnsi="方正楷体简体" w:eastAsia="方正楷体简体" w:cs="方正楷体简体"/>
                <w:kern w:val="2"/>
                <w:sz w:val="24"/>
                <w:szCs w:val="24"/>
                <w:vertAlign w:val="baseline"/>
                <w:lang w:val="en-US" w:eastAsia="zh-CN" w:bidi="ar-SA"/>
              </w:rPr>
              <w:t>大力发展绿色能源产业</w:t>
            </w:r>
          </w:p>
        </w:tc>
        <w:tc>
          <w:tcPr>
            <w:tcW w:w="7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一是完成富源西、罗平西风电场项目建设完工、并网发电。</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二是在确定上网电价和满足项目用地保障条件下，完成信义55万千瓦集中式光伏发电项目建设完工50%以上、并网发电完成50%以上。</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三是完成全国整区屋顶分布式光伏发电试点项目建设完工60%，并网发电完成40%。</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四是支持东源煤矸石发电“上大压小”项目申报立项，办理相关建设手续，尽早启动项目建设。</w:t>
            </w:r>
          </w:p>
        </w:tc>
        <w:tc>
          <w:tcPr>
            <w:tcW w:w="3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曲靖滇能零碳能源开发有限公司</w:t>
            </w:r>
            <w:r>
              <w:rPr>
                <w:rFonts w:hint="eastAsia" w:ascii="宋体" w:hAnsi="宋体" w:eastAsia="宋体" w:cs="宋体"/>
                <w:kern w:val="2"/>
                <w:sz w:val="21"/>
                <w:szCs w:val="21"/>
                <w:vertAlign w:val="baseline"/>
                <w:lang w:val="en-US" w:eastAsia="zh-CN" w:bidi="ar-SA"/>
              </w:rPr>
              <w:t>、国电云南龙源罗平风力发电有限公司、曲靖龙源新能源有限公司、曲靖市麒麟汇能光伏发电有限公司、信云光能（曲靖）有限公司、</w:t>
            </w:r>
            <w:r>
              <w:rPr>
                <w:rFonts w:ascii="Helvetica" w:hAnsi="Helvetica" w:eastAsia="Helvetica" w:cs="Helvetica"/>
                <w:color w:val="000000"/>
                <w:sz w:val="21"/>
                <w:szCs w:val="21"/>
              </w:rPr>
              <w:t>云南省煤炭产业集团有限公司</w:t>
            </w:r>
            <w:r>
              <w:rPr>
                <w:rFonts w:hint="eastAsia" w:ascii="Helvetica" w:hAnsi="Helvetica" w:eastAsia="宋体" w:cs="Helvetica"/>
                <w:color w:val="000000"/>
                <w:sz w:val="21"/>
                <w:szCs w:val="21"/>
                <w:lang w:eastAsia="zh-CN"/>
              </w:rPr>
              <w:t>、</w:t>
            </w:r>
            <w:r>
              <w:rPr>
                <w:rFonts w:ascii="Helvetica" w:hAnsi="Helvetica" w:eastAsia="Helvetica" w:cs="Helvetica"/>
                <w:color w:val="000000"/>
                <w:sz w:val="21"/>
                <w:szCs w:val="21"/>
              </w:rPr>
              <w:t>中能建西南投资有限公司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exact"/>
        </w:trPr>
        <w:tc>
          <w:tcPr>
            <w:tcW w:w="8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序号</w:t>
            </w:r>
          </w:p>
        </w:tc>
        <w:tc>
          <w:tcPr>
            <w:tcW w:w="2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服务事项</w:t>
            </w:r>
          </w:p>
        </w:tc>
        <w:tc>
          <w:tcPr>
            <w:tcW w:w="7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具体内容</w:t>
            </w:r>
          </w:p>
        </w:tc>
        <w:tc>
          <w:tcPr>
            <w:tcW w:w="3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exact"/>
        </w:trPr>
        <w:tc>
          <w:tcPr>
            <w:tcW w:w="8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w:t>
            </w:r>
          </w:p>
        </w:tc>
        <w:tc>
          <w:tcPr>
            <w:tcW w:w="2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default" w:ascii="方正楷体简体" w:hAnsi="方正楷体简体" w:eastAsia="方正楷体简体" w:cs="方正楷体简体"/>
                <w:kern w:val="2"/>
                <w:sz w:val="24"/>
                <w:szCs w:val="24"/>
                <w:vertAlign w:val="baseline"/>
                <w:lang w:val="en-US" w:eastAsia="zh-CN" w:bidi="ar-SA"/>
              </w:rPr>
            </w:pPr>
            <w:r>
              <w:rPr>
                <w:rFonts w:hint="eastAsia" w:ascii="方正楷体简体" w:hAnsi="方正楷体简体" w:eastAsia="方正楷体简体" w:cs="方正楷体简体"/>
                <w:kern w:val="2"/>
                <w:sz w:val="24"/>
                <w:szCs w:val="24"/>
                <w:vertAlign w:val="baseline"/>
                <w:lang w:val="en-US" w:eastAsia="zh-CN" w:bidi="ar-SA"/>
              </w:rPr>
              <w:t>完善充电桩、换电站布局</w:t>
            </w:r>
          </w:p>
        </w:tc>
        <w:tc>
          <w:tcPr>
            <w:tcW w:w="7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规范充电基础设施建设、运营和管理，全年建设完成直流桩（枪）130把以上，交流桩（枪）20把以上，促进新能源电动汽车充电行业健康发展。</w:t>
            </w:r>
          </w:p>
        </w:tc>
        <w:tc>
          <w:tcPr>
            <w:tcW w:w="3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全区充电基础设施建设、运营相关企业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exact"/>
        </w:trPr>
        <w:tc>
          <w:tcPr>
            <w:tcW w:w="8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w:t>
            </w:r>
          </w:p>
        </w:tc>
        <w:tc>
          <w:tcPr>
            <w:tcW w:w="2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rPr>
                <w:rFonts w:hint="eastAsia" w:ascii="方正楷体简体" w:hAnsi="方正楷体简体" w:eastAsia="方正楷体简体" w:cs="方正楷体简体"/>
                <w:kern w:val="2"/>
                <w:sz w:val="24"/>
                <w:szCs w:val="24"/>
                <w:vertAlign w:val="baseline"/>
                <w:lang w:val="en-US" w:eastAsia="zh-CN" w:bidi="ar-SA"/>
              </w:rPr>
            </w:pPr>
            <w:r>
              <w:rPr>
                <w:rFonts w:hint="eastAsia" w:ascii="方正楷体简体" w:hAnsi="方正楷体简体" w:eastAsia="方正楷体简体" w:cs="方正楷体简体"/>
                <w:kern w:val="2"/>
                <w:sz w:val="24"/>
                <w:szCs w:val="24"/>
                <w:vertAlign w:val="baseline"/>
                <w:lang w:val="en-US" w:eastAsia="zh-CN" w:bidi="ar-SA"/>
              </w:rPr>
              <w:t>坚持统筹发展和安全</w:t>
            </w:r>
          </w:p>
        </w:tc>
        <w:tc>
          <w:tcPr>
            <w:tcW w:w="7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一是立足职能职责，积极引导并牢固树立“保安全就是保发展、保供应”的理念，以不出事故作为企业稳定生产建设、产业稳定保供的最大保障，坚决守住煤矿安全生产基本盘，不断推动能源经济健康发展。</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二是科学编制《曲靖市麒麟区2023年度能源安全监管执法工作的实施方案》，根据年度执法计划开展监管执法，坚持严格公正执法，杜绝“随意执法、任性执法、人情执法”，树立依法行政、公正执法的良好形象。</w:t>
            </w:r>
          </w:p>
        </w:tc>
        <w:tc>
          <w:tcPr>
            <w:tcW w:w="34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beforeLines="0" w:afterLine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1"/>
                <w:szCs w:val="21"/>
                <w:vertAlign w:val="baseline"/>
                <w:lang w:val="en-US" w:eastAsia="zh-CN" w:bidi="ar-SA"/>
              </w:rPr>
              <w:t>龙潭田煤矿、莲花冲岔沟煤矿、</w:t>
            </w:r>
            <w:r>
              <w:rPr>
                <w:rFonts w:hint="default" w:ascii="宋体" w:hAnsi="宋体" w:eastAsia="宋体" w:cs="宋体"/>
                <w:kern w:val="2"/>
                <w:sz w:val="21"/>
                <w:szCs w:val="21"/>
                <w:vertAlign w:val="baseline"/>
                <w:lang w:val="en-US" w:eastAsia="zh-CN" w:bidi="ar-SA"/>
              </w:rPr>
              <w:t>众豪岔沟</w:t>
            </w:r>
            <w:r>
              <w:rPr>
                <w:rFonts w:hint="eastAsia" w:ascii="宋体" w:hAnsi="宋体" w:eastAsia="宋体" w:cs="宋体"/>
                <w:kern w:val="2"/>
                <w:sz w:val="21"/>
                <w:szCs w:val="21"/>
                <w:vertAlign w:val="baseline"/>
                <w:lang w:val="en-US" w:eastAsia="zh-CN" w:bidi="ar-SA"/>
              </w:rPr>
              <w:t>煤矿、大山煤矿、巴家沟煤矿、牙必克煤矿</w:t>
            </w:r>
          </w:p>
        </w:tc>
      </w:tr>
    </w:tbl>
    <w:p/>
    <w:sectPr>
      <w:pgSz w:w="16838" w:h="11906" w:orient="landscape"/>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简体">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E4510"/>
    <w:rsid w:val="07387D45"/>
    <w:rsid w:val="2E30455F"/>
    <w:rsid w:val="6DBE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eastAsia" w:ascii="Arial Unicode MS" w:hAnsi="Arial Unicode MS" w:eastAsia="Arial Unicode MS" w:cs="Times New Roman"/>
      <w:sz w:val="24"/>
    </w:rPr>
  </w:style>
  <w:style w:type="paragraph" w:styleId="3">
    <w:name w:val="heading 2"/>
    <w:basedOn w:val="1"/>
    <w:next w:val="1"/>
    <w:unhideWhenUsed/>
    <w:qFormat/>
    <w:uiPriority w:val="1"/>
    <w:pPr>
      <w:spacing w:beforeLines="0" w:afterLines="0"/>
      <w:ind w:left="431"/>
      <w:outlineLvl w:val="1"/>
    </w:pPr>
    <w:rPr>
      <w:rFonts w:hint="eastAsia"/>
      <w:sz w:val="4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snapToGrid w:val="0"/>
      <w:spacing w:line="300" w:lineRule="auto"/>
      <w:ind w:firstLine="556"/>
    </w:pPr>
    <w:rPr>
      <w:rFonts w:ascii="仿宋_GB2312"/>
      <w:kern w:val="0"/>
      <w:szCs w:val="21"/>
    </w:rPr>
  </w:style>
  <w:style w:type="paragraph" w:styleId="4">
    <w:name w:val="Body Text"/>
    <w:basedOn w:val="1"/>
    <w:next w:val="5"/>
    <w:unhideWhenUsed/>
    <w:qFormat/>
    <w:uiPriority w:val="1"/>
    <w:pPr>
      <w:spacing w:beforeLines="0" w:afterLines="0"/>
    </w:pPr>
    <w:rPr>
      <w:rFonts w:hint="eastAsia"/>
      <w:sz w:val="32"/>
    </w:rPr>
  </w:style>
  <w:style w:type="paragraph" w:styleId="5">
    <w:name w:val="toc 5"/>
    <w:basedOn w:val="1"/>
    <w:next w:val="1"/>
    <w:semiHidden/>
    <w:qFormat/>
    <w:uiPriority w:val="99"/>
    <w:pPr>
      <w:ind w:left="168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2023-06-20T01:48:00Z</dcterms:created>
  <dc:creator>麒麟</dc:creator>
  <cp:lastModifiedBy>麒麟</cp:lastModifiedBy>
  <dcterms:modified xsi:type="dcterms:W3CDTF">2023-07-05T04:03:55Z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