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widowControl w:val="0"/>
        <w:shd w:val="clear" w:color="auto" w:fill="auto"/>
        <w:bidi w:val="0"/>
        <w:spacing w:before="0" w:after="723"/>
        <w:ind w:left="0" w:right="0" w:firstLine="0"/>
        <w:rPr>
          <w:rFonts w:hint="eastAsia" w:ascii="方正小标宋简体" w:hAnsi="方正小标宋简体" w:eastAsia="方正小标宋简体" w:cs="方正小标宋简体"/>
          <w:sz w:val="36"/>
          <w:szCs w:val="36"/>
        </w:rPr>
      </w:pPr>
      <w:bookmarkStart w:id="0" w:name="bookmark0"/>
      <w:r>
        <w:rPr>
          <w:rStyle w:val="10"/>
          <w:rFonts w:hint="eastAsia" w:ascii="方正小标宋简体" w:hAnsi="方正小标宋简体" w:eastAsia="方正小标宋简体" w:cs="方正小标宋简体"/>
          <w:b/>
          <w:bCs/>
          <w:i w:val="0"/>
          <w:iCs w:val="0"/>
          <w:smallCaps w:val="0"/>
          <w:strike w:val="0"/>
          <w:sz w:val="36"/>
          <w:szCs w:val="36"/>
        </w:rPr>
        <w:t>20</w:t>
      </w:r>
      <w:r>
        <w:rPr>
          <w:rStyle w:val="10"/>
          <w:rFonts w:hint="eastAsia" w:ascii="方正小标宋简体" w:hAnsi="方正小标宋简体" w:eastAsia="方正小标宋简体" w:cs="方正小标宋简体"/>
          <w:b/>
          <w:bCs/>
          <w:i w:val="0"/>
          <w:iCs w:val="0"/>
          <w:smallCaps w:val="0"/>
          <w:strike w:val="0"/>
          <w:sz w:val="36"/>
          <w:szCs w:val="36"/>
          <w:lang w:val="en-US"/>
        </w:rPr>
        <w:t>22</w:t>
      </w:r>
      <w:r>
        <w:rPr>
          <w:rFonts w:hint="eastAsia" w:ascii="方正小标宋简体" w:hAnsi="方正小标宋简体" w:eastAsia="方正小标宋简体" w:cs="方正小标宋简体"/>
          <w:color w:val="000000"/>
          <w:spacing w:val="0"/>
          <w:w w:val="100"/>
          <w:position w:val="0"/>
          <w:sz w:val="36"/>
          <w:szCs w:val="36"/>
          <w:lang w:val="zh-CN" w:eastAsia="zh-CN" w:bidi="zh-CN"/>
        </w:rPr>
        <w:t>年曲靖市麒麟区一般公共预算、政府性基金</w:t>
      </w:r>
      <w:r>
        <w:rPr>
          <w:rFonts w:hint="eastAsia" w:ascii="方正小标宋简体" w:hAnsi="方正小标宋简体" w:eastAsia="方正小标宋简体" w:cs="方正小标宋简体"/>
          <w:color w:val="000000"/>
          <w:spacing w:val="0"/>
          <w:w w:val="100"/>
          <w:position w:val="0"/>
          <w:sz w:val="36"/>
          <w:szCs w:val="36"/>
          <w:lang w:val="en-US" w:eastAsia="zh-CN" w:bidi="zh-CN"/>
        </w:rPr>
        <w:t>预算</w:t>
      </w:r>
      <w:r>
        <w:rPr>
          <w:rFonts w:hint="eastAsia" w:ascii="方正小标宋简体" w:hAnsi="方正小标宋简体" w:eastAsia="方正小标宋简体" w:cs="方正小标宋简体"/>
          <w:color w:val="000000"/>
          <w:spacing w:val="0"/>
          <w:w w:val="100"/>
          <w:position w:val="0"/>
          <w:sz w:val="36"/>
          <w:szCs w:val="36"/>
          <w:lang w:val="zh-CN" w:eastAsia="zh-CN" w:bidi="zh-CN"/>
        </w:rPr>
        <w:t>和国有资本经营预算执行变动情况说明</w:t>
      </w:r>
      <w:bookmarkEnd w:id="0"/>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67" w:line="400" w:lineRule="exact"/>
        <w:ind w:left="20" w:right="0"/>
        <w:jc w:val="both"/>
        <w:textAlignment w:val="auto"/>
        <w:rPr>
          <w:rFonts w:hint="eastAsia" w:ascii="黑体" w:hAnsi="黑体" w:eastAsia="黑体" w:cs="黑体"/>
          <w:color w:val="000000"/>
          <w:spacing w:val="0"/>
          <w:w w:val="100"/>
          <w:position w:val="0"/>
          <w:sz w:val="32"/>
          <w:szCs w:val="32"/>
          <w:lang w:val="zh-CN" w:eastAsia="zh-CN" w:bidi="zh-CN"/>
        </w:rPr>
      </w:pPr>
      <w:r>
        <w:rPr>
          <w:rFonts w:hint="eastAsia" w:ascii="黑体" w:hAnsi="黑体" w:eastAsia="黑体" w:cs="黑体"/>
          <w:color w:val="000000"/>
          <w:spacing w:val="0"/>
          <w:w w:val="100"/>
          <w:position w:val="0"/>
          <w:sz w:val="32"/>
          <w:szCs w:val="32"/>
          <w:lang w:val="zh-CN" w:eastAsia="zh-CN" w:bidi="zh-CN"/>
        </w:rPr>
        <w:t>一、</w:t>
      </w:r>
      <w:r>
        <w:rPr>
          <w:rStyle w:val="13"/>
          <w:rFonts w:hint="eastAsia" w:ascii="黑体" w:hAnsi="黑体" w:eastAsia="黑体" w:cs="黑体"/>
          <w:b/>
          <w:bCs/>
          <w:i w:val="0"/>
          <w:iCs w:val="0"/>
          <w:smallCaps w:val="0"/>
          <w:strike w:val="0"/>
          <w:sz w:val="32"/>
          <w:szCs w:val="32"/>
        </w:rPr>
        <w:t>2</w:t>
      </w:r>
      <w:r>
        <w:rPr>
          <w:rStyle w:val="13"/>
          <w:rFonts w:hint="eastAsia" w:ascii="黑体" w:hAnsi="黑体" w:eastAsia="黑体" w:cs="黑体"/>
          <w:b/>
          <w:bCs/>
          <w:i w:val="0"/>
          <w:iCs w:val="0"/>
          <w:smallCaps w:val="0"/>
          <w:strike w:val="0"/>
          <w:sz w:val="32"/>
          <w:szCs w:val="32"/>
          <w:lang w:val="en-US"/>
        </w:rPr>
        <w:t>022</w:t>
      </w:r>
      <w:r>
        <w:rPr>
          <w:rFonts w:hint="eastAsia" w:ascii="黑体" w:hAnsi="黑体" w:eastAsia="黑体" w:cs="黑体"/>
          <w:color w:val="000000"/>
          <w:spacing w:val="0"/>
          <w:w w:val="100"/>
          <w:position w:val="0"/>
          <w:sz w:val="32"/>
          <w:szCs w:val="32"/>
          <w:lang w:val="zh-CN" w:eastAsia="zh-CN" w:bidi="zh-CN"/>
        </w:rPr>
        <w:t>年麒麟区一般公共预算支出变动说明</w:t>
      </w:r>
    </w:p>
    <w:p>
      <w:pPr>
        <w:pStyle w:val="1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服务支出类较2021年决算数下降41.50%，主要原因是一方面财政资金紧张，各单位压减办公经费过紧日子，保运转经费有所减少；另一方面2022年拨付失地农民保障金专户19000万元，较2021年拨付失地农民保障金专户83000万元大幅减少。</w:t>
      </w:r>
    </w:p>
    <w:p>
      <w:pPr>
        <w:pStyle w:val="1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ind w:left="0" w:leftChars="0"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国防支出类较2021年决算数增长8.58%，变动幅度不大。</w:t>
      </w:r>
    </w:p>
    <w:p>
      <w:pPr>
        <w:pStyle w:val="1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ind w:left="0" w:leftChars="0"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公共安全支出类较2021年决算数增长17.11%，主要原因是：2022年创文经费和疫情防控经费增加。</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4.教育支出类较2021年决算数增长0.98%，变动幅度不大。</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5.科学技术支出类较2021年决算数下降90.69%，主要原因是：2021年麒麟区工业和信息化局支付研发投入经费735万元，2022年未安排该支出。</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6.文化旅游体育与传媒支出类较2021年决算数下降35.31%，主要原因是：2021年麒麟区教育体育局支付社会足球场建设费用1120万元，2022年未安排该项目支出。</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7.社会保障和就业支出类较2021年决算数增长13.26%，主要原因是:2022年财政对城乡居民基本养老保险基金的补助支出11699万元比2021年6477万元增加了5222万元。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8.卫生健康支出类较2021年决算数下降45.65%，主要原因是：城乡居民基本医疗保险上划省级列支，不在区级本级支出里反映。</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9.节能环保支出类较2021年决算数增长49.64%，主要原因是：2022年各乡镇（街道）支付乡村振兴专项农村人居环境整治经费800万元。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default" w:ascii="仿宋_GB2312" w:hAnsi="仿宋_GB2312" w:eastAsia="仿宋_GB2312" w:cs="仿宋_GB2312"/>
          <w:b w:val="0"/>
          <w:bCs w:val="0"/>
          <w:sz w:val="32"/>
          <w:szCs w:val="32"/>
          <w:highlight w:val="none"/>
          <w:lang w:val="en-US"/>
        </w:rPr>
      </w:pPr>
      <w:r>
        <w:rPr>
          <w:rFonts w:hint="eastAsia" w:ascii="仿宋_GB2312" w:hAnsi="仿宋_GB2312" w:eastAsia="仿宋_GB2312" w:cs="仿宋_GB2312"/>
          <w:b w:val="0"/>
          <w:bCs w:val="0"/>
          <w:color w:val="000000"/>
          <w:spacing w:val="0"/>
          <w:w w:val="100"/>
          <w:position w:val="0"/>
          <w:sz w:val="32"/>
          <w:szCs w:val="32"/>
          <w:lang w:val="en-US" w:eastAsia="zh-CN" w:bidi="zh-CN"/>
        </w:rPr>
        <w:t>10.城乡社区支出类较2021年决算数增长42.20%，主要原因是：2022年麒麟区住房和城乡建设局支付水石路市政道路建设工程项目PPP合同项目下政府负有支出责任的补助资金3000万元，支付南部新城项目部基础设施建设资金3600万元及麒麟区土地开发投资有限公司基础设施建设经费18500万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eastAsia="zh-CN"/>
        </w:rPr>
        <w:t>农林水支出类较</w:t>
      </w:r>
      <w:r>
        <w:rPr>
          <w:rFonts w:hint="eastAsia" w:ascii="仿宋_GB2312" w:hAnsi="仿宋_GB2312" w:eastAsia="仿宋_GB2312" w:cs="仿宋_GB2312"/>
          <w:b w:val="0"/>
          <w:bCs w:val="0"/>
          <w:sz w:val="32"/>
          <w:szCs w:val="32"/>
          <w:lang w:val="en-US" w:eastAsia="zh-CN"/>
        </w:rPr>
        <w:t>2021年决算数增长23.83%，主要原因是：2022年支付高标准农田建设专项补助资金9239万元，比2021年1017万元增长808.46%。</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eastAsia="zh-CN"/>
        </w:rPr>
        <w:t>交通运输支出类较</w:t>
      </w:r>
      <w:r>
        <w:rPr>
          <w:rFonts w:hint="eastAsia" w:ascii="仿宋_GB2312" w:hAnsi="仿宋_GB2312" w:eastAsia="仿宋_GB2312" w:cs="仿宋_GB2312"/>
          <w:b w:val="0"/>
          <w:bCs w:val="0"/>
          <w:sz w:val="32"/>
          <w:szCs w:val="32"/>
          <w:lang w:val="en-US" w:eastAsia="zh-CN"/>
        </w:rPr>
        <w:t>2021年决算数下降29.22%，主要原因是:2022年麒麟区交通运输局支付农村道路客运油价财政补贴资金270万元，2021年麒麟区交通运输局支付农村道路客运油价财政补贴资金591万元及出租车燃油财政补贴资金2116万元，补贴资金较上年度减少。</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bidi="zh-CN"/>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资源勘探工业信息等支出</w:t>
      </w:r>
      <w:r>
        <w:rPr>
          <w:rFonts w:hint="eastAsia" w:ascii="仿宋_GB2312" w:hAnsi="仿宋_GB2312" w:eastAsia="仿宋_GB2312" w:cs="仿宋_GB2312"/>
          <w:b w:val="0"/>
          <w:bCs w:val="0"/>
          <w:sz w:val="32"/>
          <w:szCs w:val="32"/>
          <w:lang w:eastAsia="zh-CN"/>
        </w:rPr>
        <w:t>类较</w:t>
      </w:r>
      <w:r>
        <w:rPr>
          <w:rStyle w:val="22"/>
          <w:rFonts w:hint="eastAsia" w:ascii="仿宋_GB2312" w:hAnsi="仿宋_GB2312" w:eastAsia="仿宋_GB2312" w:cs="仿宋_GB2312"/>
          <w:b w:val="0"/>
          <w:bCs w:val="0"/>
          <w:i w:val="0"/>
          <w:iCs w:val="0"/>
          <w:smallCaps w:val="0"/>
          <w:strike w:val="0"/>
          <w:sz w:val="32"/>
          <w:szCs w:val="32"/>
          <w:highlight w:val="none"/>
        </w:rPr>
        <w:t>20</w:t>
      </w:r>
      <w:r>
        <w:rPr>
          <w:rStyle w:val="22"/>
          <w:rFonts w:hint="eastAsia" w:ascii="仿宋_GB2312" w:hAnsi="仿宋_GB2312" w:eastAsia="仿宋_GB2312" w:cs="仿宋_GB2312"/>
          <w:b w:val="0"/>
          <w:bCs w:val="0"/>
          <w:i w:val="0"/>
          <w:iCs w:val="0"/>
          <w:smallCaps w:val="0"/>
          <w:strike w:val="0"/>
          <w:sz w:val="32"/>
          <w:szCs w:val="32"/>
          <w:highlight w:val="none"/>
          <w:lang w:val="en-US"/>
        </w:rPr>
        <w:t>21</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增长291.24</w:t>
      </w:r>
      <w:r>
        <w:rPr>
          <w:rStyle w:val="22"/>
          <w:rFonts w:hint="eastAsia" w:ascii="仿宋_GB2312" w:hAnsi="仿宋_GB2312" w:eastAsia="仿宋_GB2312" w:cs="仿宋_GB2312"/>
          <w:b w:val="0"/>
          <w:bCs w:val="0"/>
          <w:i w:val="0"/>
          <w:iCs w:val="0"/>
          <w:smallCaps w:val="0"/>
          <w:strike w:val="0"/>
          <w:sz w:val="32"/>
          <w:szCs w:val="32"/>
          <w:highlight w:val="none"/>
          <w:lang w:val="zh-CN" w:eastAsia="zh-CN" w:bidi="zh-CN"/>
        </w:rPr>
        <w:t>%</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，主要原因是：</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2022年麒麟区工信局支付云南省工业和信息化发展专项资金600万元及拨付麒麟区工业园区开发投资有限公司10000万元基础设施建设经费。</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lang w:eastAsia="zh-CN"/>
        </w:rPr>
        <w:t>商业服务业等支出类较</w:t>
      </w:r>
      <w:r>
        <w:rPr>
          <w:rStyle w:val="22"/>
          <w:rFonts w:hint="eastAsia" w:ascii="仿宋_GB2312" w:hAnsi="仿宋_GB2312" w:eastAsia="仿宋_GB2312" w:cs="仿宋_GB2312"/>
          <w:b w:val="0"/>
          <w:bCs w:val="0"/>
          <w:i w:val="0"/>
          <w:iCs w:val="0"/>
          <w:smallCaps w:val="0"/>
          <w:strike w:val="0"/>
          <w:sz w:val="32"/>
          <w:szCs w:val="32"/>
          <w:highlight w:val="none"/>
        </w:rPr>
        <w:t>20</w:t>
      </w:r>
      <w:r>
        <w:rPr>
          <w:rStyle w:val="22"/>
          <w:rFonts w:hint="eastAsia" w:ascii="仿宋_GB2312" w:hAnsi="仿宋_GB2312" w:eastAsia="仿宋_GB2312" w:cs="仿宋_GB2312"/>
          <w:b w:val="0"/>
          <w:bCs w:val="0"/>
          <w:i w:val="0"/>
          <w:iCs w:val="0"/>
          <w:smallCaps w:val="0"/>
          <w:strike w:val="0"/>
          <w:sz w:val="32"/>
          <w:szCs w:val="32"/>
          <w:highlight w:val="none"/>
          <w:lang w:val="en-US"/>
        </w:rPr>
        <w:t>21</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增长39.59</w:t>
      </w:r>
      <w:r>
        <w:rPr>
          <w:rStyle w:val="22"/>
          <w:rFonts w:hint="eastAsia" w:ascii="仿宋_GB2312" w:hAnsi="仿宋_GB2312" w:eastAsia="仿宋_GB2312" w:cs="仿宋_GB2312"/>
          <w:b w:val="0"/>
          <w:bCs w:val="0"/>
          <w:i w:val="0"/>
          <w:iCs w:val="0"/>
          <w:smallCaps w:val="0"/>
          <w:strike w:val="0"/>
          <w:sz w:val="32"/>
          <w:szCs w:val="32"/>
          <w:highlight w:val="none"/>
          <w:lang w:val="zh-CN" w:eastAsia="zh-CN" w:bidi="zh-CN"/>
        </w:rPr>
        <w:t>%</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，主要原因是：</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2022年麒麟区畜禽改良站支付生猪调出大县奖励专项资金966万元，2021年该项目支出为391万元。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金融支出</w:t>
      </w:r>
      <w:r>
        <w:rPr>
          <w:rFonts w:hint="eastAsia" w:ascii="仿宋_GB2312" w:hAnsi="仿宋_GB2312" w:eastAsia="仿宋_GB2312" w:cs="仿宋_GB2312"/>
          <w:b w:val="0"/>
          <w:bCs w:val="0"/>
          <w:sz w:val="32"/>
          <w:szCs w:val="32"/>
          <w:lang w:eastAsia="zh-CN"/>
        </w:rPr>
        <w:t>类较</w:t>
      </w:r>
      <w:r>
        <w:rPr>
          <w:rStyle w:val="22"/>
          <w:rFonts w:hint="eastAsia" w:ascii="仿宋_GB2312" w:hAnsi="仿宋_GB2312" w:eastAsia="仿宋_GB2312" w:cs="仿宋_GB2312"/>
          <w:b w:val="0"/>
          <w:bCs w:val="0"/>
          <w:i w:val="0"/>
          <w:iCs w:val="0"/>
          <w:smallCaps w:val="0"/>
          <w:strike w:val="0"/>
          <w:sz w:val="32"/>
          <w:szCs w:val="32"/>
          <w:highlight w:val="none"/>
        </w:rPr>
        <w:t>20</w:t>
      </w:r>
      <w:r>
        <w:rPr>
          <w:rStyle w:val="22"/>
          <w:rFonts w:hint="eastAsia" w:ascii="仿宋_GB2312" w:hAnsi="仿宋_GB2312" w:eastAsia="仿宋_GB2312" w:cs="仿宋_GB2312"/>
          <w:b w:val="0"/>
          <w:bCs w:val="0"/>
          <w:i w:val="0"/>
          <w:iCs w:val="0"/>
          <w:smallCaps w:val="0"/>
          <w:strike w:val="0"/>
          <w:sz w:val="32"/>
          <w:szCs w:val="32"/>
          <w:highlight w:val="none"/>
          <w:lang w:val="en-US"/>
        </w:rPr>
        <w:t>21</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增长0.67</w:t>
      </w:r>
      <w:r>
        <w:rPr>
          <w:rStyle w:val="22"/>
          <w:rFonts w:hint="eastAsia" w:ascii="仿宋_GB2312" w:hAnsi="仿宋_GB2312" w:eastAsia="仿宋_GB2312" w:cs="仿宋_GB2312"/>
          <w:b w:val="0"/>
          <w:bCs w:val="0"/>
          <w:i w:val="0"/>
          <w:iCs w:val="0"/>
          <w:smallCaps w:val="0"/>
          <w:strike w:val="0"/>
          <w:sz w:val="32"/>
          <w:szCs w:val="32"/>
          <w:highlight w:val="none"/>
          <w:lang w:val="zh-CN" w:eastAsia="zh-CN" w:bidi="zh-CN"/>
        </w:rPr>
        <w:t>%</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，变动幅度不大</w:t>
      </w:r>
      <w:r>
        <w:rPr>
          <w:rFonts w:hint="eastAsia" w:ascii="仿宋_GB2312" w:hAnsi="仿宋_GB2312" w:eastAsia="仿宋_GB2312" w:cs="仿宋_GB2312"/>
          <w:b w:val="0"/>
          <w:bCs w:val="0"/>
          <w:sz w:val="32"/>
          <w:szCs w:val="32"/>
          <w:lang w:val="en-US" w:eastAsia="zh-CN"/>
        </w:rPr>
        <w:t>。</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自然资源海洋气象等支出</w:t>
      </w:r>
      <w:r>
        <w:rPr>
          <w:rFonts w:hint="eastAsia" w:ascii="仿宋_GB2312" w:hAnsi="仿宋_GB2312" w:eastAsia="仿宋_GB2312" w:cs="仿宋_GB2312"/>
          <w:b w:val="0"/>
          <w:bCs w:val="0"/>
          <w:sz w:val="32"/>
          <w:szCs w:val="32"/>
          <w:lang w:eastAsia="zh-CN"/>
        </w:rPr>
        <w:t>类较</w:t>
      </w:r>
      <w:r>
        <w:rPr>
          <w:rStyle w:val="22"/>
          <w:rFonts w:hint="eastAsia" w:ascii="仿宋_GB2312" w:hAnsi="仿宋_GB2312" w:eastAsia="仿宋_GB2312" w:cs="仿宋_GB2312"/>
          <w:b w:val="0"/>
          <w:bCs w:val="0"/>
          <w:i w:val="0"/>
          <w:iCs w:val="0"/>
          <w:smallCaps w:val="0"/>
          <w:strike w:val="0"/>
          <w:sz w:val="32"/>
          <w:szCs w:val="32"/>
          <w:highlight w:val="none"/>
        </w:rPr>
        <w:t>20</w:t>
      </w:r>
      <w:r>
        <w:rPr>
          <w:rStyle w:val="22"/>
          <w:rFonts w:hint="eastAsia" w:ascii="仿宋_GB2312" w:hAnsi="仿宋_GB2312" w:eastAsia="仿宋_GB2312" w:cs="仿宋_GB2312"/>
          <w:b w:val="0"/>
          <w:bCs w:val="0"/>
          <w:i w:val="0"/>
          <w:iCs w:val="0"/>
          <w:smallCaps w:val="0"/>
          <w:strike w:val="0"/>
          <w:sz w:val="32"/>
          <w:szCs w:val="32"/>
          <w:highlight w:val="none"/>
          <w:lang w:val="en-US"/>
        </w:rPr>
        <w:t>21</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增长112.40</w:t>
      </w:r>
      <w:r>
        <w:rPr>
          <w:rStyle w:val="22"/>
          <w:rFonts w:hint="eastAsia" w:ascii="仿宋_GB2312" w:hAnsi="仿宋_GB2312" w:eastAsia="仿宋_GB2312" w:cs="仿宋_GB2312"/>
          <w:b w:val="0"/>
          <w:bCs w:val="0"/>
          <w:i w:val="0"/>
          <w:iCs w:val="0"/>
          <w:smallCaps w:val="0"/>
          <w:strike w:val="0"/>
          <w:sz w:val="32"/>
          <w:szCs w:val="32"/>
          <w:highlight w:val="none"/>
          <w:lang w:val="zh-CN" w:eastAsia="zh-CN" w:bidi="zh-CN"/>
        </w:rPr>
        <w:t>%</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，主要原因是：</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2022年麒麟区自然资源局支付工程服务费1360万元及2022年市级投资土地整治（补充耕地）项目整治专项资金855万元，而2021年仅支付市级土地整治项目补助资金1000万元。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lang w:eastAsia="zh-CN"/>
        </w:rPr>
        <w:t>住房保障支出类较</w:t>
      </w:r>
      <w:r>
        <w:rPr>
          <w:rFonts w:hint="eastAsia" w:ascii="仿宋_GB2312" w:hAnsi="仿宋_GB2312" w:eastAsia="仿宋_GB2312" w:cs="仿宋_GB2312"/>
          <w:b w:val="0"/>
          <w:bCs w:val="0"/>
          <w:sz w:val="32"/>
          <w:szCs w:val="32"/>
          <w:lang w:val="en-US" w:eastAsia="zh-CN"/>
        </w:rPr>
        <w:t>2021年决算数增长2.57%，</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变动幅度不大</w:t>
      </w:r>
      <w:r>
        <w:rPr>
          <w:rFonts w:hint="eastAsia" w:ascii="仿宋_GB2312" w:hAnsi="仿宋_GB2312" w:eastAsia="仿宋_GB2312" w:cs="仿宋_GB2312"/>
          <w:b w:val="0"/>
          <w:bCs w:val="0"/>
          <w:sz w:val="32"/>
          <w:szCs w:val="32"/>
          <w:lang w:val="en-US" w:eastAsia="zh-CN"/>
        </w:rPr>
        <w:t>。</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18.</w:t>
      </w:r>
      <w:r>
        <w:rPr>
          <w:rFonts w:hint="eastAsia" w:ascii="仿宋_GB2312" w:hAnsi="仿宋_GB2312" w:eastAsia="仿宋_GB2312" w:cs="仿宋_GB2312"/>
          <w:b w:val="0"/>
          <w:bCs w:val="0"/>
          <w:sz w:val="32"/>
          <w:szCs w:val="32"/>
        </w:rPr>
        <w:t>粮油物资储备支出</w:t>
      </w:r>
      <w:r>
        <w:rPr>
          <w:rFonts w:hint="eastAsia" w:ascii="仿宋_GB2312" w:hAnsi="仿宋_GB2312" w:eastAsia="仿宋_GB2312" w:cs="仿宋_GB2312"/>
          <w:b w:val="0"/>
          <w:bCs w:val="0"/>
          <w:sz w:val="32"/>
          <w:szCs w:val="32"/>
          <w:lang w:eastAsia="zh-CN"/>
        </w:rPr>
        <w:t>类较</w:t>
      </w:r>
      <w:r>
        <w:rPr>
          <w:rStyle w:val="22"/>
          <w:rFonts w:hint="eastAsia" w:ascii="仿宋_GB2312" w:hAnsi="仿宋_GB2312" w:eastAsia="仿宋_GB2312" w:cs="仿宋_GB2312"/>
          <w:b w:val="0"/>
          <w:bCs w:val="0"/>
          <w:i w:val="0"/>
          <w:iCs w:val="0"/>
          <w:smallCaps w:val="0"/>
          <w:strike w:val="0"/>
          <w:sz w:val="32"/>
          <w:szCs w:val="32"/>
          <w:highlight w:val="none"/>
          <w:lang w:val="en-US"/>
        </w:rPr>
        <w:t>2021</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增长49.74</w:t>
      </w:r>
      <w:r>
        <w:rPr>
          <w:rStyle w:val="22"/>
          <w:rFonts w:hint="eastAsia" w:ascii="仿宋_GB2312" w:hAnsi="仿宋_GB2312" w:eastAsia="仿宋_GB2312" w:cs="仿宋_GB2312"/>
          <w:b w:val="0"/>
          <w:bCs w:val="0"/>
          <w:i w:val="0"/>
          <w:iCs w:val="0"/>
          <w:smallCaps w:val="0"/>
          <w:strike w:val="0"/>
          <w:sz w:val="32"/>
          <w:szCs w:val="32"/>
          <w:highlight w:val="none"/>
          <w:lang w:val="zh-CN" w:eastAsia="zh-CN" w:bidi="zh-CN"/>
        </w:rPr>
        <w:t>%</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，主要原因是：</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2022年支付省级粮食风险基金366万元及区级配套资金170万元，而2021年支付省级粮食风险基金160万元及区级配套资金170万元，省级补助资金较上年度增加。</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right="2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19.</w:t>
      </w:r>
      <w:r>
        <w:rPr>
          <w:rFonts w:hint="eastAsia" w:ascii="仿宋_GB2312" w:hAnsi="仿宋_GB2312" w:eastAsia="仿宋_GB2312" w:cs="仿宋_GB2312"/>
          <w:b w:val="0"/>
          <w:bCs w:val="0"/>
          <w:sz w:val="32"/>
          <w:szCs w:val="32"/>
        </w:rPr>
        <w:t>灾害防治及应急管理支出</w:t>
      </w:r>
      <w:r>
        <w:rPr>
          <w:rFonts w:hint="eastAsia" w:ascii="仿宋_GB2312" w:hAnsi="仿宋_GB2312" w:eastAsia="仿宋_GB2312" w:cs="仿宋_GB2312"/>
          <w:b w:val="0"/>
          <w:bCs w:val="0"/>
          <w:sz w:val="32"/>
          <w:szCs w:val="32"/>
          <w:lang w:eastAsia="zh-CN"/>
        </w:rPr>
        <w:t>类较</w:t>
      </w:r>
      <w:r>
        <w:rPr>
          <w:rStyle w:val="22"/>
          <w:rFonts w:hint="eastAsia" w:ascii="仿宋_GB2312" w:hAnsi="仿宋_GB2312" w:eastAsia="仿宋_GB2312" w:cs="仿宋_GB2312"/>
          <w:b w:val="0"/>
          <w:bCs w:val="0"/>
          <w:i w:val="0"/>
          <w:iCs w:val="0"/>
          <w:smallCaps w:val="0"/>
          <w:strike w:val="0"/>
          <w:sz w:val="32"/>
          <w:szCs w:val="32"/>
          <w:highlight w:val="none"/>
        </w:rPr>
        <w:t>20</w:t>
      </w:r>
      <w:r>
        <w:rPr>
          <w:rStyle w:val="22"/>
          <w:rFonts w:hint="eastAsia" w:ascii="仿宋_GB2312" w:hAnsi="仿宋_GB2312" w:eastAsia="仿宋_GB2312" w:cs="仿宋_GB2312"/>
          <w:b w:val="0"/>
          <w:bCs w:val="0"/>
          <w:i w:val="0"/>
          <w:iCs w:val="0"/>
          <w:smallCaps w:val="0"/>
          <w:strike w:val="0"/>
          <w:sz w:val="32"/>
          <w:szCs w:val="32"/>
          <w:highlight w:val="none"/>
          <w:lang w:val="en-US"/>
        </w:rPr>
        <w:t>21</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增长106.74</w:t>
      </w:r>
      <w:r>
        <w:rPr>
          <w:rStyle w:val="22"/>
          <w:rFonts w:hint="eastAsia" w:ascii="仿宋_GB2312" w:hAnsi="仿宋_GB2312" w:eastAsia="仿宋_GB2312" w:cs="仿宋_GB2312"/>
          <w:b w:val="0"/>
          <w:bCs w:val="0"/>
          <w:i w:val="0"/>
          <w:iCs w:val="0"/>
          <w:smallCaps w:val="0"/>
          <w:strike w:val="0"/>
          <w:sz w:val="32"/>
          <w:szCs w:val="32"/>
          <w:highlight w:val="none"/>
          <w:lang w:val="zh-CN" w:eastAsia="zh-CN" w:bidi="zh-CN"/>
        </w:rPr>
        <w:t>%</w:t>
      </w:r>
      <w:r>
        <w:rPr>
          <w:rFonts w:hint="eastAsia" w:ascii="仿宋_GB2312" w:hAnsi="仿宋_GB2312" w:eastAsia="仿宋_GB2312" w:cs="仿宋_GB2312"/>
          <w:b w:val="0"/>
          <w:bCs w:val="0"/>
          <w:color w:val="000000"/>
          <w:spacing w:val="0"/>
          <w:w w:val="100"/>
          <w:position w:val="0"/>
          <w:sz w:val="32"/>
          <w:szCs w:val="32"/>
          <w:highlight w:val="none"/>
          <w:lang w:val="zh-CN" w:eastAsia="zh-CN" w:bidi="zh-CN"/>
        </w:rPr>
        <w:t>，主要原因是：麒麟区消防支队</w:t>
      </w:r>
      <w:r>
        <w:rPr>
          <w:rFonts w:hint="eastAsia" w:ascii="仿宋_GB2312" w:hAnsi="仿宋_GB2312" w:eastAsia="仿宋_GB2312" w:cs="仿宋_GB2312"/>
          <w:b w:val="0"/>
          <w:bCs w:val="0"/>
          <w:color w:val="000000"/>
          <w:spacing w:val="0"/>
          <w:w w:val="100"/>
          <w:position w:val="0"/>
          <w:sz w:val="32"/>
          <w:szCs w:val="32"/>
          <w:highlight w:val="none"/>
          <w:lang w:val="en-US" w:eastAsia="zh-CN" w:bidi="zh-CN"/>
        </w:rPr>
        <w:t>2022年人员经费和消防经费较上年增加937万元，麒麟区能源局支付云南恩洪煤业煤矿安全改造项目中央基建投资专项资金1000万元，麒麟区自然资源局支付地质灾害项目治理经费718万元及麒麟区应急局与各乡镇（街道）财政所支付自然灾害救灾冬春 救助资金565万元。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ind w:left="640" w:leftChars="0" w:right="20" w:rightChars="0"/>
        <w:jc w:val="both"/>
        <w:textAlignment w:val="auto"/>
        <w:rPr>
          <w:rFonts w:hint="eastAsia" w:ascii="黑体" w:hAnsi="黑体" w:eastAsia="黑体" w:cs="黑体"/>
          <w:sz w:val="32"/>
          <w:szCs w:val="32"/>
        </w:rPr>
      </w:pPr>
      <w:bookmarkStart w:id="1" w:name="bookmark1"/>
      <w:r>
        <w:rPr>
          <w:rFonts w:hint="eastAsia" w:ascii="黑体" w:hAnsi="黑体" w:eastAsia="黑体" w:cs="黑体"/>
          <w:sz w:val="32"/>
          <w:szCs w:val="32"/>
          <w:lang w:val="en-US"/>
        </w:rPr>
        <w:t>二、</w:t>
      </w: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lang w:val="zh-CN" w:eastAsia="zh-CN"/>
        </w:rPr>
        <w:t>年麒麟区政府性基金预算支出变动说明</w:t>
      </w:r>
      <w:bookmarkEnd w:id="1"/>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大中型水库移民后期扶持基金支出</w:t>
      </w:r>
      <w:r>
        <w:rPr>
          <w:rFonts w:hint="eastAsia" w:ascii="仿宋_GB2312" w:hAnsi="仿宋_GB2312" w:eastAsia="仿宋_GB2312" w:cs="仿宋_GB2312"/>
          <w:b w:val="0"/>
          <w:bCs w:val="0"/>
          <w:color w:val="000000"/>
          <w:spacing w:val="0"/>
          <w:w w:val="100"/>
          <w:position w:val="0"/>
          <w:sz w:val="32"/>
          <w:szCs w:val="32"/>
          <w:lang w:val="zh-CN" w:eastAsia="zh-CN" w:bidi="zh-CN"/>
        </w:rPr>
        <w:t>款比</w:t>
      </w:r>
      <w:r>
        <w:rPr>
          <w:rStyle w:val="16"/>
          <w:rFonts w:hint="eastAsia" w:ascii="仿宋_GB2312" w:hAnsi="仿宋_GB2312" w:eastAsia="仿宋_GB2312" w:cs="仿宋_GB2312"/>
          <w:b w:val="0"/>
          <w:bCs w:val="0"/>
          <w:i w:val="0"/>
          <w:iCs w:val="0"/>
          <w:smallCaps w:val="0"/>
          <w:strike w:val="0"/>
          <w:sz w:val="32"/>
          <w:szCs w:val="32"/>
        </w:rPr>
        <w:t>20</w:t>
      </w:r>
      <w:r>
        <w:rPr>
          <w:rStyle w:val="16"/>
          <w:rFonts w:hint="eastAsia" w:ascii="仿宋_GB2312" w:hAnsi="仿宋_GB2312" w:eastAsia="仿宋_GB2312" w:cs="仿宋_GB2312"/>
          <w:b w:val="0"/>
          <w:bCs w:val="0"/>
          <w:i w:val="0"/>
          <w:iCs w:val="0"/>
          <w:smallCaps w:val="0"/>
          <w:strike w:val="0"/>
          <w:sz w:val="32"/>
          <w:szCs w:val="32"/>
          <w:lang w:val="en-US"/>
        </w:rPr>
        <w:t>21</w:t>
      </w:r>
      <w:r>
        <w:rPr>
          <w:rFonts w:hint="eastAsia" w:ascii="仿宋_GB2312" w:hAnsi="仿宋_GB2312" w:eastAsia="仿宋_GB2312" w:cs="仿宋_GB2312"/>
          <w:b w:val="0"/>
          <w:bCs w:val="0"/>
          <w:color w:val="000000"/>
          <w:spacing w:val="0"/>
          <w:w w:val="100"/>
          <w:position w:val="0"/>
          <w:sz w:val="32"/>
          <w:szCs w:val="32"/>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lang w:val="en-US" w:eastAsia="zh-CN" w:bidi="zh-CN"/>
        </w:rPr>
        <w:t>增长123.97%</w:t>
      </w:r>
      <w:r>
        <w:rPr>
          <w:rFonts w:hint="eastAsia" w:ascii="仿宋_GB2312" w:hAnsi="仿宋_GB2312" w:eastAsia="仿宋_GB2312" w:cs="仿宋_GB2312"/>
          <w:b w:val="0"/>
          <w:bCs w:val="0"/>
          <w:color w:val="000000"/>
          <w:spacing w:val="0"/>
          <w:w w:val="100"/>
          <w:position w:val="0"/>
          <w:sz w:val="32"/>
          <w:szCs w:val="32"/>
          <w:lang w:val="zh-CN" w:eastAsia="zh-CN" w:bidi="zh-CN"/>
        </w:rPr>
        <w:t>。主要原因：</w:t>
      </w:r>
      <w:r>
        <w:rPr>
          <w:rFonts w:hint="eastAsia" w:ascii="仿宋_GB2312" w:hAnsi="仿宋_GB2312" w:eastAsia="仿宋_GB2312" w:cs="仿宋_GB2312"/>
          <w:b w:val="0"/>
          <w:bCs w:val="0"/>
          <w:color w:val="000000"/>
          <w:spacing w:val="0"/>
          <w:w w:val="100"/>
          <w:position w:val="0"/>
          <w:sz w:val="32"/>
          <w:szCs w:val="32"/>
          <w:lang w:val="en-US" w:eastAsia="zh-CN" w:bidi="zh-CN"/>
        </w:rPr>
        <w:t>2022年麒麟区搬迁安置办公室支付东山镇恩洪村委会高山杜鹃旅游服务设施配套项目工程款1000万元。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default" w:ascii="仿宋_GB2312" w:hAnsi="仿宋_GB2312" w:eastAsia="仿宋_GB2312" w:cs="仿宋_GB2312"/>
          <w:b w:val="0"/>
          <w:bCs w:val="0"/>
          <w:color w:val="000000"/>
          <w:spacing w:val="0"/>
          <w:w w:val="100"/>
          <w:position w:val="0"/>
          <w:sz w:val="32"/>
          <w:szCs w:val="32"/>
          <w:lang w:val="en-US" w:eastAsia="zh-CN" w:bidi="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国有土地使用权出让收入安排的支出</w:t>
      </w:r>
      <w:r>
        <w:rPr>
          <w:rFonts w:hint="eastAsia" w:ascii="仿宋_GB2312" w:hAnsi="仿宋_GB2312" w:eastAsia="仿宋_GB2312" w:cs="仿宋_GB2312"/>
          <w:b w:val="0"/>
          <w:bCs w:val="0"/>
          <w:sz w:val="32"/>
          <w:szCs w:val="32"/>
          <w:lang w:val="en-US" w:eastAsia="zh-CN"/>
        </w:rPr>
        <w:t>款</w:t>
      </w:r>
      <w:r>
        <w:rPr>
          <w:rFonts w:hint="eastAsia" w:ascii="仿宋_GB2312" w:hAnsi="仿宋_GB2312" w:eastAsia="仿宋_GB2312" w:cs="仿宋_GB2312"/>
          <w:b w:val="0"/>
          <w:bCs w:val="0"/>
          <w:color w:val="000000"/>
          <w:spacing w:val="0"/>
          <w:w w:val="100"/>
          <w:position w:val="0"/>
          <w:sz w:val="32"/>
          <w:szCs w:val="32"/>
          <w:lang w:val="zh-CN" w:eastAsia="zh-CN" w:bidi="zh-CN"/>
        </w:rPr>
        <w:t>比</w:t>
      </w:r>
      <w:r>
        <w:rPr>
          <w:rStyle w:val="16"/>
          <w:rFonts w:hint="eastAsia" w:ascii="仿宋_GB2312" w:hAnsi="仿宋_GB2312" w:eastAsia="仿宋_GB2312" w:cs="仿宋_GB2312"/>
          <w:b w:val="0"/>
          <w:bCs w:val="0"/>
          <w:i w:val="0"/>
          <w:iCs w:val="0"/>
          <w:smallCaps w:val="0"/>
          <w:strike w:val="0"/>
          <w:sz w:val="32"/>
          <w:szCs w:val="32"/>
        </w:rPr>
        <w:t>20</w:t>
      </w:r>
      <w:r>
        <w:rPr>
          <w:rStyle w:val="16"/>
          <w:rFonts w:hint="eastAsia" w:ascii="仿宋_GB2312" w:hAnsi="仿宋_GB2312" w:eastAsia="仿宋_GB2312" w:cs="仿宋_GB2312"/>
          <w:b w:val="0"/>
          <w:bCs w:val="0"/>
          <w:i w:val="0"/>
          <w:iCs w:val="0"/>
          <w:smallCaps w:val="0"/>
          <w:strike w:val="0"/>
          <w:sz w:val="32"/>
          <w:szCs w:val="32"/>
          <w:lang w:val="en-US"/>
        </w:rPr>
        <w:t>21</w:t>
      </w:r>
      <w:r>
        <w:rPr>
          <w:rFonts w:hint="eastAsia" w:ascii="仿宋_GB2312" w:hAnsi="仿宋_GB2312" w:eastAsia="仿宋_GB2312" w:cs="仿宋_GB2312"/>
          <w:b w:val="0"/>
          <w:bCs w:val="0"/>
          <w:color w:val="000000"/>
          <w:spacing w:val="0"/>
          <w:w w:val="100"/>
          <w:position w:val="0"/>
          <w:sz w:val="32"/>
          <w:szCs w:val="32"/>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lang w:val="en-US" w:eastAsia="zh-CN" w:bidi="zh-CN"/>
        </w:rPr>
        <w:t>增长128.92%</w:t>
      </w:r>
      <w:r>
        <w:rPr>
          <w:rFonts w:hint="eastAsia" w:ascii="仿宋_GB2312" w:hAnsi="仿宋_GB2312" w:eastAsia="仿宋_GB2312" w:cs="仿宋_GB2312"/>
          <w:b w:val="0"/>
          <w:bCs w:val="0"/>
          <w:color w:val="000000"/>
          <w:spacing w:val="0"/>
          <w:w w:val="100"/>
          <w:position w:val="0"/>
          <w:sz w:val="32"/>
          <w:szCs w:val="32"/>
          <w:lang w:val="zh-CN" w:eastAsia="zh-CN" w:bidi="zh-CN"/>
        </w:rPr>
        <w:t>。主要原因是：</w:t>
      </w:r>
      <w:r>
        <w:rPr>
          <w:rFonts w:hint="eastAsia" w:ascii="仿宋_GB2312" w:hAnsi="仿宋_GB2312" w:eastAsia="仿宋_GB2312" w:cs="仿宋_GB2312"/>
          <w:b w:val="0"/>
          <w:bCs w:val="0"/>
          <w:color w:val="000000"/>
          <w:spacing w:val="0"/>
          <w:w w:val="100"/>
          <w:position w:val="0"/>
          <w:sz w:val="32"/>
          <w:szCs w:val="32"/>
          <w:lang w:val="en-US" w:eastAsia="zh-CN" w:bidi="zh-CN"/>
        </w:rPr>
        <w:t>2022年拨付土地成本经费40492万元，较2021年拨付14943万元增加较多。</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lang w:val="en-US" w:eastAsia="zh-CN" w:bidi="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大中型水库库区基金安排的支出</w:t>
      </w:r>
      <w:r>
        <w:rPr>
          <w:rFonts w:hint="eastAsia" w:ascii="仿宋_GB2312" w:hAnsi="仿宋_GB2312" w:eastAsia="仿宋_GB2312" w:cs="仿宋_GB2312"/>
          <w:b w:val="0"/>
          <w:bCs w:val="0"/>
          <w:sz w:val="32"/>
          <w:szCs w:val="32"/>
          <w:lang w:val="en-US" w:eastAsia="zh-CN"/>
        </w:rPr>
        <w:t>款</w:t>
      </w:r>
      <w:r>
        <w:rPr>
          <w:rFonts w:hint="eastAsia" w:ascii="仿宋_GB2312" w:hAnsi="仿宋_GB2312" w:eastAsia="仿宋_GB2312" w:cs="仿宋_GB2312"/>
          <w:b w:val="0"/>
          <w:bCs w:val="0"/>
          <w:color w:val="000000"/>
          <w:spacing w:val="0"/>
          <w:w w:val="100"/>
          <w:position w:val="0"/>
          <w:sz w:val="32"/>
          <w:szCs w:val="32"/>
          <w:lang w:val="zh-CN" w:eastAsia="zh-CN" w:bidi="zh-CN"/>
        </w:rPr>
        <w:t>比</w:t>
      </w:r>
      <w:r>
        <w:rPr>
          <w:rStyle w:val="16"/>
          <w:rFonts w:hint="eastAsia" w:ascii="仿宋_GB2312" w:hAnsi="仿宋_GB2312" w:eastAsia="仿宋_GB2312" w:cs="仿宋_GB2312"/>
          <w:b w:val="0"/>
          <w:bCs w:val="0"/>
          <w:i w:val="0"/>
          <w:iCs w:val="0"/>
          <w:smallCaps w:val="0"/>
          <w:strike w:val="0"/>
          <w:sz w:val="32"/>
          <w:szCs w:val="32"/>
          <w:lang w:val="en-US"/>
        </w:rPr>
        <w:t>2021</w:t>
      </w:r>
      <w:r>
        <w:rPr>
          <w:rFonts w:hint="eastAsia" w:ascii="仿宋_GB2312" w:hAnsi="仿宋_GB2312" w:eastAsia="仿宋_GB2312" w:cs="仿宋_GB2312"/>
          <w:b w:val="0"/>
          <w:bCs w:val="0"/>
          <w:color w:val="000000"/>
          <w:spacing w:val="0"/>
          <w:w w:val="100"/>
          <w:position w:val="0"/>
          <w:sz w:val="32"/>
          <w:szCs w:val="32"/>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lang w:val="en-US" w:eastAsia="zh-CN" w:bidi="zh-CN"/>
        </w:rPr>
        <w:t>增长262倍</w:t>
      </w:r>
      <w:r>
        <w:rPr>
          <w:rFonts w:hint="eastAsia" w:ascii="仿宋_GB2312" w:hAnsi="仿宋_GB2312" w:eastAsia="仿宋_GB2312" w:cs="仿宋_GB2312"/>
          <w:b w:val="0"/>
          <w:bCs w:val="0"/>
          <w:color w:val="000000"/>
          <w:spacing w:val="0"/>
          <w:w w:val="100"/>
          <w:position w:val="0"/>
          <w:sz w:val="32"/>
          <w:szCs w:val="32"/>
          <w:lang w:val="zh-CN" w:eastAsia="zh-CN" w:bidi="zh-CN"/>
        </w:rPr>
        <w:t>。主要原因是</w:t>
      </w:r>
      <w:r>
        <w:rPr>
          <w:rFonts w:hint="eastAsia" w:ascii="仿宋_GB2312" w:hAnsi="仿宋_GB2312" w:eastAsia="仿宋_GB2312" w:cs="仿宋_GB2312"/>
          <w:b w:val="0"/>
          <w:bCs w:val="0"/>
          <w:color w:val="000000"/>
          <w:spacing w:val="0"/>
          <w:w w:val="100"/>
          <w:position w:val="0"/>
          <w:sz w:val="32"/>
          <w:szCs w:val="32"/>
          <w:lang w:val="en-US" w:eastAsia="zh-CN" w:bidi="zh-CN"/>
        </w:rPr>
        <w:t>:2022年麒麟区搬迁安置办公室支付沟渠建设项目、村内道路硬化工程、</w:t>
      </w:r>
      <w:bookmarkStart w:id="3" w:name="_GoBack"/>
      <w:bookmarkEnd w:id="3"/>
      <w:r>
        <w:rPr>
          <w:rFonts w:hint="eastAsia" w:ascii="仿宋_GB2312" w:hAnsi="仿宋_GB2312" w:eastAsia="仿宋_GB2312" w:cs="仿宋_GB2312"/>
          <w:b w:val="0"/>
          <w:bCs w:val="0"/>
          <w:color w:val="000000"/>
          <w:spacing w:val="0"/>
          <w:w w:val="100"/>
          <w:position w:val="0"/>
          <w:sz w:val="32"/>
          <w:szCs w:val="32"/>
          <w:lang w:val="en-US" w:eastAsia="zh-CN" w:bidi="zh-CN"/>
        </w:rPr>
        <w:t>“美丽家园 移民新村”项目设计与建设工程款及库区基金项目管理费工程款3948万元，比2021年库区基金安排的支出15万元增加3933万元。</w:t>
      </w:r>
      <w:bookmarkStart w:id="2" w:name="bookmark2"/>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default" w:ascii="仿宋_GB2312" w:hAnsi="仿宋_GB2312" w:eastAsia="仿宋_GB2312" w:cs="仿宋_GB2312"/>
          <w:b w:val="0"/>
          <w:bCs w:val="0"/>
          <w:color w:val="000000"/>
          <w:spacing w:val="0"/>
          <w:w w:val="100"/>
          <w:position w:val="0"/>
          <w:sz w:val="32"/>
          <w:szCs w:val="32"/>
          <w:lang w:val="en-US" w:eastAsia="zh-CN" w:bidi="zh-CN"/>
        </w:rPr>
      </w:pPr>
      <w:r>
        <w:rPr>
          <w:rFonts w:hint="eastAsia" w:ascii="仿宋_GB2312" w:hAnsi="仿宋_GB2312" w:eastAsia="仿宋_GB2312" w:cs="仿宋_GB2312"/>
          <w:b w:val="0"/>
          <w:bCs w:val="0"/>
          <w:sz w:val="32"/>
          <w:szCs w:val="32"/>
          <w:lang w:val="en-US" w:eastAsia="zh-CN"/>
        </w:rPr>
        <w:t>4.其他政府性基金及对应专项债务收入安排的支出款</w:t>
      </w:r>
      <w:r>
        <w:rPr>
          <w:rFonts w:hint="eastAsia" w:ascii="仿宋_GB2312" w:hAnsi="仿宋_GB2312" w:eastAsia="仿宋_GB2312" w:cs="仿宋_GB2312"/>
          <w:b w:val="0"/>
          <w:bCs w:val="0"/>
          <w:color w:val="000000"/>
          <w:spacing w:val="0"/>
          <w:w w:val="100"/>
          <w:position w:val="0"/>
          <w:sz w:val="32"/>
          <w:szCs w:val="32"/>
          <w:lang w:val="zh-CN" w:eastAsia="zh-CN" w:bidi="zh-CN"/>
        </w:rPr>
        <w:t>比</w:t>
      </w:r>
      <w:r>
        <w:rPr>
          <w:rStyle w:val="16"/>
          <w:rFonts w:hint="eastAsia" w:ascii="仿宋_GB2312" w:hAnsi="仿宋_GB2312" w:eastAsia="仿宋_GB2312" w:cs="仿宋_GB2312"/>
          <w:b w:val="0"/>
          <w:bCs w:val="0"/>
          <w:i w:val="0"/>
          <w:iCs w:val="0"/>
          <w:smallCaps w:val="0"/>
          <w:strike w:val="0"/>
          <w:sz w:val="32"/>
          <w:szCs w:val="32"/>
        </w:rPr>
        <w:t>2</w:t>
      </w:r>
      <w:r>
        <w:rPr>
          <w:rStyle w:val="16"/>
          <w:rFonts w:hint="eastAsia" w:ascii="仿宋_GB2312" w:hAnsi="仿宋_GB2312" w:eastAsia="仿宋_GB2312" w:cs="仿宋_GB2312"/>
          <w:b w:val="0"/>
          <w:bCs w:val="0"/>
          <w:i w:val="0"/>
          <w:iCs w:val="0"/>
          <w:smallCaps w:val="0"/>
          <w:strike w:val="0"/>
          <w:sz w:val="32"/>
          <w:szCs w:val="32"/>
          <w:lang w:val="en-US"/>
        </w:rPr>
        <w:t>021</w:t>
      </w:r>
      <w:r>
        <w:rPr>
          <w:rFonts w:hint="eastAsia" w:ascii="仿宋_GB2312" w:hAnsi="仿宋_GB2312" w:eastAsia="仿宋_GB2312" w:cs="仿宋_GB2312"/>
          <w:b w:val="0"/>
          <w:bCs w:val="0"/>
          <w:color w:val="000000"/>
          <w:spacing w:val="0"/>
          <w:w w:val="100"/>
          <w:position w:val="0"/>
          <w:sz w:val="32"/>
          <w:szCs w:val="32"/>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lang w:val="en-US" w:eastAsia="zh-CN" w:bidi="zh-CN"/>
        </w:rPr>
        <w:t>增长2689.44</w:t>
      </w:r>
      <w:r>
        <w:rPr>
          <w:rStyle w:val="17"/>
          <w:rFonts w:hint="eastAsia" w:ascii="仿宋_GB2312" w:hAnsi="仿宋_GB2312" w:eastAsia="仿宋_GB2312" w:cs="仿宋_GB2312"/>
          <w:b w:val="0"/>
          <w:bCs w:val="0"/>
          <w:i w:val="0"/>
          <w:iCs w:val="0"/>
          <w:smallCaps w:val="0"/>
          <w:strike w:val="0"/>
          <w:sz w:val="32"/>
          <w:szCs w:val="32"/>
          <w:lang w:val="zh-CN" w:eastAsia="zh-CN" w:bidi="zh-CN"/>
        </w:rPr>
        <w:t>%</w:t>
      </w:r>
      <w:r>
        <w:rPr>
          <w:rFonts w:hint="eastAsia" w:ascii="仿宋_GB2312" w:hAnsi="仿宋_GB2312" w:eastAsia="仿宋_GB2312" w:cs="仿宋_GB2312"/>
          <w:b w:val="0"/>
          <w:bCs w:val="0"/>
          <w:color w:val="000000"/>
          <w:spacing w:val="0"/>
          <w:w w:val="100"/>
          <w:position w:val="0"/>
          <w:sz w:val="32"/>
          <w:szCs w:val="32"/>
          <w:lang w:val="zh-CN" w:eastAsia="zh-CN" w:bidi="zh-CN"/>
        </w:rPr>
        <w:t>。主要原因是：</w:t>
      </w:r>
      <w:r>
        <w:rPr>
          <w:rFonts w:hint="eastAsia" w:ascii="仿宋_GB2312" w:hAnsi="仿宋_GB2312" w:eastAsia="仿宋_GB2312" w:cs="仿宋_GB2312"/>
          <w:b w:val="0"/>
          <w:bCs w:val="0"/>
          <w:color w:val="000000"/>
          <w:spacing w:val="0"/>
          <w:w w:val="100"/>
          <w:position w:val="0"/>
          <w:sz w:val="32"/>
          <w:szCs w:val="32"/>
          <w:lang w:val="en-US" w:eastAsia="zh-CN" w:bidi="zh-CN"/>
        </w:rPr>
        <w:t>其他地方自行试点项目收益专项债券收入安排的支出比2021年增加484100万元。</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5.地方政府专项债务付息支出</w:t>
      </w:r>
      <w:r>
        <w:rPr>
          <w:rFonts w:hint="eastAsia" w:ascii="仿宋_GB2312" w:hAnsi="仿宋_GB2312" w:eastAsia="仿宋_GB2312" w:cs="仿宋_GB2312"/>
          <w:b w:val="0"/>
          <w:bCs w:val="0"/>
          <w:color w:val="000000"/>
          <w:spacing w:val="0"/>
          <w:w w:val="100"/>
          <w:position w:val="0"/>
          <w:sz w:val="32"/>
          <w:szCs w:val="32"/>
          <w:lang w:val="zh-CN" w:eastAsia="zh-CN" w:bidi="zh-CN"/>
        </w:rPr>
        <w:t>比</w:t>
      </w:r>
      <w:r>
        <w:rPr>
          <w:rStyle w:val="16"/>
          <w:rFonts w:hint="eastAsia" w:ascii="仿宋_GB2312" w:hAnsi="仿宋_GB2312" w:eastAsia="仿宋_GB2312" w:cs="仿宋_GB2312"/>
          <w:b w:val="0"/>
          <w:bCs w:val="0"/>
          <w:i w:val="0"/>
          <w:iCs w:val="0"/>
          <w:smallCaps w:val="0"/>
          <w:strike w:val="0"/>
          <w:sz w:val="32"/>
          <w:szCs w:val="32"/>
        </w:rPr>
        <w:t>20</w:t>
      </w:r>
      <w:r>
        <w:rPr>
          <w:rStyle w:val="16"/>
          <w:rFonts w:hint="eastAsia" w:ascii="仿宋_GB2312" w:hAnsi="仿宋_GB2312" w:eastAsia="仿宋_GB2312" w:cs="仿宋_GB2312"/>
          <w:b w:val="0"/>
          <w:bCs w:val="0"/>
          <w:i w:val="0"/>
          <w:iCs w:val="0"/>
          <w:smallCaps w:val="0"/>
          <w:strike w:val="0"/>
          <w:sz w:val="32"/>
          <w:szCs w:val="32"/>
          <w:lang w:val="en-US"/>
        </w:rPr>
        <w:t>21</w:t>
      </w:r>
      <w:r>
        <w:rPr>
          <w:rFonts w:hint="eastAsia" w:ascii="仿宋_GB2312" w:hAnsi="仿宋_GB2312" w:eastAsia="仿宋_GB2312" w:cs="仿宋_GB2312"/>
          <w:b w:val="0"/>
          <w:bCs w:val="0"/>
          <w:color w:val="000000"/>
          <w:spacing w:val="0"/>
          <w:w w:val="100"/>
          <w:position w:val="0"/>
          <w:sz w:val="32"/>
          <w:szCs w:val="32"/>
          <w:lang w:val="zh-CN" w:eastAsia="zh-CN" w:bidi="zh-CN"/>
        </w:rPr>
        <w:t>年决算数</w:t>
      </w:r>
      <w:r>
        <w:rPr>
          <w:rFonts w:hint="eastAsia" w:ascii="仿宋_GB2312" w:hAnsi="仿宋_GB2312" w:eastAsia="仿宋_GB2312" w:cs="仿宋_GB2312"/>
          <w:b w:val="0"/>
          <w:bCs w:val="0"/>
          <w:color w:val="000000"/>
          <w:spacing w:val="0"/>
          <w:w w:val="100"/>
          <w:position w:val="0"/>
          <w:sz w:val="32"/>
          <w:szCs w:val="32"/>
          <w:lang w:val="en-US" w:eastAsia="zh-CN" w:bidi="zh-CN"/>
        </w:rPr>
        <w:t>增长73.98</w:t>
      </w:r>
      <w:r>
        <w:rPr>
          <w:rStyle w:val="17"/>
          <w:rFonts w:hint="eastAsia" w:ascii="仿宋_GB2312" w:hAnsi="仿宋_GB2312" w:eastAsia="仿宋_GB2312" w:cs="仿宋_GB2312"/>
          <w:b w:val="0"/>
          <w:bCs w:val="0"/>
          <w:i w:val="0"/>
          <w:iCs w:val="0"/>
          <w:smallCaps w:val="0"/>
          <w:strike w:val="0"/>
          <w:sz w:val="32"/>
          <w:szCs w:val="32"/>
          <w:lang w:val="zh-CN" w:eastAsia="zh-CN" w:bidi="zh-CN"/>
        </w:rPr>
        <w:t>%</w:t>
      </w:r>
      <w:r>
        <w:rPr>
          <w:rFonts w:hint="eastAsia" w:ascii="仿宋_GB2312" w:hAnsi="仿宋_GB2312" w:eastAsia="仿宋_GB2312" w:cs="仿宋_GB2312"/>
          <w:b w:val="0"/>
          <w:bCs w:val="0"/>
          <w:color w:val="000000"/>
          <w:spacing w:val="0"/>
          <w:w w:val="100"/>
          <w:position w:val="0"/>
          <w:sz w:val="32"/>
          <w:szCs w:val="32"/>
          <w:lang w:val="zh-CN" w:eastAsia="zh-CN" w:bidi="zh-CN"/>
        </w:rPr>
        <w:t>。主要原</w:t>
      </w:r>
      <w:r>
        <w:rPr>
          <w:rFonts w:hint="eastAsia" w:ascii="仿宋_GB2312" w:hAnsi="仿宋_GB2312" w:eastAsia="仿宋_GB2312" w:cs="仿宋_GB2312"/>
          <w:b w:val="0"/>
          <w:bCs w:val="0"/>
          <w:sz w:val="32"/>
          <w:szCs w:val="32"/>
          <w:lang w:val="zh-CN" w:eastAsia="zh-CN"/>
        </w:rPr>
        <w:t>因是：2022年上半年新增其他地方自行试点项目收益专项债券36.98亿元 ，付息方式为半年一付，共计新增付息5752万元导致本年度专项付息支付较上年度增加较多。</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6.抗疫特别国债安排的支出比2021年决算数减少1061万元，主要原因是：2021年特别抗疫国债安排的支出是2020年结转部分，2022年度没有特别抗疫国债专项收入。</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val="zh-CN" w:eastAsia="zh-CN"/>
        </w:rPr>
        <w:t>202</w:t>
      </w:r>
      <w:r>
        <w:rPr>
          <w:rFonts w:hint="eastAsia" w:ascii="黑体" w:hAnsi="黑体" w:eastAsia="黑体" w:cs="黑体"/>
          <w:sz w:val="32"/>
          <w:szCs w:val="32"/>
          <w:lang w:val="en-US" w:eastAsia="zh-CN"/>
        </w:rPr>
        <w:t>2</w:t>
      </w:r>
      <w:r>
        <w:rPr>
          <w:rFonts w:hint="eastAsia" w:ascii="黑体" w:hAnsi="黑体" w:eastAsia="黑体" w:cs="黑体"/>
          <w:sz w:val="32"/>
          <w:szCs w:val="32"/>
          <w:lang w:val="zh-CN" w:eastAsia="zh-CN"/>
        </w:rPr>
        <w:t>年麒麟区国有资本经营预算收入、支出变动说明</w:t>
      </w:r>
      <w:bookmarkEnd w:id="2"/>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国有资本经营预算收入比上年决算数</w:t>
      </w:r>
      <w:r>
        <w:rPr>
          <w:rFonts w:hint="eastAsia" w:ascii="仿宋_GB2312" w:hAnsi="仿宋_GB2312" w:eastAsia="仿宋_GB2312" w:cs="仿宋_GB2312"/>
          <w:sz w:val="32"/>
          <w:szCs w:val="32"/>
          <w:lang w:val="en-US" w:eastAsia="zh-CN"/>
        </w:rPr>
        <w:t>下降53.01</w:t>
      </w:r>
      <w:r>
        <w:rPr>
          <w:rFonts w:hint="eastAsia" w:ascii="仿宋_GB2312" w:hAnsi="仿宋_GB2312" w:eastAsia="仿宋_GB2312" w:cs="仿宋_GB2312"/>
          <w:sz w:val="32"/>
          <w:szCs w:val="32"/>
          <w:lang w:val="zh-CN" w:eastAsia="zh-CN"/>
        </w:rPr>
        <w:t>%，主要原因是：受疫情影响国有企业效益不好，利润减少</w:t>
      </w:r>
      <w:r>
        <w:rPr>
          <w:rFonts w:hint="eastAsia" w:ascii="仿宋_GB2312" w:hAnsi="仿宋_GB2312" w:eastAsia="仿宋_GB2312" w:cs="仿宋_GB2312"/>
          <w:sz w:val="32"/>
          <w:szCs w:val="32"/>
          <w:lang w:val="en-US" w:eastAsia="zh-CN"/>
        </w:rPr>
        <w:t>。</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6" w:lineRule="exact"/>
        <w:ind w:right="20" w:rightChars="0"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国有资本经营预算支出比上年决算数</w:t>
      </w:r>
      <w:r>
        <w:rPr>
          <w:rFonts w:hint="eastAsia" w:ascii="仿宋_GB2312" w:hAnsi="仿宋_GB2312" w:eastAsia="仿宋_GB2312" w:cs="仿宋_GB2312"/>
          <w:sz w:val="32"/>
          <w:szCs w:val="32"/>
          <w:lang w:val="en-US" w:eastAsia="zh-CN"/>
        </w:rPr>
        <w:t>增长383.81</w:t>
      </w:r>
      <w:r>
        <w:rPr>
          <w:rFonts w:hint="eastAsia" w:ascii="仿宋_GB2312" w:hAnsi="仿宋_GB2312" w:eastAsia="仿宋_GB2312" w:cs="仿宋_GB2312"/>
          <w:sz w:val="32"/>
          <w:szCs w:val="32"/>
          <w:lang w:val="zh-CN" w:eastAsia="zh-CN"/>
        </w:rPr>
        <w:t>%，主要原因是：</w:t>
      </w:r>
      <w:r>
        <w:rPr>
          <w:rFonts w:hint="eastAsia" w:ascii="仿宋_GB2312" w:hAnsi="仿宋_GB2312" w:eastAsia="仿宋_GB2312" w:cs="仿宋_GB2312"/>
          <w:sz w:val="32"/>
          <w:szCs w:val="32"/>
          <w:lang w:val="en-US" w:eastAsia="zh-CN"/>
        </w:rPr>
        <w:t>2022年拨付国有企业退休人员社会化管理补助资金1280万元，比2021年国有企业退休人员社会化管理支出增加1132万元。</w:t>
      </w:r>
    </w:p>
    <w:sectPr>
      <w:footerReference r:id="rId5" w:type="default"/>
      <w:footnotePr>
        <w:numFmt w:val="decimal"/>
      </w:footnotePr>
      <w:type w:val="continuous"/>
      <w:pgSz w:w="11906" w:h="16838"/>
      <w:pgMar w:top="1655" w:right="1792" w:bottom="1655" w:left="1805"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Century Schoolbook">
    <w:altName w:val="Century"/>
    <w:panose1 w:val="02040604050505020304"/>
    <w:charset w:val="00"/>
    <w:family w:val="auto"/>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CordiaUPC">
    <w:panose1 w:val="020B0304020202020204"/>
    <w:charset w:val="00"/>
    <w:family w:val="auto"/>
    <w:pitch w:val="default"/>
    <w:sig w:usb0="81000003" w:usb1="00000000" w:usb2="00000000" w:usb3="00000000" w:csb0="0001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insum">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AE62D"/>
    <w:multiLevelType w:val="singleLevel"/>
    <w:tmpl w:val="F3BAE62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
  <w:rsids>
    <w:rsidRoot w:val="00172A27"/>
    <w:rsid w:val="000364B7"/>
    <w:rsid w:val="01AC20BB"/>
    <w:rsid w:val="02DD2C6C"/>
    <w:rsid w:val="034736C5"/>
    <w:rsid w:val="03E4476B"/>
    <w:rsid w:val="055554A8"/>
    <w:rsid w:val="071156EA"/>
    <w:rsid w:val="071C110D"/>
    <w:rsid w:val="07242593"/>
    <w:rsid w:val="07266DE7"/>
    <w:rsid w:val="07444B6E"/>
    <w:rsid w:val="08F33994"/>
    <w:rsid w:val="09F72C45"/>
    <w:rsid w:val="0AA34794"/>
    <w:rsid w:val="0C093253"/>
    <w:rsid w:val="0C50326C"/>
    <w:rsid w:val="0E47458A"/>
    <w:rsid w:val="0E634696"/>
    <w:rsid w:val="102A20CC"/>
    <w:rsid w:val="103D67CE"/>
    <w:rsid w:val="10A140B8"/>
    <w:rsid w:val="12682E95"/>
    <w:rsid w:val="140D23E2"/>
    <w:rsid w:val="153F10D9"/>
    <w:rsid w:val="15B06353"/>
    <w:rsid w:val="16237481"/>
    <w:rsid w:val="17E82259"/>
    <w:rsid w:val="18135D9A"/>
    <w:rsid w:val="18376BC4"/>
    <w:rsid w:val="19333D27"/>
    <w:rsid w:val="1A0832DB"/>
    <w:rsid w:val="1CE53C04"/>
    <w:rsid w:val="1CFF7957"/>
    <w:rsid w:val="1DA95F67"/>
    <w:rsid w:val="1EA637CE"/>
    <w:rsid w:val="1FDD793F"/>
    <w:rsid w:val="21087CDE"/>
    <w:rsid w:val="212F4D5D"/>
    <w:rsid w:val="231464FF"/>
    <w:rsid w:val="237945EB"/>
    <w:rsid w:val="24213B6A"/>
    <w:rsid w:val="26427D4B"/>
    <w:rsid w:val="2AB63484"/>
    <w:rsid w:val="2AF11855"/>
    <w:rsid w:val="2AF42A17"/>
    <w:rsid w:val="2C3B47A8"/>
    <w:rsid w:val="2C6640D0"/>
    <w:rsid w:val="2E4350D7"/>
    <w:rsid w:val="2EF31968"/>
    <w:rsid w:val="302B55DE"/>
    <w:rsid w:val="30D117FF"/>
    <w:rsid w:val="324F1ACE"/>
    <w:rsid w:val="32B03F5D"/>
    <w:rsid w:val="32D7794C"/>
    <w:rsid w:val="33FE17E3"/>
    <w:rsid w:val="34402292"/>
    <w:rsid w:val="3466642B"/>
    <w:rsid w:val="3622400D"/>
    <w:rsid w:val="363447DA"/>
    <w:rsid w:val="36484B8C"/>
    <w:rsid w:val="36F57BA1"/>
    <w:rsid w:val="37EA70C0"/>
    <w:rsid w:val="3863270C"/>
    <w:rsid w:val="3A367068"/>
    <w:rsid w:val="3A5F27BF"/>
    <w:rsid w:val="3B6B3F5B"/>
    <w:rsid w:val="3BDC38B5"/>
    <w:rsid w:val="3D8C657A"/>
    <w:rsid w:val="3DB82317"/>
    <w:rsid w:val="3E054960"/>
    <w:rsid w:val="3E2230D7"/>
    <w:rsid w:val="3E732460"/>
    <w:rsid w:val="401B6796"/>
    <w:rsid w:val="418271AC"/>
    <w:rsid w:val="431B19A4"/>
    <w:rsid w:val="431D2D3A"/>
    <w:rsid w:val="44624EFA"/>
    <w:rsid w:val="4600410D"/>
    <w:rsid w:val="47622275"/>
    <w:rsid w:val="47802142"/>
    <w:rsid w:val="488A2990"/>
    <w:rsid w:val="48A56A12"/>
    <w:rsid w:val="49C30246"/>
    <w:rsid w:val="49F01FC1"/>
    <w:rsid w:val="4AC45387"/>
    <w:rsid w:val="4D6A0D44"/>
    <w:rsid w:val="4D860D10"/>
    <w:rsid w:val="4F6370B4"/>
    <w:rsid w:val="4FC356A0"/>
    <w:rsid w:val="4FF4564E"/>
    <w:rsid w:val="50FE1F62"/>
    <w:rsid w:val="51C22CAC"/>
    <w:rsid w:val="53CF153C"/>
    <w:rsid w:val="547478FE"/>
    <w:rsid w:val="56D8632D"/>
    <w:rsid w:val="574E2524"/>
    <w:rsid w:val="58D070E1"/>
    <w:rsid w:val="5C175A3A"/>
    <w:rsid w:val="5D56509D"/>
    <w:rsid w:val="5DD2022B"/>
    <w:rsid w:val="5E565E16"/>
    <w:rsid w:val="608E68B0"/>
    <w:rsid w:val="625D7E9C"/>
    <w:rsid w:val="628F6F0B"/>
    <w:rsid w:val="63156261"/>
    <w:rsid w:val="63876D47"/>
    <w:rsid w:val="63D72606"/>
    <w:rsid w:val="66C3475C"/>
    <w:rsid w:val="67510767"/>
    <w:rsid w:val="6889720B"/>
    <w:rsid w:val="692C7E15"/>
    <w:rsid w:val="692F201C"/>
    <w:rsid w:val="697564AA"/>
    <w:rsid w:val="69FB077C"/>
    <w:rsid w:val="6A5E2AB1"/>
    <w:rsid w:val="6C1369DD"/>
    <w:rsid w:val="6E97357A"/>
    <w:rsid w:val="6EA359EF"/>
    <w:rsid w:val="6EA856FE"/>
    <w:rsid w:val="6EB94B79"/>
    <w:rsid w:val="6FD81DFF"/>
    <w:rsid w:val="70560955"/>
    <w:rsid w:val="70CF0631"/>
    <w:rsid w:val="7102098F"/>
    <w:rsid w:val="7137268A"/>
    <w:rsid w:val="73AB13FF"/>
    <w:rsid w:val="73B171E2"/>
    <w:rsid w:val="74A76BCF"/>
    <w:rsid w:val="7616388F"/>
    <w:rsid w:val="76841B7D"/>
    <w:rsid w:val="77837446"/>
    <w:rsid w:val="77BB0BA3"/>
    <w:rsid w:val="78A507F6"/>
    <w:rsid w:val="78B10E6D"/>
    <w:rsid w:val="7A8E7169"/>
    <w:rsid w:val="7AD257E4"/>
    <w:rsid w:val="7CD54654"/>
    <w:rsid w:val="7E9D319F"/>
    <w:rsid w:val="7F677A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lang w:val="zh-CN" w:eastAsia="zh-CN" w:bidi="zh-CN"/>
    </w:rPr>
  </w:style>
  <w:style w:type="character" w:default="1" w:styleId="6">
    <w:name w:val="Default Paragraph Font"/>
    <w:qFormat/>
    <w:uiPriority w:val="0"/>
    <w:rPr>
      <w:rFonts w:ascii="Courier New" w:hAnsi="Courier New" w:eastAsia="Courier New" w:cs="Courier New"/>
      <w:color w:val="000000"/>
      <w:spacing w:val="0"/>
      <w:w w:val="100"/>
      <w:position w:val="0"/>
      <w:sz w:val="24"/>
      <w:szCs w:val="24"/>
      <w:lang w:val="zh-CN" w:eastAsia="zh-CN" w:bidi="zh-CN"/>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66CC"/>
      <w:u w:val="single"/>
    </w:rPr>
  </w:style>
  <w:style w:type="character" w:customStyle="1" w:styleId="8">
    <w:name w:val="标题 #1_"/>
    <w:basedOn w:val="6"/>
    <w:link w:val="9"/>
    <w:qFormat/>
    <w:uiPriority w:val="0"/>
    <w:rPr>
      <w:rFonts w:ascii="MingLiU" w:hAnsi="MingLiU" w:eastAsia="MingLiU" w:cs="MingLiU"/>
      <w:sz w:val="34"/>
      <w:szCs w:val="34"/>
      <w:u w:val="none"/>
    </w:rPr>
  </w:style>
  <w:style w:type="paragraph" w:customStyle="1" w:styleId="9">
    <w:name w:val="标题 #1"/>
    <w:basedOn w:val="1"/>
    <w:link w:val="8"/>
    <w:qFormat/>
    <w:uiPriority w:val="0"/>
    <w:pPr>
      <w:widowControl w:val="0"/>
      <w:shd w:val="clear" w:color="auto" w:fill="FFFFFF"/>
      <w:spacing w:after="540" w:line="629" w:lineRule="exact"/>
      <w:jc w:val="center"/>
      <w:outlineLvl w:val="0"/>
    </w:pPr>
    <w:rPr>
      <w:rFonts w:ascii="MingLiU" w:hAnsi="MingLiU" w:eastAsia="MingLiU" w:cs="MingLiU"/>
      <w:sz w:val="34"/>
      <w:szCs w:val="34"/>
      <w:u w:val="none"/>
    </w:rPr>
  </w:style>
  <w:style w:type="character" w:customStyle="1" w:styleId="10">
    <w:name w:val="标题 #1 + Century Schoolbook"/>
    <w:basedOn w:val="8"/>
    <w:qFormat/>
    <w:uiPriority w:val="0"/>
    <w:rPr>
      <w:rFonts w:ascii="Century Schoolbook" w:hAnsi="Century Schoolbook" w:eastAsia="Century Schoolbook" w:cs="Century Schoolbook"/>
      <w:b/>
      <w:bCs/>
      <w:color w:val="000000"/>
      <w:spacing w:val="0"/>
      <w:w w:val="100"/>
      <w:position w:val="0"/>
      <w:lang w:val="zh-CN" w:eastAsia="zh-CN" w:bidi="zh-CN"/>
    </w:rPr>
  </w:style>
  <w:style w:type="character" w:customStyle="1" w:styleId="11">
    <w:name w:val="正文文本 (2)_"/>
    <w:basedOn w:val="6"/>
    <w:link w:val="12"/>
    <w:qFormat/>
    <w:uiPriority w:val="0"/>
    <w:rPr>
      <w:rFonts w:ascii="MingLiU" w:hAnsi="MingLiU" w:eastAsia="MingLiU" w:cs="MingLiU"/>
      <w:sz w:val="28"/>
      <w:szCs w:val="28"/>
      <w:u w:val="none"/>
    </w:rPr>
  </w:style>
  <w:style w:type="paragraph" w:customStyle="1" w:styleId="12">
    <w:name w:val="正文文本 (2)"/>
    <w:basedOn w:val="1"/>
    <w:link w:val="11"/>
    <w:qFormat/>
    <w:uiPriority w:val="0"/>
    <w:pPr>
      <w:widowControl w:val="0"/>
      <w:shd w:val="clear" w:color="auto" w:fill="FFFFFF"/>
      <w:spacing w:before="540" w:after="360" w:line="0" w:lineRule="exact"/>
      <w:ind w:firstLine="620"/>
    </w:pPr>
    <w:rPr>
      <w:rFonts w:ascii="MingLiU" w:hAnsi="MingLiU" w:eastAsia="MingLiU" w:cs="MingLiU"/>
      <w:sz w:val="28"/>
      <w:szCs w:val="28"/>
      <w:u w:val="none"/>
    </w:rPr>
  </w:style>
  <w:style w:type="character" w:customStyle="1" w:styleId="13">
    <w:name w:val="正文文本 (2) + CordiaUPC"/>
    <w:basedOn w:val="11"/>
    <w:qFormat/>
    <w:uiPriority w:val="0"/>
    <w:rPr>
      <w:rFonts w:ascii="CordiaUPC" w:hAnsi="CordiaUPC" w:eastAsia="CordiaUPC" w:cs="CordiaUPC"/>
      <w:b/>
      <w:bCs/>
      <w:color w:val="000000"/>
      <w:spacing w:val="0"/>
      <w:w w:val="100"/>
      <w:position w:val="0"/>
      <w:sz w:val="40"/>
      <w:szCs w:val="40"/>
      <w:lang w:val="zh-CN" w:eastAsia="zh-CN" w:bidi="zh-CN"/>
    </w:rPr>
  </w:style>
  <w:style w:type="character" w:customStyle="1" w:styleId="14">
    <w:name w:val="正文文本_"/>
    <w:basedOn w:val="6"/>
    <w:link w:val="15"/>
    <w:qFormat/>
    <w:uiPriority w:val="0"/>
    <w:rPr>
      <w:rFonts w:ascii="MingLiU" w:hAnsi="MingLiU" w:eastAsia="MingLiU" w:cs="MingLiU"/>
      <w:sz w:val="26"/>
      <w:szCs w:val="26"/>
      <w:u w:val="none"/>
    </w:rPr>
  </w:style>
  <w:style w:type="paragraph" w:customStyle="1" w:styleId="15">
    <w:name w:val="正文文本1"/>
    <w:basedOn w:val="1"/>
    <w:link w:val="14"/>
    <w:qFormat/>
    <w:uiPriority w:val="0"/>
    <w:pPr>
      <w:widowControl w:val="0"/>
      <w:shd w:val="clear" w:color="auto" w:fill="FFFFFF"/>
      <w:spacing w:before="360" w:line="590" w:lineRule="exact"/>
    </w:pPr>
    <w:rPr>
      <w:rFonts w:ascii="MingLiU" w:hAnsi="MingLiU" w:eastAsia="MingLiU" w:cs="MingLiU"/>
      <w:sz w:val="26"/>
      <w:szCs w:val="26"/>
      <w:u w:val="none"/>
    </w:rPr>
  </w:style>
  <w:style w:type="character" w:customStyle="1" w:styleId="16">
    <w:name w:val="正文文本 + Century Schoolbook"/>
    <w:basedOn w:val="14"/>
    <w:qFormat/>
    <w:uiPriority w:val="0"/>
    <w:rPr>
      <w:rFonts w:ascii="Century Schoolbook" w:hAnsi="Century Schoolbook" w:eastAsia="Century Schoolbook" w:cs="Century Schoolbook"/>
      <w:b/>
      <w:bCs/>
      <w:color w:val="000000"/>
      <w:spacing w:val="0"/>
      <w:w w:val="75"/>
      <w:position w:val="0"/>
      <w:lang w:val="zh-CN" w:eastAsia="zh-CN" w:bidi="zh-CN"/>
    </w:rPr>
  </w:style>
  <w:style w:type="character" w:customStyle="1" w:styleId="17">
    <w:name w:val="正文文本 + Century Schoolbook1"/>
    <w:basedOn w:val="14"/>
    <w:qFormat/>
    <w:uiPriority w:val="0"/>
    <w:rPr>
      <w:rFonts w:ascii="Century Schoolbook" w:hAnsi="Century Schoolbook" w:eastAsia="Century Schoolbook" w:cs="Century Schoolbook"/>
      <w:b/>
      <w:bCs/>
      <w:color w:val="000000"/>
      <w:spacing w:val="0"/>
      <w:w w:val="100"/>
      <w:position w:val="0"/>
      <w:sz w:val="21"/>
      <w:szCs w:val="21"/>
      <w:lang w:val="en-US" w:eastAsia="en-US" w:bidi="en-US"/>
    </w:rPr>
  </w:style>
  <w:style w:type="character" w:customStyle="1" w:styleId="18">
    <w:name w:val="正文文本 + 斜体"/>
    <w:basedOn w:val="14"/>
    <w:qFormat/>
    <w:uiPriority w:val="0"/>
    <w:rPr>
      <w:i/>
      <w:iCs/>
      <w:color w:val="000000"/>
      <w:spacing w:val="0"/>
      <w:w w:val="100"/>
      <w:position w:val="0"/>
      <w:lang w:val="zh-CN" w:eastAsia="zh-CN" w:bidi="zh-CN"/>
    </w:rPr>
  </w:style>
  <w:style w:type="character" w:customStyle="1" w:styleId="19">
    <w:name w:val="标题 #2_"/>
    <w:basedOn w:val="6"/>
    <w:link w:val="20"/>
    <w:qFormat/>
    <w:uiPriority w:val="0"/>
    <w:rPr>
      <w:rFonts w:ascii="MingLiU" w:hAnsi="MingLiU" w:eastAsia="MingLiU" w:cs="MingLiU"/>
      <w:sz w:val="28"/>
      <w:szCs w:val="28"/>
      <w:u w:val="none"/>
    </w:rPr>
  </w:style>
  <w:style w:type="paragraph" w:customStyle="1" w:styleId="20">
    <w:name w:val="标题 #2"/>
    <w:basedOn w:val="1"/>
    <w:link w:val="19"/>
    <w:qFormat/>
    <w:uiPriority w:val="0"/>
    <w:pPr>
      <w:widowControl w:val="0"/>
      <w:shd w:val="clear" w:color="auto" w:fill="FFFFFF"/>
      <w:spacing w:before="480" w:after="360" w:line="0" w:lineRule="exact"/>
      <w:ind w:firstLine="600"/>
      <w:jc w:val="distribute"/>
      <w:outlineLvl w:val="1"/>
    </w:pPr>
    <w:rPr>
      <w:rFonts w:ascii="MingLiU" w:hAnsi="MingLiU" w:eastAsia="MingLiU" w:cs="MingLiU"/>
      <w:sz w:val="28"/>
      <w:szCs w:val="28"/>
      <w:u w:val="none"/>
    </w:rPr>
  </w:style>
  <w:style w:type="character" w:customStyle="1" w:styleId="21">
    <w:name w:val="标题 #2 + CordiaUPC"/>
    <w:basedOn w:val="19"/>
    <w:qFormat/>
    <w:uiPriority w:val="0"/>
    <w:rPr>
      <w:rFonts w:ascii="CordiaUPC" w:hAnsi="CordiaUPC" w:eastAsia="CordiaUPC" w:cs="CordiaUPC"/>
      <w:b/>
      <w:bCs/>
      <w:color w:val="000000"/>
      <w:spacing w:val="0"/>
      <w:w w:val="100"/>
      <w:position w:val="0"/>
      <w:sz w:val="40"/>
      <w:szCs w:val="40"/>
      <w:lang w:val="zh-CN" w:eastAsia="zh-CN" w:bidi="zh-CN"/>
    </w:rPr>
  </w:style>
  <w:style w:type="character" w:customStyle="1" w:styleId="22">
    <w:name w:val="正文文本 + Century Schoolbook2"/>
    <w:basedOn w:val="14"/>
    <w:qFormat/>
    <w:uiPriority w:val="0"/>
    <w:rPr>
      <w:rFonts w:ascii="Century Schoolbook" w:hAnsi="Century Schoolbook" w:eastAsia="Century Schoolbook" w:cs="Century Schoolbook"/>
      <w:b/>
      <w:bCs/>
      <w:color w:val="000000"/>
      <w:spacing w:val="0"/>
      <w:w w:val="75"/>
      <w:position w:val="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2020-09-01T08:10:00Z</dcterms:created>
  <dc:creator>gll</dc:creator>
  <cp:lastModifiedBy>QLF</cp:lastModifiedBy>
  <cp:lastPrinted>2021-09-07T08:47:00Z</cp:lastPrinted>
  <dcterms:modified xsi:type="dcterms:W3CDTF">2023-08-24T03:09:21Z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095B25AF310A4587A885E2BAF66AC8F9</vt:lpwstr>
  </property>
</Properties>
</file>