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曲靖市麒麟区财政局</w:t>
      </w: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年度预算绩效管理</w:t>
      </w:r>
      <w:r>
        <w:rPr>
          <w:rFonts w:hint="eastAsia" w:ascii="方正小标宋简体" w:hAnsi="方正小标宋简体" w:eastAsia="方正小标宋简体" w:cs="方正小标宋简体"/>
          <w:sz w:val="44"/>
          <w:szCs w:val="44"/>
          <w:lang w:eastAsia="zh-CN"/>
        </w:rPr>
        <w:t>工作开展情况</w:t>
      </w:r>
    </w:p>
    <w:p>
      <w:pPr>
        <w:spacing w:line="600" w:lineRule="exact"/>
        <w:jc w:val="center"/>
        <w:rPr>
          <w:rFonts w:ascii="方正小标宋简体" w:hAnsi="方正小标宋简体" w:eastAsia="方正小标宋简体" w:cs="方正小标宋简体"/>
          <w:sz w:val="44"/>
          <w:szCs w:val="44"/>
        </w:rPr>
      </w:pPr>
    </w:p>
    <w:p>
      <w:pPr>
        <w:spacing w:line="600" w:lineRule="exact"/>
        <w:jc w:val="left"/>
        <w:rPr>
          <w:rFonts w:ascii="仿宋_GB2312" w:hAnsi="方正小标宋简体" w:eastAsia="仿宋_GB2312" w:cs="方正小标宋简体"/>
          <w:sz w:val="32"/>
          <w:szCs w:val="32"/>
        </w:rPr>
      </w:pPr>
    </w:p>
    <w:p>
      <w:pPr>
        <w:spacing w:line="600" w:lineRule="exact"/>
        <w:ind w:firstLine="641"/>
        <w:rPr>
          <w:rFonts w:ascii="仿宋_GB2312" w:hAnsi="黑体" w:eastAsia="仿宋_GB2312" w:cs="仿宋_GB2312"/>
          <w:sz w:val="32"/>
          <w:szCs w:val="32"/>
        </w:rPr>
      </w:pPr>
      <w:r>
        <w:rPr>
          <w:rFonts w:hint="eastAsia" w:ascii="仿宋_GB2312" w:hAnsi="仿宋" w:eastAsia="仿宋_GB2312"/>
          <w:sz w:val="32"/>
          <w:szCs w:val="32"/>
        </w:rPr>
        <w:t>为扎实推进区级级预算绩效管理工作，提高绩效目标编  制质量，根据《曲靖市麒麟区财政局关于印发&lt;麒麟区区级财政专项资金预算绩效管理办法（试行）&gt;的通知》(麒财规〔2020〕1号)《曲靖市麒麟区财政局关于印发&lt;麒麟区区级财政预算绩效目标管理暂行办法&gt;和&lt;麒麟区区级预算绩效跟踪暂行办法&gt;文件的通知》（麒财绩〔2020〕3号）文件精神，</w:t>
      </w:r>
      <w:r>
        <w:rPr>
          <w:rFonts w:hint="eastAsia" w:ascii="仿宋_GB2312" w:hAnsi="仿宋" w:eastAsia="仿宋_GB2312"/>
          <w:sz w:val="32"/>
          <w:szCs w:val="32"/>
          <w:lang w:val="en-US" w:eastAsia="zh-CN"/>
        </w:rPr>
        <w:t>区财政局完成了2022预算年度绩效目标管理及审核工作，</w:t>
      </w:r>
      <w:r>
        <w:rPr>
          <w:rFonts w:hint="eastAsia" w:ascii="仿宋_GB2312" w:hAnsi="仿宋" w:eastAsia="仿宋_GB2312"/>
          <w:sz w:val="32"/>
          <w:szCs w:val="32"/>
        </w:rPr>
        <w:t>现将</w:t>
      </w:r>
      <w:r>
        <w:rPr>
          <w:rFonts w:hint="eastAsia" w:ascii="仿宋_GB2312" w:hAnsi="仿宋" w:eastAsia="仿宋_GB2312"/>
          <w:sz w:val="32"/>
          <w:szCs w:val="32"/>
          <w:lang w:val="en-US" w:eastAsia="zh-CN"/>
        </w:rPr>
        <w:t>2022年度绩效目标管理中存在的问题及结果运用情况报告如下</w:t>
      </w:r>
      <w:r>
        <w:rPr>
          <w:rFonts w:hint="eastAsia" w:ascii="仿宋_GB2312" w:hAnsi="黑体" w:eastAsia="仿宋_GB2312" w:cs="仿宋_GB2312"/>
          <w:sz w:val="32"/>
          <w:szCs w:val="32"/>
        </w:rPr>
        <w:t>：</w:t>
      </w:r>
      <w:r>
        <w:rPr>
          <w:rFonts w:hint="eastAsia" w:ascii="仿宋_GB2312" w:hAnsi="Calibri" w:eastAsia="仿宋_GB2312" w:cs="Calibri"/>
          <w:sz w:val="32"/>
          <w:szCs w:val="32"/>
        </w:rPr>
        <w:t>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一、工作开展情况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2022年，曲靖市麒麟区财政局根据市财政局工作安排，</w:t>
      </w:r>
      <w:r>
        <w:rPr>
          <w:rFonts w:hint="eastAsia" w:ascii="仿宋" w:hAnsi="仿宋" w:eastAsia="仿宋" w:cs="仿宋"/>
          <w:sz w:val="32"/>
          <w:szCs w:val="32"/>
        </w:rPr>
        <w:t>紧紧围绕预算绩效管理工作目标，全面贯彻省、</w:t>
      </w:r>
      <w:r>
        <w:rPr>
          <w:rFonts w:hint="eastAsia" w:ascii="仿宋" w:hAnsi="仿宋" w:eastAsia="仿宋" w:cs="仿宋"/>
          <w:sz w:val="32"/>
          <w:szCs w:val="32"/>
          <w:lang w:val="en-US" w:eastAsia="zh-CN"/>
        </w:rPr>
        <w:t>市</w:t>
      </w:r>
      <w:r>
        <w:rPr>
          <w:rFonts w:hint="eastAsia" w:ascii="仿宋" w:hAnsi="仿宋" w:eastAsia="仿宋" w:cs="仿宋"/>
          <w:sz w:val="32"/>
          <w:szCs w:val="32"/>
        </w:rPr>
        <w:t>经济工作会议和财政工作会议精神，</w:t>
      </w:r>
      <w:r>
        <w:rPr>
          <w:rFonts w:hint="eastAsia" w:ascii="仿宋" w:hAnsi="仿宋" w:eastAsia="仿宋" w:cs="仿宋"/>
          <w:sz w:val="32"/>
          <w:szCs w:val="32"/>
          <w:lang w:val="en-US" w:eastAsia="zh-CN"/>
        </w:rPr>
        <w:t>积极</w:t>
      </w:r>
      <w:r>
        <w:rPr>
          <w:rFonts w:hint="eastAsia" w:ascii="仿宋" w:hAnsi="仿宋" w:eastAsia="仿宋" w:cs="仿宋"/>
          <w:sz w:val="32"/>
          <w:szCs w:val="32"/>
        </w:rPr>
        <w:t>推进预算绩效管理各项工作的开展</w:t>
      </w:r>
      <w:r>
        <w:rPr>
          <w:rFonts w:hint="eastAsia" w:ascii="仿宋" w:hAnsi="仿宋" w:eastAsia="仿宋" w:cs="仿宋"/>
          <w:color w:val="000000"/>
          <w:kern w:val="0"/>
          <w:sz w:val="32"/>
          <w:szCs w:val="32"/>
          <w:lang w:val="en-US" w:eastAsia="zh-CN" w:bidi="ar"/>
        </w:rPr>
        <w:t>，以全面加强预算绩效管理、强化支出责任、提高财政资金使用效益为重点，进一步完善了财政资金的预算绩效、绩效自评和结果运用的管理模式，预算绩效管理工作取得了阶段性成效。</w:t>
      </w:r>
    </w:p>
    <w:p>
      <w:pPr>
        <w:numPr>
          <w:ilvl w:val="0"/>
          <w:numId w:val="1"/>
        </w:numPr>
        <w:pBdr>
          <w:bottom w:val="single" w:color="FFFFFF" w:sz="4" w:space="31"/>
        </w:pBdr>
        <w:tabs>
          <w:tab w:val="left" w:pos="4830"/>
          <w:tab w:val="left" w:pos="8640"/>
        </w:tabs>
        <w:adjustRightInd w:val="0"/>
        <w:snapToGrid w:val="0"/>
        <w:spacing w:line="700" w:lineRule="exact"/>
        <w:ind w:firstLine="640" w:firstLineChars="200"/>
        <w:rPr>
          <w:rFonts w:hint="eastAsia" w:ascii="仿宋_GB2312" w:hAnsi="仿宋" w:eastAsia="仿宋_GB2312" w:cs="宋体"/>
          <w:sz w:val="32"/>
          <w:szCs w:val="32"/>
          <w:lang w:eastAsia="zh-CN"/>
        </w:rPr>
      </w:pPr>
      <w:r>
        <w:rPr>
          <w:rFonts w:hint="eastAsia" w:ascii="楷体" w:hAnsi="楷体" w:eastAsia="楷体" w:cs="楷体"/>
          <w:sz w:val="32"/>
          <w:szCs w:val="32"/>
        </w:rPr>
        <w:t>建章立制，为全面实施预算绩效管理保驾护航。</w:t>
      </w:r>
      <w:r>
        <w:rPr>
          <w:rFonts w:hint="eastAsia" w:ascii="仿宋" w:hAnsi="仿宋" w:eastAsia="仿宋" w:cs="仿宋"/>
          <w:b/>
          <w:bCs/>
          <w:sz w:val="32"/>
          <w:szCs w:val="32"/>
          <w:lang w:eastAsia="zh-CN"/>
        </w:rPr>
        <w:t>一是</w:t>
      </w:r>
      <w:r>
        <w:rPr>
          <w:rFonts w:hint="eastAsia" w:ascii="仿宋" w:hAnsi="仿宋" w:eastAsia="仿宋" w:cs="仿宋"/>
          <w:sz w:val="32"/>
          <w:szCs w:val="32"/>
          <w:lang w:val="en-US" w:eastAsia="zh-CN"/>
        </w:rPr>
        <w:t>完善</w:t>
      </w:r>
      <w:r>
        <w:rPr>
          <w:rFonts w:hint="eastAsia" w:ascii="仿宋" w:hAnsi="仿宋" w:eastAsia="仿宋" w:cs="仿宋"/>
          <w:sz w:val="32"/>
          <w:szCs w:val="32"/>
        </w:rPr>
        <w:t>组织</w:t>
      </w:r>
      <w:r>
        <w:rPr>
          <w:rFonts w:hint="eastAsia" w:ascii="仿宋" w:hAnsi="仿宋" w:eastAsia="仿宋" w:cs="仿宋"/>
          <w:sz w:val="32"/>
          <w:szCs w:val="32"/>
          <w:lang w:val="en-US" w:eastAsia="zh-CN"/>
        </w:rPr>
        <w:t>体系</w:t>
      </w:r>
      <w:r>
        <w:rPr>
          <w:rFonts w:hint="eastAsia" w:ascii="仿宋" w:hAnsi="仿宋" w:eastAsia="仿宋" w:cs="仿宋"/>
          <w:sz w:val="32"/>
          <w:szCs w:val="32"/>
          <w:lang w:eastAsia="zh-CN"/>
        </w:rPr>
        <w:t>，</w:t>
      </w:r>
      <w:r>
        <w:rPr>
          <w:rFonts w:hint="eastAsia" w:ascii="仿宋" w:hAnsi="仿宋" w:eastAsia="仿宋" w:cs="仿宋"/>
          <w:sz w:val="32"/>
          <w:szCs w:val="32"/>
        </w:rPr>
        <w:t>成立预算绩效管理工作小组，统筹推进预算绩效管理工作，构建统一领导、各司其职、分工合作的工作格局，为顺利实施预算绩效管理工作提供组织保障</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是</w:t>
      </w:r>
      <w:r>
        <w:rPr>
          <w:rFonts w:hint="eastAsia" w:ascii="仿宋" w:hAnsi="仿宋" w:eastAsia="仿宋" w:cs="仿宋"/>
          <w:sz w:val="32"/>
          <w:szCs w:val="32"/>
        </w:rPr>
        <w:t>进一步加强预算标准化建设，根据全面实施预算绩效管理工作要求，按照全面性、规范性、科学性、可比性、共同性等指标库设置原则，积极探索建立分部门分领域分项目的预算绩效指标库。</w:t>
      </w:r>
    </w:p>
    <w:p>
      <w:pPr>
        <w:pStyle w:val="2"/>
        <w:numPr>
          <w:ilvl w:val="0"/>
          <w:numId w:val="1"/>
        </w:numPr>
        <w:ind w:left="0" w:leftChars="0" w:firstLine="600" w:firstLineChars="200"/>
        <w:rPr>
          <w:rFonts w:hint="eastAsia" w:ascii="仿宋_GB2312" w:hAnsi="仿宋_GB2312" w:eastAsia="仿宋_GB2312" w:cs="仿宋_GB2312"/>
          <w:lang w:eastAsia="zh-CN"/>
        </w:rPr>
      </w:pPr>
      <w:r>
        <w:rPr>
          <w:rFonts w:hint="eastAsia" w:ascii="楷体" w:hAnsi="楷体" w:eastAsia="楷体" w:cs="楷体"/>
          <w:lang w:val="en-US" w:eastAsia="zh-CN"/>
        </w:rPr>
        <w:t>多</w:t>
      </w:r>
      <w:r>
        <w:rPr>
          <w:rFonts w:hint="eastAsia" w:ascii="楷体" w:hAnsi="楷体" w:eastAsia="楷体" w:cs="楷体"/>
          <w:lang w:eastAsia="zh-CN"/>
        </w:rPr>
        <w:t>管齐下，将绩效管理全面贯穿预算管理始终。</w:t>
      </w:r>
      <w:r>
        <w:rPr>
          <w:rFonts w:hint="eastAsia" w:ascii="楷体_GB2312" w:hAnsi="楷体_GB2312" w:eastAsia="楷体_GB2312" w:cs="楷体_GB2312"/>
          <w:lang w:eastAsia="zh-CN"/>
        </w:rPr>
        <w:t>一是</w:t>
      </w:r>
      <w:r>
        <w:rPr>
          <w:rFonts w:hint="eastAsia" w:ascii="仿宋_GB2312" w:hAnsi="仿宋_GB2312" w:eastAsia="仿宋_GB2312" w:cs="仿宋_GB2312"/>
          <w:lang w:eastAsia="zh-CN"/>
        </w:rPr>
        <w:t>坚持绩效目标与预算编制同步安排。加强绩效与预算的融合，将绩效目标作为项目入库和预算安排的前置条件，部门申报预算项目的同时报送绩效目标，</w:t>
      </w:r>
      <w:r>
        <w:rPr>
          <w:rFonts w:hint="eastAsia" w:ascii="仿宋_GB2312" w:hAnsi="仿宋_GB2312" w:eastAsia="仿宋_GB2312" w:cs="仿宋_GB2312"/>
          <w:lang w:val="en-US" w:eastAsia="zh-CN"/>
        </w:rPr>
        <w:t>区</w:t>
      </w:r>
      <w:r>
        <w:rPr>
          <w:rFonts w:hint="eastAsia" w:ascii="仿宋_GB2312" w:hAnsi="仿宋_GB2312" w:eastAsia="仿宋_GB2312" w:cs="仿宋_GB2312"/>
          <w:lang w:eastAsia="zh-CN"/>
        </w:rPr>
        <w:t>财政局对部门申报的绩效目标</w:t>
      </w:r>
      <w:r>
        <w:rPr>
          <w:rFonts w:hint="eastAsia" w:ascii="仿宋_GB2312" w:hAnsi="仿宋_GB2312" w:eastAsia="仿宋_GB2312" w:cs="仿宋_GB2312"/>
          <w:lang w:val="en-US" w:eastAsia="zh-CN"/>
        </w:rPr>
        <w:t>按照完整性、相关性、适当性、可行性四方面</w:t>
      </w:r>
      <w:r>
        <w:rPr>
          <w:rFonts w:hint="eastAsia" w:ascii="仿宋_GB2312" w:hAnsi="仿宋_GB2312" w:eastAsia="仿宋_GB2312" w:cs="仿宋_GB2312"/>
          <w:lang w:eastAsia="zh-CN"/>
        </w:rPr>
        <w:t>进行审核评级，分为“优”、“良”、“中”、“差”四个等级，审核结果为“差”的,一律不予安排预算。</w:t>
      </w:r>
      <w:r>
        <w:rPr>
          <w:rFonts w:hint="eastAsia" w:ascii="楷体_GB2312" w:hAnsi="楷体_GB2312" w:eastAsia="楷体_GB2312" w:cs="楷体_GB2312"/>
          <w:lang w:eastAsia="zh-CN"/>
        </w:rPr>
        <w:t>二是</w:t>
      </w:r>
      <w:r>
        <w:rPr>
          <w:rFonts w:hint="eastAsia" w:ascii="仿宋_GB2312" w:hAnsi="仿宋_GB2312" w:eastAsia="仿宋_GB2312" w:cs="仿宋_GB2312"/>
          <w:lang w:eastAsia="zh-CN"/>
        </w:rPr>
        <w:t>坚持项目经费与绩效目标同步下达。坚持以绩效目标为导向，</w:t>
      </w:r>
      <w:r>
        <w:rPr>
          <w:rFonts w:hint="eastAsia" w:ascii="仿宋_GB2312" w:hAnsi="仿宋_GB2312" w:eastAsia="仿宋_GB2312" w:cs="仿宋_GB2312"/>
          <w:lang w:val="en-US" w:eastAsia="zh-CN"/>
        </w:rPr>
        <w:t>区</w:t>
      </w:r>
      <w:r>
        <w:rPr>
          <w:rFonts w:hint="eastAsia" w:ascii="仿宋_GB2312" w:hAnsi="仿宋_GB2312" w:eastAsia="仿宋_GB2312" w:cs="仿宋_GB2312"/>
          <w:lang w:eastAsia="zh-CN"/>
        </w:rPr>
        <w:t>级财政在下达中央、省、</w:t>
      </w:r>
      <w:r>
        <w:rPr>
          <w:rFonts w:hint="eastAsia" w:ascii="仿宋_GB2312" w:hAnsi="仿宋_GB2312" w:eastAsia="仿宋_GB2312" w:cs="仿宋_GB2312"/>
          <w:lang w:val="en-US" w:eastAsia="zh-CN"/>
        </w:rPr>
        <w:t>市</w:t>
      </w:r>
      <w:r>
        <w:rPr>
          <w:rFonts w:hint="eastAsia" w:ascii="仿宋_GB2312" w:hAnsi="仿宋_GB2312" w:eastAsia="仿宋_GB2312" w:cs="仿宋_GB2312"/>
          <w:lang w:eastAsia="zh-CN"/>
        </w:rPr>
        <w:t>预算项目经费时，同步下达项目绩效目标，有效实现财政资金效益最大化。</w:t>
      </w:r>
      <w:r>
        <w:rPr>
          <w:rFonts w:hint="eastAsia" w:ascii="楷体_GB2312" w:hAnsi="楷体_GB2312" w:eastAsia="楷体_GB2312" w:cs="楷体_GB2312"/>
          <w:lang w:eastAsia="zh-CN"/>
        </w:rPr>
        <w:t>三是</w:t>
      </w:r>
      <w:r>
        <w:rPr>
          <w:rFonts w:hint="eastAsia" w:ascii="仿宋_GB2312" w:hAnsi="仿宋_GB2312" w:eastAsia="仿宋_GB2312" w:cs="仿宋_GB2312"/>
          <w:lang w:eastAsia="zh-CN"/>
        </w:rPr>
        <w:t>坚持绩效管理与预算执行同步推进。针对部门绩效意识不强这一薄弱环节，将绩效管理与预算执行同步推进，在促进预算绩效目标实现上狠下功夫。在预算执行过程中，一方面，将支出预算执行进度作为共性指标纳入部门整体支出绩效指标中，确保支出进度保持在既定目标范围内，同时强化资金全程监管，确保资金规范安全使用；另一方面，加强绩效目标实现程度动态监控，对部门绩效目标运行偏离、未达预期进度或目标、出现较大偏差或存在严重问题以及因突发事件等因素影响需调整预算和绩效目标的，及时采取针对性措施进行处理，确保财政资金快速支出、规范使用，发挥最大效益。</w:t>
      </w:r>
      <w:r>
        <w:rPr>
          <w:rFonts w:hint="eastAsia" w:ascii="楷体_GB2312" w:hAnsi="楷体_GB2312" w:eastAsia="楷体_GB2312" w:cs="楷体_GB2312"/>
          <w:lang w:eastAsia="zh-CN"/>
        </w:rPr>
        <w:t>四是</w:t>
      </w:r>
      <w:r>
        <w:rPr>
          <w:rFonts w:hint="eastAsia" w:ascii="仿宋_GB2312" w:hAnsi="仿宋_GB2312" w:eastAsia="仿宋_GB2312" w:cs="仿宋_GB2312"/>
          <w:lang w:eastAsia="zh-CN"/>
        </w:rPr>
        <w:t>推进绩效目标重点审核。202</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年预算编审工作启动后，为进一步夯实绩效管理基础，将绩效目标编制工作做深、做细、做实，我州结合项目实际，聘请第三方机构，对绩效目标同步会审，为下一年绩效重点评价打好基础。</w:t>
      </w:r>
    </w:p>
    <w:p>
      <w:pPr>
        <w:pStyle w:val="14"/>
        <w:numPr>
          <w:ilvl w:val="0"/>
          <w:numId w:val="1"/>
        </w:numPr>
        <w:spacing w:line="600" w:lineRule="exact"/>
        <w:ind w:left="0" w:leftChars="0" w:firstLine="640" w:firstLineChars="200"/>
        <w:jc w:val="both"/>
        <w:rPr>
          <w:rFonts w:hint="eastAsia" w:ascii="仿宋" w:hAnsi="仿宋" w:eastAsia="仿宋" w:cs="仿宋"/>
          <w:sz w:val="32"/>
          <w:szCs w:val="32"/>
        </w:rPr>
      </w:pPr>
      <w:r>
        <w:rPr>
          <w:rFonts w:hint="eastAsia" w:ascii="楷体_GB2312" w:hAnsi="楷体_GB2312" w:eastAsia="楷体_GB2312" w:cs="楷体_GB2312"/>
          <w:sz w:val="32"/>
          <w:szCs w:val="32"/>
          <w:lang w:val="en-US" w:eastAsia="zh-CN"/>
        </w:rPr>
        <w:t>把握</w:t>
      </w:r>
      <w:r>
        <w:rPr>
          <w:rFonts w:hint="eastAsia" w:ascii="楷体_GB2312" w:hAnsi="楷体_GB2312" w:eastAsia="楷体_GB2312" w:cs="楷体_GB2312"/>
          <w:sz w:val="32"/>
          <w:szCs w:val="32"/>
        </w:rPr>
        <w:t>问题，开展绩效</w:t>
      </w:r>
      <w:r>
        <w:rPr>
          <w:rFonts w:hint="eastAsia" w:ascii="楷体_GB2312" w:hAnsi="楷体_GB2312" w:eastAsia="楷体_GB2312" w:cs="楷体_GB2312"/>
          <w:sz w:val="32"/>
          <w:szCs w:val="32"/>
          <w:lang w:val="en-US" w:eastAsia="zh-CN"/>
        </w:rPr>
        <w:t>自评价及</w:t>
      </w:r>
      <w:r>
        <w:rPr>
          <w:rFonts w:hint="eastAsia" w:ascii="楷体_GB2312" w:hAnsi="楷体_GB2312" w:eastAsia="楷体_GB2312" w:cs="楷体_GB2312"/>
          <w:sz w:val="32"/>
          <w:szCs w:val="32"/>
        </w:rPr>
        <w:t>再评价工作。</w:t>
      </w:r>
      <w:r>
        <w:rPr>
          <w:rFonts w:hint="eastAsia" w:ascii="楷体_GB2312" w:hAnsi="楷体_GB2312" w:eastAsia="楷体_GB2312" w:cs="楷体_GB2312"/>
          <w:sz w:val="32"/>
          <w:szCs w:val="32"/>
          <w:lang w:val="en-US" w:eastAsia="zh-CN"/>
        </w:rPr>
        <w:t>一是</w:t>
      </w:r>
      <w:r>
        <w:rPr>
          <w:rFonts w:hint="eastAsia" w:ascii="仿宋_GB2312" w:hAnsi="仿宋_GB2312" w:eastAsia="仿宋_GB2312" w:cs="仿宋_GB2312"/>
          <w:sz w:val="32"/>
          <w:szCs w:val="32"/>
          <w:highlight w:val="none"/>
        </w:rPr>
        <w:t>开展绩效自评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2022年麒麟区项目支出绩效自评规模（四本预算中已开展自评的项目金额）为322671.71万元，部门自评金额为322671.71万元，自评评价规模为100%；财政抽取评价规模为77914.88万元，其中，四本预算项目支出评价规模为69914.88万元（一般公共预算项目支出总额（含各级财政安排）评价规模为26679.35万元），专项债券项目评价规模为8000万元。</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年部门整体支出和项目支出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自评情况随部门决算一并公开</w:t>
      </w:r>
      <w:r>
        <w:rPr>
          <w:rFonts w:hint="eastAsia" w:ascii="仿宋_GB2312" w:hAnsi="仿宋_GB2312" w:eastAsia="仿宋_GB2312" w:cs="仿宋_GB2312"/>
          <w:kern w:val="0"/>
          <w:sz w:val="32"/>
          <w:szCs w:val="32"/>
          <w:highlight w:val="none"/>
          <w:lang w:bidi="ar"/>
        </w:rPr>
        <w:t>。</w:t>
      </w:r>
      <w:r>
        <w:rPr>
          <w:rFonts w:hint="eastAsia" w:ascii="楷体_GB2312" w:hAnsi="楷体_GB2312" w:eastAsia="楷体_GB2312" w:cs="楷体_GB2312"/>
          <w:kern w:val="0"/>
          <w:sz w:val="32"/>
          <w:szCs w:val="32"/>
          <w:highlight w:val="none"/>
          <w:lang w:val="en-US" w:eastAsia="zh-CN" w:bidi="ar"/>
        </w:rPr>
        <w:t>二是</w:t>
      </w:r>
      <w:r>
        <w:rPr>
          <w:rFonts w:hint="eastAsia" w:ascii="仿宋_GB2312" w:hAnsi="仿宋_GB2312" w:eastAsia="仿宋_GB2312" w:cs="仿宋_GB2312"/>
          <w:kern w:val="0"/>
          <w:sz w:val="32"/>
          <w:szCs w:val="32"/>
          <w:highlight w:val="none"/>
          <w:lang w:val="en-US" w:eastAsia="zh-CN" w:bidi="ar"/>
        </w:rPr>
        <w:t>开展</w:t>
      </w:r>
      <w:r>
        <w:rPr>
          <w:rFonts w:hint="eastAsia" w:ascii="仿宋_GB2312" w:hAnsi="仿宋_GB2312" w:eastAsia="仿宋_GB2312" w:cs="仿宋_GB2312"/>
          <w:spacing w:val="3"/>
          <w:sz w:val="32"/>
          <w:szCs w:val="32"/>
        </w:rPr>
        <w:t>重点绩效评价</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按照“四本预算”全覆盖的工作要求，</w:t>
      </w:r>
      <w:r>
        <w:rPr>
          <w:rFonts w:hint="eastAsia" w:ascii="仿宋_GB2312" w:hAnsi="仿宋_GB2312" w:eastAsia="仿宋_GB2312" w:cs="仿宋_GB2312"/>
          <w:spacing w:val="14"/>
          <w:sz w:val="32"/>
          <w:szCs w:val="32"/>
        </w:rPr>
        <w:t>选取了龙潭河水库新增地方政府债券专项资金、保障安居工程项目专项资金等</w:t>
      </w:r>
      <w:r>
        <w:rPr>
          <w:rFonts w:hint="eastAsia" w:ascii="仿宋_GB2312" w:hAnsi="仿宋_GB2312" w:eastAsia="仿宋_GB2312" w:cs="仿宋_GB2312"/>
          <w:spacing w:val="14"/>
          <w:sz w:val="32"/>
          <w:szCs w:val="32"/>
          <w:lang w:val="en-US" w:eastAsia="zh-CN"/>
        </w:rPr>
        <w:t>6</w:t>
      </w:r>
      <w:r>
        <w:rPr>
          <w:rFonts w:hint="eastAsia" w:ascii="仿宋_GB2312" w:hAnsi="仿宋_GB2312" w:eastAsia="仿宋_GB2312" w:cs="仿宋_GB2312"/>
          <w:spacing w:val="14"/>
          <w:sz w:val="32"/>
          <w:szCs w:val="32"/>
        </w:rPr>
        <w:t>个项目（其中：一般公共预算项目2个、政府性基金项目1个、社会保险基金预算项目1个、地方政府债务项目1个、国有资本经营预算项目1个）</w:t>
      </w:r>
      <w:r>
        <w:rPr>
          <w:rFonts w:hint="eastAsia" w:ascii="仿宋_GB2312" w:hAnsi="仿宋_GB2312" w:eastAsia="仿宋_GB2312" w:cs="仿宋_GB2312"/>
          <w:spacing w:val="22"/>
          <w:sz w:val="32"/>
          <w:szCs w:val="32"/>
        </w:rPr>
        <w:t>，以及</w:t>
      </w:r>
      <w:r>
        <w:rPr>
          <w:rFonts w:hint="eastAsia" w:ascii="仿宋_GB2312" w:hAnsi="仿宋_GB2312" w:eastAsia="仿宋_GB2312" w:cs="仿宋_GB2312"/>
          <w:spacing w:val="22"/>
          <w:sz w:val="32"/>
          <w:szCs w:val="32"/>
          <w:lang w:val="en-US" w:eastAsia="zh-CN"/>
        </w:rPr>
        <w:t>曲靖市麒麟区应急管理局1</w:t>
      </w:r>
      <w:r>
        <w:rPr>
          <w:rFonts w:hint="eastAsia" w:ascii="仿宋_GB2312" w:hAnsi="仿宋_GB2312" w:eastAsia="仿宋_GB2312" w:cs="仿宋_GB2312"/>
          <w:spacing w:val="22"/>
          <w:sz w:val="32"/>
          <w:szCs w:val="32"/>
        </w:rPr>
        <w:t>个部门</w:t>
      </w:r>
      <w:r>
        <w:rPr>
          <w:rFonts w:hint="eastAsia" w:ascii="仿宋_GB2312" w:hAnsi="仿宋_GB2312" w:eastAsia="仿宋_GB2312" w:cs="仿宋_GB2312"/>
          <w:spacing w:val="15"/>
          <w:w w:val="103"/>
          <w:sz w:val="32"/>
          <w:szCs w:val="32"/>
        </w:rPr>
        <w:t>整体支出</w:t>
      </w:r>
      <w:r>
        <w:rPr>
          <w:rFonts w:hint="eastAsia" w:ascii="仿宋_GB2312" w:hAnsi="仿宋_GB2312" w:eastAsia="仿宋_GB2312" w:cs="仿宋_GB2312"/>
          <w:spacing w:val="15"/>
          <w:w w:val="103"/>
          <w:sz w:val="32"/>
          <w:szCs w:val="32"/>
          <w:lang w:eastAsia="zh-CN"/>
        </w:rPr>
        <w:t>，</w:t>
      </w:r>
      <w:r>
        <w:rPr>
          <w:rFonts w:hint="eastAsia" w:ascii="仿宋_GB2312" w:hAnsi="仿宋_GB2312" w:eastAsia="仿宋_GB2312" w:cs="仿宋_GB2312"/>
          <w:spacing w:val="15"/>
          <w:w w:val="103"/>
          <w:sz w:val="32"/>
          <w:szCs w:val="32"/>
        </w:rPr>
        <w:t>于202</w:t>
      </w:r>
      <w:r>
        <w:rPr>
          <w:rFonts w:hint="eastAsia" w:ascii="仿宋_GB2312" w:hAnsi="仿宋_GB2312" w:eastAsia="仿宋_GB2312" w:cs="仿宋_GB2312"/>
          <w:spacing w:val="15"/>
          <w:w w:val="103"/>
          <w:sz w:val="32"/>
          <w:szCs w:val="32"/>
          <w:lang w:val="en-US" w:eastAsia="zh-CN"/>
        </w:rPr>
        <w:t>2</w:t>
      </w:r>
      <w:r>
        <w:rPr>
          <w:rFonts w:hint="eastAsia" w:ascii="仿宋_GB2312" w:hAnsi="仿宋_GB2312" w:eastAsia="仿宋_GB2312" w:cs="仿宋_GB2312"/>
          <w:spacing w:val="15"/>
          <w:w w:val="103"/>
          <w:sz w:val="32"/>
          <w:szCs w:val="32"/>
        </w:rPr>
        <w:t>年</w:t>
      </w:r>
      <w:r>
        <w:rPr>
          <w:rFonts w:hint="eastAsia" w:ascii="仿宋_GB2312" w:hAnsi="仿宋_GB2312" w:eastAsia="仿宋_GB2312" w:cs="仿宋_GB2312"/>
          <w:spacing w:val="15"/>
          <w:w w:val="103"/>
          <w:sz w:val="32"/>
          <w:szCs w:val="32"/>
          <w:lang w:val="en-US" w:eastAsia="zh-CN"/>
        </w:rPr>
        <w:t>11</w:t>
      </w:r>
      <w:r>
        <w:rPr>
          <w:rFonts w:hint="eastAsia" w:ascii="仿宋_GB2312" w:hAnsi="仿宋_GB2312" w:eastAsia="仿宋_GB2312" w:cs="仿宋_GB2312"/>
          <w:spacing w:val="15"/>
          <w:w w:val="103"/>
          <w:sz w:val="32"/>
          <w:szCs w:val="32"/>
        </w:rPr>
        <w:t>月—</w:t>
      </w:r>
      <w:r>
        <w:rPr>
          <w:rFonts w:hint="eastAsia" w:ascii="仿宋_GB2312" w:hAnsi="仿宋_GB2312" w:eastAsia="仿宋_GB2312" w:cs="仿宋_GB2312"/>
          <w:spacing w:val="15"/>
          <w:w w:val="103"/>
          <w:sz w:val="32"/>
          <w:szCs w:val="32"/>
          <w:lang w:val="en-US" w:eastAsia="zh-CN"/>
        </w:rPr>
        <w:t>12月</w:t>
      </w:r>
      <w:r>
        <w:rPr>
          <w:rFonts w:hint="eastAsia" w:ascii="仿宋" w:hAnsi="仿宋" w:eastAsia="仿宋" w:cs="仿宋"/>
          <w:sz w:val="32"/>
          <w:szCs w:val="32"/>
        </w:rPr>
        <w:t>以采购询价方式，</w:t>
      </w:r>
      <w:r>
        <w:rPr>
          <w:rFonts w:hint="eastAsia" w:ascii="仿宋_GB2312" w:hAnsi="仿宋_GB2312" w:eastAsia="仿宋_GB2312" w:cs="仿宋_GB2312"/>
          <w:spacing w:val="15"/>
          <w:w w:val="103"/>
          <w:sz w:val="32"/>
          <w:szCs w:val="32"/>
        </w:rPr>
        <w:t>委托第三方评价机构进行</w:t>
      </w:r>
      <w:r>
        <w:rPr>
          <w:rFonts w:hint="eastAsia" w:ascii="仿宋_GB2312" w:hAnsi="仿宋_GB2312" w:eastAsia="仿宋_GB2312" w:cs="仿宋_GB2312"/>
          <w:spacing w:val="3"/>
          <w:sz w:val="32"/>
          <w:szCs w:val="32"/>
        </w:rPr>
        <w:t>了财政重点绩效评价</w:t>
      </w:r>
      <w:r>
        <w:rPr>
          <w:rFonts w:hint="eastAsia" w:ascii="仿宋_GB2312" w:hAnsi="仿宋_GB2312" w:eastAsia="仿宋_GB2312" w:cs="仿宋_GB2312"/>
          <w:spacing w:val="3"/>
          <w:sz w:val="32"/>
          <w:szCs w:val="32"/>
          <w:lang w:eastAsia="zh-CN"/>
        </w:rPr>
        <w:t>。</w:t>
      </w:r>
      <w:r>
        <w:rPr>
          <w:rFonts w:hint="eastAsia" w:ascii="楷体_GB2312" w:hAnsi="楷体_GB2312" w:eastAsia="楷体_GB2312" w:cs="楷体_GB2312"/>
          <w:spacing w:val="3"/>
          <w:sz w:val="32"/>
          <w:szCs w:val="32"/>
          <w:lang w:val="en-US" w:eastAsia="zh-CN"/>
        </w:rPr>
        <w:t>三是</w:t>
      </w:r>
      <w:r>
        <w:rPr>
          <w:rFonts w:hint="eastAsia" w:ascii="仿宋" w:hAnsi="仿宋" w:eastAsia="仿宋" w:cs="仿宋"/>
          <w:sz w:val="32"/>
          <w:szCs w:val="32"/>
          <w:lang w:val="en-US" w:eastAsia="zh-CN"/>
        </w:rPr>
        <w:t>完善指标体系。</w:t>
      </w:r>
      <w:r>
        <w:rPr>
          <w:rFonts w:hint="eastAsia" w:ascii="仿宋" w:hAnsi="仿宋" w:eastAsia="仿宋" w:cs="仿宋"/>
          <w:sz w:val="32"/>
          <w:szCs w:val="32"/>
        </w:rPr>
        <w:t>针对部门绩效理念尚未牢固树立，绩效管理人员力量严重不足，评价指标、绩效管理制度和链条不够完善等共性问题</w:t>
      </w:r>
      <w:r>
        <w:rPr>
          <w:rFonts w:hint="eastAsia" w:ascii="仿宋" w:hAnsi="仿宋" w:eastAsia="仿宋" w:cs="仿宋"/>
          <w:sz w:val="32"/>
          <w:szCs w:val="32"/>
          <w:lang w:eastAsia="zh-CN"/>
        </w:rPr>
        <w:t>，</w:t>
      </w:r>
      <w:r>
        <w:rPr>
          <w:rFonts w:hint="eastAsia" w:ascii="仿宋" w:hAnsi="仿宋" w:eastAsia="仿宋" w:cs="仿宋"/>
          <w:sz w:val="32"/>
          <w:szCs w:val="32"/>
        </w:rPr>
        <w:t>全面梳理部门整体支出及项目支出绩效指标，指导部门设立个性指标体系</w:t>
      </w:r>
      <w:r>
        <w:rPr>
          <w:rFonts w:hint="eastAsia" w:ascii="仿宋" w:hAnsi="仿宋" w:eastAsia="仿宋" w:cs="仿宋"/>
          <w:sz w:val="32"/>
          <w:szCs w:val="32"/>
          <w:lang w:eastAsia="zh-CN"/>
        </w:rPr>
        <w:t>，</w:t>
      </w:r>
      <w:r>
        <w:rPr>
          <w:rFonts w:hint="eastAsia" w:ascii="仿宋" w:hAnsi="仿宋" w:eastAsia="仿宋" w:cs="仿宋"/>
          <w:sz w:val="32"/>
          <w:szCs w:val="32"/>
          <w:highlight w:val="none"/>
        </w:rPr>
        <w:t>完成202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年绩效自评及202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年预算编制绩效目标填报等工作，对部门绩效运行进行全程管理，并明确规</w:t>
      </w:r>
      <w:r>
        <w:rPr>
          <w:rFonts w:hint="eastAsia" w:ascii="仿宋" w:hAnsi="仿宋" w:eastAsia="仿宋" w:cs="仿宋"/>
          <w:sz w:val="32"/>
          <w:szCs w:val="32"/>
        </w:rPr>
        <w:t>定中介机构成果报告交付时限。</w:t>
      </w:r>
    </w:p>
    <w:p>
      <w:pPr>
        <w:pStyle w:val="14"/>
        <w:numPr>
          <w:ilvl w:val="0"/>
          <w:numId w:val="2"/>
        </w:numPr>
        <w:spacing w:line="600" w:lineRule="exact"/>
        <w:ind w:firstLine="640" w:firstLineChars="200"/>
        <w:jc w:val="both"/>
        <w:rPr>
          <w:rFonts w:hint="eastAsia" w:ascii="仿宋_GB2312" w:eastAsia="仿宋_GB2312"/>
          <w:sz w:val="32"/>
          <w:szCs w:val="32"/>
          <w:lang w:val="en-US" w:eastAsia="zh-CN"/>
        </w:rPr>
      </w:pPr>
      <w:r>
        <w:rPr>
          <w:rFonts w:hint="eastAsia" w:ascii="楷体" w:hAnsi="楷体" w:eastAsia="楷体" w:cs="楷体"/>
          <w:sz w:val="32"/>
          <w:szCs w:val="32"/>
        </w:rPr>
        <w:t>聚焦关键，</w:t>
      </w:r>
      <w:r>
        <w:rPr>
          <w:rFonts w:hint="eastAsia" w:ascii="楷体" w:hAnsi="楷体" w:eastAsia="楷体" w:cs="楷体"/>
          <w:sz w:val="32"/>
          <w:szCs w:val="32"/>
          <w:lang w:eastAsia="zh-CN"/>
        </w:rPr>
        <w:t>以绩效监管促各领域工作向好发展。</w:t>
      </w:r>
      <w:r>
        <w:rPr>
          <w:rFonts w:hint="eastAsia" w:ascii="仿宋" w:hAnsi="仿宋" w:eastAsia="仿宋" w:cs="仿宋"/>
          <w:b/>
          <w:bCs/>
          <w:sz w:val="32"/>
          <w:szCs w:val="32"/>
          <w:highlight w:val="none"/>
          <w:lang w:eastAsia="zh-CN"/>
        </w:rPr>
        <w:t>一是</w:t>
      </w:r>
      <w:r>
        <w:rPr>
          <w:rFonts w:hint="eastAsia" w:ascii="仿宋_GB2312" w:eastAsia="仿宋_GB2312"/>
          <w:sz w:val="30"/>
          <w:szCs w:val="30"/>
        </w:rPr>
        <w:t>按照《曲靖市麒麟区财政局2022年预算绩效运行监控工作安排》的要求，</w:t>
      </w:r>
      <w:r>
        <w:rPr>
          <w:rFonts w:hint="eastAsia" w:ascii="仿宋_GB2312" w:eastAsia="仿宋_GB2312"/>
          <w:sz w:val="30"/>
          <w:szCs w:val="30"/>
          <w:lang w:val="en-US" w:eastAsia="zh-CN"/>
        </w:rPr>
        <w:t>区</w:t>
      </w:r>
      <w:r>
        <w:rPr>
          <w:rFonts w:hint="eastAsia" w:ascii="仿宋_GB2312" w:eastAsia="仿宋_GB2312"/>
          <w:sz w:val="30"/>
          <w:szCs w:val="30"/>
        </w:rPr>
        <w:t>级各部门（单位）应在在完成监控数据收集的基础上，于2022年10月28日前，登录“云南财政·预算管理一体化系统”进行监控数据采集及验证，一级主管部门对下属二级预算单位上报的监控数据进行运行监控审核。经检查，全</w:t>
      </w:r>
      <w:r>
        <w:rPr>
          <w:rFonts w:hint="eastAsia" w:ascii="仿宋_GB2312" w:eastAsia="仿宋_GB2312"/>
          <w:sz w:val="30"/>
          <w:szCs w:val="30"/>
          <w:lang w:val="en-US" w:eastAsia="zh-CN"/>
        </w:rPr>
        <w:t>区</w:t>
      </w:r>
      <w:r>
        <w:rPr>
          <w:rFonts w:hint="eastAsia" w:ascii="仿宋_GB2312" w:eastAsia="仿宋_GB2312"/>
          <w:sz w:val="30"/>
          <w:szCs w:val="30"/>
        </w:rPr>
        <w:t>共有</w:t>
      </w:r>
      <w:r>
        <w:rPr>
          <w:rFonts w:hint="eastAsia" w:ascii="仿宋_GB2312" w:eastAsia="仿宋_GB2312"/>
          <w:sz w:val="30"/>
          <w:szCs w:val="30"/>
          <w:lang w:val="en-US" w:eastAsia="zh-CN"/>
        </w:rPr>
        <w:t>316</w:t>
      </w:r>
      <w:r>
        <w:rPr>
          <w:rFonts w:hint="eastAsia" w:ascii="仿宋_GB2312" w:eastAsia="仿宋_GB2312"/>
          <w:sz w:val="30"/>
          <w:szCs w:val="30"/>
        </w:rPr>
        <w:t>个预算单位，已完成部门整体支出绩效运行监控的单位</w:t>
      </w:r>
      <w:r>
        <w:rPr>
          <w:rFonts w:hint="eastAsia" w:ascii="仿宋_GB2312" w:eastAsia="仿宋_GB2312"/>
          <w:sz w:val="30"/>
          <w:szCs w:val="30"/>
          <w:lang w:val="en-US" w:eastAsia="zh-CN"/>
        </w:rPr>
        <w:t>316</w:t>
      </w:r>
      <w:r>
        <w:rPr>
          <w:rFonts w:hint="eastAsia" w:ascii="仿宋_GB2312" w:eastAsia="仿宋_GB2312"/>
          <w:sz w:val="30"/>
          <w:szCs w:val="30"/>
        </w:rPr>
        <w:t>个，部门整体支出绩效监控完成率</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楷体" w:hAnsi="楷体" w:eastAsia="楷体" w:cs="楷体"/>
          <w:sz w:val="30"/>
          <w:szCs w:val="30"/>
          <w:lang w:val="en-US" w:eastAsia="zh-CN"/>
        </w:rPr>
        <w:t>二</w:t>
      </w:r>
      <w:r>
        <w:rPr>
          <w:rFonts w:hint="eastAsia" w:ascii="楷体" w:hAnsi="楷体" w:eastAsia="楷体" w:cs="楷体"/>
          <w:b/>
          <w:bCs/>
          <w:sz w:val="32"/>
          <w:szCs w:val="32"/>
          <w:highlight w:val="none"/>
          <w:lang w:eastAsia="zh-CN"/>
        </w:rPr>
        <w:t>是</w:t>
      </w:r>
      <w:r>
        <w:rPr>
          <w:rFonts w:hint="eastAsia" w:ascii="仿宋_GB2312" w:eastAsia="仿宋_GB2312"/>
          <w:sz w:val="32"/>
          <w:szCs w:val="32"/>
        </w:rPr>
        <w:t>启动202</w:t>
      </w:r>
      <w:r>
        <w:rPr>
          <w:rFonts w:hint="eastAsia" w:ascii="仿宋_GB2312" w:eastAsia="仿宋_GB2312"/>
          <w:sz w:val="32"/>
          <w:szCs w:val="32"/>
          <w:lang w:val="en-US" w:eastAsia="zh-CN"/>
        </w:rPr>
        <w:t>3</w:t>
      </w:r>
      <w:r>
        <w:rPr>
          <w:rFonts w:hint="eastAsia" w:ascii="仿宋_GB2312" w:eastAsia="仿宋_GB2312"/>
          <w:sz w:val="32"/>
          <w:szCs w:val="32"/>
        </w:rPr>
        <w:t>年事前绩效评估工作，对202</w:t>
      </w:r>
      <w:r>
        <w:rPr>
          <w:rFonts w:hint="eastAsia" w:ascii="仿宋_GB2312" w:eastAsia="仿宋_GB2312"/>
          <w:sz w:val="32"/>
          <w:szCs w:val="32"/>
          <w:lang w:val="en-US" w:eastAsia="zh-CN"/>
        </w:rPr>
        <w:t>3</w:t>
      </w:r>
      <w:r>
        <w:rPr>
          <w:rFonts w:hint="eastAsia" w:ascii="仿宋_GB2312" w:eastAsia="仿宋_GB2312"/>
          <w:sz w:val="32"/>
          <w:szCs w:val="32"/>
        </w:rPr>
        <w:t>年申</w:t>
      </w:r>
      <w:r>
        <w:rPr>
          <w:rFonts w:hint="eastAsia" w:ascii="仿宋_GB2312" w:eastAsia="仿宋_GB2312"/>
          <w:sz w:val="32"/>
          <w:szCs w:val="32"/>
          <w:highlight w:val="none"/>
        </w:rPr>
        <w:t>报的区级预算项目中选取了</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个重大项目开展事前绩效评估，</w:t>
      </w:r>
      <w:r>
        <w:rPr>
          <w:rFonts w:hint="eastAsia" w:ascii="仿宋_GB2312" w:eastAsia="仿宋_GB2312"/>
          <w:sz w:val="32"/>
          <w:szCs w:val="32"/>
          <w:highlight w:val="none"/>
          <w:lang w:val="en-US" w:eastAsia="zh-CN"/>
        </w:rPr>
        <w:t>计划投入</w:t>
      </w:r>
      <w:r>
        <w:rPr>
          <w:rFonts w:hint="eastAsia" w:ascii="仿宋_GB2312" w:eastAsia="仿宋_GB2312"/>
          <w:sz w:val="32"/>
          <w:szCs w:val="32"/>
          <w:highlight w:val="none"/>
        </w:rPr>
        <w:t>资金</w:t>
      </w:r>
      <w:r>
        <w:rPr>
          <w:rFonts w:hint="eastAsia" w:ascii="仿宋_GB2312" w:eastAsia="仿宋_GB2312"/>
          <w:sz w:val="32"/>
          <w:szCs w:val="32"/>
          <w:highlight w:val="none"/>
          <w:lang w:val="en-US" w:eastAsia="zh-CN"/>
        </w:rPr>
        <w:t>140471.73</w:t>
      </w:r>
      <w:r>
        <w:rPr>
          <w:rFonts w:hint="eastAsia" w:ascii="仿宋_GB2312" w:eastAsia="仿宋_GB2312"/>
          <w:sz w:val="32"/>
          <w:szCs w:val="32"/>
          <w:highlight w:val="none"/>
        </w:rPr>
        <w:t>万元。</w:t>
      </w:r>
      <w:r>
        <w:rPr>
          <w:rFonts w:hint="eastAsia" w:ascii="仿宋_GB2312" w:hAnsi="仿宋" w:eastAsia="仿宋_GB2312"/>
          <w:sz w:val="32"/>
          <w:szCs w:val="32"/>
          <w:highlight w:val="none"/>
        </w:rPr>
        <w:t>主要从立项必要性、投入经济</w:t>
      </w:r>
      <w:r>
        <w:rPr>
          <w:rFonts w:hint="eastAsia" w:ascii="仿宋_GB2312" w:hAnsi="仿宋" w:eastAsia="仿宋_GB2312"/>
          <w:sz w:val="32"/>
          <w:szCs w:val="32"/>
        </w:rPr>
        <w:t>性、绩效目标合理性、实施方案可行性和筹资合规性5个方面进行评估。</w:t>
      </w:r>
      <w:r>
        <w:rPr>
          <w:rFonts w:hint="eastAsia" w:ascii="仿宋_GB2312" w:eastAsia="仿宋_GB2312"/>
          <w:sz w:val="32"/>
          <w:szCs w:val="32"/>
          <w:lang w:val="en-US" w:eastAsia="zh-CN"/>
        </w:rPr>
        <w:t>区财政局及区本级部门及时整理、归纳、分析、反馈事前绩效评估结果，并将其作为安排(或申请)预算和改进管理的重要依据，并根据结果改进管理工作，调整和优化本部门预算支出结构，合理配置资源。事前绩效评估审核结果作为项目纳入2023年预算安排的重要依据。</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bookmarkStart w:id="0" w:name="_GoBack"/>
      <w:r>
        <w:rPr>
          <w:rFonts w:hint="eastAsia" w:ascii="黑体" w:hAnsi="黑体" w:eastAsia="黑体" w:cs="黑体"/>
          <w:color w:val="000000"/>
          <w:kern w:val="0"/>
          <w:sz w:val="32"/>
          <w:szCs w:val="32"/>
          <w:lang w:val="en-US" w:eastAsia="zh-CN" w:bidi="ar"/>
        </w:rPr>
        <w:t>二、存在的问题</w:t>
      </w:r>
    </w:p>
    <w:bookmarkEnd w:id="0"/>
    <w:p>
      <w:pPr>
        <w:numPr>
          <w:ilvl w:val="0"/>
          <w:numId w:val="0"/>
        </w:numPr>
        <w:pBdr>
          <w:bottom w:val="single" w:color="FFFFFF" w:sz="4" w:space="31"/>
        </w:pBdr>
        <w:tabs>
          <w:tab w:val="left" w:pos="4830"/>
          <w:tab w:val="left" w:pos="8640"/>
        </w:tabs>
        <w:adjustRightInd w:val="0"/>
        <w:snapToGrid w:val="0"/>
        <w:spacing w:line="70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（一）绩效管理意识不强，主体责任落实不力。</w:t>
      </w:r>
      <w:r>
        <w:rPr>
          <w:rFonts w:hint="eastAsia" w:ascii="仿宋" w:hAnsi="仿宋" w:eastAsia="仿宋" w:cs="仿宋"/>
          <w:sz w:val="32"/>
          <w:szCs w:val="32"/>
        </w:rPr>
        <w:t>在推进预算绩效管理的进程中，多数主管部门仍处于被动接受的阶段，仍然认为绩效管理是财政部门的事，没有绩效管理的主体责任意识，存在重预算资金申报、轻绩效目标编制，绩效目标申报质量不高等问题。</w:t>
      </w:r>
    </w:p>
    <w:p>
      <w:pPr>
        <w:numPr>
          <w:ilvl w:val="0"/>
          <w:numId w:val="0"/>
        </w:numPr>
        <w:pBdr>
          <w:bottom w:val="single" w:color="FFFFFF" w:sz="4" w:space="31"/>
        </w:pBdr>
        <w:tabs>
          <w:tab w:val="left" w:pos="4830"/>
          <w:tab w:val="left" w:pos="8640"/>
        </w:tabs>
        <w:adjustRightInd w:val="0"/>
        <w:snapToGrid w:val="0"/>
        <w:spacing w:line="70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w:t>
      </w:r>
      <w:r>
        <w:rPr>
          <w:rFonts w:hint="eastAsia" w:ascii="楷体" w:hAnsi="楷体" w:eastAsia="楷体" w:cs="楷体"/>
          <w:sz w:val="32"/>
          <w:szCs w:val="32"/>
          <w:lang w:val="en-US" w:eastAsia="zh-CN"/>
        </w:rPr>
        <w:t>财政收支矛盾突出，结果运用难以落地。</w:t>
      </w:r>
      <w:r>
        <w:rPr>
          <w:rFonts w:hint="eastAsia" w:ascii="仿宋_GB2312" w:hAnsi="仿宋_GB2312" w:eastAsia="仿宋_GB2312" w:cs="仿宋_GB2312"/>
          <w:sz w:val="32"/>
          <w:szCs w:val="32"/>
          <w:lang w:val="en-US" w:eastAsia="zh-CN"/>
        </w:rPr>
        <w:t>由于区级财政可用财力紧缺，资金调度困难，预算绩效管理结果运用在预算编制和执行过程中，难以发挥应有作用</w:t>
      </w:r>
      <w:r>
        <w:rPr>
          <w:rFonts w:hint="eastAsia" w:ascii="仿宋_GB2312" w:hAnsi="仿宋_GB2312" w:eastAsia="仿宋_GB2312" w:cs="仿宋_GB2312"/>
          <w:color w:val="000000"/>
          <w:sz w:val="32"/>
          <w:szCs w:val="32"/>
          <w:shd w:val="clear" w:color="auto" w:fill="FFFFFF"/>
        </w:rPr>
        <w:t>。</w:t>
      </w:r>
    </w:p>
    <w:p>
      <w:pPr>
        <w:numPr>
          <w:ilvl w:val="0"/>
          <w:numId w:val="0"/>
        </w:numPr>
        <w:pBdr>
          <w:bottom w:val="single" w:color="FFFFFF" w:sz="4" w:space="31"/>
        </w:pBdr>
        <w:tabs>
          <w:tab w:val="left" w:pos="4830"/>
          <w:tab w:val="left" w:pos="8640"/>
        </w:tabs>
        <w:adjustRightInd w:val="0"/>
        <w:snapToGrid w:val="0"/>
        <w:spacing w:line="700" w:lineRule="exact"/>
        <w:ind w:firstLine="640" w:firstLineChars="200"/>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）评价队伍能力有限，机构建设有待强化。</w:t>
      </w:r>
      <w:r>
        <w:rPr>
          <w:rFonts w:hint="eastAsia" w:ascii="仿宋" w:hAnsi="仿宋" w:eastAsia="仿宋" w:cs="仿宋"/>
          <w:sz w:val="32"/>
          <w:szCs w:val="32"/>
        </w:rPr>
        <w:t>受制于专业技术人才</w:t>
      </w:r>
      <w:r>
        <w:rPr>
          <w:rFonts w:hint="eastAsia" w:ascii="仿宋" w:hAnsi="仿宋" w:eastAsia="仿宋" w:cs="仿宋"/>
          <w:sz w:val="32"/>
          <w:szCs w:val="32"/>
          <w:lang w:val="en-US" w:eastAsia="zh-CN"/>
        </w:rPr>
        <w:t>缺乏</w:t>
      </w:r>
      <w:r>
        <w:rPr>
          <w:rFonts w:hint="eastAsia" w:ascii="仿宋" w:hAnsi="仿宋" w:eastAsia="仿宋" w:cs="仿宋"/>
          <w:sz w:val="32"/>
          <w:szCs w:val="32"/>
        </w:rPr>
        <w:t>等因素，当前从事预算绩效管理的人员队伍力量薄弱，工作任务重、压力大已成为新常态。随着《预算法实施条例》的实施，预算评审及绩效评审工作亟待加强，如何抓好队伍建设成为当前面临的主要问题。</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三、下一步打算和建议</w:t>
      </w:r>
    </w:p>
    <w:p>
      <w:pPr>
        <w:pBdr>
          <w:bottom w:val="single" w:color="FFFFFF" w:sz="4" w:space="31"/>
        </w:pBd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一是</w:t>
      </w:r>
      <w:r>
        <w:rPr>
          <w:rFonts w:hint="eastAsia" w:ascii="仿宋_GB2312" w:hAnsi="仿宋_GB2312" w:eastAsia="仿宋_GB2312" w:cs="仿宋_GB2312"/>
          <w:color w:val="000000"/>
          <w:kern w:val="0"/>
          <w:sz w:val="32"/>
          <w:szCs w:val="32"/>
          <w:shd w:val="clear" w:color="auto" w:fill="FFFFFF"/>
          <w:lang w:bidi="ar"/>
        </w:rPr>
        <w:t>提高认识，重视财政资金的使用绩效问题。改变传统的投入型预算管理的思想，要正确认识到财政管理不仅仅是跑项目、跑资金，要重视财政资金的使用绩效，在缺少制度性约束的条件下，以高度的责任感和使命感，提高预算绩效管理工作的主动性和自觉性。</w:t>
      </w:r>
    </w:p>
    <w:p>
      <w:pPr>
        <w:pBdr>
          <w:bottom w:val="single" w:color="FFFFFF" w:sz="4" w:space="31"/>
        </w:pBd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二是</w:t>
      </w:r>
      <w:r>
        <w:rPr>
          <w:rFonts w:ascii="仿宋_GB2312" w:hAnsi="仿宋_GB2312" w:eastAsia="仿宋_GB2312" w:cs="仿宋_GB2312"/>
          <w:color w:val="000000"/>
          <w:kern w:val="0"/>
          <w:sz w:val="32"/>
          <w:szCs w:val="32"/>
          <w:shd w:val="clear" w:color="auto" w:fill="FFFFFF"/>
          <w:lang w:bidi="ar"/>
        </w:rPr>
        <w:t>积极运用绩效评价结果。建立绩效评价结果的反馈与整改、激励与问责制度，进一步完善绩效评价结果的反馈和运用机制，进一步增强单位的责任感和紧迫感。切实发挥绩效评价工作应有的作用。</w:t>
      </w:r>
    </w:p>
    <w:p>
      <w:pPr>
        <w:pBdr>
          <w:bottom w:val="single" w:color="FFFFFF" w:sz="4" w:space="31"/>
        </w:pBd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楷体_GB2312" w:hAnsi="楷体_GB2312" w:eastAsia="楷体_GB2312" w:cs="楷体_GB2312"/>
          <w:color w:val="000000"/>
          <w:kern w:val="0"/>
          <w:sz w:val="32"/>
          <w:szCs w:val="32"/>
          <w:shd w:val="clear" w:color="auto" w:fill="FFFFFF"/>
          <w:lang w:bidi="ar"/>
        </w:rPr>
        <w:t>三是</w:t>
      </w:r>
      <w:r>
        <w:rPr>
          <w:rFonts w:ascii="仿宋_GB2312" w:hAnsi="仿宋_GB2312" w:eastAsia="仿宋_GB2312" w:cs="仿宋_GB2312"/>
          <w:color w:val="000000"/>
          <w:kern w:val="0"/>
          <w:sz w:val="32"/>
          <w:szCs w:val="32"/>
          <w:shd w:val="clear" w:color="auto" w:fill="FFFFFF"/>
          <w:lang w:bidi="ar"/>
        </w:rPr>
        <w:t>加强培训和指导。采取集中学习、讲座、专题会议等方式，加大对我</w:t>
      </w:r>
      <w:r>
        <w:rPr>
          <w:rFonts w:hint="eastAsia" w:ascii="仿宋_GB2312" w:hAnsi="仿宋_GB2312" w:eastAsia="仿宋_GB2312" w:cs="仿宋_GB2312"/>
          <w:color w:val="000000"/>
          <w:kern w:val="0"/>
          <w:sz w:val="32"/>
          <w:szCs w:val="32"/>
          <w:shd w:val="clear" w:color="auto" w:fill="FFFFFF"/>
          <w:lang w:bidi="ar"/>
        </w:rPr>
        <w:t>区</w:t>
      </w:r>
      <w:r>
        <w:rPr>
          <w:rFonts w:ascii="仿宋_GB2312" w:hAnsi="仿宋_GB2312" w:eastAsia="仿宋_GB2312" w:cs="仿宋_GB2312"/>
          <w:color w:val="000000"/>
          <w:kern w:val="0"/>
          <w:sz w:val="32"/>
          <w:szCs w:val="32"/>
          <w:shd w:val="clear" w:color="auto" w:fill="FFFFFF"/>
          <w:lang w:bidi="ar"/>
        </w:rPr>
        <w:t>绩效评价管理工作参与人员的培训力度，进一步统一认识，充实业务知识。</w:t>
      </w:r>
    </w:p>
    <w:p/>
    <w:p>
      <w:pPr>
        <w:pBdr>
          <w:bottom w:val="single" w:color="FFFFFF" w:sz="4" w:space="31"/>
        </w:pBdr>
        <w:adjustRightInd w:val="0"/>
        <w:snapToGrid w:val="0"/>
        <w:spacing w:line="360" w:lineRule="auto"/>
        <w:rPr>
          <w:rFonts w:hint="eastAsia" w:ascii="仿宋_GB2312" w:hAnsi="仿宋_GB2312" w:eastAsia="仿宋_GB2312" w:cs="仿宋_GB2312"/>
          <w:color w:val="000000"/>
          <w:kern w:val="0"/>
          <w:sz w:val="32"/>
          <w:szCs w:val="32"/>
          <w:shd w:val="clear" w:color="auto" w:fill="FFFFFF"/>
          <w:lang w:bidi="ar"/>
        </w:rPr>
      </w:pPr>
    </w:p>
    <w:p>
      <w:pPr>
        <w:pBdr>
          <w:bottom w:val="single" w:color="FFFFFF" w:sz="4" w:space="31"/>
        </w:pBd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lang w:bidi="ar"/>
        </w:rPr>
      </w:pPr>
    </w:p>
    <w:p>
      <w:pPr>
        <w:pBdr>
          <w:bottom w:val="single" w:color="FFFFFF" w:sz="4" w:space="31"/>
        </w:pBd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曲靖市</w:t>
      </w:r>
      <w:r>
        <w:rPr>
          <w:rFonts w:ascii="仿宋_GB2312" w:hAnsi="仿宋_GB2312" w:eastAsia="仿宋_GB2312" w:cs="仿宋_GB2312"/>
          <w:color w:val="000000"/>
          <w:kern w:val="0"/>
          <w:sz w:val="32"/>
          <w:szCs w:val="32"/>
          <w:shd w:val="clear" w:color="auto" w:fill="FFFFFF"/>
          <w:lang w:bidi="ar"/>
        </w:rPr>
        <w:t>麒麟区财政局</w:t>
      </w:r>
    </w:p>
    <w:p>
      <w:pPr>
        <w:pBdr>
          <w:bottom w:val="single" w:color="FFFFFF" w:sz="4" w:space="31"/>
        </w:pBdr>
        <w:adjustRightInd w:val="0"/>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w:t>
      </w:r>
      <w:r>
        <w:rPr>
          <w:rFonts w:ascii="仿宋_GB2312" w:hAnsi="仿宋_GB2312" w:eastAsia="仿宋_GB2312" w:cs="仿宋_GB2312"/>
          <w:color w:val="000000"/>
          <w:kern w:val="0"/>
          <w:sz w:val="32"/>
          <w:szCs w:val="32"/>
          <w:shd w:val="clear" w:color="auto" w:fill="FFFFFF"/>
          <w:lang w:bidi="ar"/>
        </w:rPr>
        <w:t>202</w:t>
      </w: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年</w:t>
      </w:r>
      <w:r>
        <w:rPr>
          <w:rFonts w:hint="eastAsia" w:ascii="仿宋_GB2312" w:hAnsi="仿宋_GB2312" w:eastAsia="仿宋_GB2312" w:cs="仿宋_GB2312"/>
          <w:color w:val="000000"/>
          <w:kern w:val="0"/>
          <w:sz w:val="32"/>
          <w:szCs w:val="32"/>
          <w:shd w:val="clear" w:color="auto" w:fill="FFFFFF"/>
          <w:lang w:val="en-US" w:eastAsia="zh-CN" w:bidi="ar"/>
        </w:rPr>
        <w:t>8</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480C8"/>
    <w:multiLevelType w:val="singleLevel"/>
    <w:tmpl w:val="908480C8"/>
    <w:lvl w:ilvl="0" w:tentative="0">
      <w:start w:val="1"/>
      <w:numFmt w:val="chineseCounting"/>
      <w:suff w:val="nothing"/>
      <w:lvlText w:val="（%1）"/>
      <w:lvlJc w:val="left"/>
      <w:rPr>
        <w:rFonts w:hint="eastAsia" w:ascii="楷体" w:hAnsi="楷体" w:eastAsia="楷体" w:cs="楷体"/>
      </w:rPr>
    </w:lvl>
  </w:abstractNum>
  <w:abstractNum w:abstractNumId="1">
    <w:nsid w:val="D19B9316"/>
    <w:multiLevelType w:val="singleLevel"/>
    <w:tmpl w:val="D19B931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NjQ5NDExM2EzMTc3NDAxYmVhNWJhZjBhNTY1ZmEifQ=="/>
  </w:docVars>
  <w:rsids>
    <w:rsidRoot w:val="006D6F4C"/>
    <w:rsid w:val="00016229"/>
    <w:rsid w:val="00077E02"/>
    <w:rsid w:val="000F4001"/>
    <w:rsid w:val="0010430E"/>
    <w:rsid w:val="00106FCD"/>
    <w:rsid w:val="00112E06"/>
    <w:rsid w:val="001B34A1"/>
    <w:rsid w:val="001C715C"/>
    <w:rsid w:val="001E3B2E"/>
    <w:rsid w:val="00252175"/>
    <w:rsid w:val="002C6961"/>
    <w:rsid w:val="002F3B31"/>
    <w:rsid w:val="003B1485"/>
    <w:rsid w:val="0047644C"/>
    <w:rsid w:val="00482F36"/>
    <w:rsid w:val="004C3EA0"/>
    <w:rsid w:val="004C6CC4"/>
    <w:rsid w:val="004E061B"/>
    <w:rsid w:val="00503644"/>
    <w:rsid w:val="005E5B60"/>
    <w:rsid w:val="006D6F4C"/>
    <w:rsid w:val="00711C43"/>
    <w:rsid w:val="00740DA7"/>
    <w:rsid w:val="00787383"/>
    <w:rsid w:val="007B0AD4"/>
    <w:rsid w:val="007C5F85"/>
    <w:rsid w:val="008059DF"/>
    <w:rsid w:val="008F5813"/>
    <w:rsid w:val="00967E81"/>
    <w:rsid w:val="00997B58"/>
    <w:rsid w:val="009D2E2F"/>
    <w:rsid w:val="00A3106A"/>
    <w:rsid w:val="00B37CB1"/>
    <w:rsid w:val="00BA1DCF"/>
    <w:rsid w:val="00BC0BF5"/>
    <w:rsid w:val="00BD4F9D"/>
    <w:rsid w:val="00C304E6"/>
    <w:rsid w:val="00CA6A2E"/>
    <w:rsid w:val="00DB3A2B"/>
    <w:rsid w:val="00E120EE"/>
    <w:rsid w:val="00EE7929"/>
    <w:rsid w:val="29520947"/>
    <w:rsid w:val="295664D0"/>
    <w:rsid w:val="29866010"/>
    <w:rsid w:val="2C715DE6"/>
    <w:rsid w:val="3C9D6FB6"/>
    <w:rsid w:val="416440CE"/>
    <w:rsid w:val="483E1A77"/>
    <w:rsid w:val="51493AE0"/>
    <w:rsid w:val="66F579A4"/>
    <w:rsid w:val="6C99725F"/>
    <w:rsid w:val="6EE3730E"/>
    <w:rsid w:val="6FEB0A03"/>
    <w:rsid w:val="7DF35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rFonts w:ascii="Times New Roman" w:hAnsi="Times New Roman" w:eastAsia="仿宋_GB2312" w:cs="Times New Roman"/>
      <w:sz w:val="30"/>
      <w:szCs w:val="20"/>
    </w:r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eastAsia="宋体" w:cs="Times New Roman"/>
      <w:kern w:val="0"/>
      <w:sz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 w:type="character" w:customStyle="1" w:styleId="11">
    <w:name w:val="批注框文本 Char"/>
    <w:basedOn w:val="8"/>
    <w:link w:val="3"/>
    <w:qFormat/>
    <w:uiPriority w:val="0"/>
    <w:rPr>
      <w:kern w:val="2"/>
      <w:sz w:val="18"/>
      <w:szCs w:val="18"/>
    </w:rPr>
  </w:style>
  <w:style w:type="paragraph" w:customStyle="1" w:styleId="12">
    <w:name w:val="无间隔1"/>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Body text|1"/>
    <w:basedOn w:val="1"/>
    <w:qFormat/>
    <w:uiPriority w:val="0"/>
    <w:pPr>
      <w:spacing w:line="437"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351</Words>
  <Characters>2005</Characters>
  <Lines>16</Lines>
  <Paragraphs>4</Paragraphs>
  <TotalTime>112</TotalTime>
  <ScaleCrop>false</ScaleCrop>
  <LinksUpToDate>false</LinksUpToDate>
  <CharactersWithSpaces>2352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2020-11-25T02:22:00Z</dcterms:created>
  <dc:creator>QLF</dc:creator>
  <cp:lastModifiedBy>QLF</cp:lastModifiedBy>
  <cp:lastPrinted>2023-08-04T06:23:00Z</cp:lastPrinted>
  <dcterms:modified xsi:type="dcterms:W3CDTF">2023-11-30T02:13:08Z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F6B875A88B0E48BAA1934C3234B5BFCF</vt:lpwstr>
  </property>
</Properties>
</file>