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省级</w:t>
      </w:r>
      <w:r>
        <w:rPr>
          <w:rFonts w:hint="eastAsia" w:ascii="方正小标宋_GBK" w:eastAsia="方正小标宋_GBK"/>
          <w:sz w:val="44"/>
          <w:szCs w:val="44"/>
        </w:rPr>
        <w:t>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巩固脱贫攻坚成果和乡村振兴任务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各相关单位、各镇（街道）：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按照有关程序和要求，你单位（镇、街道）报送的2023年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省级</w:t>
      </w:r>
      <w:r>
        <w:rPr>
          <w:rFonts w:hint="eastAsia" w:ascii="方正仿宋_GBK" w:eastAsia="方正仿宋_GBK"/>
          <w:sz w:val="32"/>
          <w:szCs w:val="32"/>
        </w:rPr>
        <w:t>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巩固脱贫攻坚成果和乡村振兴任务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项目绩效目标经区财政局、区乡村振兴局、区行业主管部门联合审核，现予以批复（绩效目标见附件1），并要求如下：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二、请各单位（镇、街道）在收到绩效目标批复后将绩效目标进行公示公开。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三、预算执行中，各单位（镇、街道）应定期对预算和绩效目标执行情况进行跟踪分析，以确保绩效目标不偏离。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五、共涉及衔接资金317万元。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2023年2月8日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091F0FEF"/>
    <w:rsid w:val="6EF01820"/>
    <w:rsid w:val="7A7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A462933179494B06A1C6F8BFCE5698D5_12</vt:lpwstr>
  </property>
</Properties>
</file>