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13" w:line="222" w:lineRule="auto"/>
        <w:ind w:left="25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8"/>
          <w:sz w:val="35"/>
          <w:szCs w:val="35"/>
        </w:rPr>
        <w:t>云发改价格〔2019〕457号</w:t>
      </w:r>
    </w:p>
    <w:p>
      <w:pPr>
        <w:spacing w:before="127" w:line="60" w:lineRule="exact"/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pStyle w:val="2"/>
        <w:spacing w:before="154" w:line="219" w:lineRule="auto"/>
        <w:ind w:left="426"/>
        <w:rPr>
          <w:sz w:val="47"/>
          <w:szCs w:val="47"/>
        </w:rPr>
      </w:pPr>
      <w:r>
        <w:rPr>
          <w:b/>
          <w:bCs/>
          <w:spacing w:val="-36"/>
          <w:sz w:val="47"/>
          <w:szCs w:val="47"/>
        </w:rPr>
        <w:t>云南省发展和改革委员会</w:t>
      </w:r>
      <w:r>
        <w:rPr>
          <w:spacing w:val="212"/>
          <w:sz w:val="47"/>
          <w:szCs w:val="47"/>
        </w:rPr>
        <w:t xml:space="preserve"> </w:t>
      </w:r>
      <w:r>
        <w:rPr>
          <w:b/>
          <w:bCs/>
          <w:spacing w:val="-36"/>
          <w:sz w:val="47"/>
          <w:szCs w:val="47"/>
        </w:rPr>
        <w:t>云南省民政厅</w:t>
      </w:r>
    </w:p>
    <w:p>
      <w:pPr>
        <w:pStyle w:val="2"/>
        <w:spacing w:before="215" w:line="771" w:lineRule="exact"/>
        <w:ind w:left="646"/>
        <w:rPr>
          <w:sz w:val="47"/>
          <w:szCs w:val="47"/>
        </w:rPr>
      </w:pPr>
      <w:r>
        <w:rPr>
          <w:b/>
          <w:bCs/>
          <w:spacing w:val="-36"/>
          <w:position w:val="21"/>
          <w:sz w:val="47"/>
          <w:szCs w:val="47"/>
        </w:rPr>
        <w:t>关于调整完善低保对象和特困人员免费</w:t>
      </w:r>
    </w:p>
    <w:p>
      <w:pPr>
        <w:pStyle w:val="2"/>
        <w:spacing w:before="1" w:line="220" w:lineRule="auto"/>
        <w:ind w:left="1986"/>
        <w:rPr>
          <w:sz w:val="47"/>
          <w:szCs w:val="47"/>
        </w:rPr>
      </w:pPr>
      <w:r>
        <w:rPr>
          <w:b/>
          <w:bCs/>
          <w:spacing w:val="-37"/>
          <w:sz w:val="47"/>
          <w:szCs w:val="47"/>
        </w:rPr>
        <w:t>电量政策有关事宜的通知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249" w:line="382" w:lineRule="auto"/>
        <w:ind w:right="188" w:firstLine="629"/>
        <w:jc w:val="both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各州(市)发展和改革委员会、民政局，云南电网有限责任</w:t>
      </w:r>
    </w:p>
    <w:p>
      <w:pPr>
        <w:spacing w:before="249" w:line="382" w:lineRule="auto"/>
        <w:ind w:right="188" w:firstLine="629"/>
        <w:jc w:val="both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公司：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2" w:lineRule="auto"/>
        <w:ind w:right="188" w:firstLine="629"/>
        <w:jc w:val="both"/>
        <w:textAlignment w:val="baseline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为进一步落实《云南省发展和改革委员会关于我省居民 生活用电试行阶梯电价的通知》(云发改物价〔2012〕1057 号)和《云南省物价局关于我省实施居民阶梯电价有关问题 的通知》(云价价格〔2012〕92号)关于对低收入群体每户 每月15千瓦时免费电量的相关规定，适应低收入群体动态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2" w:lineRule="auto"/>
        <w:ind w:right="188" w:firstLine="629"/>
        <w:jc w:val="both"/>
        <w:textAlignment w:val="baseline"/>
        <w:rPr>
          <w:rFonts w:ascii="仿宋" w:hAnsi="仿宋" w:eastAsia="仿宋" w:cs="仿宋"/>
          <w:spacing w:val="16"/>
          <w:sz w:val="29"/>
          <w:szCs w:val="29"/>
        </w:rPr>
        <w:sectPr>
          <w:footerReference r:id="rId5" w:type="default"/>
          <w:pgSz w:w="11900" w:h="16830"/>
          <w:pgMar w:top="1430" w:right="1400" w:bottom="1370" w:left="1509" w:header="0" w:footer="1101" w:gutter="0"/>
          <w:cols w:space="720" w:num="1"/>
        </w:sectPr>
      </w:pPr>
      <w:r>
        <w:rPr>
          <w:rFonts w:ascii="仿宋" w:hAnsi="仿宋" w:eastAsia="仿宋" w:cs="仿宋"/>
          <w:spacing w:val="16"/>
          <w:sz w:val="29"/>
          <w:szCs w:val="29"/>
        </w:rPr>
        <w:t>和信息化管理要求，确保电价扶持政策“应享尽享”,提升低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position w:val="24"/>
          <w:sz w:val="29"/>
          <w:szCs w:val="29"/>
        </w:rPr>
        <w:t>收入群体获得感，现结合我省实际，就调整完善低</w:t>
      </w:r>
      <w:r>
        <w:rPr>
          <w:rFonts w:ascii="仿宋" w:hAnsi="仿宋" w:eastAsia="仿宋" w:cs="仿宋"/>
          <w:spacing w:val="26"/>
          <w:position w:val="24"/>
          <w:sz w:val="29"/>
          <w:szCs w:val="29"/>
        </w:rPr>
        <w:t>收入群体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免费电量政策有关事宜通知如下：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634"/>
        <w:textAlignment w:val="baseline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0"/>
          <w:sz w:val="29"/>
          <w:szCs w:val="29"/>
        </w:rPr>
        <w:t>一、执行对象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2" w:lineRule="auto"/>
        <w:ind w:right="188" w:firstLine="629"/>
        <w:jc w:val="both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根据《社会救助暂行办法》和《云南省社会救助实施办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法》有关规定，将享受免费电量的对象由城乡“低保户”</w:t>
      </w:r>
      <w:r>
        <w:rPr>
          <w:rFonts w:ascii="仿宋" w:hAnsi="仿宋" w:eastAsia="仿宋" w:cs="仿宋"/>
          <w:spacing w:val="15"/>
          <w:sz w:val="29"/>
          <w:szCs w:val="29"/>
        </w:rPr>
        <w:t>和农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村“五保户”调整为“最低生活保障对象”(以下简称“低保户”)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和“特困人员”(以下简称“特困户”)。</w:t>
      </w:r>
    </w:p>
    <w:p>
      <w:pPr>
        <w:spacing w:before="243" w:line="382" w:lineRule="auto"/>
        <w:ind w:firstLine="62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其中，“最低生活保障对象”指共同生活的家庭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成员人均  </w:t>
      </w:r>
      <w:r>
        <w:rPr>
          <w:rFonts w:ascii="仿宋" w:hAnsi="仿宋" w:eastAsia="仿宋" w:cs="仿宋"/>
          <w:spacing w:val="25"/>
          <w:sz w:val="29"/>
          <w:szCs w:val="29"/>
        </w:rPr>
        <w:t>收入低于当地最低生活保障标准，且家庭财产状况符合县级  以上政府规定的家庭或参照单人户施保的个人。“特困人员”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指无劳动能力、无生活来源且无法定赡养、抚养、扶养义务  </w:t>
      </w:r>
      <w:r>
        <w:rPr>
          <w:rFonts w:ascii="仿宋" w:hAnsi="仿宋" w:eastAsia="仿宋" w:cs="仿宋"/>
          <w:spacing w:val="29"/>
          <w:sz w:val="29"/>
          <w:szCs w:val="29"/>
        </w:rPr>
        <w:t>人，或者其法定赡养、抚养、扶养义务人无赡养、</w:t>
      </w:r>
      <w:r>
        <w:rPr>
          <w:rFonts w:ascii="仿宋" w:hAnsi="仿宋" w:eastAsia="仿宋" w:cs="仿宋"/>
          <w:spacing w:val="28"/>
          <w:sz w:val="29"/>
          <w:szCs w:val="29"/>
        </w:rPr>
        <w:t>抚养、扶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养能力的老年人、残疾人以及未满16周岁的未成年人。</w:t>
      </w:r>
    </w:p>
    <w:p>
      <w:pPr>
        <w:spacing w:before="252" w:line="612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position w:val="24"/>
          <w:sz w:val="29"/>
          <w:szCs w:val="29"/>
        </w:rPr>
        <w:t>城乡“低保户”和“特困户”具体名单以民政部门认定并录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入云南省城乡社会救助信息系统的数据为准。</w:t>
      </w:r>
    </w:p>
    <w:p>
      <w:pPr>
        <w:spacing w:before="238" w:line="219" w:lineRule="auto"/>
        <w:ind w:left="6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二、</w:t>
      </w:r>
      <w:r>
        <w:rPr>
          <w:rFonts w:ascii="黑体" w:hAnsi="黑体" w:eastAsia="黑体" w:cs="黑体"/>
          <w:spacing w:val="-4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执行标准</w:t>
      </w:r>
    </w:p>
    <w:p>
      <w:pPr>
        <w:spacing w:before="249" w:line="382" w:lineRule="auto"/>
        <w:ind w:right="259" w:firstLine="62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对“低保户”和“特困户”每户每月免收15千瓦时电量电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费，每千瓦时按云南电网居民生活用电最低一</w:t>
      </w:r>
      <w:r>
        <w:rPr>
          <w:rFonts w:ascii="仿宋" w:hAnsi="仿宋" w:eastAsia="仿宋" w:cs="仿宋"/>
          <w:spacing w:val="27"/>
          <w:sz w:val="29"/>
          <w:szCs w:val="29"/>
        </w:rPr>
        <w:t>档电价水平执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3"/>
          <w:sz w:val="29"/>
          <w:szCs w:val="29"/>
        </w:rPr>
        <w:t>行(现行居民生活用电价格为每千瓦时0.36元)。</w:t>
      </w:r>
    </w:p>
    <w:p>
      <w:pPr>
        <w:spacing w:before="260" w:line="219" w:lineRule="auto"/>
        <w:ind w:left="6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三、</w:t>
      </w:r>
      <w:r>
        <w:rPr>
          <w:rFonts w:ascii="黑体" w:hAnsi="黑体" w:eastAsia="黑体" w:cs="黑体"/>
          <w:spacing w:val="-3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执行方式</w:t>
      </w:r>
    </w:p>
    <w:p>
      <w:pPr>
        <w:spacing w:before="249" w:line="389" w:lineRule="auto"/>
        <w:ind w:right="266" w:firstLine="62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为落实“低保户”和“特困户”动态管理要求，对享受免费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电量的用电户电费由“即征即退”调整为“先征后返”,即供电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部门先按实际用电量收取电费，再由民政部门将免费电量金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00" w:h="16830"/>
          <w:pgMar w:top="1430" w:right="1626" w:bottom="1383" w:left="1750" w:header="0" w:footer="1095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7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额兑现到户。</w:t>
      </w:r>
    </w:p>
    <w:p>
      <w:pPr>
        <w:spacing w:before="221" w:line="221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四、操作流程</w:t>
      </w:r>
    </w:p>
    <w:p>
      <w:pPr>
        <w:spacing w:before="252" w:line="361" w:lineRule="auto"/>
        <w:ind w:right="270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(一)对象甄别。县级民政部门作为城乡低保对象、特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困人员核实、认定的责任部门，负责按照国</w:t>
      </w:r>
      <w:r>
        <w:rPr>
          <w:rFonts w:ascii="仿宋" w:hAnsi="仿宋" w:eastAsia="仿宋" w:cs="仿宋"/>
          <w:spacing w:val="17"/>
          <w:sz w:val="30"/>
          <w:szCs w:val="30"/>
        </w:rPr>
        <w:t>家、省现行政策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规定，及时开展低保户和特困户的甄别、核查工作，确保人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员信息真实准确，并及时录入云南省城乡社会救助</w:t>
      </w:r>
      <w:r>
        <w:rPr>
          <w:rFonts w:ascii="仿宋" w:hAnsi="仿宋" w:eastAsia="仿宋" w:cs="仿宋"/>
          <w:spacing w:val="29"/>
          <w:sz w:val="30"/>
          <w:szCs w:val="30"/>
        </w:rPr>
        <w:t>信息系</w:t>
      </w:r>
    </w:p>
    <w:p>
      <w:pPr>
        <w:spacing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统。</w:t>
      </w:r>
    </w:p>
    <w:p>
      <w:pPr>
        <w:spacing w:before="260" w:line="369" w:lineRule="auto"/>
        <w:ind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(二)名单汇总。省民政厅汇总全省“低保户</w:t>
      </w:r>
      <w:r>
        <w:rPr>
          <w:rFonts w:ascii="仿宋" w:hAnsi="仿宋" w:eastAsia="仿宋" w:cs="仿宋"/>
          <w:sz w:val="30"/>
          <w:szCs w:val="30"/>
        </w:rPr>
        <w:t xml:space="preserve">”和“特困户” </w:t>
      </w:r>
      <w:r>
        <w:rPr>
          <w:rFonts w:ascii="仿宋" w:hAnsi="仿宋" w:eastAsia="仿宋" w:cs="仿宋"/>
          <w:spacing w:val="41"/>
          <w:sz w:val="30"/>
          <w:szCs w:val="30"/>
        </w:rPr>
        <w:t xml:space="preserve">名单后，按季度将每年3月30日、6月30日、9月30日和  </w:t>
      </w:r>
      <w:r>
        <w:rPr>
          <w:rFonts w:ascii="仿宋" w:hAnsi="仿宋" w:eastAsia="仿宋" w:cs="仿宋"/>
          <w:spacing w:val="6"/>
          <w:sz w:val="30"/>
          <w:szCs w:val="30"/>
        </w:rPr>
        <w:t>12月30日的城乡“低保户”和“特困户”具体人</w:t>
      </w:r>
      <w:r>
        <w:rPr>
          <w:rFonts w:ascii="仿宋" w:hAnsi="仿宋" w:eastAsia="仿宋" w:cs="仿宋"/>
          <w:spacing w:val="5"/>
          <w:sz w:val="30"/>
          <w:szCs w:val="30"/>
        </w:rPr>
        <w:t>员名单和分州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31"/>
          <w:sz w:val="30"/>
          <w:szCs w:val="30"/>
        </w:rPr>
        <w:t>市到县的总数据函告省发展改革委和云南电网有限责任公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司，作为后续3个月计算免费电量金额的基础和依据。</w:t>
      </w:r>
    </w:p>
    <w:p>
      <w:pPr>
        <w:spacing w:before="243" w:line="369" w:lineRule="auto"/>
        <w:ind w:right="248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(三)计算方式。云南电网有限责任公司根据省发展改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革委制定的居民生活用电价格和省民政厅提供的城乡“低保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户”和“特困户”名单，按照现行电价政策计算各县免费电量金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额，并报省发展改革委和省民政厅备案。</w:t>
      </w:r>
    </w:p>
    <w:p>
      <w:pPr>
        <w:spacing w:before="214" w:line="375" w:lineRule="auto"/>
        <w:ind w:right="309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(四)资金拨付。云南电网有限责任公司及时组织供电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局于每季度后10个工作日内将免费电量金额划拨到经财政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部门批准设立的县级民政部门银行账户。</w:t>
      </w:r>
    </w:p>
    <w:p>
      <w:pPr>
        <w:spacing w:before="253" w:line="362" w:lineRule="auto"/>
        <w:ind w:left="60" w:right="251" w:firstLine="6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(五)电费发放。县级民政部门按照省级审定下发的城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乡“低保户”和“特困户”名单及下拨的免费电量金额，在资金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到账后15个工作日内将免费电量资金通过银行发放到位。</w:t>
      </w:r>
    </w:p>
    <w:p>
      <w:pPr>
        <w:spacing w:before="235" w:line="222" w:lineRule="auto"/>
        <w:ind w:left="65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五、相关要求</w:t>
      </w:r>
    </w:p>
    <w:p>
      <w:pPr>
        <w:spacing w:line="222" w:lineRule="auto"/>
        <w:rPr>
          <w:rFonts w:ascii="黑体" w:hAnsi="黑体" w:eastAsia="黑体" w:cs="黑体"/>
          <w:sz w:val="30"/>
          <w:szCs w:val="30"/>
        </w:rPr>
        <w:sectPr>
          <w:footerReference r:id="rId7" w:type="default"/>
          <w:pgSz w:w="12050" w:h="16940"/>
          <w:pgMar w:top="1439" w:right="1688" w:bottom="1480" w:left="1790" w:header="0" w:footer="1182" w:gutter="0"/>
          <w:cols w:space="720" w:num="1"/>
        </w:sectPr>
      </w:pPr>
    </w:p>
    <w:p>
      <w:pPr>
        <w:spacing w:before="335" w:line="352" w:lineRule="auto"/>
        <w:ind w:right="105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(一)高度重视，加强协作。各地发展改革委、民政局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和供电局要高度重视低收入人群免费电量政策落实工作，指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派专人负责，建立议事协调机制，确保政策落实到位。</w:t>
      </w:r>
    </w:p>
    <w:p>
      <w:pPr>
        <w:spacing w:before="233" w:line="357" w:lineRule="auto"/>
        <w:ind w:right="113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(二)数据共享，精准发放。各地民政局、供电局要加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强信息系统的互联互通工作，每季度末通过信息共</w:t>
      </w:r>
      <w:r>
        <w:rPr>
          <w:rFonts w:ascii="仿宋" w:hAnsi="仿宋" w:eastAsia="仿宋" w:cs="仿宋"/>
          <w:spacing w:val="7"/>
          <w:sz w:val="31"/>
          <w:szCs w:val="31"/>
        </w:rPr>
        <w:t>享，多渠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道、多维度对低保户和特困户的信息进行核实，确保免费电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量电费的精准发放。</w:t>
      </w:r>
    </w:p>
    <w:p>
      <w:pPr>
        <w:spacing w:before="216" w:line="357" w:lineRule="auto"/>
        <w:ind w:right="100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(三)及时拨付，加强监管。云南电网有限责任公司要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及时组织各州市供电局按照文件要求及时将免费电量电费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金额拨付各县(市、区)民政局指定的银行账户，并抄送省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发展改革委和省民政厅。各州、市民政局要加强对免费</w:t>
      </w:r>
      <w:r>
        <w:rPr>
          <w:rFonts w:ascii="仿宋" w:hAnsi="仿宋" w:eastAsia="仿宋" w:cs="仿宋"/>
          <w:spacing w:val="7"/>
          <w:sz w:val="31"/>
          <w:szCs w:val="31"/>
        </w:rPr>
        <w:t>电量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电费资金的监管，确保专户管理，专款专用。</w:t>
      </w:r>
    </w:p>
    <w:p>
      <w:pPr>
        <w:spacing w:before="232" w:line="356" w:lineRule="auto"/>
        <w:ind w:right="98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(四)定期梳理，及时报告。建立免费电量电费政策发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放的报告制度，各州、市民政局和供电局应于每年7月底和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次年1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月底前，分别向上级主管部门上报上</w:t>
      </w:r>
      <w:r>
        <w:rPr>
          <w:rFonts w:ascii="仿宋" w:hAnsi="仿宋" w:eastAsia="仿宋" w:cs="仿宋"/>
          <w:spacing w:val="10"/>
          <w:sz w:val="31"/>
          <w:szCs w:val="31"/>
        </w:rPr>
        <w:t>半年和全年度免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费电量电费减免明细表和发放金额收支明细(详见附件1、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附件2)和政策执行情况报告(格式见附件3),并抄送当地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发改部门。云南电网有限责任公司应于每年2月底前将年度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政策执行情况报省发展改革委。</w:t>
      </w:r>
    </w:p>
    <w:p>
      <w:pPr>
        <w:spacing w:before="231" w:line="327" w:lineRule="auto"/>
        <w:ind w:right="105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(五)加大宣传，接受监督。各州(市)、县级发展改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革委、民政局和供电局要加大免费电量政策的宣传力度，扩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大政策知晓面，并及时向社会公布政策执行</w:t>
      </w:r>
      <w:r>
        <w:rPr>
          <w:rFonts w:ascii="仿宋" w:hAnsi="仿宋" w:eastAsia="仿宋" w:cs="仿宋"/>
          <w:spacing w:val="7"/>
          <w:sz w:val="31"/>
          <w:szCs w:val="31"/>
        </w:rPr>
        <w:t>情况，提高政策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执行透明度，加强社会监督，确保惠民政策落实到位。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30"/>
          <w:pgMar w:top="1430" w:right="1785" w:bottom="1382" w:left="1730" w:header="0" w:footer="1124" w:gutter="0"/>
          <w:cols w:space="720" w:num="1"/>
        </w:sectPr>
      </w:pPr>
    </w:p>
    <w:p>
      <w:pPr>
        <w:spacing w:before="293" w:line="219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六、执行时间</w:t>
      </w:r>
    </w:p>
    <w:p>
      <w:pPr>
        <w:spacing w:before="265" w:line="370" w:lineRule="auto"/>
        <w:ind w:right="119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本通知自2019年6月1日起执行。《云南省发展和改革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委员会关于我省居民生活用电试行阶梯电价的通知》(云发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改物价〔2012〕1057号)和《云南省物价局关于我省实施居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民阶梯电价有关问题的通知》(云价价格〔2012〕92号)与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本通知不一致的，以本通知为准。</w:t>
      </w:r>
    </w:p>
    <w:p>
      <w:pPr>
        <w:spacing w:before="223" w:line="575" w:lineRule="exact"/>
        <w:ind w:right="7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position w:val="20"/>
          <w:sz w:val="30"/>
          <w:szCs w:val="30"/>
        </w:rPr>
        <w:t>执行中存在的问题请及时向省发展改革委和省民政厅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报告。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附件：1.免费电量电费减免明细表</w:t>
      </w:r>
    </w:p>
    <w:p>
      <w:pPr>
        <w:spacing w:before="230" w:line="597" w:lineRule="exact"/>
        <w:ind w:left="1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2"/>
          <w:sz w:val="30"/>
          <w:szCs w:val="30"/>
        </w:rPr>
        <w:t>2.免费电量电费发放金额收支明细表</w:t>
      </w:r>
    </w:p>
    <w:p>
      <w:pPr>
        <w:spacing w:before="1" w:line="220" w:lineRule="auto"/>
        <w:ind w:left="1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3.免费电量电费政策执行情况报告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8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294.5pt;margin-top:4.4pt;height:20.15pt;width:96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14"/>
                      <w:sz w:val="30"/>
                      <w:szCs w:val="30"/>
                    </w:rPr>
                    <w:t>云南省民政厅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6"/>
          <w:sz w:val="30"/>
          <w:szCs w:val="30"/>
        </w:rPr>
        <w:t>云南省发展和改革委员会</w:t>
      </w:r>
    </w:p>
    <w:p>
      <w:pPr>
        <w:spacing w:before="249" w:line="222" w:lineRule="auto"/>
        <w:ind w:left="5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6"/>
          <w:w w:val="103"/>
          <w:sz w:val="30"/>
          <w:szCs w:val="30"/>
        </w:rPr>
        <w:t>2019年5月30日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0" w:h="16830"/>
          <w:pgMar w:top="1430" w:right="1785" w:bottom="1388" w:left="1740" w:header="0" w:footer="109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85.5pt;margin-top:776.55pt;height:11.5pt;width:36.6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90" w:lineRule="exact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5"/>
                      <w:position w:val="-4"/>
                      <w:sz w:val="28"/>
                      <w:szCs w:val="28"/>
                    </w:rPr>
                    <w:t>—</w:t>
                  </w:r>
                  <w:r>
                    <w:rPr>
                      <w:spacing w:val="8"/>
                      <w:position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5"/>
                      <w:position w:val="-4"/>
                      <w:sz w:val="28"/>
                      <w:szCs w:val="28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600" w:lineRule="exact"/>
        <w:ind w:firstLine="4420"/>
      </w:pPr>
    </w:p>
    <w:p>
      <w:pPr>
        <w:spacing w:before="47"/>
      </w:pPr>
    </w:p>
    <w:p>
      <w:pPr>
        <w:spacing w:before="47"/>
      </w:pPr>
    </w:p>
    <w:p>
      <w:pPr>
        <w:spacing w:before="46"/>
      </w:pPr>
    </w:p>
    <w:p>
      <w:pPr>
        <w:spacing w:before="46"/>
      </w:pPr>
    </w:p>
    <w:p>
      <w:pPr>
        <w:spacing w:before="46"/>
      </w:pPr>
    </w:p>
    <w:tbl>
      <w:tblPr>
        <w:tblStyle w:val="5"/>
        <w:tblW w:w="84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7"/>
        <w:gridCol w:w="365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9" w:type="dxa"/>
            <w:gridSpan w:val="2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spacing w:before="125" w:line="223" w:lineRule="auto"/>
              <w:ind w:left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抄送：省财政厅。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807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47" w:line="222" w:lineRule="auto"/>
              <w:ind w:left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云南省发展和改革委员会办公室</w:t>
            </w:r>
          </w:p>
        </w:tc>
        <w:tc>
          <w:tcPr>
            <w:tcW w:w="3652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64" w:line="222" w:lineRule="auto"/>
              <w:ind w:left="712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41"/>
                <w:w w:val="104"/>
                <w:sz w:val="25"/>
                <w:szCs w:val="25"/>
              </w:rPr>
              <w:t>2019年5月30日印发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0"/>
          <w:pgMar w:top="1430" w:right="1750" w:bottom="1366" w:left="1690" w:header="0" w:footer="1088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69" w:line="224" w:lineRule="auto"/>
        <w:ind w:left="5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6"/>
          <w:sz w:val="21"/>
          <w:szCs w:val="21"/>
        </w:rPr>
        <w:t>附件1</w:t>
      </w:r>
    </w:p>
    <w:p>
      <w:pPr>
        <w:pStyle w:val="2"/>
        <w:spacing w:before="32" w:line="219" w:lineRule="auto"/>
        <w:ind w:left="7054"/>
        <w:rPr>
          <w:sz w:val="21"/>
          <w:szCs w:val="21"/>
        </w:rPr>
      </w:pPr>
      <w:r>
        <w:rPr>
          <w:spacing w:val="-2"/>
          <w:sz w:val="21"/>
          <w:szCs w:val="21"/>
        </w:rPr>
        <w:t>免费电量电费减免明细表</w:t>
      </w:r>
    </w:p>
    <w:p>
      <w:pPr>
        <w:pStyle w:val="2"/>
        <w:spacing w:before="20" w:line="183" w:lineRule="auto"/>
        <w:ind w:left="7665"/>
        <w:rPr>
          <w:sz w:val="20"/>
          <w:szCs w:val="20"/>
        </w:rPr>
      </w:pPr>
      <w:r>
        <w:rPr>
          <w:spacing w:val="-1"/>
          <w:sz w:val="20"/>
          <w:szCs w:val="20"/>
        </w:rPr>
        <w:t>XX年XX季度</w:t>
      </w:r>
    </w:p>
    <w:tbl>
      <w:tblPr>
        <w:tblStyle w:val="5"/>
        <w:tblW w:w="16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239"/>
        <w:gridCol w:w="1109"/>
        <w:gridCol w:w="1139"/>
        <w:gridCol w:w="1089"/>
        <w:gridCol w:w="1229"/>
        <w:gridCol w:w="919"/>
        <w:gridCol w:w="1209"/>
        <w:gridCol w:w="919"/>
        <w:gridCol w:w="920"/>
        <w:gridCol w:w="930"/>
        <w:gridCol w:w="920"/>
        <w:gridCol w:w="919"/>
        <w:gridCol w:w="920"/>
        <w:gridCol w:w="919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12541" w:type="dxa"/>
            <w:gridSpan w:val="12"/>
            <w:vAlign w:val="top"/>
          </w:tcPr>
          <w:p>
            <w:pPr>
              <w:spacing w:before="31" w:line="197" w:lineRule="auto"/>
              <w:ind w:left="5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民政部门填报信息</w:t>
            </w:r>
          </w:p>
        </w:tc>
        <w:tc>
          <w:tcPr>
            <w:tcW w:w="3233" w:type="dxa"/>
            <w:gridSpan w:val="3"/>
            <w:vAlign w:val="top"/>
          </w:tcPr>
          <w:p>
            <w:pPr>
              <w:spacing w:before="30" w:line="198" w:lineRule="auto"/>
              <w:ind w:left="8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供电企业填报信息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5" w:type="dxa"/>
            <w:vAlign w:val="top"/>
          </w:tcPr>
          <w:p>
            <w:pPr>
              <w:spacing w:before="28" w:line="195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26" w:line="197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州市机构名称</w:t>
            </w:r>
          </w:p>
        </w:tc>
        <w:tc>
          <w:tcPr>
            <w:tcW w:w="1109" w:type="dxa"/>
            <w:vAlign w:val="top"/>
          </w:tcPr>
          <w:p>
            <w:pPr>
              <w:spacing w:before="26" w:line="19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区县机构名称</w:t>
            </w:r>
          </w:p>
        </w:tc>
        <w:tc>
          <w:tcPr>
            <w:tcW w:w="1139" w:type="dxa"/>
            <w:vAlign w:val="top"/>
          </w:tcPr>
          <w:p>
            <w:pPr>
              <w:spacing w:before="26" w:line="19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乡镇机构名称</w:t>
            </w:r>
          </w:p>
        </w:tc>
        <w:tc>
          <w:tcPr>
            <w:tcW w:w="1089" w:type="dxa"/>
            <w:vAlign w:val="top"/>
          </w:tcPr>
          <w:p>
            <w:pPr>
              <w:spacing w:before="26" w:line="197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村委会名称</w:t>
            </w:r>
          </w:p>
        </w:tc>
        <w:tc>
          <w:tcPr>
            <w:tcW w:w="1229" w:type="dxa"/>
            <w:vAlign w:val="top"/>
          </w:tcPr>
          <w:p>
            <w:pPr>
              <w:spacing w:before="36" w:line="187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地址</w:t>
            </w:r>
          </w:p>
        </w:tc>
        <w:tc>
          <w:tcPr>
            <w:tcW w:w="919" w:type="dxa"/>
            <w:vAlign w:val="top"/>
          </w:tcPr>
          <w:p>
            <w:pPr>
              <w:spacing w:before="27" w:line="196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户主姓名</w:t>
            </w:r>
          </w:p>
        </w:tc>
        <w:tc>
          <w:tcPr>
            <w:tcW w:w="1209" w:type="dxa"/>
            <w:vAlign w:val="top"/>
          </w:tcPr>
          <w:p>
            <w:pPr>
              <w:spacing w:before="27" w:line="196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户主身份证</w:t>
            </w:r>
          </w:p>
        </w:tc>
        <w:tc>
          <w:tcPr>
            <w:tcW w:w="919" w:type="dxa"/>
            <w:vAlign w:val="top"/>
          </w:tcPr>
          <w:p>
            <w:pPr>
              <w:spacing w:before="28" w:line="195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电话号码</w:t>
            </w:r>
          </w:p>
        </w:tc>
        <w:tc>
          <w:tcPr>
            <w:tcW w:w="920" w:type="dxa"/>
            <w:vAlign w:val="top"/>
          </w:tcPr>
          <w:p>
            <w:pPr>
              <w:spacing w:before="27" w:line="196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救助类型</w:t>
            </w:r>
          </w:p>
        </w:tc>
        <w:tc>
          <w:tcPr>
            <w:tcW w:w="930" w:type="dxa"/>
            <w:vAlign w:val="top"/>
          </w:tcPr>
          <w:p>
            <w:pPr>
              <w:spacing w:before="28" w:line="195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免费电量</w:t>
            </w:r>
          </w:p>
        </w:tc>
        <w:tc>
          <w:tcPr>
            <w:tcW w:w="920" w:type="dxa"/>
            <w:vAlign w:val="top"/>
          </w:tcPr>
          <w:p>
            <w:pPr>
              <w:spacing w:before="28" w:line="195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免费电费</w:t>
            </w:r>
          </w:p>
        </w:tc>
        <w:tc>
          <w:tcPr>
            <w:tcW w:w="919" w:type="dxa"/>
            <w:vAlign w:val="top"/>
          </w:tcPr>
          <w:p>
            <w:pPr>
              <w:spacing w:before="27" w:line="196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发放年月</w:t>
            </w:r>
          </w:p>
        </w:tc>
        <w:tc>
          <w:tcPr>
            <w:tcW w:w="920" w:type="dxa"/>
            <w:vAlign w:val="top"/>
          </w:tcPr>
          <w:p>
            <w:pPr>
              <w:spacing w:before="27" w:line="196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用户姓名</w:t>
            </w:r>
          </w:p>
        </w:tc>
        <w:tc>
          <w:tcPr>
            <w:tcW w:w="919" w:type="dxa"/>
            <w:vAlign w:val="top"/>
          </w:tcPr>
          <w:p>
            <w:pPr>
              <w:spacing w:before="27"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用户编号</w:t>
            </w:r>
          </w:p>
        </w:tc>
        <w:tc>
          <w:tcPr>
            <w:tcW w:w="1394" w:type="dxa"/>
            <w:vAlign w:val="top"/>
          </w:tcPr>
          <w:p>
            <w:pPr>
              <w:spacing w:before="26" w:line="197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供电单位名称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39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3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3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39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0" w:lineRule="exact"/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3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9" w:lineRule="exact"/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39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5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930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920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line="234" w:lineRule="exact"/>
            </w:pPr>
          </w:p>
        </w:tc>
        <w:tc>
          <w:tcPr>
            <w:tcW w:w="1394" w:type="dxa"/>
            <w:vAlign w:val="top"/>
          </w:tcPr>
          <w:p>
            <w:pPr>
              <w:pStyle w:val="6"/>
              <w:spacing w:line="234" w:lineRule="exact"/>
            </w:pPr>
          </w:p>
        </w:tc>
      </w:tr>
    </w:tbl>
    <w:p>
      <w:pPr>
        <w:pStyle w:val="2"/>
        <w:spacing w:before="192" w:line="219" w:lineRule="auto"/>
        <w:ind w:left="4"/>
        <w:rPr>
          <w:sz w:val="21"/>
          <w:szCs w:val="21"/>
        </w:rPr>
      </w:pPr>
      <w:r>
        <w:rPr>
          <w:spacing w:val="-5"/>
          <w:sz w:val="21"/>
          <w:szCs w:val="21"/>
        </w:rPr>
        <w:t>说明：1.此表每季度填报一次，同时报云南省</w:t>
      </w:r>
      <w:r>
        <w:rPr>
          <w:rFonts w:hint="eastAsia"/>
          <w:spacing w:val="-5"/>
          <w:sz w:val="21"/>
          <w:szCs w:val="21"/>
          <w:lang w:eastAsia="zh-CN"/>
        </w:rPr>
        <w:t>发展和改革委员会</w:t>
      </w:r>
      <w:r>
        <w:rPr>
          <w:spacing w:val="-5"/>
          <w:sz w:val="21"/>
          <w:szCs w:val="21"/>
        </w:rPr>
        <w:t>、云南</w:t>
      </w:r>
      <w:r>
        <w:rPr>
          <w:spacing w:val="-6"/>
          <w:sz w:val="21"/>
          <w:szCs w:val="21"/>
        </w:rPr>
        <w:t>省民政厅、云南电网有限责任公司。</w:t>
      </w:r>
    </w:p>
    <w:p>
      <w:pPr>
        <w:pStyle w:val="2"/>
        <w:spacing w:before="22" w:line="219" w:lineRule="auto"/>
        <w:ind w:left="625"/>
        <w:rPr>
          <w:sz w:val="21"/>
          <w:szCs w:val="21"/>
        </w:rPr>
      </w:pPr>
      <w:r>
        <w:rPr>
          <w:spacing w:val="-5"/>
          <w:sz w:val="21"/>
          <w:szCs w:val="21"/>
        </w:rPr>
        <w:t>2.一季度数据于5月10日前上报，二季度数据于8月10日前上报，三季度数据于11月10日前上报，四季度数据于次年2月10日前上报。</w:t>
      </w:r>
    </w:p>
    <w:p>
      <w:pPr>
        <w:spacing w:before="62"/>
      </w:pPr>
    </w:p>
    <w:p>
      <w:pPr>
        <w:spacing w:before="62"/>
      </w:pPr>
    </w:p>
    <w:p>
      <w:pPr>
        <w:sectPr>
          <w:footerReference r:id="rId11" w:type="default"/>
          <w:pgSz w:w="16830" w:h="11900"/>
          <w:pgMar w:top="1011" w:right="185" w:bottom="400" w:left="345" w:header="0" w:footer="0" w:gutter="0"/>
          <w:cols w:equalWidth="0" w:num="1">
            <w:col w:w="16300"/>
          </w:cols>
        </w:sectPr>
      </w:pPr>
    </w:p>
    <w:p>
      <w:pPr>
        <w:pStyle w:val="2"/>
        <w:spacing w:before="43" w:line="237" w:lineRule="auto"/>
        <w:ind w:left="5"/>
        <w:rPr>
          <w:sz w:val="21"/>
          <w:szCs w:val="21"/>
        </w:rPr>
      </w:pPr>
      <w:r>
        <w:rPr>
          <w:spacing w:val="-12"/>
          <w:sz w:val="21"/>
          <w:szCs w:val="21"/>
        </w:rPr>
        <w:t>民政部门填报人：</w:t>
      </w:r>
    </w:p>
    <w:p>
      <w:pPr>
        <w:pStyle w:val="2"/>
        <w:spacing w:line="184" w:lineRule="auto"/>
        <w:ind w:left="5"/>
        <w:rPr>
          <w:sz w:val="21"/>
          <w:szCs w:val="21"/>
        </w:rPr>
      </w:pPr>
      <w:r>
        <w:rPr>
          <w:spacing w:val="-13"/>
          <w:sz w:val="21"/>
          <w:szCs w:val="21"/>
        </w:rPr>
        <w:t>盖章：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2" w:line="219" w:lineRule="auto"/>
        <w:rPr>
          <w:sz w:val="21"/>
          <w:szCs w:val="21"/>
        </w:rPr>
      </w:pPr>
      <w:r>
        <w:rPr>
          <w:spacing w:val="-11"/>
          <w:sz w:val="21"/>
          <w:szCs w:val="21"/>
        </w:rPr>
        <w:t>民政部门填报人联系电话：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23" w:lineRule="auto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3"/>
          <w:sz w:val="21"/>
          <w:szCs w:val="21"/>
        </w:rPr>
        <w:t>填报日期：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0" w:line="229" w:lineRule="auto"/>
        <w:ind w:left="9"/>
        <w:rPr>
          <w:sz w:val="21"/>
          <w:szCs w:val="21"/>
        </w:rPr>
      </w:pPr>
      <w:r>
        <w:rPr>
          <w:spacing w:val="-12"/>
          <w:sz w:val="21"/>
          <w:szCs w:val="21"/>
        </w:rPr>
        <w:t>供电企业填报人：</w:t>
      </w:r>
    </w:p>
    <w:p>
      <w:pPr>
        <w:pStyle w:val="2"/>
        <w:spacing w:before="1" w:line="184" w:lineRule="auto"/>
        <w:rPr>
          <w:sz w:val="21"/>
          <w:szCs w:val="21"/>
        </w:rPr>
      </w:pPr>
      <w:r>
        <w:rPr>
          <w:spacing w:val="-13"/>
          <w:sz w:val="21"/>
          <w:szCs w:val="21"/>
        </w:rPr>
        <w:t>盖章：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0" w:line="219" w:lineRule="auto"/>
        <w:rPr>
          <w:sz w:val="21"/>
          <w:szCs w:val="21"/>
        </w:rPr>
      </w:pPr>
      <w:r>
        <w:rPr>
          <w:spacing w:val="-10"/>
          <w:sz w:val="21"/>
          <w:szCs w:val="21"/>
        </w:rPr>
        <w:t>供电企业填报人联系电话：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9" w:line="219" w:lineRule="auto"/>
        <w:rPr>
          <w:sz w:val="21"/>
          <w:szCs w:val="21"/>
        </w:rPr>
      </w:pPr>
      <w:r>
        <w:rPr>
          <w:b/>
          <w:bCs/>
          <w:spacing w:val="-19"/>
          <w:sz w:val="21"/>
          <w:szCs w:val="21"/>
        </w:rPr>
        <w:t>填报日期：</w:t>
      </w:r>
    </w:p>
    <w:p>
      <w:pPr>
        <w:spacing w:line="219" w:lineRule="auto"/>
        <w:rPr>
          <w:sz w:val="21"/>
          <w:szCs w:val="21"/>
        </w:rPr>
        <w:sectPr>
          <w:type w:val="continuous"/>
          <w:pgSz w:w="16830" w:h="11900"/>
          <w:pgMar w:top="1011" w:right="185" w:bottom="400" w:left="345" w:header="0" w:footer="0" w:gutter="0"/>
          <w:cols w:equalWidth="0" w:num="6">
            <w:col w:w="2795" w:space="100"/>
            <w:col w:w="3341" w:space="100"/>
            <w:col w:w="2031" w:space="100"/>
            <w:col w:w="2680" w:space="100"/>
            <w:col w:w="3583" w:space="100"/>
            <w:col w:w="1373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pgSz w:w="11900" w:h="16830"/>
          <w:pgMar w:top="0" w:right="0" w:bottom="0" w:left="0" w:header="0" w:footer="0" w:gutter="0"/>
          <w:cols w:space="720" w:num="1"/>
        </w:sectPr>
      </w:pPr>
    </w:p>
    <w:p>
      <w:pPr>
        <w:pStyle w:val="2"/>
        <w:spacing w:before="80" w:line="183" w:lineRule="auto"/>
        <w:ind w:left="4334"/>
        <w:rPr>
          <w:sz w:val="7"/>
          <w:szCs w:val="7"/>
        </w:rPr>
      </w:pPr>
      <w:r>
        <w:rPr>
          <w:sz w:val="7"/>
          <w:szCs w:val="7"/>
        </w:rPr>
        <w:t>0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52" w:line="224" w:lineRule="auto"/>
        <w:ind w:left="5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3"/>
          <w:sz w:val="16"/>
          <w:szCs w:val="16"/>
        </w:rPr>
        <w:t>附件2</w:t>
      </w:r>
    </w:p>
    <w:p>
      <w:pPr>
        <w:pStyle w:val="2"/>
        <w:spacing w:before="11" w:line="219" w:lineRule="auto"/>
        <w:ind w:left="5817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免费电量电费发放金额收支明细表</w:t>
      </w:r>
    </w:p>
    <w:p>
      <w:pPr>
        <w:pStyle w:val="2"/>
        <w:spacing w:before="22" w:line="184" w:lineRule="auto"/>
        <w:ind w:left="6624"/>
        <w:rPr>
          <w:sz w:val="16"/>
          <w:szCs w:val="16"/>
        </w:rPr>
      </w:pPr>
      <w:r>
        <w:rPr>
          <w:spacing w:val="-1"/>
          <w:sz w:val="16"/>
          <w:szCs w:val="16"/>
        </w:rPr>
        <w:t>XX年XX季度</w:t>
      </w:r>
    </w:p>
    <w:tbl>
      <w:tblPr>
        <w:tblStyle w:val="5"/>
        <w:tblW w:w="14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79"/>
        <w:gridCol w:w="890"/>
        <w:gridCol w:w="889"/>
        <w:gridCol w:w="859"/>
        <w:gridCol w:w="1209"/>
        <w:gridCol w:w="1049"/>
        <w:gridCol w:w="1539"/>
        <w:gridCol w:w="969"/>
        <w:gridCol w:w="949"/>
        <w:gridCol w:w="1379"/>
        <w:gridCol w:w="870"/>
        <w:gridCol w:w="810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14" w:type="dxa"/>
            <w:vAlign w:val="top"/>
          </w:tcPr>
          <w:p>
            <w:pPr>
              <w:spacing w:before="19" w:line="204" w:lineRule="auto"/>
              <w:ind w:left="2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序号</w:t>
            </w:r>
          </w:p>
        </w:tc>
        <w:tc>
          <w:tcPr>
            <w:tcW w:w="979" w:type="dxa"/>
            <w:vAlign w:val="top"/>
          </w:tcPr>
          <w:p>
            <w:pPr>
              <w:spacing w:before="19" w:line="20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州市机构名称</w:t>
            </w:r>
          </w:p>
        </w:tc>
        <w:tc>
          <w:tcPr>
            <w:tcW w:w="890" w:type="dxa"/>
            <w:vAlign w:val="top"/>
          </w:tcPr>
          <w:p>
            <w:pPr>
              <w:spacing w:before="19" w:line="204" w:lineRule="auto"/>
              <w:ind w:left="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区县机构名称</w:t>
            </w:r>
          </w:p>
        </w:tc>
        <w:tc>
          <w:tcPr>
            <w:tcW w:w="889" w:type="dxa"/>
            <w:vAlign w:val="top"/>
          </w:tcPr>
          <w:p>
            <w:pPr>
              <w:spacing w:before="19" w:line="204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乡镇机构名称</w:t>
            </w:r>
          </w:p>
        </w:tc>
        <w:tc>
          <w:tcPr>
            <w:tcW w:w="859" w:type="dxa"/>
            <w:vAlign w:val="top"/>
          </w:tcPr>
          <w:p>
            <w:pPr>
              <w:spacing w:before="19" w:line="204" w:lineRule="auto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村委会名称</w:t>
            </w:r>
          </w:p>
        </w:tc>
        <w:tc>
          <w:tcPr>
            <w:tcW w:w="1209" w:type="dxa"/>
            <w:vAlign w:val="top"/>
          </w:tcPr>
          <w:p>
            <w:pPr>
              <w:spacing w:before="20" w:line="203" w:lineRule="auto"/>
              <w:ind w:left="2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应发放户数</w:t>
            </w:r>
          </w:p>
        </w:tc>
        <w:tc>
          <w:tcPr>
            <w:tcW w:w="1049" w:type="dxa"/>
            <w:vAlign w:val="top"/>
          </w:tcPr>
          <w:p>
            <w:pPr>
              <w:spacing w:before="20" w:line="203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应发放金额</w:t>
            </w:r>
          </w:p>
        </w:tc>
        <w:tc>
          <w:tcPr>
            <w:tcW w:w="1539" w:type="dxa"/>
            <w:vAlign w:val="top"/>
          </w:tcPr>
          <w:p>
            <w:pPr>
              <w:spacing w:before="19" w:line="204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收到供电企业拨付金额</w:t>
            </w:r>
          </w:p>
        </w:tc>
        <w:tc>
          <w:tcPr>
            <w:tcW w:w="969" w:type="dxa"/>
            <w:vAlign w:val="top"/>
          </w:tcPr>
          <w:p>
            <w:pPr>
              <w:spacing w:before="20" w:line="202" w:lineRule="auto"/>
              <w:ind w:left="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实际发放日期</w:t>
            </w:r>
          </w:p>
        </w:tc>
        <w:tc>
          <w:tcPr>
            <w:tcW w:w="949" w:type="dxa"/>
            <w:vAlign w:val="top"/>
          </w:tcPr>
          <w:p>
            <w:pPr>
              <w:spacing w:before="17" w:line="206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实际发放户数</w:t>
            </w:r>
          </w:p>
        </w:tc>
        <w:tc>
          <w:tcPr>
            <w:tcW w:w="1379" w:type="dxa"/>
            <w:vAlign w:val="top"/>
          </w:tcPr>
          <w:p>
            <w:pPr>
              <w:spacing w:before="17" w:line="206" w:lineRule="auto"/>
              <w:ind w:left="2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实际发放金额</w:t>
            </w:r>
          </w:p>
        </w:tc>
        <w:tc>
          <w:tcPr>
            <w:tcW w:w="870" w:type="dxa"/>
            <w:vAlign w:val="top"/>
          </w:tcPr>
          <w:p>
            <w:pPr>
              <w:spacing w:before="20" w:line="203" w:lineRule="auto"/>
              <w:ind w:left="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未发放户数</w:t>
            </w:r>
          </w:p>
        </w:tc>
        <w:tc>
          <w:tcPr>
            <w:tcW w:w="810" w:type="dxa"/>
            <w:vAlign w:val="top"/>
          </w:tcPr>
          <w:p>
            <w:pPr>
              <w:spacing w:before="20" w:line="203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未发放金额</w:t>
            </w:r>
          </w:p>
        </w:tc>
        <w:tc>
          <w:tcPr>
            <w:tcW w:w="734" w:type="dxa"/>
            <w:vAlign w:val="top"/>
          </w:tcPr>
          <w:p>
            <w:pPr>
              <w:spacing w:before="20" w:line="202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未发放原因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69" w:lineRule="exact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914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890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6"/>
              <w:spacing w:line="175" w:lineRule="exact"/>
              <w:rPr>
                <w:sz w:val="15"/>
              </w:rPr>
            </w:pPr>
          </w:p>
        </w:tc>
      </w:tr>
    </w:tbl>
    <w:p>
      <w:pPr>
        <w:pStyle w:val="2"/>
        <w:spacing w:before="130" w:line="219" w:lineRule="auto"/>
        <w:ind w:left="5"/>
        <w:rPr>
          <w:sz w:val="16"/>
          <w:szCs w:val="16"/>
        </w:rPr>
      </w:pPr>
      <w:r>
        <w:rPr>
          <w:spacing w:val="1"/>
          <w:sz w:val="16"/>
          <w:szCs w:val="16"/>
        </w:rPr>
        <w:t>说明：1.此表每季度填报一次，同时报云</w:t>
      </w:r>
      <w:r>
        <w:rPr>
          <w:sz w:val="16"/>
          <w:szCs w:val="16"/>
        </w:rPr>
        <w:t>南省</w:t>
      </w:r>
      <w:r>
        <w:rPr>
          <w:rFonts w:hint="eastAsia"/>
          <w:sz w:val="16"/>
          <w:szCs w:val="16"/>
          <w:lang w:eastAsia="zh-CN"/>
        </w:rPr>
        <w:t>发展和改革委员会</w:t>
      </w:r>
      <w:r>
        <w:rPr>
          <w:sz w:val="16"/>
          <w:szCs w:val="16"/>
        </w:rPr>
        <w:t>、云南省民政厅、云南电网有限责任公司。</w:t>
      </w:r>
    </w:p>
    <w:p>
      <w:pPr>
        <w:pStyle w:val="2"/>
        <w:spacing w:before="11" w:line="219" w:lineRule="auto"/>
        <w:ind w:left="494"/>
        <w:rPr>
          <w:sz w:val="16"/>
          <w:szCs w:val="16"/>
        </w:rPr>
      </w:pPr>
      <w:r>
        <w:rPr>
          <w:spacing w:val="1"/>
          <w:sz w:val="16"/>
          <w:szCs w:val="16"/>
        </w:rPr>
        <w:t>2.一季度数据于5月10日前上报，二季度数据于8月10日前上报，三季度数据于11月10日前上报，</w:t>
      </w:r>
      <w:r>
        <w:rPr>
          <w:sz w:val="16"/>
          <w:szCs w:val="16"/>
        </w:rPr>
        <w:t>四季度数据于次年2月10日前上报。</w:t>
      </w:r>
    </w:p>
    <w:p>
      <w:pPr>
        <w:spacing w:before="227"/>
      </w:pPr>
    </w:p>
    <w:p>
      <w:pPr>
        <w:sectPr>
          <w:pgSz w:w="16830" w:h="11900"/>
          <w:pgMar w:top="400" w:right="1575" w:bottom="400" w:left="1205" w:header="0" w:footer="0" w:gutter="0"/>
          <w:cols w:equalWidth="0" w:num="1">
            <w:col w:w="14050"/>
          </w:cols>
        </w:sectPr>
      </w:pPr>
    </w:p>
    <w:p>
      <w:pPr>
        <w:spacing w:before="42" w:line="218" w:lineRule="auto"/>
        <w:ind w:left="5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5"/>
          <w:sz w:val="16"/>
          <w:szCs w:val="16"/>
        </w:rPr>
        <w:t>民政部门填报人：</w:t>
      </w:r>
    </w:p>
    <w:p>
      <w:pPr>
        <w:pStyle w:val="2"/>
        <w:spacing w:before="1" w:line="184" w:lineRule="auto"/>
        <w:ind w:left="5"/>
        <w:rPr>
          <w:sz w:val="16"/>
          <w:szCs w:val="16"/>
        </w:rPr>
      </w:pPr>
      <w:r>
        <w:rPr>
          <w:spacing w:val="-10"/>
          <w:sz w:val="16"/>
          <w:szCs w:val="16"/>
        </w:rPr>
        <w:t>盖章：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2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4"/>
          <w:sz w:val="16"/>
          <w:szCs w:val="16"/>
        </w:rPr>
        <w:t>民政部门填报人联系电话：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223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6"/>
          <w:sz w:val="16"/>
          <w:szCs w:val="16"/>
        </w:rPr>
        <w:t>填报日期：</w:t>
      </w:r>
    </w:p>
    <w:p>
      <w:pPr>
        <w:spacing w:line="223" w:lineRule="auto"/>
        <w:rPr>
          <w:rFonts w:ascii="黑体" w:hAnsi="黑体" w:eastAsia="黑体" w:cs="黑体"/>
          <w:sz w:val="16"/>
          <w:szCs w:val="16"/>
        </w:rPr>
        <w:sectPr>
          <w:type w:val="continuous"/>
          <w:pgSz w:w="16830" w:h="11900"/>
          <w:pgMar w:top="400" w:right="1575" w:bottom="400" w:left="1205" w:header="0" w:footer="0" w:gutter="0"/>
          <w:cols w:equalWidth="0" w:num="3">
            <w:col w:w="4465" w:space="100"/>
            <w:col w:w="5591" w:space="100"/>
            <w:col w:w="3795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0" w:right="0" w:bottom="0" w:left="0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4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附件3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143" w:line="218" w:lineRule="auto"/>
        <w:ind w:left="546"/>
        <w:rPr>
          <w:sz w:val="44"/>
          <w:szCs w:val="44"/>
        </w:rPr>
      </w:pPr>
      <w:r>
        <w:rPr>
          <w:b/>
          <w:bCs/>
          <w:spacing w:val="-5"/>
          <w:sz w:val="44"/>
          <w:szCs w:val="44"/>
        </w:rPr>
        <w:t>XX</w:t>
      </w:r>
      <w:r>
        <w:rPr>
          <w:spacing w:val="-5"/>
          <w:sz w:val="44"/>
          <w:szCs w:val="44"/>
        </w:rPr>
        <w:t xml:space="preserve"> </w:t>
      </w:r>
      <w:r>
        <w:rPr>
          <w:b/>
          <w:bCs/>
          <w:spacing w:val="-5"/>
          <w:sz w:val="44"/>
          <w:szCs w:val="44"/>
        </w:rPr>
        <w:t>州免费电量电费政策执行情况报告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63" w:line="185" w:lineRule="auto"/>
        <w:ind w:left="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XXXX:</w:t>
      </w:r>
    </w:p>
    <w:p>
      <w:pPr>
        <w:spacing w:before="241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一、云南省城乡“低保户”、城乡“特困人员”情况</w:t>
      </w:r>
    </w:p>
    <w:p>
      <w:pPr>
        <w:pStyle w:val="2"/>
        <w:spacing w:before="152" w:line="304" w:lineRule="auto"/>
        <w:ind w:left="9" w:right="132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2019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年一季度，云南省城乡社会救助信息系统统计，城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乡“低保户”、城乡“特困人员”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11"/>
          <w:sz w:val="31"/>
          <w:szCs w:val="31"/>
        </w:rPr>
        <w:t>户，按照以户为单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位，每户每月15度的免费用电政策，云南省</w:t>
      </w:r>
      <w:r>
        <w:rPr>
          <w:sz w:val="31"/>
          <w:szCs w:val="31"/>
        </w:rPr>
        <w:t>XX</w:t>
      </w:r>
      <w:r>
        <w:rPr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户可执行免</w:t>
      </w:r>
    </w:p>
    <w:p>
      <w:pPr>
        <w:spacing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费用电政策涉及金额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7"/>
          <w:sz w:val="31"/>
          <w:szCs w:val="31"/>
        </w:rPr>
        <w:t>元。</w:t>
      </w:r>
    </w:p>
    <w:p>
      <w:pPr>
        <w:pStyle w:val="2"/>
        <w:spacing w:before="165" w:line="310" w:lineRule="auto"/>
        <w:ind w:left="9" w:right="72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2019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年二季度，云南省城乡社会救助信息系统统计，城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乡“低保户”、城乡“特困人员”</w:t>
      </w:r>
      <w:r>
        <w:rPr>
          <w:spacing w:val="-5"/>
          <w:sz w:val="31"/>
          <w:szCs w:val="31"/>
        </w:rPr>
        <w:t>XX</w:t>
      </w:r>
      <w:r>
        <w:rPr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XX</w:t>
      </w:r>
      <w:r>
        <w:rPr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户，按照以户为单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位，每户每月15度的免费用电政策，云南省</w:t>
      </w:r>
      <w:r>
        <w:rPr>
          <w:sz w:val="31"/>
          <w:szCs w:val="31"/>
        </w:rPr>
        <w:t>XX</w:t>
      </w:r>
      <w:r>
        <w:rPr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户可执行免</w:t>
      </w:r>
    </w:p>
    <w:p>
      <w:pPr>
        <w:spacing w:before="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费用电政策涉及金额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2"/>
          <w:sz w:val="31"/>
          <w:szCs w:val="31"/>
        </w:rPr>
        <w:t>元。</w:t>
      </w:r>
    </w:p>
    <w:p>
      <w:pPr>
        <w:spacing w:before="145" w:line="310" w:lineRule="auto"/>
        <w:ind w:left="9" w:right="72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2019年三季度，云南省城乡社会救助信息系统统计，城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乡“低保户”、城乡“特困人员”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10"/>
          <w:sz w:val="31"/>
          <w:szCs w:val="31"/>
        </w:rPr>
        <w:t>户，按照以户为单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位，每户每月15度的免费用电政策，云南省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仿宋" w:hAnsi="仿宋" w:eastAsia="仿宋" w:cs="仿宋"/>
          <w:spacing w:val="17"/>
          <w:sz w:val="31"/>
          <w:szCs w:val="31"/>
        </w:rPr>
        <w:t>户可执行免</w:t>
      </w:r>
    </w:p>
    <w:p>
      <w:pPr>
        <w:spacing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费用电政策涉及金额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7"/>
          <w:sz w:val="31"/>
          <w:szCs w:val="31"/>
        </w:rPr>
        <w:t>元。</w:t>
      </w:r>
    </w:p>
    <w:p>
      <w:pPr>
        <w:pStyle w:val="2"/>
        <w:spacing w:before="135" w:line="310" w:lineRule="auto"/>
        <w:ind w:right="72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2019 年四季度，云南省城乡社会救助信息系统统计，城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乡“低保户”、城乡“特困人员”</w:t>
      </w:r>
      <w:r>
        <w:rPr>
          <w:spacing w:val="-4"/>
          <w:sz w:val="31"/>
          <w:szCs w:val="31"/>
        </w:rPr>
        <w:t>XX</w:t>
      </w:r>
      <w:r>
        <w:rPr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4"/>
          <w:sz w:val="31"/>
          <w:szCs w:val="31"/>
        </w:rPr>
        <w:t>户，按照以</w:t>
      </w:r>
      <w:r>
        <w:rPr>
          <w:rFonts w:ascii="仿宋" w:hAnsi="仿宋" w:eastAsia="仿宋" w:cs="仿宋"/>
          <w:spacing w:val="-5"/>
          <w:sz w:val="31"/>
          <w:szCs w:val="31"/>
        </w:rPr>
        <w:t>户为单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位，每户每月15度的免费用电政策，云南省</w:t>
      </w:r>
      <w:r>
        <w:rPr>
          <w:sz w:val="31"/>
          <w:szCs w:val="31"/>
        </w:rPr>
        <w:t>XX</w:t>
      </w:r>
      <w:r>
        <w:rPr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户可执</w:t>
      </w:r>
      <w:r>
        <w:rPr>
          <w:rFonts w:ascii="仿宋" w:hAnsi="仿宋" w:eastAsia="仿宋" w:cs="仿宋"/>
          <w:spacing w:val="18"/>
          <w:sz w:val="31"/>
          <w:szCs w:val="31"/>
        </w:rPr>
        <w:t>行免</w:t>
      </w:r>
    </w:p>
    <w:p>
      <w:pPr>
        <w:spacing w:before="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费用电政策涉及金额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10"/>
          <w:sz w:val="31"/>
          <w:szCs w:val="31"/>
        </w:rPr>
        <w:t>元。</w:t>
      </w:r>
    </w:p>
    <w:p>
      <w:pPr>
        <w:spacing w:before="164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2019年合计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仿宋" w:hAnsi="仿宋" w:eastAsia="仿宋" w:cs="仿宋"/>
          <w:spacing w:val="14"/>
          <w:sz w:val="31"/>
          <w:szCs w:val="31"/>
        </w:rPr>
        <w:t>户可执行免费用电政策涉及</w:t>
      </w:r>
      <w:r>
        <w:rPr>
          <w:rFonts w:ascii="仿宋" w:hAnsi="仿宋" w:eastAsia="仿宋" w:cs="仿宋"/>
          <w:spacing w:val="13"/>
          <w:sz w:val="31"/>
          <w:szCs w:val="31"/>
        </w:rPr>
        <w:t>金额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仿宋" w:hAnsi="仿宋" w:eastAsia="仿宋" w:cs="仿宋"/>
          <w:spacing w:val="13"/>
          <w:sz w:val="31"/>
          <w:szCs w:val="31"/>
        </w:rPr>
        <w:t>元。</w:t>
      </w:r>
    </w:p>
    <w:p>
      <w:pPr>
        <w:spacing w:before="135" w:line="219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实际执行情况</w:t>
      </w:r>
    </w:p>
    <w:p>
      <w:pPr>
        <w:pStyle w:val="2"/>
        <w:spacing w:before="189" w:line="509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4"/>
          <w:sz w:val="31"/>
          <w:szCs w:val="31"/>
        </w:rPr>
        <w:t>2019年一季度，云南电网有限责任公司划拨</w:t>
      </w:r>
      <w:r>
        <w:rPr>
          <w:position w:val="14"/>
          <w:sz w:val="31"/>
          <w:szCs w:val="31"/>
        </w:rPr>
        <w:t>XX</w:t>
      </w:r>
      <w:r>
        <w:rPr>
          <w:spacing w:val="-37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position w:val="14"/>
          <w:sz w:val="31"/>
          <w:szCs w:val="31"/>
        </w:rPr>
        <w:t>元给云</w:t>
      </w:r>
    </w:p>
    <w:p>
      <w:pPr>
        <w:pStyle w:val="2"/>
        <w:spacing w:before="1" w:line="221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南省民政部门，民政部门通过</w:t>
      </w:r>
      <w:r>
        <w:rPr>
          <w:sz w:val="31"/>
          <w:szCs w:val="31"/>
        </w:rPr>
        <w:t>XX</w:t>
      </w:r>
      <w:r>
        <w:rPr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方式按户发放给城乡“低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0" w:h="16830"/>
          <w:pgMar w:top="400" w:right="1785" w:bottom="1038" w:left="1710" w:header="0" w:footer="72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1" w:line="51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4"/>
          <w:sz w:val="31"/>
          <w:szCs w:val="31"/>
        </w:rPr>
        <w:t>保户”和城乡“特困人员”户主。合计发放</w:t>
      </w:r>
      <w:r>
        <w:rPr>
          <w:position w:val="14"/>
          <w:sz w:val="31"/>
          <w:szCs w:val="31"/>
        </w:rPr>
        <w:t>XX</w:t>
      </w:r>
      <w:r>
        <w:rPr>
          <w:spacing w:val="-32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4"/>
          <w:sz w:val="31"/>
          <w:szCs w:val="31"/>
        </w:rPr>
        <w:t>户 ，</w:t>
      </w:r>
      <w:r>
        <w:rPr>
          <w:position w:val="14"/>
          <w:sz w:val="31"/>
          <w:szCs w:val="31"/>
        </w:rPr>
        <w:t>XX</w:t>
      </w:r>
      <w:r>
        <w:rPr>
          <w:spacing w:val="-57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4"/>
          <w:sz w:val="31"/>
          <w:szCs w:val="31"/>
        </w:rPr>
        <w:t>元，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未发放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户，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元。</w:t>
      </w:r>
    </w:p>
    <w:p>
      <w:pPr>
        <w:pStyle w:val="2"/>
        <w:spacing w:before="145" w:line="304" w:lineRule="auto"/>
        <w:ind w:right="19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2019年二季度，云南电网有限责任公司划拨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元给云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南省民政部门，民政部门通过</w:t>
      </w:r>
      <w:r>
        <w:rPr>
          <w:sz w:val="31"/>
          <w:szCs w:val="31"/>
        </w:rPr>
        <w:t>XX</w:t>
      </w:r>
      <w:r>
        <w:rPr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方式按户发放给城乡“低 </w:t>
      </w:r>
      <w:r>
        <w:rPr>
          <w:rFonts w:ascii="仿宋" w:hAnsi="仿宋" w:eastAsia="仿宋" w:cs="仿宋"/>
          <w:spacing w:val="2"/>
          <w:sz w:val="31"/>
          <w:szCs w:val="31"/>
        </w:rPr>
        <w:t>保户”和城乡“特困人员”户主。合计发放</w:t>
      </w:r>
      <w:r>
        <w:rPr>
          <w:sz w:val="31"/>
          <w:szCs w:val="31"/>
        </w:rPr>
        <w:t>XX</w:t>
      </w:r>
      <w:r>
        <w:rPr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户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sz w:val="31"/>
          <w:szCs w:val="31"/>
        </w:rPr>
        <w:t>XX</w:t>
      </w:r>
      <w:r>
        <w:rPr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未发放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29"/>
          <w:sz w:val="31"/>
          <w:szCs w:val="31"/>
        </w:rPr>
        <w:t>户，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元。</w:t>
      </w:r>
    </w:p>
    <w:p>
      <w:pPr>
        <w:pStyle w:val="2"/>
        <w:spacing w:before="165" w:line="304" w:lineRule="auto"/>
        <w:ind w:right="19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2019年三季度，云南电网有限责任公司划拨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元给云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南省民政部门，民政部门通过</w:t>
      </w:r>
      <w:r>
        <w:rPr>
          <w:sz w:val="31"/>
          <w:szCs w:val="31"/>
        </w:rPr>
        <w:t>XX</w:t>
      </w:r>
      <w:r>
        <w:rPr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方式按户发放给城乡“低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保户”和城乡“特困人员”户主。合计发放</w:t>
      </w:r>
      <w:r>
        <w:rPr>
          <w:sz w:val="31"/>
          <w:szCs w:val="31"/>
        </w:rPr>
        <w:t>XX</w:t>
      </w:r>
      <w:r>
        <w:rPr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户，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6"/>
          <w:sz w:val="31"/>
          <w:szCs w:val="31"/>
        </w:rPr>
        <w:t>未发放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6"/>
          <w:sz w:val="31"/>
          <w:szCs w:val="31"/>
        </w:rPr>
        <w:t>户，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6"/>
          <w:sz w:val="31"/>
          <w:szCs w:val="31"/>
        </w:rPr>
        <w:t>元。</w:t>
      </w:r>
    </w:p>
    <w:p>
      <w:pPr>
        <w:pStyle w:val="2"/>
        <w:spacing w:before="165" w:line="304" w:lineRule="auto"/>
        <w:ind w:right="19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2019年四季度，云南电网有限责任公司划拨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元给云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南省民政部门，民政部门通过</w:t>
      </w:r>
      <w:r>
        <w:rPr>
          <w:sz w:val="31"/>
          <w:szCs w:val="31"/>
        </w:rPr>
        <w:t>XX</w:t>
      </w:r>
      <w:r>
        <w:rPr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方式按户发放给城乡“低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保户”和城乡“特困人员”户主。合计发放</w:t>
      </w:r>
      <w:r>
        <w:rPr>
          <w:sz w:val="31"/>
          <w:szCs w:val="31"/>
        </w:rPr>
        <w:t>XX</w:t>
      </w:r>
      <w:r>
        <w:rPr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户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6"/>
          <w:sz w:val="31"/>
          <w:szCs w:val="31"/>
        </w:rPr>
        <w:t>未发放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6"/>
          <w:sz w:val="31"/>
          <w:szCs w:val="31"/>
        </w:rPr>
        <w:t>户，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36"/>
          <w:sz w:val="31"/>
          <w:szCs w:val="31"/>
        </w:rPr>
        <w:t>元。</w:t>
      </w:r>
    </w:p>
    <w:p>
      <w:pPr>
        <w:spacing w:before="177" w:line="511" w:lineRule="exact"/>
        <w:ind w:left="6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3"/>
          <w:position w:val="14"/>
          <w:sz w:val="31"/>
          <w:szCs w:val="31"/>
        </w:rPr>
        <w:t>2019年合计发放免费电资金</w:t>
      </w:r>
      <w:r>
        <w:rPr>
          <w:rFonts w:ascii="Times New Roman" w:hAnsi="Times New Roman" w:eastAsia="Times New Roman" w:cs="Times New Roman"/>
          <w:spacing w:val="-3"/>
          <w:position w:val="14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-4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4"/>
          <w:sz w:val="31"/>
          <w:szCs w:val="31"/>
        </w:rPr>
        <w:t>户，</w:t>
      </w:r>
      <w:r>
        <w:rPr>
          <w:rFonts w:ascii="仿宋" w:hAnsi="仿宋" w:eastAsia="仿宋" w:cs="仿宋"/>
          <w:spacing w:val="-65"/>
          <w:position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3"/>
          <w:position w:val="14"/>
          <w:sz w:val="31"/>
          <w:szCs w:val="31"/>
        </w:rPr>
        <w:t>元，未发放</w:t>
      </w:r>
      <w:r>
        <w:rPr>
          <w:rFonts w:ascii="仿宋" w:hAnsi="仿宋" w:eastAsia="仿宋" w:cs="仿宋"/>
          <w:spacing w:val="-67"/>
          <w:position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31"/>
          <w:szCs w:val="31"/>
        </w:rPr>
        <w:t>XX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户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40"/>
          <w:sz w:val="31"/>
          <w:szCs w:val="31"/>
        </w:rPr>
        <w:t>元。</w:t>
      </w:r>
    </w:p>
    <w:p>
      <w:pPr>
        <w:spacing w:before="145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(一)未发放完的原因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(二)未发放完资金处理情况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(三)未发放完的原因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2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(四)未发放完资金处理情况</w:t>
      </w: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24" w:line="108" w:lineRule="exact"/>
        <w:ind w:left="1110"/>
        <w:rPr>
          <w:sz w:val="7"/>
          <w:szCs w:val="7"/>
        </w:rPr>
      </w:pPr>
      <w:r>
        <w:rPr>
          <w:spacing w:val="-18"/>
          <w:position w:val="1"/>
          <w:sz w:val="7"/>
          <w:szCs w:val="7"/>
        </w:rPr>
        <w:t>·</w:t>
      </w:r>
      <w:r>
        <w:rPr>
          <w:spacing w:val="7"/>
          <w:position w:val="1"/>
          <w:sz w:val="7"/>
          <w:szCs w:val="7"/>
        </w:rPr>
        <w:t xml:space="preserve">   </w:t>
      </w:r>
      <w:r>
        <w:rPr>
          <w:spacing w:val="-18"/>
          <w:position w:val="1"/>
          <w:sz w:val="7"/>
          <w:szCs w:val="7"/>
        </w:rPr>
        <w:t>·</w:t>
      </w:r>
      <w:r>
        <w:rPr>
          <w:spacing w:val="1"/>
          <w:position w:val="1"/>
          <w:sz w:val="7"/>
          <w:szCs w:val="7"/>
        </w:rPr>
        <w:t xml:space="preserve">       </w:t>
      </w:r>
      <w:r>
        <w:rPr>
          <w:spacing w:val="-18"/>
          <w:position w:val="1"/>
          <w:sz w:val="7"/>
          <w:szCs w:val="7"/>
        </w:rPr>
        <w:t>·</w:t>
      </w:r>
    </w:p>
    <w:p>
      <w:pPr>
        <w:spacing w:before="218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三</w:t>
      </w:r>
      <w:r>
        <w:rPr>
          <w:rFonts w:ascii="黑体" w:hAnsi="黑体" w:eastAsia="黑体" w:cs="黑体"/>
          <w:spacing w:val="-2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、存在问题及下一步改进建议</w:t>
      </w:r>
    </w:p>
    <w:sectPr>
      <w:footerReference r:id="rId14" w:type="default"/>
      <w:pgSz w:w="11900" w:h="16830"/>
      <w:pgMar w:top="400" w:right="1785" w:bottom="1047" w:left="1720" w:header="0" w:footer="7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700"/>
      <w:rPr>
        <w:sz w:val="27"/>
        <w:szCs w:val="27"/>
      </w:rPr>
    </w:pPr>
    <w:r>
      <w:rPr>
        <w:spacing w:val="-3"/>
        <w:sz w:val="27"/>
        <w:szCs w:val="27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509"/>
      <w:rPr>
        <w:sz w:val="30"/>
        <w:szCs w:val="30"/>
      </w:rPr>
    </w:pPr>
    <w:r>
      <w:rPr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rPr>
        <w:sz w:val="26"/>
        <w:szCs w:val="26"/>
      </w:rPr>
    </w:pPr>
    <w:r>
      <w:rPr>
        <w:spacing w:val="-3"/>
        <w:sz w:val="26"/>
        <w:szCs w:val="26"/>
      </w:rPr>
      <w:t>—4</w:t>
    </w:r>
    <w:r>
      <w:rPr>
        <w:spacing w:val="118"/>
        <w:sz w:val="26"/>
        <w:szCs w:val="26"/>
      </w:rPr>
      <w:t xml:space="preserve"> </w:t>
    </w:r>
    <w:r>
      <w:rPr>
        <w:spacing w:val="-3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469"/>
      <w:rPr>
        <w:sz w:val="30"/>
        <w:szCs w:val="30"/>
      </w:rPr>
    </w:pPr>
    <w:r>
      <w:rPr>
        <w:spacing w:val="-4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24"/>
      <w:rPr>
        <w:sz w:val="28"/>
        <w:szCs w:val="28"/>
      </w:rPr>
    </w:pPr>
    <w:r>
      <w:rPr>
        <w:sz w:val="28"/>
        <w:szCs w:val="2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1"/>
        <w:szCs w:val="31"/>
      </w:rPr>
    </w:pPr>
    <w:r>
      <w:rPr>
        <w:spacing w:val="-26"/>
        <w:w w:val="63"/>
        <w:sz w:val="31"/>
        <w:szCs w:val="31"/>
      </w:rPr>
      <w:t>—</w:t>
    </w:r>
    <w:r>
      <w:rPr>
        <w:spacing w:val="-25"/>
        <w:w w:val="63"/>
        <w:sz w:val="31"/>
        <w:szCs w:val="31"/>
      </w:rPr>
      <w:t>1</w:t>
    </w:r>
    <w:r>
      <w:rPr>
        <w:spacing w:val="-9"/>
        <w:w w:val="63"/>
        <w:sz w:val="31"/>
        <w:szCs w:val="31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1"/>
        <w:szCs w:val="31"/>
      </w:rPr>
    </w:pPr>
    <w:r>
      <w:rPr>
        <w:spacing w:val="-9"/>
        <w:w w:val="57"/>
        <w:sz w:val="31"/>
        <w:szCs w:val="31"/>
      </w:rPr>
      <w:t>—</w:t>
    </w:r>
    <w:r>
      <w:rPr>
        <w:spacing w:val="-23"/>
        <w:w w:val="95"/>
        <w:sz w:val="31"/>
        <w:szCs w:val="31"/>
      </w:rPr>
      <w:t>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20330FCC"/>
    <w:rsid w:val="59083706"/>
    <w:rsid w:val="6A915B77"/>
    <w:rsid w:val="6CCC3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4"/>
      <w:szCs w:val="5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2024-03-07T09:03:00Z</dcterms:created>
  <dc:creator>Kingsoft-PDF</dc:creator>
  <cp:lastModifiedBy>WPS_1577147775</cp:lastModifiedBy>
  <dcterms:modified xsi:type="dcterms:W3CDTF">2024-03-18T07:57:05Z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2024-03-07T09:03:59Z</vt:filetime>
  </property>
  <property fmtid="{D5CDD505-2E9C-101B-9397-08002B2CF9AE}" pid="4" name="UsrData">
    <vt:lpwstr>65e9127a79f318001fe874ccwl</vt:lpwstr>
  </property>
  <property fmtid="{D5CDD505-2E9C-101B-9397-08002B2CF9AE}" pid="5" name="KSOProductBuildVer">
    <vt:lpwstr>2052-12.1.0.16412</vt:lpwstr>
  </property>
  <property fmtid="{D5CDD505-2E9C-101B-9397-08002B2CF9AE}" pid="6" name="ICV">
    <vt:lpwstr>9FA471B7B5A044B688A150755DC68C73_13</vt:lpwstr>
  </property>
</Properties>
</file>