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eastAsia" w:eastAsia="仿宋" w:asciiTheme="minorHAnsi" w:hAnsiTheme="minorHAnsi"/>
          <w:b/>
          <w:bCs/>
          <w:kern w:val="2"/>
          <w:sz w:val="28"/>
          <w:szCs w:val="28"/>
          <w:lang w:eastAsia="zh-CN"/>
        </w:rPr>
      </w:pPr>
      <w:bookmarkStart w:id="0" w:name="_Hlk23253334"/>
      <w:bookmarkStart w:id="1" w:name="_Toc447125208"/>
      <w:r>
        <w:rPr>
          <w:rFonts w:hint="eastAsia" w:eastAsia="仿宋" w:asciiTheme="minorHAnsi" w:hAnsiTheme="minorHAnsi"/>
          <w:b/>
          <w:bCs/>
          <w:kern w:val="2"/>
          <w:sz w:val="28"/>
          <w:szCs w:val="28"/>
          <w:lang w:eastAsia="zh-CN"/>
        </w:rPr>
        <w:t>曲靖市麒麟区自然资源局拟对麒麟区三宝镇兴龙亮子深塘脑子山</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采石场采矿权进行竞争性出让所涉及的麒麟区三宝镇兴龙亮子深塘脑子山采石场采矿权涉矿相关资产市场价值</w:t>
      </w:r>
    </w:p>
    <w:bookmarkEnd w:id="0"/>
    <w:p>
      <w:pPr>
        <w:pStyle w:val="3"/>
        <w:keepNext w:val="0"/>
        <w:keepLines w:val="0"/>
        <w:pageBreakBefore w:val="0"/>
        <w:widowControl/>
        <w:kinsoku/>
        <w:wordWrap/>
        <w:overflowPunct/>
        <w:topLinePunct w:val="0"/>
        <w:autoSpaceDE/>
        <w:autoSpaceDN/>
        <w:bidi w:val="0"/>
        <w:adjustRightInd/>
        <w:snapToGrid/>
        <w:spacing w:before="0" w:line="240" w:lineRule="atLeast"/>
        <w:jc w:val="center"/>
        <w:textAlignment w:val="auto"/>
        <w:rPr>
          <w:rFonts w:eastAsia="仿宋" w:asciiTheme="minorHAnsi" w:hAnsiTheme="minorHAnsi"/>
          <w:b/>
          <w:bCs/>
          <w:kern w:val="2"/>
          <w:sz w:val="28"/>
          <w:szCs w:val="28"/>
          <w:lang w:eastAsia="zh-CN"/>
        </w:rPr>
      </w:pPr>
      <w:bookmarkStart w:id="2" w:name="_Toc18050"/>
      <w:r>
        <w:rPr>
          <w:rFonts w:hint="eastAsia" w:eastAsia="仿宋" w:asciiTheme="minorHAnsi" w:hAnsiTheme="minorHAnsi"/>
          <w:b/>
          <w:bCs/>
          <w:kern w:val="2"/>
          <w:sz w:val="28"/>
          <w:szCs w:val="28"/>
          <w:lang w:eastAsia="zh-CN"/>
        </w:rPr>
        <w:t>资产评估报告摘要</w:t>
      </w:r>
      <w:bookmarkEnd w:id="1"/>
      <w:bookmarkEnd w:id="2"/>
    </w:p>
    <w:p>
      <w:pPr>
        <w:adjustRightInd w:val="0"/>
        <w:snapToGrid w:val="0"/>
        <w:spacing w:after="100" w:line="240" w:lineRule="auto"/>
        <w:jc w:val="center"/>
        <w:rPr>
          <w:rFonts w:eastAsia="仿宋" w:asciiTheme="minorHAnsi" w:hAnsiTheme="minorHAnsi"/>
          <w:spacing w:val="18"/>
          <w:sz w:val="21"/>
          <w:szCs w:val="21"/>
          <w:lang w:eastAsia="zh-CN"/>
        </w:rPr>
      </w:pPr>
      <w:r>
        <w:rPr>
          <w:rFonts w:hint="eastAsia" w:eastAsia="仿宋" w:asciiTheme="minorHAnsi" w:hAnsiTheme="minorHAnsi"/>
          <w:spacing w:val="18"/>
          <w:sz w:val="21"/>
          <w:szCs w:val="21"/>
          <w:highlight w:val="none"/>
          <w:lang w:eastAsia="zh-CN"/>
        </w:rPr>
        <w:t>鹏信资估报字[2024]第YKM003号</w:t>
      </w:r>
    </w:p>
    <w:tbl>
      <w:tblPr>
        <w:tblStyle w:val="7"/>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，就曲靖市麒麟区自然资源局拟对麒麟区三宝镇兴龙亮子深塘脑子山采石场采矿权进行竞争性出让之经济行为所涉及的麒麟区三宝镇兴龙亮子深塘脑子山采石场采矿权涉矿相关资产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拟对“麒麟区三宝镇兴龙亮子深塘脑子山采石场采矿权”进行竞争性出让，为此，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委托深圳市鹏信资产评估土地房地产估价有限公司对此经济行为涉及的麒麟区三宝镇兴龙亮子深塘脑子山采石场采矿权涉矿相关资产的价值进行评估，为上述经济行为提供价值参考。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二、评估对象：麒麟区三宝镇兴龙亮子深塘脑子山采石场采矿权涉矿相关资产</w:t>
      </w:r>
      <w:r>
        <w:rPr>
          <w:rFonts w:hint="eastAsia" w:ascii="仿宋" w:hAnsi="仿宋" w:eastAsia="仿宋"/>
          <w:sz w:val="24"/>
          <w:lang w:eastAsia="zh-CN"/>
        </w:rPr>
        <w:t>;评估范围：</w:t>
      </w:r>
      <w:r>
        <w:rPr>
          <w:rFonts w:hint="eastAsia" w:ascii="仿宋" w:hAnsi="仿宋" w:eastAsia="仿宋"/>
          <w:sz w:val="24"/>
          <w:lang w:val="en-US" w:eastAsia="zh-CN"/>
        </w:rPr>
        <w:t>曲靖市麒麟区三宝镇兴龙亮子深塘脑子山采石场</w:t>
      </w:r>
      <w:r>
        <w:rPr>
          <w:rFonts w:hint="eastAsia" w:ascii="仿宋" w:hAnsi="仿宋" w:eastAsia="仿宋"/>
          <w:sz w:val="24"/>
          <w:lang w:eastAsia="zh-CN"/>
        </w:rPr>
        <w:t>持有的</w:t>
      </w:r>
      <w:r>
        <w:rPr>
          <w:rFonts w:hint="eastAsia" w:ascii="仿宋" w:hAnsi="仿宋" w:eastAsia="仿宋"/>
          <w:sz w:val="24"/>
          <w:lang w:val="en-US" w:eastAsia="zh-CN"/>
        </w:rPr>
        <w:t>产成品、</w:t>
      </w:r>
      <w:r>
        <w:rPr>
          <w:rFonts w:hint="eastAsia" w:ascii="仿宋" w:hAnsi="仿宋" w:eastAsia="仿宋"/>
          <w:sz w:val="24"/>
          <w:lang w:eastAsia="zh-CN"/>
        </w:rPr>
        <w:t>房屋类建筑物、构筑物类建筑物、机械类设备</w:t>
      </w:r>
      <w:r>
        <w:rPr>
          <w:rFonts w:hint="eastAsia" w:ascii="仿宋" w:hAnsi="仿宋" w:eastAsia="仿宋"/>
          <w:sz w:val="24"/>
          <w:lang w:val="en-US" w:eastAsia="zh-CN"/>
        </w:rPr>
        <w:t>、长期待摊费用</w:t>
      </w:r>
      <w:r>
        <w:rPr>
          <w:rFonts w:hint="eastAsia" w:ascii="仿宋" w:hAnsi="仿宋" w:eastAsia="仿宋"/>
          <w:sz w:val="24"/>
          <w:lang w:eastAsia="zh-CN"/>
        </w:rPr>
        <w:t>等涉矿相关资产，详见评估明细表。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w:t>
      </w:r>
      <w:r>
        <w:rPr>
          <w:rFonts w:hint="default" w:ascii="Calibri" w:hAnsi="Calibri" w:eastAsia="仿宋" w:cs="Calibri"/>
          <w:sz w:val="24"/>
          <w:szCs w:val="24"/>
          <w:lang w:eastAsia="zh-CN"/>
        </w:rPr>
        <w:t>202</w:t>
      </w:r>
      <w:r>
        <w:rPr>
          <w:rFonts w:hint="eastAsia" w:ascii="Calibri" w:hAnsi="Calibri" w:eastAsia="仿宋" w:cs="Calibri"/>
          <w:sz w:val="24"/>
          <w:szCs w:val="24"/>
          <w:lang w:val="en-US" w:eastAsia="zh-CN"/>
        </w:rPr>
        <w:t>3</w:t>
      </w:r>
      <w:r>
        <w:rPr>
          <w:rFonts w:hint="eastAsia" w:ascii="Calibri" w:hAnsi="Calibri" w:eastAsia="仿宋"/>
          <w:sz w:val="24"/>
          <w:szCs w:val="24"/>
          <w:lang w:eastAsia="zh-CN"/>
        </w:rPr>
        <w:t>年</w:t>
      </w:r>
      <w:r>
        <w:rPr>
          <w:rFonts w:hint="eastAsia" w:ascii="Calibri" w:hAnsi="Calibri" w:eastAsia="仿宋" w:cs="Calibri"/>
          <w:sz w:val="24"/>
          <w:szCs w:val="24"/>
          <w:lang w:val="en-US" w:eastAsia="zh-CN"/>
        </w:rPr>
        <w:t>10</w:t>
      </w:r>
      <w:r>
        <w:rPr>
          <w:rFonts w:hint="eastAsia" w:ascii="Calibri" w:hAnsi="Calibri" w:eastAsia="仿宋"/>
          <w:sz w:val="24"/>
          <w:szCs w:val="24"/>
          <w:lang w:eastAsia="zh-CN"/>
        </w:rPr>
        <w:t>月</w:t>
      </w:r>
      <w:r>
        <w:rPr>
          <w:rFonts w:hint="default" w:ascii="Calibri" w:hAnsi="Calibri" w:eastAsia="仿宋" w:cs="Calibri"/>
          <w:sz w:val="24"/>
          <w:szCs w:val="24"/>
          <w:lang w:eastAsia="zh-CN"/>
        </w:rPr>
        <w:t>3</w:t>
      </w:r>
      <w:r>
        <w:rPr>
          <w:rFonts w:hint="eastAsia" w:ascii="Calibri" w:hAnsi="Calibri" w:eastAsia="仿宋" w:cs="Calibri"/>
          <w:sz w:val="24"/>
          <w:szCs w:val="24"/>
          <w:lang w:val="en-US" w:eastAsia="zh-CN"/>
        </w:rPr>
        <w:t>1</w:t>
      </w:r>
      <w:r>
        <w:rPr>
          <w:rFonts w:hint="eastAsia" w:ascii="Calibri" w:hAnsi="Calibri" w:eastAsia="仿宋"/>
          <w:sz w:val="24"/>
          <w:szCs w:val="24"/>
          <w:lang w:eastAsia="zh-CN"/>
        </w:rPr>
        <w:t>日。</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麒麟区三宝镇兴龙亮子深塘脑子山采石场采矿权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Calibri" w:hAnsi="Calibri" w:eastAsia="仿宋"/>
          <w:spacing w:val="6"/>
          <w:sz w:val="24"/>
          <w:szCs w:val="24"/>
          <w:lang w:eastAsia="zh-CN"/>
        </w:rPr>
        <w:t>麒麟区三宝镇兴龙亮子深塘脑子山采石场采矿权</w:t>
      </w:r>
      <w:r>
        <w:rPr>
          <w:rFonts w:hint="eastAsia" w:ascii="Calibri" w:hAnsi="Calibri" w:eastAsia="仿宋"/>
          <w:sz w:val="24"/>
          <w:szCs w:val="24"/>
          <w:lang w:eastAsia="zh-CN"/>
        </w:rPr>
        <w:t>涉矿相关资产市场价值于评估基准日的评估值为：1,616.32万元人民币(大写：人民币【壹仟陆佰壹拾陆万叁仟贰佰】)</w:t>
      </w:r>
      <w:r>
        <w:rPr>
          <w:rFonts w:hint="eastAsia" w:ascii="Calibri" w:hAnsi="Calibri" w:eastAsia="仿宋"/>
          <w:sz w:val="24"/>
          <w:szCs w:val="24"/>
          <w:highlight w:val="none"/>
          <w:lang w:eastAsia="zh-CN"/>
        </w:rPr>
        <w:t>。</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评估结论使用有效期：通常情况下，评估结论的使用有效期自评估基准日</w:t>
      </w:r>
      <w:r>
        <w:rPr>
          <w:rFonts w:hint="default" w:ascii="Calibri" w:hAnsi="Calibri" w:eastAsia="仿宋" w:cs="Calibri"/>
          <w:sz w:val="24"/>
          <w:szCs w:val="24"/>
          <w:lang w:eastAsia="zh-CN"/>
        </w:rPr>
        <w:t>20</w:t>
      </w:r>
      <w:r>
        <w:rPr>
          <w:rFonts w:hint="eastAsia" w:ascii="Calibri" w:hAnsi="Calibri" w:eastAsia="仿宋" w:cs="Calibri"/>
          <w:sz w:val="24"/>
          <w:szCs w:val="24"/>
          <w:lang w:val="en-US" w:eastAsia="zh-CN"/>
        </w:rPr>
        <w:t>23</w:t>
      </w:r>
      <w:r>
        <w:rPr>
          <w:rFonts w:hint="eastAsia" w:ascii="Calibri" w:hAnsi="Calibri" w:eastAsia="仿宋"/>
          <w:sz w:val="24"/>
          <w:szCs w:val="24"/>
          <w:lang w:eastAsia="zh-CN"/>
        </w:rPr>
        <w:t>年</w:t>
      </w:r>
      <w:r>
        <w:rPr>
          <w:rFonts w:hint="eastAsia" w:ascii="Calibri" w:hAnsi="Calibri" w:eastAsia="仿宋" w:cs="Calibri"/>
          <w:sz w:val="24"/>
          <w:szCs w:val="24"/>
          <w:lang w:val="en-US" w:eastAsia="zh-CN"/>
        </w:rPr>
        <w:t>10</w:t>
      </w:r>
      <w:r>
        <w:rPr>
          <w:rFonts w:hint="eastAsia" w:ascii="Calibri" w:hAnsi="Calibri" w:eastAsia="仿宋"/>
          <w:sz w:val="24"/>
          <w:szCs w:val="24"/>
          <w:lang w:eastAsia="zh-CN"/>
        </w:rPr>
        <w:t>月</w:t>
      </w:r>
      <w:r>
        <w:rPr>
          <w:rFonts w:hint="default" w:ascii="Calibri" w:hAnsi="Calibri" w:eastAsia="仿宋" w:cs="Calibri"/>
          <w:sz w:val="24"/>
          <w:szCs w:val="24"/>
          <w:lang w:eastAsia="zh-CN"/>
        </w:rPr>
        <w:t>3</w:t>
      </w:r>
      <w:r>
        <w:rPr>
          <w:rFonts w:hint="eastAsia" w:ascii="Calibri" w:hAnsi="Calibri" w:eastAsia="仿宋" w:cs="Calibri"/>
          <w:sz w:val="24"/>
          <w:szCs w:val="24"/>
          <w:lang w:val="en-US" w:eastAsia="zh-CN"/>
        </w:rPr>
        <w:t>1</w:t>
      </w:r>
      <w:r>
        <w:rPr>
          <w:rFonts w:hint="eastAsia" w:ascii="Calibri" w:hAnsi="Calibri" w:eastAsia="仿宋"/>
          <w:sz w:val="24"/>
          <w:szCs w:val="24"/>
          <w:lang w:eastAsia="zh-CN"/>
        </w:rPr>
        <w:t>日至</w:t>
      </w:r>
      <w:r>
        <w:rPr>
          <w:rFonts w:hint="default" w:ascii="Calibri" w:hAnsi="Calibri" w:eastAsia="仿宋" w:cs="Calibri"/>
          <w:sz w:val="24"/>
          <w:szCs w:val="24"/>
          <w:lang w:eastAsia="zh-CN"/>
        </w:rPr>
        <w:t>202</w:t>
      </w:r>
      <w:r>
        <w:rPr>
          <w:rFonts w:hint="eastAsia" w:ascii="Calibri" w:hAnsi="Calibri" w:eastAsia="仿宋" w:cs="Calibri"/>
          <w:sz w:val="24"/>
          <w:szCs w:val="24"/>
          <w:lang w:val="en-US" w:eastAsia="zh-CN"/>
        </w:rPr>
        <w:t>4</w:t>
      </w:r>
      <w:r>
        <w:rPr>
          <w:rFonts w:hint="eastAsia" w:ascii="Calibri" w:hAnsi="Calibri" w:eastAsia="仿宋"/>
          <w:sz w:val="24"/>
          <w:szCs w:val="24"/>
          <w:lang w:eastAsia="zh-CN"/>
        </w:rPr>
        <w:t>年</w:t>
      </w:r>
      <w:r>
        <w:rPr>
          <w:rFonts w:hint="eastAsia" w:ascii="Calibri" w:hAnsi="Calibri" w:eastAsia="仿宋" w:cs="Calibri"/>
          <w:sz w:val="24"/>
          <w:szCs w:val="24"/>
          <w:lang w:val="en-US" w:eastAsia="zh-CN"/>
        </w:rPr>
        <w:t>10</w:t>
      </w:r>
      <w:r>
        <w:rPr>
          <w:rFonts w:hint="eastAsia" w:ascii="Calibri" w:hAnsi="Calibri" w:eastAsia="仿宋"/>
          <w:sz w:val="24"/>
          <w:szCs w:val="24"/>
          <w:lang w:eastAsia="zh-CN"/>
        </w:rPr>
        <w:t>月</w:t>
      </w:r>
      <w:r>
        <w:rPr>
          <w:rFonts w:hint="eastAsia" w:ascii="Calibri" w:hAnsi="Calibri" w:eastAsia="仿宋" w:cs="Calibri"/>
          <w:sz w:val="24"/>
          <w:szCs w:val="24"/>
          <w:lang w:val="en-US" w:eastAsia="zh-CN"/>
        </w:rPr>
        <w:t>30</w:t>
      </w:r>
      <w:r>
        <w:rPr>
          <w:rFonts w:hint="eastAsia" w:ascii="Calibri" w:hAnsi="Calibri" w:eastAsia="仿宋"/>
          <w:sz w:val="24"/>
          <w:szCs w:val="24"/>
          <w:lang w:eastAsia="zh-CN"/>
        </w:rPr>
        <w:t>日止。</w:t>
      </w:r>
    </w:p>
    <w:p>
      <w:pPr>
        <w:pStyle w:val="4"/>
        <w:rPr>
          <w:rFonts w:hint="default" w:ascii="Calibri" w:hAnsi="Calibri" w:eastAsia="仿宋"/>
          <w:sz w:val="24"/>
          <w:szCs w:val="24"/>
          <w:lang w:val="en-US" w:eastAsia="zh-CN"/>
        </w:rPr>
      </w:pPr>
      <w:r>
        <w:rPr>
          <w:rFonts w:hint="eastAsia" w:ascii="Calibri" w:hAnsi="Calibri" w:eastAsia="仿宋"/>
          <w:sz w:val="24"/>
          <w:szCs w:val="24"/>
          <w:lang w:val="en-US" w:eastAsia="zh-CN"/>
        </w:rPr>
        <w:t>七、特别事项说明：</w:t>
      </w:r>
    </w:p>
    <w:p>
      <w:pPr>
        <w:pStyle w:val="4"/>
        <w:rPr>
          <w:rFonts w:hint="eastAsia" w:eastAsia="仿宋" w:cs="Times New Roman" w:asciiTheme="minorHAnsi" w:hAnsiTheme="minorHAnsi"/>
          <w:sz w:val="24"/>
          <w:szCs w:val="24"/>
          <w:highlight w:val="none"/>
          <w:lang w:val="en-US" w:eastAsia="zh-CN" w:bidi="en-US"/>
        </w:rPr>
      </w:pPr>
      <w:r>
        <w:rPr>
          <w:rFonts w:hint="default" w:ascii="Calibri" w:hAnsi="Calibri" w:eastAsia="仿宋" w:cs="Calibri"/>
          <w:sz w:val="24"/>
          <w:szCs w:val="24"/>
          <w:lang w:val="en-US" w:eastAsia="zh-CN" w:bidi="en-US"/>
        </w:rPr>
        <w:t>1</w:t>
      </w:r>
      <w:r>
        <w:rPr>
          <w:rFonts w:hint="eastAsia" w:eastAsia="仿宋" w:cs="Times New Roman" w:asciiTheme="minorHAnsi" w:hAnsiTheme="minorHAnsi"/>
          <w:sz w:val="24"/>
          <w:szCs w:val="24"/>
          <w:lang w:val="en-US" w:eastAsia="zh-CN" w:bidi="en-US"/>
        </w:rPr>
        <w:t>.截至评估基准日，曲靖市麒麟区三宝镇兴龙亮子深塘脑子山采石场处于停产状态，该采石场将其持有的部分挖掘机出租。根据曲靖市麒麟区三宝镇兴龙亮子深塘脑子山采石场提供的《挖机租赁协议书》，详细信息如下表</w:t>
      </w:r>
      <w:r>
        <w:rPr>
          <w:rFonts w:hint="eastAsia" w:eastAsia="仿宋" w:cs="Times New Roman" w:asciiTheme="minorHAnsi" w:hAnsiTheme="minorHAnsi"/>
          <w:sz w:val="24"/>
          <w:szCs w:val="24"/>
          <w:highlight w:val="none"/>
          <w:lang w:val="en-US" w:eastAsia="zh-CN" w:bidi="en-US"/>
        </w:rPr>
        <w:t>。</w:t>
      </w:r>
    </w:p>
    <w:tbl>
      <w:tblPr>
        <w:tblStyle w:val="7"/>
        <w:tblW w:w="5286" w:type="pct"/>
        <w:jc w:val="center"/>
        <w:shd w:val="clear" w:color="auto" w:fill="auto"/>
        <w:tblLayout w:type="fixed"/>
        <w:tblCellMar>
          <w:top w:w="0" w:type="dxa"/>
          <w:left w:w="0" w:type="dxa"/>
          <w:bottom w:w="0" w:type="dxa"/>
          <w:right w:w="0" w:type="dxa"/>
        </w:tblCellMar>
      </w:tblPr>
      <w:tblGrid>
        <w:gridCol w:w="334"/>
        <w:gridCol w:w="2181"/>
        <w:gridCol w:w="1187"/>
        <w:gridCol w:w="1074"/>
        <w:gridCol w:w="765"/>
        <w:gridCol w:w="1332"/>
        <w:gridCol w:w="405"/>
        <w:gridCol w:w="411"/>
        <w:gridCol w:w="1119"/>
      </w:tblGrid>
      <w:tr>
        <w:tblPrEx>
          <w:shd w:val="clear" w:color="auto" w:fill="auto"/>
          <w:tblCellMar>
            <w:top w:w="0" w:type="dxa"/>
            <w:left w:w="0" w:type="dxa"/>
            <w:bottom w:w="0" w:type="dxa"/>
            <w:right w:w="0" w:type="dxa"/>
          </w:tblCellMar>
        </w:tblPrEx>
        <w:trPr>
          <w:trHeight w:val="288" w:hRule="atLeast"/>
          <w:jc w:val="center"/>
        </w:trPr>
        <w:tc>
          <w:tcPr>
            <w:tcW w:w="189"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序号</w:t>
            </w:r>
          </w:p>
        </w:tc>
        <w:tc>
          <w:tcPr>
            <w:tcW w:w="1238" w:type="pct"/>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出租人</w:t>
            </w:r>
          </w:p>
        </w:tc>
        <w:tc>
          <w:tcPr>
            <w:tcW w:w="673" w:type="pct"/>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承租人</w:t>
            </w:r>
          </w:p>
        </w:tc>
        <w:tc>
          <w:tcPr>
            <w:tcW w:w="609"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设备名称</w:t>
            </w:r>
          </w:p>
        </w:tc>
        <w:tc>
          <w:tcPr>
            <w:tcW w:w="434"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规格型号</w:t>
            </w:r>
          </w:p>
        </w:tc>
        <w:tc>
          <w:tcPr>
            <w:tcW w:w="756"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生产厂家</w:t>
            </w:r>
          </w:p>
        </w:tc>
        <w:tc>
          <w:tcPr>
            <w:tcW w:w="229"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单位</w:t>
            </w:r>
          </w:p>
        </w:tc>
        <w:tc>
          <w:tcPr>
            <w:tcW w:w="233"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数量</w:t>
            </w:r>
          </w:p>
        </w:tc>
        <w:tc>
          <w:tcPr>
            <w:tcW w:w="635" w:type="pct"/>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sz w:val="18"/>
                <w:szCs w:val="18"/>
                <w:highlight w:val="none"/>
                <w:u w:val="none"/>
              </w:rPr>
            </w:pPr>
            <w:r>
              <w:rPr>
                <w:rFonts w:hint="eastAsia" w:ascii="仿宋" w:hAnsi="仿宋" w:eastAsia="仿宋" w:cs="仿宋"/>
                <w:i w:val="0"/>
                <w:color w:val="000000"/>
                <w:kern w:val="0"/>
                <w:sz w:val="18"/>
                <w:szCs w:val="18"/>
                <w:highlight w:val="none"/>
                <w:u w:val="none"/>
                <w:lang w:val="en-US" w:eastAsia="zh-CN" w:bidi="ar"/>
              </w:rPr>
              <w:t>购置日期</w:t>
            </w:r>
          </w:p>
        </w:tc>
      </w:tr>
      <w:tr>
        <w:tblPrEx>
          <w:shd w:val="clear" w:color="auto" w:fill="auto"/>
          <w:tblCellMar>
            <w:top w:w="0" w:type="dxa"/>
            <w:left w:w="0" w:type="dxa"/>
            <w:bottom w:w="0" w:type="dxa"/>
            <w:right w:w="0" w:type="dxa"/>
          </w:tblCellMar>
        </w:tblPrEx>
        <w:trPr>
          <w:trHeight w:val="288" w:hRule="atLeast"/>
          <w:jc w:val="center"/>
        </w:trPr>
        <w:tc>
          <w:tcPr>
            <w:tcW w:w="189"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1238" w:type="pct"/>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609"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434"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229"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233"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c>
          <w:tcPr>
            <w:tcW w:w="635" w:type="pct"/>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仿宋" w:hAnsi="仿宋" w:eastAsia="仿宋" w:cs="仿宋"/>
                <w:i w:val="0"/>
                <w:color w:val="000000"/>
                <w:sz w:val="18"/>
                <w:szCs w:val="18"/>
                <w:highlight w:val="none"/>
                <w:u w:val="none"/>
              </w:rPr>
            </w:pPr>
          </w:p>
        </w:tc>
      </w:tr>
      <w:tr>
        <w:tblPrEx>
          <w:shd w:val="clear" w:color="auto" w:fill="auto"/>
          <w:tblCellMar>
            <w:top w:w="0" w:type="dxa"/>
            <w:left w:w="0" w:type="dxa"/>
            <w:bottom w:w="0" w:type="dxa"/>
            <w:right w:w="0" w:type="dxa"/>
          </w:tblCellMar>
        </w:tblPrEx>
        <w:trPr>
          <w:trHeight w:val="288"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Calibri" w:hAnsi="Calibri" w:eastAsia="仿宋" w:cs="Calibri"/>
                <w:i w:val="0"/>
                <w:color w:val="000000"/>
                <w:kern w:val="0"/>
                <w:sz w:val="18"/>
                <w:szCs w:val="18"/>
                <w:highlight w:val="none"/>
                <w:u w:val="none"/>
                <w:lang w:val="en-US" w:eastAsia="zh-CN" w:bidi="ar"/>
              </w:rPr>
              <w:t>1</w:t>
            </w:r>
          </w:p>
        </w:tc>
        <w:tc>
          <w:tcPr>
            <w:tcW w:w="123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曲靖市麒麟区三宝镇兴龙亮子深塘脑子山采石场</w:t>
            </w:r>
          </w:p>
        </w:tc>
        <w:tc>
          <w:tcPr>
            <w:tcW w:w="67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林浩</w:t>
            </w:r>
          </w:p>
        </w:tc>
        <w:tc>
          <w:tcPr>
            <w:tcW w:w="609"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徐工挖掘机</w:t>
            </w:r>
            <w:r>
              <w:rPr>
                <w:rFonts w:hint="default" w:ascii="Calibri" w:hAnsi="Calibri" w:eastAsia="仿宋" w:cs="Calibri"/>
                <w:i w:val="0"/>
                <w:color w:val="000000"/>
                <w:kern w:val="0"/>
                <w:sz w:val="18"/>
                <w:szCs w:val="18"/>
                <w:highlight w:val="none"/>
                <w:u w:val="none"/>
                <w:lang w:val="en-US" w:eastAsia="zh-CN" w:bidi="ar"/>
              </w:rPr>
              <w:t>5</w:t>
            </w:r>
          </w:p>
        </w:tc>
        <w:tc>
          <w:tcPr>
            <w:tcW w:w="43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Calibri" w:hAnsi="Calibri" w:eastAsia="仿宋" w:cs="Calibri"/>
                <w:i w:val="0"/>
                <w:color w:val="000000"/>
                <w:kern w:val="0"/>
                <w:sz w:val="18"/>
                <w:szCs w:val="18"/>
                <w:highlight w:val="none"/>
                <w:u w:val="none"/>
                <w:lang w:val="en-US" w:eastAsia="zh-CN" w:bidi="ar"/>
              </w:rPr>
              <w:t>490</w:t>
            </w:r>
            <w:r>
              <w:rPr>
                <w:rFonts w:hint="eastAsia" w:ascii="仿宋" w:hAnsi="仿宋" w:eastAsia="仿宋" w:cs="仿宋"/>
                <w:i w:val="0"/>
                <w:color w:val="000000"/>
                <w:kern w:val="0"/>
                <w:sz w:val="18"/>
                <w:szCs w:val="18"/>
                <w:highlight w:val="none"/>
                <w:u w:val="none"/>
                <w:lang w:val="en-US" w:eastAsia="zh-CN" w:bidi="ar"/>
              </w:rPr>
              <w:t>DK</w:t>
            </w:r>
          </w:p>
        </w:tc>
        <w:tc>
          <w:tcPr>
            <w:tcW w:w="75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徐州徐工挖掘</w:t>
            </w:r>
          </w:p>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机械有限公司</w:t>
            </w:r>
          </w:p>
        </w:tc>
        <w:tc>
          <w:tcPr>
            <w:tcW w:w="229"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台</w:t>
            </w:r>
          </w:p>
        </w:tc>
        <w:tc>
          <w:tcPr>
            <w:tcW w:w="23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Calibri" w:hAnsi="Calibri" w:eastAsia="仿宋" w:cs="Calibri"/>
                <w:i w:val="0"/>
                <w:color w:val="000000"/>
                <w:kern w:val="0"/>
                <w:sz w:val="18"/>
                <w:szCs w:val="18"/>
                <w:highlight w:val="none"/>
                <w:u w:val="none"/>
                <w:lang w:val="en-US" w:eastAsia="zh-CN" w:bidi="ar"/>
              </w:rPr>
              <w:t>1</w:t>
            </w:r>
          </w:p>
        </w:tc>
        <w:tc>
          <w:tcPr>
            <w:tcW w:w="635"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Calibri" w:hAnsi="Calibri" w:eastAsia="仿宋" w:cs="Calibri"/>
                <w:i w:val="0"/>
                <w:color w:val="000000"/>
                <w:kern w:val="0"/>
                <w:sz w:val="18"/>
                <w:szCs w:val="18"/>
                <w:highlight w:val="none"/>
                <w:u w:val="none"/>
                <w:lang w:val="en-US" w:eastAsia="zh-CN" w:bidi="ar"/>
              </w:rPr>
              <w:t>2020</w:t>
            </w:r>
            <w:r>
              <w:rPr>
                <w:rFonts w:hint="eastAsia" w:ascii="仿宋" w:hAnsi="仿宋" w:eastAsia="仿宋" w:cs="仿宋"/>
                <w:i w:val="0"/>
                <w:color w:val="000000"/>
                <w:kern w:val="0"/>
                <w:sz w:val="18"/>
                <w:szCs w:val="18"/>
                <w:highlight w:val="none"/>
                <w:u w:val="none"/>
                <w:lang w:val="en-US" w:eastAsia="zh-CN" w:bidi="ar"/>
              </w:rPr>
              <w:t>年</w:t>
            </w:r>
            <w:r>
              <w:rPr>
                <w:rFonts w:hint="default" w:ascii="Calibri" w:hAnsi="Calibri" w:eastAsia="仿宋" w:cs="Calibri"/>
                <w:i w:val="0"/>
                <w:color w:val="000000"/>
                <w:kern w:val="0"/>
                <w:sz w:val="18"/>
                <w:szCs w:val="18"/>
                <w:highlight w:val="none"/>
                <w:u w:val="none"/>
                <w:lang w:val="en-US" w:eastAsia="zh-CN" w:bidi="ar"/>
              </w:rPr>
              <w:t>1</w:t>
            </w:r>
            <w:r>
              <w:rPr>
                <w:rFonts w:hint="eastAsia" w:ascii="仿宋" w:hAnsi="仿宋" w:eastAsia="仿宋" w:cs="仿宋"/>
                <w:i w:val="0"/>
                <w:color w:val="000000"/>
                <w:kern w:val="0"/>
                <w:sz w:val="18"/>
                <w:szCs w:val="18"/>
                <w:highlight w:val="none"/>
                <w:u w:val="none"/>
                <w:lang w:val="en-US" w:eastAsia="zh-CN" w:bidi="ar"/>
              </w:rPr>
              <w:t>月</w:t>
            </w:r>
          </w:p>
        </w:tc>
      </w:tr>
      <w:tr>
        <w:tblPrEx>
          <w:shd w:val="clear" w:color="auto" w:fill="auto"/>
          <w:tblCellMar>
            <w:top w:w="0" w:type="dxa"/>
            <w:left w:w="0" w:type="dxa"/>
            <w:bottom w:w="0" w:type="dxa"/>
            <w:right w:w="0" w:type="dxa"/>
          </w:tblCellMar>
        </w:tblPrEx>
        <w:trPr>
          <w:trHeight w:val="288" w:hRule="atLeast"/>
          <w:jc w:val="center"/>
        </w:trPr>
        <w:tc>
          <w:tcPr>
            <w:tcW w:w="189"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default" w:ascii="仿宋" w:hAnsi="仿宋" w:eastAsia="仿宋" w:cs="仿宋"/>
                <w:i w:val="0"/>
                <w:color w:val="000000"/>
                <w:kern w:val="0"/>
                <w:sz w:val="18"/>
                <w:szCs w:val="18"/>
                <w:highlight w:val="none"/>
                <w:u w:val="none"/>
                <w:lang w:val="en-US" w:eastAsia="zh-CN" w:bidi="ar"/>
              </w:rPr>
            </w:pPr>
            <w:r>
              <w:rPr>
                <w:rFonts w:hint="eastAsia" w:ascii="Calibri" w:hAnsi="Calibri" w:eastAsia="仿宋" w:cs="Calibri"/>
                <w:i w:val="0"/>
                <w:color w:val="000000"/>
                <w:kern w:val="0"/>
                <w:sz w:val="18"/>
                <w:szCs w:val="18"/>
                <w:highlight w:val="none"/>
                <w:u w:val="none"/>
                <w:lang w:val="en-US" w:eastAsia="zh-CN" w:bidi="ar"/>
              </w:rPr>
              <w:t>2</w:t>
            </w:r>
          </w:p>
        </w:tc>
        <w:tc>
          <w:tcPr>
            <w:tcW w:w="123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曲靖市麒麟区三宝镇兴龙亮子深塘脑子山采石场</w:t>
            </w:r>
          </w:p>
        </w:tc>
        <w:tc>
          <w:tcPr>
            <w:tcW w:w="67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林浩</w:t>
            </w:r>
          </w:p>
        </w:tc>
        <w:tc>
          <w:tcPr>
            <w:tcW w:w="609"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徐工挖掘机</w:t>
            </w:r>
            <w:r>
              <w:rPr>
                <w:rFonts w:hint="default" w:ascii="Calibri" w:hAnsi="Calibri" w:eastAsia="仿宋" w:cs="Calibri"/>
                <w:i w:val="0"/>
                <w:color w:val="000000"/>
                <w:kern w:val="0"/>
                <w:sz w:val="18"/>
                <w:szCs w:val="18"/>
                <w:highlight w:val="none"/>
                <w:u w:val="none"/>
                <w:lang w:val="en-US" w:eastAsia="zh-CN" w:bidi="ar"/>
              </w:rPr>
              <w:t>6</w:t>
            </w:r>
          </w:p>
        </w:tc>
        <w:tc>
          <w:tcPr>
            <w:tcW w:w="43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Calibri" w:hAnsi="Calibri" w:eastAsia="仿宋" w:cs="Calibri"/>
                <w:i w:val="0"/>
                <w:color w:val="000000"/>
                <w:kern w:val="0"/>
                <w:sz w:val="18"/>
                <w:szCs w:val="18"/>
                <w:highlight w:val="none"/>
                <w:u w:val="none"/>
                <w:lang w:val="en-US" w:eastAsia="zh-CN" w:bidi="ar"/>
              </w:rPr>
              <w:t>520</w:t>
            </w:r>
            <w:r>
              <w:rPr>
                <w:rFonts w:hint="eastAsia" w:ascii="仿宋" w:hAnsi="仿宋" w:eastAsia="仿宋" w:cs="仿宋"/>
                <w:i w:val="0"/>
                <w:color w:val="000000"/>
                <w:kern w:val="0"/>
                <w:sz w:val="18"/>
                <w:szCs w:val="18"/>
                <w:highlight w:val="none"/>
                <w:u w:val="none"/>
                <w:lang w:val="en-US" w:eastAsia="zh-CN" w:bidi="ar"/>
              </w:rPr>
              <w:t>DK</w:t>
            </w:r>
          </w:p>
        </w:tc>
        <w:tc>
          <w:tcPr>
            <w:tcW w:w="75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徐州徐工挖掘</w:t>
            </w:r>
          </w:p>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机械有限公司</w:t>
            </w:r>
          </w:p>
        </w:tc>
        <w:tc>
          <w:tcPr>
            <w:tcW w:w="229"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eastAsia" w:ascii="仿宋" w:hAnsi="仿宋" w:eastAsia="仿宋" w:cs="仿宋"/>
                <w:i w:val="0"/>
                <w:color w:val="000000"/>
                <w:kern w:val="0"/>
                <w:sz w:val="18"/>
                <w:szCs w:val="18"/>
                <w:highlight w:val="none"/>
                <w:u w:val="none"/>
                <w:lang w:val="en-US" w:eastAsia="zh-CN" w:bidi="ar"/>
              </w:rPr>
              <w:t>台</w:t>
            </w:r>
          </w:p>
        </w:tc>
        <w:tc>
          <w:tcPr>
            <w:tcW w:w="23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Calibri" w:hAnsi="Calibri" w:eastAsia="仿宋" w:cs="Calibri"/>
                <w:i w:val="0"/>
                <w:color w:val="000000"/>
                <w:kern w:val="0"/>
                <w:sz w:val="18"/>
                <w:szCs w:val="18"/>
                <w:highlight w:val="none"/>
                <w:u w:val="none"/>
                <w:lang w:val="en-US" w:eastAsia="zh-CN" w:bidi="ar"/>
              </w:rPr>
              <w:t>1</w:t>
            </w:r>
          </w:p>
        </w:tc>
        <w:tc>
          <w:tcPr>
            <w:tcW w:w="635"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jc w:val="left"/>
              <w:textAlignment w:val="center"/>
              <w:rPr>
                <w:rFonts w:hint="eastAsia" w:ascii="仿宋" w:hAnsi="仿宋" w:eastAsia="仿宋" w:cs="仿宋"/>
                <w:i w:val="0"/>
                <w:color w:val="000000"/>
                <w:kern w:val="0"/>
                <w:sz w:val="18"/>
                <w:szCs w:val="18"/>
                <w:highlight w:val="none"/>
                <w:u w:val="none"/>
                <w:lang w:val="en-US" w:eastAsia="zh-CN" w:bidi="ar"/>
              </w:rPr>
            </w:pPr>
            <w:r>
              <w:rPr>
                <w:rFonts w:hint="default" w:ascii="Calibri" w:hAnsi="Calibri" w:eastAsia="仿宋" w:cs="Calibri"/>
                <w:i w:val="0"/>
                <w:color w:val="000000"/>
                <w:kern w:val="0"/>
                <w:sz w:val="18"/>
                <w:szCs w:val="18"/>
                <w:highlight w:val="none"/>
                <w:u w:val="none"/>
                <w:lang w:val="en-US" w:eastAsia="zh-CN" w:bidi="ar"/>
              </w:rPr>
              <w:t>2020</w:t>
            </w:r>
            <w:r>
              <w:rPr>
                <w:rFonts w:hint="eastAsia" w:ascii="仿宋" w:hAnsi="仿宋" w:eastAsia="仿宋" w:cs="仿宋"/>
                <w:i w:val="0"/>
                <w:color w:val="000000"/>
                <w:kern w:val="0"/>
                <w:sz w:val="18"/>
                <w:szCs w:val="18"/>
                <w:highlight w:val="none"/>
                <w:u w:val="none"/>
                <w:lang w:val="en-US" w:eastAsia="zh-CN" w:bidi="ar"/>
              </w:rPr>
              <w:t>年</w:t>
            </w:r>
            <w:r>
              <w:rPr>
                <w:rFonts w:hint="default" w:ascii="Calibri" w:hAnsi="Calibri" w:eastAsia="仿宋" w:cs="Calibri"/>
                <w:i w:val="0"/>
                <w:color w:val="000000"/>
                <w:kern w:val="0"/>
                <w:sz w:val="18"/>
                <w:szCs w:val="18"/>
                <w:highlight w:val="none"/>
                <w:u w:val="none"/>
                <w:lang w:val="en-US" w:eastAsia="zh-CN" w:bidi="ar"/>
              </w:rPr>
              <w:t>1</w:t>
            </w:r>
            <w:r>
              <w:rPr>
                <w:rFonts w:hint="eastAsia" w:ascii="仿宋" w:hAnsi="仿宋" w:eastAsia="仿宋" w:cs="仿宋"/>
                <w:i w:val="0"/>
                <w:color w:val="000000"/>
                <w:kern w:val="0"/>
                <w:sz w:val="18"/>
                <w:szCs w:val="18"/>
                <w:highlight w:val="none"/>
                <w:u w:val="none"/>
                <w:lang w:val="en-US" w:eastAsia="zh-CN" w:bidi="ar"/>
              </w:rPr>
              <w:t>月</w:t>
            </w:r>
          </w:p>
        </w:tc>
      </w:tr>
    </w:tbl>
    <w:p>
      <w:pPr>
        <w:pStyle w:val="4"/>
        <w:rPr>
          <w:rFonts w:hint="eastAsia" w:ascii="Calibri" w:hAnsi="Calibri" w:eastAsia="仿宋" w:cs="Calibri"/>
          <w:sz w:val="24"/>
          <w:szCs w:val="24"/>
          <w:lang w:val="en-US" w:eastAsia="zh-CN" w:bidi="en-US"/>
        </w:rPr>
      </w:pPr>
      <w:r>
        <w:rPr>
          <w:rFonts w:hint="eastAsia" w:ascii="Calibri" w:hAnsi="Calibri" w:eastAsia="仿宋" w:cs="Calibri"/>
          <w:sz w:val="24"/>
          <w:szCs w:val="24"/>
          <w:lang w:val="en-US" w:eastAsia="zh-CN" w:bidi="en-US"/>
        </w:rPr>
        <w:t>2.本次评估中，产权持有单位另行委托曲靖正矩测绘有限公司对其持有的产成品数量进行了测量，并出具了《采石场方量测量计算报告》，产权持有单位根据该报告的产成品数量进行了申报评估，产权持有单位对其提供资料的真实性、完整性负责；评估机构及资产评估师对在此基础上形成的评估结果承担法律责任。</w:t>
      </w:r>
    </w:p>
    <w:p>
      <w:pPr>
        <w:widowControl w:val="0"/>
        <w:spacing w:before="156" w:beforeLines="50" w:after="0" w:line="240" w:lineRule="auto"/>
        <w:ind w:firstLine="480" w:firstLineChars="200"/>
        <w:jc w:val="both"/>
        <w:rPr>
          <w:rFonts w:hint="eastAsia" w:ascii="Calibri" w:hAnsi="Calibri" w:eastAsia="仿宋" w:cs="Calibri"/>
          <w:sz w:val="24"/>
          <w:szCs w:val="24"/>
          <w:lang w:val="en-US" w:eastAsia="zh-CN" w:bidi="en-US"/>
        </w:rPr>
      </w:pPr>
      <w:r>
        <w:rPr>
          <w:rFonts w:hint="eastAsia" w:ascii="Calibri" w:hAnsi="Calibri" w:eastAsia="仿宋" w:cs="Calibri"/>
          <w:sz w:val="24"/>
          <w:szCs w:val="24"/>
          <w:lang w:val="en-US" w:eastAsia="zh-CN" w:bidi="en-US"/>
        </w:rPr>
        <w:t>3.本次评估中，曲靖市麒麟区三宝镇兴龙亮子深塘脑子山采石场所租用兴龙村委会土地的土地承包费，协议约定年租金330,000.00元，租金按年支付，产权持有单位未缴纳2023年的土地租金，提请报告使用者关注此项债务！</w:t>
      </w:r>
    </w:p>
    <w:p>
      <w:pPr>
        <w:widowControl w:val="0"/>
        <w:spacing w:before="156" w:beforeLines="50" w:after="0" w:line="240" w:lineRule="auto"/>
        <w:ind w:firstLine="482" w:firstLineChars="200"/>
        <w:jc w:val="both"/>
      </w:pPr>
      <w:r>
        <w:rPr>
          <w:rFonts w:hint="eastAsia" w:ascii="Calibri" w:hAnsi="Calibri" w:eastAsia="仿宋"/>
          <w:b/>
          <w:bCs/>
          <w:sz w:val="24"/>
          <w:szCs w:val="24"/>
          <w:lang w:eastAsia="zh-CN"/>
        </w:rPr>
        <w:t>谨提请本资产评估报告使用人注意：以上内容摘自资产评估报告正文，欲了解本评估业务的详细情况和正确理解评估</w:t>
      </w:r>
      <w:bookmarkStart w:id="3" w:name="_GoBack"/>
      <w:bookmarkEnd w:id="3"/>
      <w:r>
        <w:rPr>
          <w:rFonts w:hint="eastAsia" w:ascii="Calibri" w:hAnsi="Calibri" w:eastAsia="仿宋"/>
          <w:b/>
          <w:bCs/>
          <w:sz w:val="24"/>
          <w:szCs w:val="24"/>
          <w:lang w:eastAsia="zh-CN"/>
        </w:rPr>
        <w:t>结论，应当阅读资产评估报告正文</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hint="eastAsia" w:ascii="Calibri" w:hAnsi="Calibri" w:eastAsia="华文仿宋"/>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8522" w:type="dxa"/>
      <w:tblInd w:w="0" w:type="dxa"/>
      <w:tblLayout w:type="fixed"/>
      <w:tblCellMar>
        <w:top w:w="0" w:type="dxa"/>
        <w:left w:w="108" w:type="dxa"/>
        <w:bottom w:w="0" w:type="dxa"/>
        <w:right w:w="108" w:type="dxa"/>
      </w:tblCellMar>
    </w:tblPr>
    <w:tblGrid>
      <w:gridCol w:w="1096"/>
      <w:gridCol w:w="7426"/>
    </w:tblGrid>
    <w:tr>
      <w:tblPrEx>
        <w:tblCellMar>
          <w:top w:w="0" w:type="dxa"/>
          <w:left w:w="108" w:type="dxa"/>
          <w:bottom w:w="0" w:type="dxa"/>
          <w:right w:w="108" w:type="dxa"/>
        </w:tblCellMar>
      </w:tblPrEx>
      <w:tc>
        <w:tcPr>
          <w:tcW w:w="1096" w:type="dxa"/>
          <w:vMerge w:val="restart"/>
          <w:vAlign w:val="center"/>
        </w:tcPr>
        <w:p>
          <w:pPr>
            <w:pStyle w:val="6"/>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12700" b="4445"/>
                <wp:docPr id="3"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麒麟区三宝镇兴龙亮子深塘脑子山采石场采矿权进行竞争性出让所涉及的麒麟区三宝镇兴龙</w:t>
          </w:r>
        </w:p>
      </w:tc>
    </w:tr>
    <w:tr>
      <w:tblPrEx>
        <w:tblCellMar>
          <w:top w:w="0" w:type="dxa"/>
          <w:left w:w="108" w:type="dxa"/>
          <w:bottom w:w="0" w:type="dxa"/>
          <w:right w:w="108" w:type="dxa"/>
        </w:tblCellMar>
      </w:tblPrEx>
      <w:tc>
        <w:tcPr>
          <w:tcW w:w="1096" w:type="dxa"/>
          <w:vMerge w:val="continue"/>
        </w:tcPr>
        <w:p>
          <w:pPr>
            <w:pStyle w:val="6"/>
            <w:pBdr>
              <w:bottom w:val="none" w:color="auto" w:sz="0" w:space="0"/>
            </w:pBdr>
            <w:spacing w:after="0" w:line="0" w:lineRule="atLeast"/>
            <w:jc w:val="both"/>
            <w:rPr>
              <w:rFonts w:ascii="Calibri" w:hAnsi="Calibri" w:eastAsia="华文中宋"/>
              <w:sz w:val="15"/>
              <w:lang w:eastAsia="zh-CN"/>
            </w:rPr>
          </w:pPr>
        </w:p>
      </w:tc>
      <w:tc>
        <w:tcPr>
          <w:tcW w:w="7426" w:type="dxa"/>
          <w:vAlign w:val="top"/>
        </w:tcPr>
        <w:p>
          <w:pPr>
            <w:pStyle w:val="6"/>
            <w:pBdr>
              <w:bottom w:val="none" w:color="auto" w:sz="0" w:space="0"/>
            </w:pBdr>
            <w:spacing w:after="0" w:line="0" w:lineRule="atLeast"/>
            <w:ind w:firstLine="180" w:firstLineChars="100"/>
            <w:jc w:val="right"/>
            <w:rPr>
              <w:rFonts w:ascii="Calibri" w:hAnsi="Calibri" w:eastAsia="仿宋"/>
              <w:lang w:eastAsia="zh-CN"/>
            </w:rPr>
          </w:pPr>
          <w:r>
            <w:rPr>
              <w:rFonts w:hint="eastAsia" w:ascii="仿宋" w:hAnsi="仿宋" w:eastAsia="仿宋"/>
              <w:lang w:eastAsia="zh-CN"/>
            </w:rPr>
            <w:t>亮子深塘脑子山采石场采矿权涉矿相关资产市场价值资产</w:t>
          </w:r>
          <w:r>
            <w:rPr>
              <w:rFonts w:hint="eastAsia" w:ascii="Calibri" w:hAnsi="Calibri" w:eastAsia="仿宋"/>
              <w:lang w:eastAsia="zh-CN"/>
            </w:rPr>
            <w:t>评估报告·摘要</w:t>
          </w:r>
        </w:p>
      </w:tc>
    </w:tr>
  </w:tbl>
  <w:p>
    <w:pPr>
      <w:pStyle w:val="6"/>
      <w:spacing w:after="0" w:line="0" w:lineRule="atLeast"/>
      <w:jc w:val="both"/>
      <w:rPr>
        <w:sz w:val="10"/>
        <w:szCs w:val="1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NjZjOTNiODlhYjY4ZjIyNjUxZTZlNzE1ZWYxMTQifQ=="/>
  </w:docVars>
  <w:rsids>
    <w:rsidRoot w:val="00000000"/>
    <w:rsid w:val="174823A2"/>
    <w:rsid w:val="3CBC068A"/>
    <w:rsid w:val="5D95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autoRedefine/>
    <w:qFormat/>
    <w:uiPriority w:val="9"/>
    <w:pPr>
      <w:spacing w:before="480" w:after="0"/>
      <w:contextualSpacing/>
      <w:outlineLvl w:val="0"/>
    </w:pPr>
    <w:rPr>
      <w:smallCaps/>
      <w:spacing w:val="5"/>
      <w:sz w:val="36"/>
      <w:szCs w:val="36"/>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4">
    <w:name w:val="Normal Indent"/>
    <w:basedOn w:val="1"/>
    <w:autoRedefine/>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5">
    <w:name w:val="footer"/>
    <w:basedOn w:val="1"/>
    <w:autoRedefine/>
    <w:unhideWhenUsed/>
    <w:qFormat/>
    <w:uiPriority w:val="0"/>
    <w:pPr>
      <w:tabs>
        <w:tab w:val="center" w:pos="4153"/>
        <w:tab w:val="right" w:pos="8306"/>
      </w:tabs>
      <w:snapToGrid w:val="0"/>
      <w:spacing w:line="240" w:lineRule="auto"/>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2022-08-10T07:16:00Z</dcterms:created>
  <dc:creator>杨坤</dc:creator>
  <cp:lastModifiedBy>WPS_1591171339</cp:lastModifiedBy>
  <dcterms:modified xsi:type="dcterms:W3CDTF">2024-03-13T07:37:03Z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28084DF82ADF48ECAFAF25E6573792AC_12</vt:lpwstr>
  </property>
</Properties>
</file>