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区直部门突发事件应对工作考评指标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38"/>
        <w:gridCol w:w="3767"/>
        <w:gridCol w:w="717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序号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考核项目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考评内容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黑体_GBK"/>
                <w:sz w:val="24"/>
              </w:rPr>
              <w:t>分值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规划编制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编制应急体系建设规划。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未编制应急体系建设规划扣4分。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财政预算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将突发事件应对工作经费纳入预算。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未将突发事件应对工作经费纳入预算扣4分。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领导机构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成立应急管理领导机构，明确应急管理行政领导负责制。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领导机构不完善扣4分。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办事机构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成立应急管理办公室，配备专职或兼职人员，应急专职或兼职人员不少于1人；完善值守应急、信息报送、应急处置等工作制度。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未成立应急管理办公室扣2分，未配备人员扣1分，工作制度不完善扣2分。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联动机制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建立区域联动机制、社会联动机制。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考评体系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建立突发事件应对工作考评体系。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未建立考评体系扣4分。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7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应急预案</w:t>
            </w:r>
          </w:p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制定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制定有关专项应急预案。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未制定专项应急预案扣4分。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应急预案管理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明确各类应急预案管理科室。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未明确扣4分。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9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应急预案演练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黑体_GBK"/>
                <w:color w:val="0000FF"/>
                <w:sz w:val="24"/>
              </w:rPr>
            </w:pPr>
            <w:r>
              <w:rPr>
                <w:rFonts w:hint="eastAsia" w:eastAsia="方正仿宋_GBK"/>
                <w:sz w:val="24"/>
              </w:rPr>
              <w:t>组织或配合1次以上专项应急预案演练。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未组织或配合专项应急预案演练扣4分。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应急平台建设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按时、按质完成上级交办的应急平台建设任务。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未按时、按质完成应急平台建设任务各扣1分。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11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应急数据库建设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应急预案、人员、物资等实行数据化管理。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应急预案、人员、物资等未数据化管理扣2分。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12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应急队伍建设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做好综合应急救援队伍、突发事件信息员队伍、应急志愿队伍的登记备案、更新工作。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未完成登记备案、更新工作，每一项内容扣1分。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13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应急物资储备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建立应急储备物资信息备案制度；每年更新储备物资信息。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未建立应急储备物资信息备案制度扣2分；未更新储备物资信息扣2分。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14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突发事件应对培训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建立健全突发事件应对工作培训制度；每年组织或参加1次以上应急培训。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未建立突发事件应对工作培训制度扣3分；每年未组织或未参加1次以上应急培训扣2分。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15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值守应急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按区委办、区政府办《关于切实加强应急值守和紧急重要信息报送工作的通知》（〔2015〕16号）要求，设立专门值班室、专线电话和传真，配备办公设备，专人24小时在岗值班，值班工作制度完善；节假日值班带班领导在岗值守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24"/>
              </w:rPr>
              <w:t>10分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应急值班室设施设备不达标1项扣1分，未有专人24小时在岗值班扣2分；无值班制度、记录扣1分；随机抽查值班带班领导、值班室电话不接听1次扣2分。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（本项不封顶，小项扣完后从总分中扣）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</w:t>
            </w:r>
            <w:r>
              <w:rPr>
                <w:rFonts w:hint="eastAsia" w:eastAsia="方正仿宋_GBK"/>
                <w:sz w:val="24"/>
              </w:rPr>
              <w:t>报送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严格按照突发事件信息报送责任主体、时限要求报送信息；及时、准确反馈国家、省、市、区领导批示落实情况。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24"/>
              </w:rPr>
              <w:t>10分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出现突发事件信息迟报、谎报、漏报、瞒报等情况，每次扣3分；未及时续报事件处置进展情况扣1分；未及时、准确反馈领导批示落实情况扣2分。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（本项不封顶，小项扣完后从总分中扣）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17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突发事件应急处置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1．接报突发事件、敏感事件后，主要领导和分管领导第一时间赶赴现场组织处置，根据应急预案要求，及时启动应急预案，相关单位按照工作职责立即采取有效应急措施；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2．现场指挥有力，调度灵敏，与相关部门协调有力、工作扎实有效；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3．充分调动企事业单位、社会团体、志愿者队伍和公</w:t>
            </w:r>
            <w:r>
              <w:rPr>
                <w:rFonts w:hint="eastAsia" w:eastAsia="方正仿宋_GBK"/>
                <w:spacing w:val="-10"/>
                <w:sz w:val="24"/>
              </w:rPr>
              <w:t>众参与应急处置，效果明显；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4．现场事态评估准确，应急处置措施科学、及时、有效，能迅速控制事态发展，未发生次生、衍生事件或者重新引发类似事件。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1．接报后，主要领导及分管领导未能在第一时间赶赴现场组织处置工作扣2分；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2．现场指挥不力扣1分，与部门协调不力、工作推诿扯皮扣2分；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3．未充分调动企事业单位、社会团体、志愿者队伍和社会公众参与处置，社会动员效果一般扣1分；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4．现场事态评估不准确，未能迅速控制事态发展扣2分，导致发生次生、衍生事件或者重新引发类似事件扣2分。</w:t>
            </w:r>
          </w:p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（本项不封顶，小项扣完后从总分中扣）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18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信息发布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建立突发事件信息发布制度；准确、及时公开相关信息；加强网络舆情监控与处置。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未建立突发事件信息发布制度扣2分；信息公开与发布不及时、不准确扣2分；对网络舆情未及时监控，造成谣言和恐慌情绪扩散扣2分。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（本项不封顶，小项扣完后从总分中扣）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19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临时紧急任务完成情况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根据领导授权，通过区政府应急办交办的临时任务、紧急事务。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未按时按质完成区政府应急办交办的临时任务、紧急事务的每次扣1分。</w:t>
            </w:r>
          </w:p>
          <w:p>
            <w:pPr>
              <w:spacing w:line="400" w:lineRule="exact"/>
              <w:ind w:left="19" w:hanging="19" w:hangingChars="8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（本项不区别大小事，不封顶，小项扣完后从总分中扣）</w:t>
            </w:r>
          </w:p>
        </w:tc>
      </w:tr>
    </w:tbl>
    <w:p>
      <w:pPr>
        <w:spacing w:line="400" w:lineRule="exact"/>
        <w:jc w:val="left"/>
        <w:rPr>
          <w:rFonts w:hint="eastAsia" w:eastAsia="方正仿宋_GBK"/>
          <w:sz w:val="24"/>
        </w:rPr>
      </w:pPr>
    </w:p>
    <w:p>
      <w:pPr>
        <w:spacing w:line="520" w:lineRule="exac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2098" w:left="1588" w:header="851" w:footer="1843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19" w:wrap="around" w:vAnchor="text" w:hAnchor="margin" w:xAlign="outside" w:y="3"/>
      <w:jc w:val="center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10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A2A7AB6"/>
    <w:rsid w:val="6A2A7AB6"/>
    <w:rsid w:val="743B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2024-04-22T13:29:00Z</dcterms:created>
  <dc:creator>WPS_1577147775</dc:creator>
  <cp:lastModifiedBy>WPS_1577147775</cp:lastModifiedBy>
  <dcterms:modified xsi:type="dcterms:W3CDTF">2024-04-22T13:30:50Z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20CE485DA8984E54B55C6C808AF26459_13</vt:lpwstr>
  </property>
</Properties>
</file>