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方正黑体_GBK" w:cs="Times New Roman"/>
          <w:color w:val="auto"/>
          <w:kern w:val="2"/>
          <w:sz w:val="32"/>
          <w:szCs w:val="32"/>
          <w:lang w:val="en-US" w:eastAsia="zh-CN"/>
        </w:rPr>
      </w:pPr>
      <w:r>
        <w:rPr>
          <w:rFonts w:hint="default" w:ascii="Times New Roman" w:hAnsi="Times New Roman" w:eastAsia="方正黑体_GBK" w:cs="Times New Roman"/>
          <w:color w:val="auto"/>
          <w:kern w:val="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kern w:val="2"/>
          <w:sz w:val="44"/>
          <w:szCs w:val="44"/>
          <w:lang w:val="en-US" w:eastAsia="zh-CN"/>
        </w:rPr>
      </w:pPr>
      <w:r>
        <w:rPr>
          <w:rFonts w:hint="default" w:ascii="Times New Roman" w:hAnsi="Times New Roman" w:eastAsia="方正小标宋_GBK" w:cs="Times New Roman"/>
          <w:color w:val="auto"/>
          <w:kern w:val="2"/>
          <w:sz w:val="44"/>
          <w:szCs w:val="44"/>
          <w:lang w:val="en-US" w:eastAsia="zh-CN"/>
        </w:rPr>
        <w:t>麒麟区2024年健康麒麟建设推进清单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auto"/>
          <w:kern w:val="2"/>
          <w:sz w:val="44"/>
          <w:szCs w:val="44"/>
          <w:lang w:val="en-US" w:eastAsia="zh-CN"/>
        </w:rPr>
      </w:pPr>
    </w:p>
    <w:tbl>
      <w:tblPr>
        <w:tblStyle w:val="7"/>
        <w:tblW w:w="14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900"/>
        <w:gridCol w:w="3150"/>
        <w:gridCol w:w="2733"/>
        <w:gridCol w:w="2426"/>
        <w:gridCol w:w="2610"/>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jc w:val="center"/>
        </w:trPr>
        <w:tc>
          <w:tcPr>
            <w:tcW w:w="5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b/>
                <w:bCs/>
                <w:color w:val="auto"/>
                <w:kern w:val="0"/>
                <w:sz w:val="28"/>
                <w:szCs w:val="28"/>
                <w:vertAlign w:val="baseline"/>
                <w:lang w:val="en-US" w:eastAsia="zh-CN" w:bidi="ar"/>
              </w:rPr>
            </w:pPr>
            <w:r>
              <w:rPr>
                <w:rFonts w:hint="eastAsia" w:ascii="方正仿宋_GBK" w:hAnsi="方正仿宋_GBK" w:eastAsia="方正仿宋_GBK" w:cs="方正仿宋_GBK"/>
                <w:b/>
                <w:bCs/>
                <w:color w:val="auto"/>
                <w:kern w:val="0"/>
                <w:sz w:val="28"/>
                <w:szCs w:val="28"/>
                <w:vertAlign w:val="baseline"/>
                <w:lang w:val="en-US" w:eastAsia="zh-CN" w:bidi="ar"/>
              </w:rPr>
              <w:t>序号</w:t>
            </w:r>
          </w:p>
        </w:tc>
        <w:tc>
          <w:tcPr>
            <w:tcW w:w="9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重点</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b/>
                <w:bCs/>
                <w:color w:val="auto"/>
                <w:kern w:val="0"/>
                <w:sz w:val="28"/>
                <w:szCs w:val="28"/>
                <w:vertAlign w:val="baseline"/>
                <w:lang w:val="en-US" w:eastAsia="zh-CN" w:bidi="ar"/>
              </w:rPr>
            </w:pPr>
            <w:r>
              <w:rPr>
                <w:rFonts w:hint="eastAsia" w:ascii="方正仿宋_GBK" w:hAnsi="方正仿宋_GBK" w:eastAsia="方正仿宋_GBK" w:cs="方正仿宋_GBK"/>
                <w:b/>
                <w:bCs/>
                <w:color w:val="auto"/>
                <w:kern w:val="2"/>
                <w:sz w:val="28"/>
                <w:szCs w:val="28"/>
                <w:lang w:val="en-US" w:eastAsia="zh-CN" w:bidi="ar-SA"/>
              </w:rPr>
              <w:t>任务</w:t>
            </w:r>
          </w:p>
        </w:tc>
        <w:tc>
          <w:tcPr>
            <w:tcW w:w="31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color w:val="auto"/>
                <w:kern w:val="0"/>
                <w:sz w:val="28"/>
                <w:szCs w:val="28"/>
                <w:vertAlign w:val="baseline"/>
                <w:lang w:val="en-US" w:eastAsia="zh-CN" w:bidi="ar"/>
              </w:rPr>
            </w:pPr>
            <w:r>
              <w:rPr>
                <w:rFonts w:hint="eastAsia" w:ascii="方正仿宋_GBK" w:hAnsi="方正仿宋_GBK" w:eastAsia="方正仿宋_GBK" w:cs="方正仿宋_GBK"/>
                <w:b/>
                <w:bCs/>
                <w:color w:val="auto"/>
                <w:kern w:val="2"/>
                <w:sz w:val="28"/>
                <w:szCs w:val="28"/>
                <w:lang w:val="en-US" w:eastAsia="zh-CN" w:bidi="ar-SA"/>
              </w:rPr>
              <w:t>工作措施</w:t>
            </w:r>
          </w:p>
        </w:tc>
        <w:tc>
          <w:tcPr>
            <w:tcW w:w="1000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时序进度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5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b/>
                <w:bCs/>
                <w:color w:val="auto"/>
                <w:kern w:val="2"/>
                <w:sz w:val="28"/>
                <w:szCs w:val="28"/>
                <w:lang w:val="en-US" w:eastAsia="zh-CN" w:bidi="ar-SA"/>
              </w:rPr>
            </w:pP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b/>
                <w:bCs/>
                <w:color w:val="auto"/>
                <w:kern w:val="2"/>
                <w:sz w:val="28"/>
                <w:szCs w:val="28"/>
                <w:lang w:val="en-US" w:eastAsia="zh-CN" w:bidi="ar-SA"/>
              </w:rPr>
            </w:pPr>
          </w:p>
        </w:tc>
        <w:tc>
          <w:tcPr>
            <w:tcW w:w="31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b/>
                <w:bCs/>
                <w:color w:val="auto"/>
                <w:kern w:val="2"/>
                <w:sz w:val="28"/>
                <w:szCs w:val="28"/>
                <w:lang w:val="en-US" w:eastAsia="zh-CN" w:bidi="ar-SA"/>
              </w:rPr>
            </w:pPr>
          </w:p>
        </w:tc>
        <w:tc>
          <w:tcPr>
            <w:tcW w:w="273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一季度</w:t>
            </w:r>
          </w:p>
        </w:tc>
        <w:tc>
          <w:tcPr>
            <w:tcW w:w="24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二季度</w:t>
            </w:r>
          </w:p>
        </w:tc>
        <w:tc>
          <w:tcPr>
            <w:tcW w:w="26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三季度</w:t>
            </w:r>
          </w:p>
        </w:tc>
        <w:tc>
          <w:tcPr>
            <w:tcW w:w="22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0"/>
                <w:szCs w:val="20"/>
                <w:lang w:val="en-US" w:eastAsia="zh-CN"/>
              </w:rPr>
            </w:pPr>
            <w:r>
              <w:rPr>
                <w:rFonts w:hint="default" w:ascii="Times New Roman" w:hAnsi="Times New Roman" w:eastAsia="宋体" w:cs="Times New Roman"/>
                <w:color w:val="auto"/>
                <w:kern w:val="2"/>
                <w:sz w:val="20"/>
                <w:szCs w:val="20"/>
                <w:lang w:val="en-US" w:eastAsia="zh-CN"/>
              </w:rPr>
              <w:t>1</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4"/>
              </w:rPr>
            </w:pPr>
            <w:r>
              <w:rPr>
                <w:rFonts w:hint="default" w:ascii="Times New Roman" w:hAnsi="Times New Roman" w:eastAsia="方正仿宋_GBK" w:cs="Times New Roman"/>
                <w:color w:val="auto"/>
                <w:kern w:val="2"/>
                <w:sz w:val="21"/>
                <w:szCs w:val="24"/>
              </w:rPr>
              <w:t>优化医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4"/>
              </w:rPr>
            </w:pPr>
            <w:r>
              <w:rPr>
                <w:rFonts w:hint="default" w:ascii="Times New Roman" w:hAnsi="Times New Roman" w:eastAsia="方正仿宋_GBK" w:cs="Times New Roman"/>
                <w:color w:val="auto"/>
                <w:kern w:val="2"/>
                <w:sz w:val="21"/>
                <w:szCs w:val="24"/>
              </w:rPr>
              <w:t>疗卫生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4"/>
              </w:rPr>
            </w:pPr>
            <w:r>
              <w:rPr>
                <w:rFonts w:hint="default" w:ascii="Times New Roman" w:hAnsi="Times New Roman" w:eastAsia="方正仿宋_GBK" w:cs="Times New Roman"/>
                <w:color w:val="auto"/>
                <w:kern w:val="2"/>
                <w:sz w:val="21"/>
                <w:szCs w:val="24"/>
              </w:rPr>
              <w:t>服务能</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_GBK" w:cs="Times New Roman"/>
                <w:color w:val="auto"/>
                <w:kern w:val="0"/>
                <w:sz w:val="31"/>
                <w:szCs w:val="31"/>
                <w:vertAlign w:val="baseline"/>
                <w:lang w:val="en-US" w:eastAsia="zh-CN" w:bidi="ar"/>
              </w:rPr>
            </w:pPr>
            <w:r>
              <w:rPr>
                <w:rFonts w:hint="default" w:ascii="Times New Roman" w:hAnsi="Times New Roman" w:eastAsia="方正仿宋_GBK" w:cs="Times New Roman"/>
                <w:color w:val="auto"/>
                <w:kern w:val="2"/>
                <w:sz w:val="21"/>
                <w:szCs w:val="24"/>
                <w:lang w:val="en-US" w:eastAsia="zh-CN" w:bidi="ar-SA"/>
              </w:rPr>
              <w:t>力</w:t>
            </w:r>
          </w:p>
        </w:tc>
        <w:tc>
          <w:tcPr>
            <w:tcW w:w="31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kern w:val="0"/>
                <w:sz w:val="20"/>
                <w:szCs w:val="20"/>
                <w:lang w:val="en-US" w:eastAsia="zh-CN" w:bidi="ar"/>
              </w:rPr>
            </w:pPr>
            <w:r>
              <w:rPr>
                <w:rFonts w:hint="eastAsia" w:ascii="宋体" w:hAnsi="宋体" w:eastAsia="宋体" w:cs="宋体"/>
                <w:color w:val="auto"/>
                <w:kern w:val="0"/>
                <w:sz w:val="20"/>
                <w:szCs w:val="20"/>
                <w:lang w:val="en-US" w:eastAsia="zh-CN" w:bidi="ar"/>
              </w:rPr>
              <w:t>加快推进重点项目建设；持续推进基层医疗机构服务能力提升三年行动，以“十个专项”和“优质服务基层行”活动为抓手，全面提升基层医疗机构诊疗服务能力，确保达到国家推荐标准的基层医疗机构占比提升至22%。</w:t>
            </w:r>
          </w:p>
        </w:tc>
        <w:tc>
          <w:tcPr>
            <w:tcW w:w="2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1.完成区二院住院楼1#、2#楼主体施工断水，加快推进门诊、医技楼主体建设。密切联系发改、财政部门争取区疾控中心项目建设配套资金。完成文华社区卫生服务中心意向性选址，办理项目建设前期手续。落实水寨、三宝、五联三个卫生所选址。</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2.启动基层医疗卫生机构和村卫生室提质达标工作。对相关基层医疗机构人员进行业务培训。</w:t>
            </w:r>
          </w:p>
        </w:tc>
        <w:tc>
          <w:tcPr>
            <w:tcW w:w="24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1.完成区二院门诊、医技楼主体施工，加快推进感染楼建设。筹备区疾控中心建设项目二次装修及附属设施招标手续。完成文华社区卫生服务中心建设前期手续办理，筹备招投标工作。筹措水寨、三宝、五联三个卫生所项目建设资金，办理建设前期手续。</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2.完成基层医疗卫生机构和村卫生室提质达标自查自评和区级评审。</w:t>
            </w:r>
          </w:p>
        </w:tc>
        <w:tc>
          <w:tcPr>
            <w:tcW w:w="26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1.完成区二院感染楼主体施工，医疗专项进场施工。完成区疾控中心二次装修及附属设施招标手续，施工进场；完成文华街道社区卫生服务中心工程招标、施工进场。开展水寨、三宝、五联三个卫生所建设前期手续办理。落实项目建设场地，完成项目建设前期准备工作。</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kern w:val="0"/>
                <w:sz w:val="31"/>
                <w:szCs w:val="31"/>
                <w:vertAlign w:val="baseline"/>
                <w:lang w:val="en-US" w:eastAsia="zh-CN" w:bidi="ar"/>
              </w:rPr>
            </w:pPr>
            <w:r>
              <w:rPr>
                <w:rFonts w:hint="default" w:ascii="宋体" w:hAnsi="宋体" w:eastAsia="宋体" w:cs="宋体"/>
                <w:color w:val="auto"/>
                <w:kern w:val="0"/>
                <w:sz w:val="20"/>
                <w:szCs w:val="20"/>
                <w:lang w:val="en-US" w:eastAsia="zh-CN" w:bidi="ar"/>
              </w:rPr>
              <w:t>2.做好基层医疗卫生机构提质达标和村卫生室服务能力提升区级评审后的整改工作，申请市级复核验收。</w:t>
            </w:r>
          </w:p>
        </w:tc>
        <w:tc>
          <w:tcPr>
            <w:tcW w:w="22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1.</w:t>
            </w:r>
            <w:r>
              <w:rPr>
                <w:rFonts w:hint="default" w:ascii="宋体" w:hAnsi="宋体" w:eastAsia="宋体" w:cs="宋体"/>
                <w:color w:val="auto"/>
                <w:kern w:val="0"/>
                <w:sz w:val="20"/>
                <w:szCs w:val="20"/>
                <w:lang w:val="en-US" w:eastAsia="zh-CN" w:bidi="ar"/>
              </w:rPr>
              <w:t>完成区二院项目主体建设，加快医疗专项施工进度，争取部分业务用房投入使用。力争区疾控中心项目竣工验收，投入使用。加快推进文华街道社区卫生服务中心建设项目施工，争取项目建成投入运营。力争三个卫生所完成建设，投入运行。</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kern w:val="0"/>
                <w:sz w:val="31"/>
                <w:szCs w:val="31"/>
                <w:vertAlign w:val="baseline"/>
                <w:lang w:val="en-US" w:eastAsia="zh-CN" w:bidi="ar"/>
              </w:rPr>
            </w:pPr>
            <w:r>
              <w:rPr>
                <w:rFonts w:hint="default" w:ascii="宋体" w:hAnsi="宋体" w:eastAsia="宋体" w:cs="宋体"/>
                <w:color w:val="auto"/>
                <w:kern w:val="0"/>
                <w:sz w:val="20"/>
                <w:szCs w:val="20"/>
                <w:lang w:val="en-US" w:eastAsia="zh-CN" w:bidi="ar"/>
              </w:rPr>
              <w:t>2.查缺补漏，做好国家推荐标准、省级建设项目和村卫生室标准化提质建设的验收准备工作。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5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620" w:firstLineChars="200"/>
              <w:jc w:val="center"/>
              <w:textAlignment w:val="auto"/>
              <w:rPr>
                <w:rFonts w:hint="default" w:ascii="Times New Roman" w:hAnsi="Times New Roman" w:eastAsia="方正仿宋_GBK" w:cs="Times New Roman"/>
                <w:color w:val="auto"/>
                <w:kern w:val="0"/>
                <w:sz w:val="31"/>
                <w:szCs w:val="31"/>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auto"/>
                <w:kern w:val="2"/>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4"/>
                <w:lang w:val="en-US" w:eastAsia="zh-CN"/>
              </w:rPr>
            </w:pPr>
            <w:r>
              <w:rPr>
                <w:rFonts w:hint="default" w:ascii="Times New Roman" w:hAnsi="Times New Roman" w:eastAsia="宋体" w:cs="Times New Roman"/>
                <w:color w:val="auto"/>
                <w:kern w:val="2"/>
                <w:sz w:val="20"/>
                <w:szCs w:val="20"/>
                <w:lang w:val="en-US" w:eastAsia="zh-CN"/>
              </w:rPr>
              <w:t>2</w:t>
            </w:r>
          </w:p>
        </w:tc>
        <w:tc>
          <w:tcPr>
            <w:tcW w:w="9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深化医</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药卫生</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体制改</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革</w:t>
            </w:r>
          </w:p>
          <w:p>
            <w:pPr>
              <w:keepNext w:val="0"/>
              <w:keepLines w:val="0"/>
              <w:pageBreakBefore w:val="0"/>
              <w:widowControl w:val="0"/>
              <w:kinsoku/>
              <w:wordWrap/>
              <w:overflowPunct/>
              <w:topLinePunct w:val="0"/>
              <w:autoSpaceDE/>
              <w:autoSpaceDN/>
              <w:bidi w:val="0"/>
              <w:adjustRightInd/>
              <w:snapToGrid/>
              <w:spacing w:line="320" w:lineRule="exact"/>
              <w:ind w:firstLine="620" w:firstLineChars="200"/>
              <w:jc w:val="center"/>
              <w:textAlignment w:val="auto"/>
              <w:rPr>
                <w:rFonts w:hint="default" w:ascii="Times New Roman" w:hAnsi="Times New Roman" w:eastAsia="方正仿宋_GBK" w:cs="Times New Roman"/>
                <w:color w:val="auto"/>
                <w:kern w:val="0"/>
                <w:sz w:val="31"/>
                <w:szCs w:val="31"/>
                <w:vertAlign w:val="baseline"/>
                <w:lang w:val="en-US" w:eastAsia="zh-CN" w:bidi="ar"/>
              </w:rPr>
            </w:pPr>
          </w:p>
        </w:tc>
        <w:tc>
          <w:tcPr>
            <w:tcW w:w="31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深化紧密型县域医共体改革，全面推进县域医疗集团建设，全面整合县域医疗卫生机构（单位）人、财、物等资源，组建麒麟区县域医疗集团，统筹负责县域内医疗服务和公共卫生工作，至 2024 年底，完成县域医疗集团建设。</w:t>
            </w:r>
          </w:p>
        </w:tc>
        <w:tc>
          <w:tcPr>
            <w:tcW w:w="273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调整充实医改领导小组。</w:t>
            </w:r>
          </w:p>
        </w:tc>
        <w:tc>
          <w:tcPr>
            <w:tcW w:w="242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出台县域医疗集团建设实施方案。</w:t>
            </w:r>
          </w:p>
        </w:tc>
        <w:tc>
          <w:tcPr>
            <w:tcW w:w="26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组建县域医疗集团领导班子，完成医疗集团挂牌。</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tc>
        <w:tc>
          <w:tcPr>
            <w:tcW w:w="223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总结县域医疗集团建设工作经验和典型做法。</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620" w:firstLineChars="200"/>
              <w:jc w:val="center"/>
              <w:textAlignment w:val="auto"/>
              <w:rPr>
                <w:rFonts w:hint="default" w:ascii="Times New Roman" w:hAnsi="Times New Roman" w:eastAsia="方正仿宋_GBK" w:cs="Times New Roman"/>
                <w:color w:val="auto"/>
                <w:kern w:val="0"/>
                <w:sz w:val="31"/>
                <w:szCs w:val="31"/>
                <w:vertAlign w:val="baseline"/>
                <w:lang w:val="en-US" w:eastAsia="zh-CN" w:bidi="ar"/>
              </w:rPr>
            </w:pP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620" w:firstLineChars="200"/>
              <w:jc w:val="center"/>
              <w:textAlignment w:val="auto"/>
              <w:rPr>
                <w:rFonts w:hint="default" w:ascii="Times New Roman" w:hAnsi="Times New Roman" w:eastAsia="方正仿宋_GBK" w:cs="Times New Roman"/>
                <w:color w:val="auto"/>
                <w:kern w:val="0"/>
                <w:sz w:val="31"/>
                <w:szCs w:val="31"/>
                <w:vertAlign w:val="baseline"/>
                <w:lang w:val="en-US" w:eastAsia="zh-CN" w:bidi="ar"/>
              </w:rPr>
            </w:pPr>
          </w:p>
        </w:tc>
        <w:tc>
          <w:tcPr>
            <w:tcW w:w="31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落实医保差异化报销政策，推动分级诊疗有序开展，县域内就诊率达 90%。</w:t>
            </w:r>
          </w:p>
        </w:tc>
        <w:tc>
          <w:tcPr>
            <w:tcW w:w="1000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医保部门按季度调度待遇清单落实情况，医保差异化助力分级诊疗；卫健部门及时组织集中培训，结合医保部门相关数据的统计及汇总情况认真分析，完成县域内就诊率相关数据的统计、上报工作。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58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620" w:firstLineChars="200"/>
              <w:jc w:val="center"/>
              <w:textAlignment w:val="auto"/>
              <w:rPr>
                <w:rFonts w:hint="default" w:ascii="Times New Roman" w:hAnsi="Times New Roman" w:eastAsia="方正仿宋_GBK" w:cs="Times New Roman"/>
                <w:color w:val="auto"/>
                <w:kern w:val="0"/>
                <w:sz w:val="31"/>
                <w:szCs w:val="31"/>
                <w:vertAlign w:val="baseline"/>
                <w:lang w:val="en-US" w:eastAsia="zh-CN" w:bidi="ar"/>
              </w:rPr>
            </w:pP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620" w:firstLineChars="200"/>
              <w:jc w:val="center"/>
              <w:textAlignment w:val="auto"/>
              <w:rPr>
                <w:rFonts w:hint="default" w:ascii="Times New Roman" w:hAnsi="Times New Roman" w:eastAsia="方正仿宋_GBK" w:cs="Times New Roman"/>
                <w:color w:val="auto"/>
                <w:kern w:val="0"/>
                <w:sz w:val="31"/>
                <w:szCs w:val="31"/>
                <w:vertAlign w:val="baseline"/>
                <w:lang w:val="en-US" w:eastAsia="zh-CN" w:bidi="ar"/>
              </w:rPr>
            </w:pPr>
          </w:p>
        </w:tc>
        <w:tc>
          <w:tcPr>
            <w:tcW w:w="31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加快推进医疗集团信息化建设，搭建区、镇、村互联互通的信息化平台，提升医疗机构信息化应用能力。</w:t>
            </w:r>
          </w:p>
        </w:tc>
        <w:tc>
          <w:tcPr>
            <w:tcW w:w="2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完成医疗集团信息化建设前期调研工作、完成总医院主要系统的切换及建设工作，起草制定医疗集团各成员单位信息化建设（接入）子方案。按照市级统筹安排，配合推进医疗影像云平台二期项目（麒麟辖区）前期准备工作。</w:t>
            </w:r>
          </w:p>
        </w:tc>
        <w:tc>
          <w:tcPr>
            <w:tcW w:w="24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待市“数字曲靖”领导小组完成方案审批后，按照程序完成医疗集团专用网络及信息化项目建设招标工作。按照市级统筹安排，配合做好医疗影像云平台二期项目（麒麟辖区）设备安装。</w:t>
            </w:r>
          </w:p>
        </w:tc>
        <w:tc>
          <w:tcPr>
            <w:tcW w:w="26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完成医疗集团总医院数据中心建设，分批次将成熟的信息系统延伸接入相关成员单位，完成医疗集团各系统接口改造，并培训准备切换各成员单位使用的信息系统。按照市级统筹安排，配合做好医疗影像云平台二期项目（麒麟辖区）数据对接。</w:t>
            </w:r>
          </w:p>
        </w:tc>
        <w:tc>
          <w:tcPr>
            <w:tcW w:w="22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持续优化信息系统，持续收集各成员单位提出的信息化整改意见并优化所涉及的信息系统功能。按照市级统筹安排，配合做好曲靖市医疗影像云平台二期项目（麒麟辖区）相关收尾工作。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4"/>
                <w:lang w:val="en-US" w:eastAsia="zh-CN"/>
              </w:rPr>
            </w:pPr>
            <w:r>
              <w:rPr>
                <w:rFonts w:hint="default" w:ascii="Times New Roman" w:hAnsi="Times New Roman" w:eastAsia="宋体" w:cs="Times New Roman"/>
                <w:color w:val="auto"/>
                <w:kern w:val="2"/>
                <w:sz w:val="20"/>
                <w:szCs w:val="20"/>
                <w:lang w:val="en-US" w:eastAsia="zh-CN"/>
              </w:rPr>
              <w:t>3</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中医药传承创新发展</w:t>
            </w:r>
          </w:p>
        </w:tc>
        <w:tc>
          <w:tcPr>
            <w:tcW w:w="31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建成中医药适宜技术推广中心</w:t>
            </w:r>
          </w:p>
        </w:tc>
        <w:tc>
          <w:tcPr>
            <w:tcW w:w="2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制定实施方案，召开中医药适宜技术推广中心建设工作会议。</w:t>
            </w:r>
          </w:p>
        </w:tc>
        <w:tc>
          <w:tcPr>
            <w:tcW w:w="24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举办第一期、第二期集中理论培训和技能考核，开展下乡指导。</w:t>
            </w:r>
          </w:p>
        </w:tc>
        <w:tc>
          <w:tcPr>
            <w:tcW w:w="26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举办第三期、第四期集中理论培训和技能考核，开展下乡指导。</w:t>
            </w:r>
          </w:p>
        </w:tc>
        <w:tc>
          <w:tcPr>
            <w:tcW w:w="223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工作总结会及资料收集整理存档。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做实公</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共卫生</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服务</w:t>
            </w:r>
          </w:p>
        </w:tc>
        <w:tc>
          <w:tcPr>
            <w:tcW w:w="31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巩固国家慢病综合防控示范区创建成果。按照市级下达的省级基层标准化慢性病诊疗专科项目和心脑血管救治站指标完成创建任务。提升妇幼健康保障水平，健全辖区危重儿童分级救治平台与转运网络。</w:t>
            </w:r>
          </w:p>
        </w:tc>
        <w:tc>
          <w:tcPr>
            <w:tcW w:w="273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完成慢</w:t>
            </w:r>
            <w:r>
              <w:rPr>
                <w:rFonts w:hint="eastAsia" w:ascii="宋体" w:hAnsi="宋体" w:eastAsia="宋体" w:cs="宋体"/>
                <w:color w:val="auto"/>
                <w:kern w:val="0"/>
                <w:sz w:val="20"/>
                <w:szCs w:val="20"/>
                <w:lang w:val="en-US" w:eastAsia="zh-CN" w:bidi="ar"/>
              </w:rPr>
              <w:t>性</w:t>
            </w:r>
            <w:r>
              <w:rPr>
                <w:rFonts w:hint="default" w:ascii="宋体" w:hAnsi="宋体" w:eastAsia="宋体" w:cs="宋体"/>
                <w:color w:val="auto"/>
                <w:kern w:val="0"/>
                <w:sz w:val="20"/>
                <w:szCs w:val="20"/>
                <w:lang w:val="en-US" w:eastAsia="zh-CN" w:bidi="ar"/>
              </w:rPr>
              <w:t>病示范区网报材料（区级）收集、上报；完成1季度高血压、糖尿病随访工作。按照下达的省级重点中心卫生院建设项目、省级基层标准化慢</w:t>
            </w:r>
            <w:r>
              <w:rPr>
                <w:rFonts w:hint="eastAsia" w:ascii="宋体" w:hAnsi="宋体" w:eastAsia="宋体" w:cs="宋体"/>
                <w:color w:val="auto"/>
                <w:kern w:val="0"/>
                <w:sz w:val="20"/>
                <w:szCs w:val="20"/>
                <w:lang w:val="en-US" w:eastAsia="zh-CN" w:bidi="ar"/>
              </w:rPr>
              <w:t>性</w:t>
            </w:r>
            <w:r>
              <w:rPr>
                <w:rFonts w:hint="default" w:ascii="宋体" w:hAnsi="宋体" w:eastAsia="宋体" w:cs="宋体"/>
                <w:color w:val="auto"/>
                <w:kern w:val="0"/>
                <w:sz w:val="20"/>
                <w:szCs w:val="20"/>
                <w:lang w:val="en-US" w:eastAsia="zh-CN" w:bidi="ar"/>
              </w:rPr>
              <w:t>病病诊疗专科建设项目和心脑血管救治站拓面提质建设项目指标，对照创建标准和时限，指导各镇（街道）制定创建任务具体方案，压实创建责任。</w:t>
            </w:r>
          </w:p>
        </w:tc>
        <w:tc>
          <w:tcPr>
            <w:tcW w:w="242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完成2季度高血压、糖尿病随访工作，在辖区内建成运营3个健康生活体验馆。组织对基层标准化慢性病诊疗专科项目和心脑血管救治站等项目创建工作业务培训，明确创建标准，提升创建质量。</w:t>
            </w:r>
          </w:p>
        </w:tc>
        <w:tc>
          <w:tcPr>
            <w:tcW w:w="26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完成3季度随访工作，并对14个镇（街道）慢</w:t>
            </w:r>
            <w:r>
              <w:rPr>
                <w:rFonts w:hint="eastAsia" w:ascii="宋体" w:hAnsi="宋体" w:eastAsia="宋体" w:cs="宋体"/>
                <w:color w:val="auto"/>
                <w:kern w:val="0"/>
                <w:sz w:val="20"/>
                <w:szCs w:val="20"/>
                <w:lang w:val="en-US" w:eastAsia="zh-CN" w:bidi="ar"/>
              </w:rPr>
              <w:t>性</w:t>
            </w:r>
            <w:r>
              <w:rPr>
                <w:rFonts w:hint="default" w:ascii="宋体" w:hAnsi="宋体" w:eastAsia="宋体" w:cs="宋体"/>
                <w:color w:val="auto"/>
                <w:kern w:val="0"/>
                <w:sz w:val="20"/>
                <w:szCs w:val="20"/>
                <w:lang w:val="en-US" w:eastAsia="zh-CN" w:bidi="ar"/>
              </w:rPr>
              <w:t>病工作进行督导检查，扎实推进慢病防控工作。督促各镇（街道）按照下达指标任务完成项目创建任务，形成项目建设工作总结。</w:t>
            </w:r>
          </w:p>
        </w:tc>
        <w:tc>
          <w:tcPr>
            <w:tcW w:w="223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对14个镇（街道）慢</w:t>
            </w:r>
            <w:r>
              <w:rPr>
                <w:rFonts w:hint="eastAsia" w:ascii="宋体" w:hAnsi="宋体" w:eastAsia="宋体" w:cs="宋体"/>
                <w:color w:val="auto"/>
                <w:kern w:val="0"/>
                <w:sz w:val="20"/>
                <w:szCs w:val="20"/>
                <w:lang w:val="en-US" w:eastAsia="zh-CN" w:bidi="ar"/>
              </w:rPr>
              <w:t>性</w:t>
            </w:r>
            <w:r>
              <w:rPr>
                <w:rFonts w:hint="default" w:ascii="宋体" w:hAnsi="宋体" w:eastAsia="宋体" w:cs="宋体"/>
                <w:color w:val="auto"/>
                <w:kern w:val="0"/>
                <w:sz w:val="20"/>
                <w:szCs w:val="20"/>
                <w:lang w:val="en-US" w:eastAsia="zh-CN" w:bidi="ar"/>
              </w:rPr>
              <w:t>病管理工作年终考核，高血压、糖尿病患者规范管理率≥70%。完成省市级验收对各镇（街道）存在问题的整改和服务能力持续提升。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31"/>
                <w:szCs w:val="31"/>
                <w:vertAlign w:val="baseline"/>
                <w:lang w:val="en-US" w:eastAsia="zh-CN" w:bidi="ar"/>
              </w:rPr>
            </w:pPr>
            <w:r>
              <w:rPr>
                <w:rFonts w:hint="default" w:ascii="Times New Roman" w:hAnsi="Times New Roman" w:eastAsia="方正仿宋_GBK" w:cs="Times New Roman"/>
                <w:color w:val="auto"/>
                <w:kern w:val="0"/>
                <w:sz w:val="20"/>
                <w:szCs w:val="20"/>
                <w:vertAlign w:val="baseline"/>
                <w:lang w:val="en-US" w:eastAsia="zh-CN" w:bidi="ar"/>
              </w:rPr>
              <w:t>5</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健全婴幼儿普</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惠托育服务体</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系</w:t>
            </w:r>
          </w:p>
        </w:tc>
        <w:tc>
          <w:tcPr>
            <w:tcW w:w="31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大力推进3岁以下婴幼儿照护服务工作，加快普惠托育服务扩容，不断增加托育服务供给。持续开展示范托育机构创建，加大对托育机构的监督管理，不断提升托育机构服务质量。到2024年底，全区每千人口拥有3岁以下婴幼儿托位数达4 个，创建市级示范托育机构1个。</w:t>
            </w:r>
          </w:p>
        </w:tc>
        <w:tc>
          <w:tcPr>
            <w:tcW w:w="2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指导各托育机构（含托幼一体化幼儿园）做好2023年网络直报工作。加大对托育机构的监管力度，不断提升托育机构服务质量。</w:t>
            </w:r>
          </w:p>
        </w:tc>
        <w:tc>
          <w:tcPr>
            <w:tcW w:w="24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开展2024 年示范托育机构创建工作，举办托育服务宣传月主题活动；加大对托育机构的监管力度，不断提升托育机构服务质量；督促托位建设，确保千人托位数达到 4 个。</w:t>
            </w:r>
          </w:p>
        </w:tc>
        <w:tc>
          <w:tcPr>
            <w:tcW w:w="26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对申报“示范托育机构”的单位进行区级初审；加大对托育机构的监管力度，不断提升托育机构服务质量；督促托位建设，确保千人托位数达到 4 个。</w:t>
            </w:r>
          </w:p>
        </w:tc>
        <w:tc>
          <w:tcPr>
            <w:tcW w:w="22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加大对托育机构的监管力度，不断提升托育机构服务质量；督促托位建设，确保千人托位数达到 4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5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0"/>
                <w:szCs w:val="20"/>
                <w:vertAlign w:val="baseline"/>
                <w:lang w:val="en-US" w:eastAsia="zh-CN" w:bidi="ar"/>
              </w:rPr>
            </w:pPr>
            <w:r>
              <w:rPr>
                <w:rFonts w:hint="default" w:ascii="Times New Roman" w:hAnsi="Times New Roman" w:eastAsia="方正仿宋_GBK" w:cs="Times New Roman"/>
                <w:color w:val="auto"/>
                <w:kern w:val="0"/>
                <w:sz w:val="20"/>
                <w:szCs w:val="20"/>
                <w:vertAlign w:val="baseline"/>
                <w:lang w:val="en-US" w:eastAsia="zh-CN" w:bidi="ar"/>
              </w:rPr>
              <w:t>6</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持续推进健康县城建设</w:t>
            </w:r>
          </w:p>
        </w:tc>
        <w:tc>
          <w:tcPr>
            <w:tcW w:w="31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深入实施爱国卫生新“7个专项行动”，以国家卫生城市巩固、国家卫生乡镇创建为抓手，一体推进健康县城建设，持续巩固国家卫生城市创建成果，常态化监督检查，防止问题反弹。东山、越州、茨营3个镇至少1家建成国家卫生乡镇。</w:t>
            </w:r>
          </w:p>
        </w:tc>
        <w:tc>
          <w:tcPr>
            <w:tcW w:w="2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制定印发《麒麟区2024年爱国卫生工作计划》、《曲靖市麒麟区2024年健康县城建设专项行动实施方案》。</w:t>
            </w:r>
          </w:p>
        </w:tc>
        <w:tc>
          <w:tcPr>
            <w:tcW w:w="24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组织开展第36个爱国卫生月活动。组织开展第37个世界无烟日活动。组织开展春季病媒生物防制工作。对各镇创建国家卫生乡镇、各街道巩固国家卫生城市暨健康县城建设工作进行抽查和督导。</w:t>
            </w:r>
          </w:p>
        </w:tc>
        <w:tc>
          <w:tcPr>
            <w:tcW w:w="26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对各镇创建国家卫生乡镇、各街道巩固国家卫生城市暨健康县城建设工作进行抽查和督导。指导3个镇做好迎接国家卫生乡镇的暗访和抽查准备。</w:t>
            </w:r>
          </w:p>
        </w:tc>
        <w:tc>
          <w:tcPr>
            <w:tcW w:w="22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0"/>
                <w:sz w:val="20"/>
                <w:szCs w:val="20"/>
                <w:lang w:val="en-US" w:eastAsia="zh-CN" w:bidi="ar"/>
              </w:rPr>
            </w:pPr>
            <w:r>
              <w:rPr>
                <w:rFonts w:hint="default" w:ascii="宋体" w:hAnsi="宋体" w:eastAsia="宋体" w:cs="宋体"/>
                <w:color w:val="auto"/>
                <w:kern w:val="0"/>
                <w:sz w:val="20"/>
                <w:szCs w:val="20"/>
                <w:lang w:val="en-US" w:eastAsia="zh-CN" w:bidi="ar"/>
              </w:rPr>
              <w:t>组织开展秋季病媒生物防制工作。指导3个镇做好迎接国家卫生乡镇的暗访和抽查准备。按照省级考核进度完成省级考核工作。</w:t>
            </w:r>
          </w:p>
        </w:tc>
      </w:tr>
    </w:tbl>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Times New Roman" w:hAnsi="Times New Roman" w:eastAsia="方正仿宋_GBK" w:cs="Times New Roman"/>
          <w:color w:val="auto"/>
          <w:sz w:val="32"/>
          <w:szCs w:val="32"/>
          <w:highlight w:val="none"/>
          <w:u w:val="none"/>
        </w:rPr>
      </w:pPr>
    </w:p>
    <w:p>
      <w:bookmarkStart w:id="0" w:name="_GoBack"/>
      <w:bookmarkEnd w:id="0"/>
    </w:p>
    <w:sectPr>
      <w:headerReference r:id="rId3" w:type="default"/>
      <w:footerReference r:id="rId4" w:type="default"/>
      <w:pgSz w:w="16838" w:h="11906" w:orient="landscape"/>
      <w:pgMar w:top="1474" w:right="1417" w:bottom="1474" w:left="1417" w:header="851" w:footer="1134"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kinsoku/>
                            <w:wordWrap/>
                            <w:overflowPunct/>
                            <w:topLinePunct w:val="0"/>
                            <w:autoSpaceDE/>
                            <w:autoSpaceDN/>
                            <w:bidi w:val="0"/>
                            <w:adjustRightInd/>
                            <w:snapToGrid w:val="0"/>
                            <w:ind w:left="200" w:leftChars="100" w:right="200" w:rightChars="100"/>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18</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keepNext w:val="0"/>
                      <w:keepLines w:val="0"/>
                      <w:pageBreakBefore w:val="0"/>
                      <w:widowControl/>
                      <w:kinsoku/>
                      <w:wordWrap/>
                      <w:overflowPunct/>
                      <w:topLinePunct w:val="0"/>
                      <w:autoSpaceDE/>
                      <w:autoSpaceDN/>
                      <w:bidi w:val="0"/>
                      <w:adjustRightInd/>
                      <w:snapToGrid w:val="0"/>
                      <w:ind w:left="200" w:leftChars="100" w:right="200" w:rightChars="100"/>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18</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41BE1222"/>
    <w:rsid w:val="41BE1222"/>
    <w:rsid w:val="7AF91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Calibri" w:cs="Arial"/>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toc 5"/>
    <w:basedOn w:val="1"/>
    <w:next w:val="1"/>
    <w:qFormat/>
    <w:uiPriority w:val="0"/>
    <w:pPr>
      <w:ind w:left="1680"/>
    </w:pPr>
    <w:rPr>
      <w:rFonts w:ascii="Calibri" w:hAnsi="Calibri" w:eastAsia="宋体" w:cs="Times New Roman"/>
      <w:sz w:val="21"/>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2024-07-22T09:58:00Z</dcterms:created>
  <dc:creator>WPS_1577147775</dc:creator>
  <cp:lastModifiedBy>WPS_1577147775</cp:lastModifiedBy>
  <dcterms:modified xsi:type="dcterms:W3CDTF">2024-07-22T10:01:33Z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734CCDFA66F24C23B943747AEA562AD1_13</vt:lpwstr>
  </property>
</Properties>
</file>