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附件2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4"/>
        <w:jc w:val="center"/>
        <w:rPr>
          <w:rFonts w:hint="default" w:ascii="Times New Roman" w:hAnsi="Times New Roman" w:cs="Times New Roman"/>
          <w:b w:val="0"/>
          <w:bCs w:val="0"/>
          <w:sz w:val="43"/>
          <w:szCs w:val="43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43"/>
          <w:szCs w:val="43"/>
          <w:lang w:eastAsia="zh-CN"/>
        </w:rPr>
        <w:t>曲靖市</w:t>
      </w:r>
      <w:r>
        <w:rPr>
          <w:rFonts w:hint="default" w:ascii="Times New Roman" w:hAnsi="Times New Roman" w:cs="Times New Roman"/>
          <w:b w:val="0"/>
          <w:bCs w:val="0"/>
          <w:sz w:val="43"/>
          <w:szCs w:val="43"/>
          <w:lang w:val="en-US" w:eastAsia="zh-CN"/>
        </w:rPr>
        <w:t>麒麟区</w:t>
      </w:r>
      <w:r>
        <w:rPr>
          <w:rFonts w:hint="default" w:ascii="Times New Roman" w:hAnsi="Times New Roman" w:cs="Times New Roman"/>
          <w:b w:val="0"/>
          <w:bCs w:val="0"/>
          <w:sz w:val="43"/>
          <w:szCs w:val="43"/>
          <w:lang w:eastAsia="zh-CN"/>
        </w:rPr>
        <w:t>2024年提升食品药品安全保障水平工作推进清单</w:t>
      </w:r>
    </w:p>
    <w:tbl>
      <w:tblPr>
        <w:tblStyle w:val="7"/>
        <w:tblW w:w="141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310"/>
        <w:gridCol w:w="2287"/>
        <w:gridCol w:w="1650"/>
        <w:gridCol w:w="1650"/>
        <w:gridCol w:w="1650"/>
        <w:gridCol w:w="2150"/>
        <w:gridCol w:w="1300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477" w:type="dxa"/>
            <w:textDirection w:val="tbRlV"/>
          </w:tcPr>
          <w:p>
            <w:pPr>
              <w:spacing w:before="116" w:line="207" w:lineRule="auto"/>
              <w:ind w:left="121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44"/>
                <w:sz w:val="24"/>
                <w:szCs w:val="24"/>
              </w:rPr>
              <w:t>序号</w:t>
            </w:r>
          </w:p>
        </w:tc>
        <w:tc>
          <w:tcPr>
            <w:tcW w:w="1310" w:type="dxa"/>
          </w:tcPr>
          <w:p>
            <w:pPr>
              <w:spacing w:before="272" w:line="233" w:lineRule="auto"/>
              <w:ind w:left="179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287" w:type="dxa"/>
          </w:tcPr>
          <w:p>
            <w:pPr>
              <w:spacing w:before="272" w:line="234" w:lineRule="auto"/>
              <w:ind w:left="746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sz w:val="24"/>
                <w:szCs w:val="24"/>
              </w:rPr>
              <w:t>主要任务</w:t>
            </w:r>
          </w:p>
        </w:tc>
        <w:tc>
          <w:tcPr>
            <w:tcW w:w="1650" w:type="dxa"/>
          </w:tcPr>
          <w:p>
            <w:pPr>
              <w:spacing w:before="271" w:line="235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6"/>
                <w:sz w:val="24"/>
                <w:szCs w:val="24"/>
              </w:rPr>
              <w:t>一季度</w:t>
            </w:r>
          </w:p>
        </w:tc>
        <w:tc>
          <w:tcPr>
            <w:tcW w:w="1650" w:type="dxa"/>
          </w:tcPr>
          <w:p>
            <w:pPr>
              <w:spacing w:before="271" w:line="235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5"/>
                <w:sz w:val="24"/>
                <w:szCs w:val="24"/>
              </w:rPr>
              <w:t>二季度</w:t>
            </w:r>
          </w:p>
        </w:tc>
        <w:tc>
          <w:tcPr>
            <w:tcW w:w="1650" w:type="dxa"/>
          </w:tcPr>
          <w:p>
            <w:pPr>
              <w:spacing w:before="271" w:line="235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6"/>
                <w:sz w:val="24"/>
                <w:szCs w:val="24"/>
              </w:rPr>
              <w:t>三季度</w:t>
            </w:r>
          </w:p>
        </w:tc>
        <w:tc>
          <w:tcPr>
            <w:tcW w:w="2150" w:type="dxa"/>
          </w:tcPr>
          <w:p>
            <w:pPr>
              <w:spacing w:before="271" w:line="235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10"/>
                <w:sz w:val="24"/>
                <w:szCs w:val="24"/>
              </w:rPr>
              <w:t>四季度</w:t>
            </w:r>
          </w:p>
        </w:tc>
        <w:tc>
          <w:tcPr>
            <w:tcW w:w="1300" w:type="dxa"/>
          </w:tcPr>
          <w:p>
            <w:pPr>
              <w:spacing w:before="272" w:line="232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5"/>
                <w:sz w:val="24"/>
                <w:szCs w:val="24"/>
              </w:rPr>
              <w:t>牵头单位</w:t>
            </w:r>
          </w:p>
        </w:tc>
        <w:tc>
          <w:tcPr>
            <w:tcW w:w="1723" w:type="dxa"/>
          </w:tcPr>
          <w:p>
            <w:pPr>
              <w:spacing w:before="272" w:line="233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4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77" w:type="dxa"/>
          </w:tcPr>
          <w:p>
            <w:pPr>
              <w:spacing w:line="349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before="58" w:line="195" w:lineRule="auto"/>
              <w:ind w:left="206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222" w:line="202" w:lineRule="auto"/>
              <w:ind w:left="118" w:right="152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开展药品监督抽检工作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开展药品监督抽检14批次，对抽检不合格依法处置。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按照抽验方案，第一季度完成1批次。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按照抽验方案，第二季度完成6批次。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按照抽验方案，第三季度完成2批次。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按照抽验方案，第四季度完成5批次。完成总任务量100%。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477" w:type="dxa"/>
          </w:tcPr>
          <w:p>
            <w:pPr>
              <w:spacing w:line="286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286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before="57" w:line="195" w:lineRule="auto"/>
              <w:ind w:left="186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6" w:line="202" w:lineRule="auto"/>
              <w:ind w:left="113" w:right="152" w:firstLine="4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开展医疗器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械监督抽检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全年计划开展4批次医疗器械监督抽检，对抽检不合格依法处置。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制定计划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完成4批次医疗器械抽样。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完成送样、检样工作（抽样送至云南省医疗器械检验研究院进行检验）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根据云南省医疗器械检验研究院出具的检验结果，完成后处置工作。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477" w:type="dxa"/>
          </w:tcPr>
          <w:p>
            <w:pPr>
              <w:spacing w:line="435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before="58" w:line="195" w:lineRule="auto"/>
              <w:ind w:left="19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309" w:line="202" w:lineRule="auto"/>
              <w:ind w:left="118" w:right="152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</w:rPr>
              <w:t>开展化妆品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</w:rPr>
              <w:t>监督抽检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按照《云南省2024年化妆品抽样检验实施方案》要求，按照市局统筹安排完成化妆品抽检任务。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按照抽检方案，完成一季度抽检任务数。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按照抽检方案，完成二季度抽检任务数。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按照抽检方案，完成三季度抽检任务数。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按照抽检方案，第四季度完成总任务数100%。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477" w:type="dxa"/>
          </w:tcPr>
          <w:p>
            <w:pPr>
              <w:spacing w:line="356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line="357" w:lineRule="auto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spacing w:before="58" w:line="195" w:lineRule="auto"/>
              <w:ind w:left="185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5" w:line="201" w:lineRule="auto"/>
              <w:ind w:left="113" w:right="152" w:firstLine="4"/>
              <w:jc w:val="both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开展特殊食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品经营企业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lang w:eastAsia="zh-CN"/>
              </w:rPr>
              <w:t>培训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开展特殊食品经营企业培训，全区特殊食品经营企业460户，特殊食品经营企业抽考覆盖率达到60%以上（大于276户）。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特殊食品经营企业抽考覆盖率达到10%以上，不低于46户。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特殊食品经营企业抽考覆盖率达到20%以上，累计不低于92户。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特殊食品经营企业抽考覆盖率达到40%以上，累计不低于84户。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特殊食品经营企业抽考覆盖率达到60%以上，累计不低于276户。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77" w:type="dxa"/>
            <w:vAlign w:val="center"/>
          </w:tcPr>
          <w:p>
            <w:pPr>
              <w:spacing w:before="58" w:line="192" w:lineRule="auto"/>
              <w:ind w:left="192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237" w:line="202" w:lineRule="auto"/>
              <w:ind w:left="115" w:right="152" w:firstLine="2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</w:rPr>
              <w:t>开展药品飞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5"/>
              </w:rPr>
              <w:t>行检查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完成11家药品经营使用单位飞行检查。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第一季度完成飞行检查1 家次。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第二季度完成飞行检查4家次。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第三季度完成飞行检查3家次。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第四季度完成飞行检查3家次，总检查任务量100%。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77" w:type="dxa"/>
            <w:vAlign w:val="center"/>
          </w:tcPr>
          <w:p>
            <w:pPr>
              <w:spacing w:before="57" w:line="195" w:lineRule="auto"/>
              <w:ind w:left="190"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6" w:line="202" w:lineRule="auto"/>
              <w:ind w:left="113" w:leftChars="0" w:right="152" w:rightChars="0" w:firstLine="4" w:firstLineChars="0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开展医疗器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械飞行检查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全年计划飞行检查企业4家，覆盖生产流通使用环节，惩戒违法违规行为。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制定计划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完成计划数的50%（2家）。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完成计划数的100%（4家）。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涉及整改或案件查办的形成闭环。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77" w:type="dxa"/>
            <w:vAlign w:val="center"/>
          </w:tcPr>
          <w:p>
            <w:pPr>
              <w:spacing w:before="57" w:line="192" w:lineRule="auto"/>
              <w:ind w:left="189"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6" w:line="199" w:lineRule="auto"/>
              <w:ind w:left="115" w:leftChars="0" w:right="152" w:rightChars="0" w:firstLine="2" w:firstLineChars="0"/>
              <w:jc w:val="both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开展药品不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良反应和医疗器械不良事件监测工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作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全区全年药品不良反应报告数987份、医疗器械不良事件报告数348份。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按年度目标任务开展监测工作，全区第一季度完成药品不良反应报告数 99 份、医疗器械不良事件报告数 35份。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按年度目标任务开展监测工作，全区第二季度累计完成药品不良反应报告数 296份、医疗器械不良事件报告数104份。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按年度目标任务开展监测工作，全区第三季度累计完成药品不良反应报告数493份、医疗器械不良事件报告数174份。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按年度目标任务开展监测工作，全区到第四季度末完成总任务量的100%。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区卫健局、各镇（街道）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77" w:type="dxa"/>
            <w:vAlign w:val="center"/>
          </w:tcPr>
          <w:p>
            <w:pPr>
              <w:spacing w:before="57" w:line="195" w:lineRule="auto"/>
              <w:ind w:left="194"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5" w:line="201" w:lineRule="auto"/>
              <w:ind w:left="114" w:leftChars="0" w:right="152" w:rightChars="0" w:firstLine="3" w:firstLineChars="0"/>
              <w:jc w:val="left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开展食品安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全监督抽检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lang w:eastAsia="zh-CN"/>
              </w:rPr>
              <w:t>工作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开展食品安全监督抽检，覆盖食品生产、流通、餐饮环节，计划全年完成区级食品抽检任务2400批次，按时完成核查处置任务。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根据市级抽检计划和均衡性抽检任务要求，第一季度完成总任务量20%，不少于480批次。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根据市级抽检计划和均衡性抽检任务要求，第二季度完成总任务量30%，不少于720批次。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根据市级抽检计划和均衡性抽检任务要求，第三季度完成总任务量30%，不少于720批次。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根据市级抽检计划和均衡性抽检任务要求，第四季度完成总任务量20%，不少于480批次。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77" w:type="dxa"/>
            <w:vAlign w:val="center"/>
          </w:tcPr>
          <w:p>
            <w:pPr>
              <w:spacing w:before="58" w:line="195" w:lineRule="auto"/>
              <w:ind w:left="190"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pStyle w:val="10"/>
              <w:spacing w:before="86" w:line="201" w:lineRule="auto"/>
              <w:ind w:left="114" w:leftChars="0" w:right="152" w:rightChars="0"/>
              <w:jc w:val="both"/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lang w:eastAsia="zh-CN"/>
              </w:rPr>
              <w:t>建立食品安全风险分析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6"/>
                <w:lang w:eastAsia="zh-CN"/>
              </w:rPr>
              <w:t>研判机制</w:t>
            </w:r>
          </w:p>
        </w:tc>
        <w:tc>
          <w:tcPr>
            <w:tcW w:w="2287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建立食品安全风险研判会商机制，定期研判分析食品安全风险，每季度形成风险分析报告。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出台食品安全风险会商工作机制，召开一次风险会议，形成第1季度风险分析报告。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落实食品安全风险会商工作机制，召开一次风险会议，形成第2季度风险分析报告。</w:t>
            </w:r>
          </w:p>
        </w:tc>
        <w:tc>
          <w:tcPr>
            <w:tcW w:w="16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落实食品安全风险会商工作机制，召开一次风险会议，形成第3季度风险分析报告。</w:t>
            </w:r>
          </w:p>
        </w:tc>
        <w:tc>
          <w:tcPr>
            <w:tcW w:w="215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落实食品安全风险会商工作机制，召开一次风险会议，形成第4季度风险分析报告。</w:t>
            </w:r>
          </w:p>
        </w:tc>
        <w:tc>
          <w:tcPr>
            <w:tcW w:w="1300" w:type="dxa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区市场监管局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lang w:eastAsia="zh-CN"/>
              </w:rPr>
              <w:t>各镇（街道）区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lang w:eastAsia="zh-CN"/>
              </w:rPr>
              <w:t>发改局、区农业农村局、区卫健局、区教体局、市公安局麒麟分局、区林草局等单位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BD81DB3"/>
    <w:rsid w:val="170B51DD"/>
    <w:rsid w:val="3BD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99"/>
    <w:rPr>
      <w:rFonts w:ascii="微软雅黑" w:hAnsi="微软雅黑" w:eastAsia="微软雅黑" w:cs="微软雅黑"/>
      <w:sz w:val="31"/>
      <w:szCs w:val="31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cs="宋体"/>
    </w:rPr>
  </w:style>
  <w:style w:type="paragraph" w:styleId="5">
    <w:name w:val="toc 5"/>
    <w:basedOn w:val="1"/>
    <w:next w:val="1"/>
    <w:qFormat/>
    <w:uiPriority w:val="99"/>
    <w:pPr>
      <w:ind w:left="168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Table Text"/>
    <w:basedOn w:val="1"/>
    <w:semiHidden/>
    <w:qFormat/>
    <w:uiPriority w:val="99"/>
    <w:rPr>
      <w:rFonts w:ascii="微软雅黑" w:hAnsi="微软雅黑" w:eastAsia="微软雅黑" w:cs="微软雅黑"/>
      <w:sz w:val="20"/>
      <w:szCs w:val="20"/>
    </w:rPr>
  </w:style>
  <w:style w:type="character" w:customStyle="1" w:styleId="11">
    <w:name w:val="font31"/>
    <w:basedOn w:val="8"/>
    <w:qFormat/>
    <w:uiPriority w:val="99"/>
    <w:rPr>
      <w:rFonts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2024-07-25T03:02:00Z</dcterms:created>
  <dc:creator>WPS_1577147775</dc:creator>
  <cp:lastModifiedBy>WPS_1577147775</cp:lastModifiedBy>
  <dcterms:modified xsi:type="dcterms:W3CDTF">2024-07-25T03:03:36Z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43980B192E7548A484EAB45A0FE687F2_13</vt:lpwstr>
  </property>
</Properties>
</file>