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sz w:val="44"/>
          <w:szCs w:val="30"/>
        </w:rPr>
      </w:pPr>
      <w:bookmarkStart w:id="0" w:name="_Toc76802654"/>
      <w:bookmarkStart w:id="101" w:name="_GoBack"/>
      <w:bookmarkEnd w:id="101"/>
    </w:p>
    <w:p>
      <w:pPr>
        <w:spacing w:before="100" w:beforeAutospacing="1" w:after="100" w:afterAutospacing="1" w:line="640" w:lineRule="exact"/>
        <w:jc w:val="center"/>
        <w:rPr>
          <w:rFonts w:ascii="方正小标宋_GBK" w:hAnsi="仿宋" w:eastAsia="方正小标宋_GBK"/>
          <w:sz w:val="32"/>
          <w:szCs w:val="32"/>
        </w:rPr>
      </w:pPr>
      <w:r>
        <w:rPr>
          <w:rFonts w:hint="eastAsia" w:ascii="方正小标宋_GBK" w:hAnsi="仿宋" w:eastAsia="方正小标宋_GBK"/>
          <w:sz w:val="32"/>
          <w:szCs w:val="32"/>
        </w:rPr>
        <w:t>麒麟区矿产资源总体规划</w:t>
      </w:r>
    </w:p>
    <w:p>
      <w:pPr>
        <w:spacing w:before="100" w:beforeAutospacing="1" w:after="100" w:afterAutospacing="1" w:line="640" w:lineRule="exact"/>
        <w:jc w:val="center"/>
        <w:rPr>
          <w:rFonts w:ascii="方正小标宋_GBK" w:hAnsi="仿宋" w:eastAsia="方正小标宋_GBK"/>
          <w:sz w:val="32"/>
          <w:szCs w:val="32"/>
        </w:rPr>
      </w:pPr>
      <w:r>
        <w:rPr>
          <w:rFonts w:hint="eastAsia" w:ascii="方正小标宋_GBK" w:hAnsi="仿宋" w:eastAsia="方正小标宋_GBK"/>
          <w:sz w:val="32"/>
          <w:szCs w:val="32"/>
        </w:rPr>
        <w:t>（</w:t>
      </w:r>
      <w:r>
        <w:rPr>
          <w:rFonts w:hint="eastAsia" w:ascii="宋体" w:hAnsi="宋体" w:eastAsia="宋体"/>
          <w:sz w:val="32"/>
          <w:szCs w:val="32"/>
        </w:rPr>
        <w:t>2021-2025</w:t>
      </w:r>
      <w:r>
        <w:rPr>
          <w:rFonts w:hint="eastAsia" w:ascii="方正小标宋_GBK" w:hAnsi="仿宋" w:eastAsia="方正小标宋_GBK"/>
          <w:sz w:val="32"/>
          <w:szCs w:val="32"/>
        </w:rPr>
        <w:t>年）</w:t>
      </w:r>
    </w:p>
    <w:p>
      <w:pPr>
        <w:spacing w:before="100" w:beforeAutospacing="1" w:after="100" w:afterAutospacing="1" w:line="640" w:lineRule="exact"/>
        <w:jc w:val="center"/>
        <w:rPr>
          <w:rFonts w:ascii="方正小标宋_GBK" w:hAnsi="仿宋" w:eastAsia="方正小标宋_GBK"/>
          <w:sz w:val="32"/>
          <w:szCs w:val="32"/>
        </w:rPr>
      </w:pPr>
      <w:r>
        <w:rPr>
          <w:rFonts w:hint="eastAsia" w:ascii="方正小标宋_GBK" w:hAnsi="仿宋" w:eastAsia="方正小标宋_GBK"/>
          <w:sz w:val="32"/>
          <w:szCs w:val="32"/>
        </w:rPr>
        <w:t>（公开发布稿）</w:t>
      </w:r>
    </w:p>
    <w:p>
      <w:pPr>
        <w:widowControl/>
        <w:jc w:val="center"/>
        <w:rPr>
          <w:rFonts w:ascii="楷体" w:hAnsi="楷体" w:eastAsia="楷体" w:cs="宋体"/>
          <w:b/>
          <w:sz w:val="36"/>
          <w:szCs w:val="30"/>
        </w:rPr>
      </w:pPr>
    </w:p>
    <w:p>
      <w:pPr>
        <w:widowControl/>
        <w:jc w:val="center"/>
        <w:rPr>
          <w:rFonts w:ascii="楷体" w:hAnsi="楷体" w:eastAsia="楷体" w:cs="宋体"/>
          <w:b/>
          <w:sz w:val="36"/>
          <w:szCs w:val="30"/>
        </w:rPr>
      </w:pPr>
    </w:p>
    <w:p>
      <w:pPr>
        <w:widowControl/>
        <w:jc w:val="center"/>
        <w:rPr>
          <w:rFonts w:ascii="楷体" w:hAnsi="楷体" w:eastAsia="楷体" w:cs="宋体"/>
          <w:b/>
          <w:sz w:val="36"/>
          <w:szCs w:val="30"/>
        </w:rPr>
      </w:pPr>
    </w:p>
    <w:p>
      <w:pPr>
        <w:widowControl/>
        <w:jc w:val="center"/>
        <w:rPr>
          <w:rFonts w:ascii="楷体" w:hAnsi="楷体" w:eastAsia="楷体" w:cs="宋体"/>
          <w:b/>
          <w:sz w:val="36"/>
          <w:szCs w:val="30"/>
        </w:rPr>
      </w:pPr>
    </w:p>
    <w:p>
      <w:pPr>
        <w:widowControl/>
        <w:jc w:val="center"/>
        <w:rPr>
          <w:rFonts w:ascii="楷体" w:hAnsi="楷体" w:eastAsia="楷体" w:cs="宋体"/>
          <w:b/>
          <w:sz w:val="36"/>
          <w:szCs w:val="30"/>
        </w:rPr>
      </w:pPr>
    </w:p>
    <w:p>
      <w:pPr>
        <w:widowControl/>
        <w:jc w:val="center"/>
        <w:rPr>
          <w:rFonts w:ascii="楷体" w:hAnsi="楷体" w:eastAsia="楷体" w:cs="宋体"/>
          <w:b/>
          <w:sz w:val="36"/>
          <w:szCs w:val="30"/>
        </w:rPr>
      </w:pPr>
    </w:p>
    <w:p>
      <w:pPr>
        <w:widowControl/>
        <w:jc w:val="center"/>
        <w:rPr>
          <w:rFonts w:ascii="楷体" w:hAnsi="楷体" w:eastAsia="楷体" w:cs="宋体"/>
          <w:b/>
          <w:sz w:val="36"/>
          <w:szCs w:val="30"/>
        </w:rPr>
      </w:pPr>
    </w:p>
    <w:p>
      <w:pPr>
        <w:widowControl/>
        <w:jc w:val="center"/>
        <w:rPr>
          <w:rFonts w:ascii="楷体" w:hAnsi="楷体" w:eastAsia="楷体" w:cs="宋体"/>
          <w:b/>
          <w:sz w:val="36"/>
          <w:szCs w:val="30"/>
        </w:rPr>
      </w:pPr>
    </w:p>
    <w:p>
      <w:pPr>
        <w:widowControl/>
        <w:jc w:val="center"/>
        <w:rPr>
          <w:rFonts w:ascii="楷体" w:hAnsi="楷体" w:eastAsia="楷体" w:cs="宋体"/>
          <w:b/>
          <w:sz w:val="36"/>
          <w:szCs w:val="30"/>
        </w:rPr>
      </w:pPr>
    </w:p>
    <w:p>
      <w:pPr>
        <w:widowControl/>
        <w:jc w:val="center"/>
        <w:rPr>
          <w:rFonts w:ascii="楷体" w:hAnsi="楷体" w:eastAsia="楷体" w:cs="宋体"/>
          <w:b/>
          <w:sz w:val="36"/>
          <w:szCs w:val="30"/>
        </w:rPr>
      </w:pPr>
    </w:p>
    <w:p>
      <w:pPr>
        <w:widowControl/>
        <w:jc w:val="center"/>
        <w:rPr>
          <w:rFonts w:hint="eastAsia" w:ascii="楷体" w:hAnsi="楷体" w:eastAsia="楷体" w:cs="宋体"/>
          <w:b/>
          <w:sz w:val="36"/>
          <w:szCs w:val="30"/>
        </w:rPr>
      </w:pPr>
    </w:p>
    <w:p>
      <w:pPr>
        <w:widowControl/>
        <w:jc w:val="center"/>
        <w:rPr>
          <w:rFonts w:ascii="楷体" w:hAnsi="楷体" w:eastAsia="楷体" w:cs="宋体"/>
          <w:b/>
          <w:sz w:val="36"/>
          <w:szCs w:val="30"/>
        </w:rPr>
      </w:pPr>
    </w:p>
    <w:p>
      <w:pPr>
        <w:jc w:val="center"/>
        <w:rPr>
          <w:rFonts w:ascii="方正小标宋_GBK" w:eastAsia="方正小标宋_GBK"/>
          <w:sz w:val="32"/>
          <w:szCs w:val="32"/>
        </w:rPr>
      </w:pPr>
    </w:p>
    <w:p>
      <w:pPr>
        <w:jc w:val="center"/>
        <w:rPr>
          <w:rFonts w:ascii="方正小标宋_GBK" w:eastAsia="方正小标宋_GBK"/>
          <w:sz w:val="32"/>
          <w:szCs w:val="32"/>
        </w:rPr>
      </w:pPr>
      <w:r>
        <w:rPr>
          <w:rFonts w:hint="eastAsia" w:ascii="方正小标宋_GBK" w:eastAsia="方正小标宋_GBK"/>
          <w:sz w:val="32"/>
          <w:szCs w:val="32"/>
        </w:rPr>
        <w:t>二〇二三年一月</w:t>
      </w:r>
    </w:p>
    <w:p>
      <w:pPr>
        <w:jc w:val="center"/>
        <w:rPr>
          <w:rFonts w:ascii="方正小标宋_GBK" w:eastAsia="方正小标宋_GBK"/>
          <w:sz w:val="32"/>
          <w:szCs w:val="32"/>
        </w:rPr>
      </w:pPr>
    </w:p>
    <w:p>
      <w:pPr>
        <w:widowControl/>
        <w:jc w:val="left"/>
        <w:rPr>
          <w:rFonts w:ascii="方正小标宋_GBK" w:eastAsia="方正小标宋_GBK"/>
          <w:sz w:val="32"/>
          <w:szCs w:val="32"/>
        </w:rPr>
      </w:pPr>
      <w:r>
        <w:rPr>
          <w:rFonts w:ascii="方正小标宋_GBK" w:eastAsia="方正小标宋_GBK"/>
          <w:sz w:val="32"/>
          <w:szCs w:val="32"/>
        </w:rPr>
        <w:br w:type="page"/>
      </w:r>
    </w:p>
    <w:p>
      <w:pPr>
        <w:widowControl/>
        <w:spacing w:line="360" w:lineRule="auto"/>
        <w:jc w:val="center"/>
        <w:rPr>
          <w:rFonts w:ascii="方正仿宋_GBK" w:hAnsi="楷体" w:eastAsia="方正仿宋_GBK" w:cs="宋体"/>
          <w:b/>
          <w:sz w:val="28"/>
          <w:szCs w:val="28"/>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pStyle w:val="2"/>
      </w:pPr>
      <w:bookmarkStart w:id="1" w:name="_Toc100681757"/>
      <w:r>
        <w:t>总  则</w:t>
      </w:r>
      <w:bookmarkEnd w:id="0"/>
      <w:bookmarkEnd w:id="1"/>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“十四五”</w:t>
      </w:r>
      <w:r>
        <w:rPr>
          <w:rFonts w:ascii="方正仿宋_GBK" w:hAnsi="Times New Roman" w:eastAsia="方正仿宋_GBK"/>
          <w:sz w:val="30"/>
          <w:szCs w:val="30"/>
        </w:rPr>
        <w:t>时期是我国全面建成小康社会之后，乘势而上开启全面建设社会主义现代化国家新征程的第一个五年，也是麒麟区加快转型、实现高质量可持续发展的重要转折期。为统筹麒麟区矿产资源勘查、开发利用与保护活动，确保能源和战略性矿产资源安全，提高矿产资源对高质量发展需求的保障能力，加快绿色矿山建设步伐，深入推动矿产资源管理改革，实现麒麟区矿业经济绿色低碳可持续发展，依据《中华人民共和国矿产资源法》</w:t>
      </w:r>
      <w:r>
        <w:rPr>
          <w:rFonts w:hint="eastAsia" w:ascii="方正仿宋_GBK" w:hAnsi="Times New Roman" w:eastAsia="方正仿宋_GBK"/>
          <w:sz w:val="30"/>
          <w:szCs w:val="30"/>
        </w:rPr>
        <w:t>、</w:t>
      </w:r>
      <w:r>
        <w:rPr>
          <w:rFonts w:ascii="方正仿宋_GBK" w:hAnsi="Times New Roman" w:eastAsia="方正仿宋_GBK"/>
          <w:sz w:val="30"/>
          <w:szCs w:val="30"/>
        </w:rPr>
        <w:t>《矿产资源规划编制实施办法》</w:t>
      </w:r>
      <w:r>
        <w:rPr>
          <w:rFonts w:hint="eastAsia" w:ascii="方正仿宋_GBK" w:hAnsi="Times New Roman" w:eastAsia="方正仿宋_GBK"/>
          <w:sz w:val="30"/>
          <w:szCs w:val="30"/>
        </w:rPr>
        <w:t>、</w:t>
      </w:r>
      <w:r>
        <w:rPr>
          <w:rFonts w:ascii="方正仿宋_GBK" w:hAnsi="Times New Roman" w:eastAsia="方正仿宋_GBK"/>
          <w:sz w:val="30"/>
          <w:szCs w:val="30"/>
        </w:rPr>
        <w:t>《自然资源部关于全面开展矿产资源规划（</w:t>
      </w:r>
      <w:r>
        <w:rPr>
          <w:rFonts w:ascii="宋体" w:hAnsi="宋体" w:eastAsia="宋体"/>
          <w:sz w:val="30"/>
          <w:szCs w:val="30"/>
        </w:rPr>
        <w:t>2021-2025</w:t>
      </w:r>
      <w:r>
        <w:rPr>
          <w:rFonts w:ascii="方正仿宋_GBK" w:hAnsi="Times New Roman" w:eastAsia="方正仿宋_GBK"/>
          <w:sz w:val="30"/>
          <w:szCs w:val="30"/>
        </w:rPr>
        <w:t>年）编制工作的通知》</w:t>
      </w:r>
      <w:r>
        <w:rPr>
          <w:rFonts w:hint="eastAsia" w:ascii="方正仿宋_GBK" w:hAnsi="Times New Roman" w:eastAsia="方正仿宋_GBK"/>
          <w:sz w:val="30"/>
          <w:szCs w:val="30"/>
        </w:rPr>
        <w:t xml:space="preserve"> </w:t>
      </w:r>
      <w:r>
        <w:rPr>
          <w:rFonts w:ascii="方正仿宋_GBK" w:hAnsi="Times New Roman" w:eastAsia="方正仿宋_GBK"/>
          <w:sz w:val="30"/>
          <w:szCs w:val="30"/>
        </w:rPr>
        <w:t>《</w:t>
      </w:r>
      <w:r>
        <w:rPr>
          <w:rFonts w:hint="eastAsia" w:ascii="方正仿宋_GBK" w:hAnsi="Times New Roman" w:eastAsia="方正仿宋_GBK"/>
          <w:sz w:val="30"/>
          <w:szCs w:val="30"/>
        </w:rPr>
        <w:t>曲靖市</w:t>
      </w:r>
      <w:r>
        <w:rPr>
          <w:rFonts w:ascii="方正仿宋_GBK" w:hAnsi="Times New Roman" w:eastAsia="方正仿宋_GBK"/>
          <w:sz w:val="30"/>
          <w:szCs w:val="30"/>
        </w:rPr>
        <w:t>矿产资源总体规划（</w:t>
      </w:r>
      <w:r>
        <w:rPr>
          <w:rFonts w:ascii="宋体" w:hAnsi="宋体" w:eastAsia="宋体"/>
          <w:sz w:val="30"/>
          <w:szCs w:val="30"/>
        </w:rPr>
        <w:t>2021-2025</w:t>
      </w:r>
      <w:r>
        <w:rPr>
          <w:rFonts w:ascii="方正仿宋_GBK" w:hAnsi="Times New Roman" w:eastAsia="方正仿宋_GBK"/>
          <w:sz w:val="30"/>
          <w:szCs w:val="30"/>
        </w:rPr>
        <w:t>年）》</w:t>
      </w:r>
      <w:r>
        <w:rPr>
          <w:rFonts w:hint="eastAsia" w:ascii="方正仿宋_GBK" w:hAnsi="Times New Roman" w:eastAsia="方正仿宋_GBK"/>
          <w:sz w:val="30"/>
          <w:szCs w:val="30"/>
        </w:rPr>
        <w:t xml:space="preserve"> </w:t>
      </w:r>
      <w:r>
        <w:rPr>
          <w:rFonts w:ascii="方正仿宋_GBK" w:hAnsi="Times New Roman" w:eastAsia="方正仿宋_GBK"/>
          <w:sz w:val="30"/>
          <w:szCs w:val="30"/>
        </w:rPr>
        <w:t>《麒麟区国民经济和社会发展第十四个五年规划和二〇三五年远景目标纲要》等相关法律法规、部门规章文件和规划，结合麒麟区实际，编制《麒麟区矿产资源总体规划（</w:t>
      </w:r>
      <w:r>
        <w:rPr>
          <w:rFonts w:ascii="宋体" w:hAnsi="宋体" w:eastAsia="宋体"/>
          <w:sz w:val="30"/>
          <w:szCs w:val="30"/>
        </w:rPr>
        <w:t>2021-2025</w:t>
      </w:r>
      <w:r>
        <w:rPr>
          <w:rFonts w:ascii="方正仿宋_GBK" w:hAnsi="Times New Roman" w:eastAsia="方正仿宋_GBK"/>
          <w:sz w:val="30"/>
          <w:szCs w:val="30"/>
        </w:rPr>
        <w:t>年）》（以下简称《规划》）。</w:t>
      </w:r>
    </w:p>
    <w:p>
      <w:pPr>
        <w:spacing w:line="590" w:lineRule="exact"/>
        <w:ind w:firstLine="600" w:firstLineChars="200"/>
        <w:rPr>
          <w:rFonts w:ascii="方正仿宋_GBK" w:hAnsi="Times New Roman" w:eastAsia="方正仿宋_GBK"/>
          <w:sz w:val="30"/>
          <w:szCs w:val="30"/>
        </w:rPr>
      </w:pPr>
      <w:r>
        <w:rPr>
          <w:rFonts w:ascii="方正仿宋_GBK" w:hAnsi="Times New Roman" w:eastAsia="方正仿宋_GBK"/>
          <w:sz w:val="30"/>
          <w:szCs w:val="30"/>
        </w:rPr>
        <w:t>本《规划》是麒麟区依法审批和监督管理矿产资源勘查开发活动、维护矿产开发利用秩序的重要依据。涉及矿产资源勘查、开发利用和保护的相关行业规划，应与本《规划》相衔接。</w:t>
      </w:r>
    </w:p>
    <w:p>
      <w:pPr>
        <w:spacing w:line="590" w:lineRule="exact"/>
        <w:ind w:firstLine="600" w:firstLineChars="200"/>
        <w:rPr>
          <w:rFonts w:ascii="方正仿宋_GBK" w:hAnsi="Times New Roman" w:eastAsia="方正仿宋_GBK"/>
          <w:sz w:val="30"/>
          <w:szCs w:val="30"/>
        </w:rPr>
      </w:pPr>
      <w:r>
        <w:rPr>
          <w:rFonts w:ascii="方正仿宋_GBK" w:hAnsi="Times New Roman" w:eastAsia="方正仿宋_GBK"/>
          <w:sz w:val="30"/>
          <w:szCs w:val="30"/>
        </w:rPr>
        <w:t>《规划》适用于麒麟区所辖行政区域，以</w:t>
      </w:r>
      <w:r>
        <w:rPr>
          <w:rFonts w:ascii="宋体" w:hAnsi="宋体" w:eastAsia="宋体"/>
          <w:sz w:val="30"/>
          <w:szCs w:val="30"/>
        </w:rPr>
        <w:t>2020年</w:t>
      </w:r>
      <w:r>
        <w:rPr>
          <w:rFonts w:ascii="方正仿宋_GBK" w:hAnsi="Times New Roman" w:eastAsia="方正仿宋_GBK"/>
          <w:sz w:val="30"/>
          <w:szCs w:val="30"/>
        </w:rPr>
        <w:t>为基期，</w:t>
      </w:r>
      <w:r>
        <w:rPr>
          <w:rFonts w:ascii="宋体" w:hAnsi="宋体" w:eastAsia="宋体"/>
          <w:sz w:val="30"/>
          <w:szCs w:val="30"/>
        </w:rPr>
        <w:t>2025</w:t>
      </w:r>
      <w:r>
        <w:rPr>
          <w:rFonts w:ascii="方正仿宋_GBK" w:hAnsi="Times New Roman" w:eastAsia="方正仿宋_GBK"/>
          <w:sz w:val="30"/>
          <w:szCs w:val="30"/>
        </w:rPr>
        <w:t>年为目标年，展望到</w:t>
      </w:r>
      <w:r>
        <w:rPr>
          <w:rFonts w:ascii="宋体" w:hAnsi="宋体" w:eastAsia="宋体"/>
          <w:sz w:val="30"/>
          <w:szCs w:val="30"/>
        </w:rPr>
        <w:t>2035</w:t>
      </w:r>
      <w:r>
        <w:rPr>
          <w:rFonts w:ascii="方正仿宋_GBK" w:hAnsi="Times New Roman" w:eastAsia="方正仿宋_GBK"/>
          <w:sz w:val="30"/>
          <w:szCs w:val="30"/>
        </w:rPr>
        <w:t>年。</w:t>
      </w:r>
    </w:p>
    <w:p>
      <w:pPr>
        <w:widowControl/>
        <w:jc w:val="left"/>
        <w:rPr>
          <w:rFonts w:ascii="方正仿宋_GBK" w:hAnsi="Times New Roman" w:eastAsia="方正仿宋_GBK"/>
          <w:sz w:val="30"/>
          <w:szCs w:val="30"/>
        </w:rPr>
      </w:pPr>
      <w:r>
        <w:rPr>
          <w:rFonts w:ascii="方正仿宋_GBK" w:hAnsi="Times New Roman" w:eastAsia="方正仿宋_GBK"/>
          <w:sz w:val="30"/>
          <w:szCs w:val="30"/>
        </w:rPr>
        <w:br w:type="page"/>
      </w:r>
    </w:p>
    <w:p>
      <w:pPr>
        <w:pStyle w:val="2"/>
      </w:pPr>
      <w:bookmarkStart w:id="2" w:name="_Toc100681758"/>
      <w:bookmarkStart w:id="3" w:name="_Toc76802655"/>
      <w:r>
        <w:t>第一章  现状与形势</w:t>
      </w:r>
      <w:bookmarkEnd w:id="2"/>
      <w:bookmarkEnd w:id="3"/>
    </w:p>
    <w:p>
      <w:pPr>
        <w:pStyle w:val="3"/>
        <w:rPr>
          <w:szCs w:val="30"/>
        </w:rPr>
      </w:pPr>
      <w:bookmarkStart w:id="4" w:name="_Toc5393301"/>
      <w:bookmarkStart w:id="5" w:name="_Toc76802656"/>
      <w:bookmarkStart w:id="6" w:name="_Toc4956366"/>
      <w:bookmarkStart w:id="7" w:name="_Toc100681759"/>
      <w:bookmarkStart w:id="8" w:name="_Toc428631361"/>
      <w:r>
        <w:rPr>
          <w:rFonts w:hint="eastAsia"/>
          <w:szCs w:val="30"/>
        </w:rPr>
        <w:t>第一节  矿产资源概况及开发利用现状</w:t>
      </w:r>
      <w:bookmarkEnd w:id="4"/>
      <w:bookmarkEnd w:id="5"/>
      <w:bookmarkEnd w:id="6"/>
      <w:bookmarkEnd w:id="7"/>
    </w:p>
    <w:bookmarkEnd w:id="8"/>
    <w:p>
      <w:pPr>
        <w:pStyle w:val="4"/>
        <w:rPr>
          <w:b w:val="0"/>
          <w:bCs w:val="0"/>
          <w:szCs w:val="30"/>
        </w:rPr>
      </w:pPr>
      <w:r>
        <w:rPr>
          <w:rFonts w:hint="eastAsia"/>
          <w:b w:val="0"/>
          <w:bCs w:val="0"/>
          <w:szCs w:val="30"/>
        </w:rPr>
        <w:t>一、矿业发展概况</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麒麟区矿产资源种类较多，煤矿、非金属矿产种类所占比重大。区内地质构造复杂，矿产资源较为丰富，地处东山镇的恩洪煤矿区是云南省乃至全国重要煤炭及煤层气富集区。辖区能源（煤）、非金属（建材、石灰岩）矿产开发为麒麟区经济社会发展</w:t>
      </w:r>
      <w:r>
        <w:rPr>
          <w:rFonts w:hint="eastAsia" w:ascii="方正仿宋_GBK" w:hAnsi="Times New Roman" w:eastAsia="方正仿宋_GBK"/>
          <w:sz w:val="30"/>
          <w:szCs w:val="30"/>
          <w:lang w:eastAsia="zh-CN"/>
        </w:rPr>
        <w:t>作出</w:t>
      </w:r>
      <w:r>
        <w:rPr>
          <w:rFonts w:hint="eastAsia" w:ascii="方正仿宋_GBK" w:hAnsi="Times New Roman" w:eastAsia="方正仿宋_GBK"/>
          <w:sz w:val="30"/>
          <w:szCs w:val="30"/>
        </w:rPr>
        <w:t>了较大贡献，为能源、钢铁、化工、建材工业和新材料等重要产业的发展提供了原料支撑。</w:t>
      </w:r>
    </w:p>
    <w:p>
      <w:pPr>
        <w:pStyle w:val="4"/>
        <w:rPr>
          <w:b w:val="0"/>
          <w:bCs w:val="0"/>
          <w:szCs w:val="30"/>
        </w:rPr>
      </w:pPr>
      <w:r>
        <w:rPr>
          <w:rFonts w:hint="eastAsia"/>
          <w:b w:val="0"/>
          <w:bCs w:val="0"/>
          <w:szCs w:val="30"/>
        </w:rPr>
        <w:t>二</w:t>
      </w:r>
      <w:r>
        <w:rPr>
          <w:b w:val="0"/>
          <w:bCs w:val="0"/>
          <w:szCs w:val="30"/>
        </w:rPr>
        <w:t>、上轮矿产资源规划实施的成效</w:t>
      </w:r>
    </w:p>
    <w:p>
      <w:pPr>
        <w:spacing w:line="590" w:lineRule="exact"/>
        <w:ind w:firstLine="600" w:firstLineChars="200"/>
        <w:rPr>
          <w:rFonts w:ascii="方正仿宋_GBK" w:hAnsi="Times New Roman" w:eastAsia="方正仿宋_GBK"/>
          <w:sz w:val="30"/>
          <w:szCs w:val="30"/>
        </w:rPr>
      </w:pPr>
      <w:r>
        <w:rPr>
          <w:rFonts w:ascii="方正仿宋_GBK" w:hAnsi="Times New Roman" w:eastAsia="方正仿宋_GBK"/>
          <w:sz w:val="30"/>
          <w:szCs w:val="30"/>
        </w:rPr>
        <w:t>麒麟区矿产资源</w:t>
      </w:r>
      <w:r>
        <w:rPr>
          <w:rFonts w:hint="eastAsia" w:ascii="方正仿宋_GBK" w:hAnsi="Times New Roman" w:eastAsia="方正仿宋_GBK"/>
          <w:sz w:val="30"/>
          <w:szCs w:val="30"/>
        </w:rPr>
        <w:t>总体</w:t>
      </w:r>
      <w:r>
        <w:rPr>
          <w:rFonts w:ascii="方正仿宋_GBK" w:hAnsi="Times New Roman" w:eastAsia="方正仿宋_GBK"/>
          <w:sz w:val="30"/>
          <w:szCs w:val="30"/>
        </w:rPr>
        <w:t>规划（</w:t>
      </w:r>
      <w:r>
        <w:rPr>
          <w:rFonts w:ascii="宋体" w:hAnsi="宋体" w:eastAsia="宋体"/>
          <w:sz w:val="30"/>
          <w:szCs w:val="30"/>
        </w:rPr>
        <w:t>2016-2020</w:t>
      </w:r>
      <w:r>
        <w:rPr>
          <w:rFonts w:ascii="方正仿宋_GBK" w:hAnsi="Times New Roman" w:eastAsia="方正仿宋_GBK"/>
          <w:sz w:val="30"/>
          <w:szCs w:val="30"/>
        </w:rPr>
        <w:t>年）自正式发布实施以来，为全区矿产管理提供了科学依据，优化了矿产资源勘查和开采布局，有效指导了矿业权的科学合理设置，</w:t>
      </w:r>
      <w:r>
        <w:rPr>
          <w:rFonts w:hint="eastAsia" w:ascii="方正仿宋_GBK" w:hAnsi="Times New Roman" w:eastAsia="方正仿宋_GBK"/>
          <w:sz w:val="30"/>
          <w:szCs w:val="30"/>
        </w:rPr>
        <w:t>矿山地质环境持续改善，矿产资源管理能力得到提升。</w:t>
      </w:r>
    </w:p>
    <w:p>
      <w:pPr>
        <w:pStyle w:val="4"/>
        <w:rPr>
          <w:b w:val="0"/>
          <w:bCs w:val="0"/>
          <w:szCs w:val="30"/>
        </w:rPr>
      </w:pPr>
      <w:r>
        <w:rPr>
          <w:rFonts w:hint="eastAsia"/>
          <w:b w:val="0"/>
          <w:bCs w:val="0"/>
          <w:szCs w:val="30"/>
        </w:rPr>
        <w:t>三</w:t>
      </w:r>
      <w:r>
        <w:rPr>
          <w:b w:val="0"/>
          <w:bCs w:val="0"/>
          <w:szCs w:val="30"/>
        </w:rPr>
        <w:t>、</w:t>
      </w:r>
      <w:r>
        <w:rPr>
          <w:rFonts w:hint="eastAsia"/>
          <w:b w:val="0"/>
          <w:bCs w:val="0"/>
          <w:szCs w:val="30"/>
        </w:rPr>
        <w:t>矿产资源概况</w:t>
      </w:r>
    </w:p>
    <w:p>
      <w:pPr>
        <w:spacing w:line="590" w:lineRule="exact"/>
        <w:ind w:firstLine="588" w:firstLineChars="196"/>
        <w:rPr>
          <w:rFonts w:ascii="方正仿宋_GBK" w:hAnsi="方正仿宋简体" w:eastAsia="方正仿宋_GBK"/>
          <w:sz w:val="30"/>
          <w:szCs w:val="30"/>
        </w:rPr>
      </w:pPr>
      <w:r>
        <w:rPr>
          <w:rFonts w:hint="eastAsia" w:ascii="方正仿宋_GBK" w:hAnsi="方正仿宋简体" w:eastAsia="方正仿宋_GBK"/>
          <w:kern w:val="0"/>
          <w:sz w:val="30"/>
          <w:szCs w:val="30"/>
          <w:lang w:bidi="en-US"/>
        </w:rPr>
        <w:t>截至</w:t>
      </w:r>
      <w:r>
        <w:rPr>
          <w:rFonts w:hint="eastAsia" w:ascii="宋体" w:hAnsi="宋体" w:eastAsia="宋体"/>
          <w:kern w:val="0"/>
          <w:sz w:val="30"/>
          <w:szCs w:val="30"/>
          <w:lang w:bidi="en-US"/>
        </w:rPr>
        <w:t>2020</w:t>
      </w:r>
      <w:r>
        <w:rPr>
          <w:rFonts w:hint="eastAsia" w:ascii="方正仿宋_GBK" w:hAnsi="方正仿宋简体" w:eastAsia="方正仿宋_GBK"/>
          <w:kern w:val="0"/>
          <w:sz w:val="30"/>
          <w:szCs w:val="30"/>
          <w:lang w:bidi="en-US"/>
        </w:rPr>
        <w:t>年底，全区估算了资源量的矿区（床）共</w:t>
      </w:r>
      <w:r>
        <w:rPr>
          <w:rFonts w:ascii="宋体" w:hAnsi="宋体" w:eastAsia="宋体"/>
          <w:kern w:val="0"/>
          <w:sz w:val="30"/>
          <w:szCs w:val="30"/>
          <w:lang w:bidi="en-US"/>
        </w:rPr>
        <w:t>42</w:t>
      </w:r>
      <w:r>
        <w:rPr>
          <w:rFonts w:hint="eastAsia" w:ascii="方正仿宋_GBK" w:hAnsi="方正仿宋简体" w:eastAsia="方正仿宋_GBK"/>
          <w:kern w:val="0"/>
          <w:sz w:val="30"/>
          <w:szCs w:val="30"/>
          <w:lang w:bidi="en-US"/>
        </w:rPr>
        <w:t>个，涵盖了</w:t>
      </w:r>
      <w:r>
        <w:rPr>
          <w:rFonts w:ascii="宋体" w:hAnsi="宋体" w:eastAsia="宋体"/>
          <w:kern w:val="0"/>
          <w:sz w:val="30"/>
          <w:szCs w:val="30"/>
          <w:lang w:bidi="en-US"/>
        </w:rPr>
        <w:t>17</w:t>
      </w:r>
      <w:r>
        <w:rPr>
          <w:rFonts w:hint="eastAsia" w:ascii="方正仿宋_GBK" w:hAnsi="方正仿宋简体" w:eastAsia="方正仿宋_GBK"/>
          <w:kern w:val="0"/>
          <w:sz w:val="30"/>
          <w:szCs w:val="30"/>
          <w:lang w:bidi="en-US"/>
        </w:rPr>
        <w:t>个矿种。</w:t>
      </w:r>
      <w:r>
        <w:rPr>
          <w:rFonts w:hint="eastAsia" w:ascii="方正仿宋_GBK" w:hAnsi="方正仿宋简体" w:eastAsia="方正仿宋_GBK"/>
          <w:sz w:val="30"/>
          <w:szCs w:val="30"/>
        </w:rPr>
        <w:t>根据已查明矿产资源储量情况，产业基础及矿产品在省内市场的竞争能力等综合因素，确定麒麟区的优势和重要矿产为：煤、煤层气、建筑石料用灰岩、建筑用砂、砖瓦用页岩。</w:t>
      </w:r>
    </w:p>
    <w:p>
      <w:pPr>
        <w:pStyle w:val="4"/>
        <w:rPr>
          <w:b w:val="0"/>
          <w:bCs w:val="0"/>
          <w:szCs w:val="30"/>
        </w:rPr>
      </w:pPr>
      <w:r>
        <w:rPr>
          <w:rFonts w:hint="eastAsia"/>
          <w:b w:val="0"/>
          <w:bCs w:val="0"/>
          <w:szCs w:val="30"/>
        </w:rPr>
        <w:t>四</w:t>
      </w:r>
      <w:r>
        <w:rPr>
          <w:b w:val="0"/>
          <w:bCs w:val="0"/>
          <w:szCs w:val="30"/>
        </w:rPr>
        <w:t>、</w:t>
      </w:r>
      <w:r>
        <w:rPr>
          <w:rFonts w:hint="eastAsia"/>
          <w:b w:val="0"/>
          <w:bCs w:val="0"/>
          <w:szCs w:val="30"/>
        </w:rPr>
        <w:t>矿产资源勘查与开发利用现状</w:t>
      </w:r>
    </w:p>
    <w:p>
      <w:pPr>
        <w:spacing w:line="590" w:lineRule="exact"/>
        <w:ind w:firstLine="600" w:firstLineChars="200"/>
        <w:rPr>
          <w:rFonts w:ascii="方正仿宋_GBK" w:hAnsi="方正仿宋简体" w:eastAsia="方正仿宋_GBK"/>
          <w:sz w:val="30"/>
          <w:szCs w:val="30"/>
        </w:rPr>
      </w:pPr>
      <w:r>
        <w:rPr>
          <w:rFonts w:hint="eastAsia" w:ascii="方正仿宋_GBK" w:hAnsi="Cambria" w:eastAsia="方正仿宋_GBK" w:cs="宋体"/>
          <w:color w:val="222222"/>
          <w:kern w:val="0"/>
          <w:sz w:val="30"/>
          <w:szCs w:val="30"/>
        </w:rPr>
        <w:t>截止</w:t>
      </w:r>
      <w:r>
        <w:rPr>
          <w:rFonts w:hint="eastAsia" w:ascii="宋体" w:hAnsi="宋体" w:eastAsia="宋体" w:cs="宋体"/>
          <w:color w:val="222222"/>
          <w:kern w:val="0"/>
          <w:sz w:val="30"/>
          <w:szCs w:val="30"/>
        </w:rPr>
        <w:t>2020</w:t>
      </w:r>
      <w:r>
        <w:rPr>
          <w:rFonts w:hint="eastAsia" w:ascii="方正仿宋_GBK" w:hAnsi="Cambria" w:eastAsia="方正仿宋_GBK" w:cs="宋体"/>
          <w:color w:val="222222"/>
          <w:kern w:val="0"/>
          <w:sz w:val="30"/>
          <w:szCs w:val="30"/>
        </w:rPr>
        <w:t>年底，麒麟区无探矿权，采矿权</w:t>
      </w:r>
      <w:r>
        <w:rPr>
          <w:rFonts w:ascii="宋体" w:hAnsi="宋体" w:eastAsia="宋体" w:cs="宋体"/>
          <w:color w:val="222222"/>
          <w:kern w:val="0"/>
          <w:sz w:val="30"/>
          <w:szCs w:val="30"/>
        </w:rPr>
        <w:t>115</w:t>
      </w:r>
      <w:r>
        <w:rPr>
          <w:rFonts w:hint="eastAsia" w:ascii="方正仿宋_GBK" w:hAnsi="Cambria" w:eastAsia="方正仿宋_GBK" w:cs="宋体"/>
          <w:color w:val="222222"/>
          <w:kern w:val="0"/>
          <w:sz w:val="30"/>
          <w:szCs w:val="30"/>
        </w:rPr>
        <w:t>个。</w:t>
      </w:r>
    </w:p>
    <w:p>
      <w:pPr>
        <w:pStyle w:val="4"/>
        <w:rPr>
          <w:b w:val="0"/>
          <w:bCs w:val="0"/>
          <w:szCs w:val="30"/>
        </w:rPr>
      </w:pPr>
      <w:r>
        <w:rPr>
          <w:b w:val="0"/>
          <w:bCs w:val="0"/>
          <w:szCs w:val="30"/>
        </w:rPr>
        <w:t>五、存在问题</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（一）矿产资源勘查工作仍需加强</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基础地质调查工作程度总体偏低。矿产资源勘查滞后，地质找矿难度加大，社会资本对地质找矿投入信心不足，矿产资源保障后劲不足，导致投入资金整体不足，实际投入工作量少，矿产资源勘查程度有待进一步提高</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（二）矿产资源开发利用水平有待提升</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区内矿山企业规模偏小，小型矿山采矿方式不合理，矿产资源开发利用水平相对较低。精深加工能力薄弱、盈利空间小、产品结构不合理、产业集中度不高，没有形成产业链。矿业权人对勘查、开发利用、综合利用、环境治理方面的技术创新意识不够，未能将资源优势转化为经济优势。</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（三）绿色矿山发展水平有待提高</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截止</w:t>
      </w:r>
      <w:r>
        <w:rPr>
          <w:rFonts w:hint="eastAsia" w:ascii="宋体" w:hAnsi="宋体" w:eastAsia="宋体"/>
          <w:sz w:val="30"/>
          <w:szCs w:val="30"/>
        </w:rPr>
        <w:t>2020</w:t>
      </w:r>
      <w:r>
        <w:rPr>
          <w:rFonts w:hint="eastAsia" w:ascii="方正仿宋_GBK" w:hAnsi="Times New Roman" w:eastAsia="方正仿宋_GBK"/>
          <w:sz w:val="30"/>
          <w:szCs w:val="30"/>
        </w:rPr>
        <w:t>年底，全区暂无矿山列入全国绿色矿山名录，与矿业高质量绿色发展要求尚存差距，矿业开发与生态环境保护关系仍需进一步协调，在矿业转型与绿色发展方面，如何实现矿业高质量绿色发展要求还存在差距。</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（四）矿区生态保护修复仍需加强</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矿山生态环境问题较突出，欠账多，历史遗留矿山环境治理难度大。矿业权人普遍缺乏“规模化、环保化、绿色化、共享化”开采理念，受市场环境、资源储量、资源效益等因素影响，对绿色矿山建设处于观望状态，导致绿色矿山建设推进缓慢。</w:t>
      </w:r>
    </w:p>
    <w:p>
      <w:pPr>
        <w:pStyle w:val="3"/>
        <w:rPr>
          <w:szCs w:val="30"/>
        </w:rPr>
      </w:pPr>
      <w:bookmarkStart w:id="9" w:name="_Toc47000314"/>
      <w:bookmarkStart w:id="10" w:name="_Toc46997996"/>
      <w:bookmarkStart w:id="11" w:name="_Toc76689786"/>
      <w:bookmarkStart w:id="12" w:name="_Toc100681760"/>
      <w:bookmarkStart w:id="13" w:name="_Toc66565894"/>
      <w:r>
        <w:rPr>
          <w:szCs w:val="30"/>
        </w:rPr>
        <w:t>第二节  形势</w:t>
      </w:r>
      <w:bookmarkEnd w:id="9"/>
      <w:bookmarkEnd w:id="10"/>
      <w:r>
        <w:rPr>
          <w:szCs w:val="30"/>
        </w:rPr>
        <w:t>与要求</w:t>
      </w:r>
      <w:bookmarkEnd w:id="11"/>
      <w:bookmarkEnd w:id="12"/>
      <w:bookmarkEnd w:id="13"/>
    </w:p>
    <w:p>
      <w:pPr>
        <w:pStyle w:val="4"/>
        <w:rPr>
          <w:b w:val="0"/>
          <w:bCs w:val="0"/>
          <w:szCs w:val="30"/>
        </w:rPr>
      </w:pPr>
      <w:bookmarkStart w:id="14" w:name="_Hlk80720595"/>
      <w:r>
        <w:rPr>
          <w:rFonts w:hint="eastAsia"/>
          <w:b w:val="0"/>
          <w:bCs w:val="0"/>
          <w:szCs w:val="30"/>
        </w:rPr>
        <w:t>一、经济社会发展对矿产资源需求持续加大</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十四五”时期麒麟区将加快推进以人为核心的新型城镇化，为曲靖打造城乡融合发展示范区、建设云南副中心城市、先进制造业基地、陶瓷小镇和滇中城市群重要增长极提供最有力支撑，区内外市场对矿产资源需求持续增高。</w:t>
      </w:r>
      <w:bookmarkEnd w:id="14"/>
    </w:p>
    <w:p>
      <w:pPr>
        <w:pStyle w:val="4"/>
        <w:rPr>
          <w:b w:val="0"/>
          <w:bCs w:val="0"/>
          <w:szCs w:val="30"/>
        </w:rPr>
      </w:pPr>
      <w:bookmarkStart w:id="15" w:name="_Hlk80721172"/>
      <w:r>
        <w:rPr>
          <w:rFonts w:hint="eastAsia"/>
          <w:b w:val="0"/>
          <w:bCs w:val="0"/>
          <w:szCs w:val="30"/>
        </w:rPr>
        <w:t>二、能源资源保障能力仍需进一步提高</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矿产资源安全保障是经济社会发展的物质基础，麒麟区煤炭的静态保障年限大于</w:t>
      </w:r>
      <w:r>
        <w:rPr>
          <w:rFonts w:hint="eastAsia" w:ascii="宋体" w:hAnsi="宋体" w:eastAsia="宋体"/>
          <w:sz w:val="30"/>
          <w:szCs w:val="30"/>
        </w:rPr>
        <w:t>1</w:t>
      </w:r>
      <w:r>
        <w:rPr>
          <w:rFonts w:ascii="宋体" w:hAnsi="宋体" w:eastAsia="宋体"/>
          <w:sz w:val="30"/>
          <w:szCs w:val="30"/>
        </w:rPr>
        <w:t>00</w:t>
      </w:r>
      <w:r>
        <w:rPr>
          <w:rFonts w:hint="eastAsia" w:ascii="方正仿宋_GBK" w:hAnsi="Times New Roman" w:eastAsia="方正仿宋_GBK"/>
          <w:sz w:val="30"/>
          <w:szCs w:val="30"/>
        </w:rPr>
        <w:t>年，保障程度较好，能满足长期需求。砂石土类矿产品种类单一，延伸产业链较弱，与基础设施建设需要的高质量精品砂石料仍有一定差距</w:t>
      </w:r>
      <w:r>
        <w:rPr>
          <w:rFonts w:ascii="方正仿宋_GBK" w:hAnsi="Times New Roman" w:eastAsia="方正仿宋_GBK"/>
          <w:sz w:val="30"/>
          <w:szCs w:val="30"/>
        </w:rPr>
        <w:t>。全区</w:t>
      </w:r>
      <w:r>
        <w:rPr>
          <w:rFonts w:hint="eastAsia" w:ascii="方正仿宋_GBK" w:hAnsi="Times New Roman" w:eastAsia="方正仿宋_GBK"/>
          <w:sz w:val="30"/>
          <w:szCs w:val="30"/>
        </w:rPr>
        <w:t>建筑石料用灰岩</w:t>
      </w:r>
      <w:r>
        <w:rPr>
          <w:rFonts w:ascii="方正仿宋_GBK" w:hAnsi="Times New Roman" w:eastAsia="方正仿宋_GBK"/>
          <w:sz w:val="30"/>
          <w:szCs w:val="30"/>
        </w:rPr>
        <w:t>矿山分布不集中、规模普遍较小，</w:t>
      </w:r>
      <w:r>
        <w:rPr>
          <w:rFonts w:hint="eastAsia" w:ascii="方正仿宋_GBK" w:hAnsi="Times New Roman" w:eastAsia="方正仿宋_GBK"/>
          <w:sz w:val="30"/>
          <w:szCs w:val="30"/>
        </w:rPr>
        <w:t>建筑用砂、</w:t>
      </w:r>
      <w:r>
        <w:rPr>
          <w:rFonts w:ascii="方正仿宋_GBK" w:hAnsi="Times New Roman" w:eastAsia="方正仿宋_GBK"/>
          <w:sz w:val="30"/>
          <w:szCs w:val="30"/>
        </w:rPr>
        <w:t>砖瓦用页岩大部分矿山停采，部分矿山资源枯竭，正在开发的矿山难以满足建设需求。</w:t>
      </w:r>
    </w:p>
    <w:bookmarkEnd w:id="15"/>
    <w:p>
      <w:pPr>
        <w:pStyle w:val="4"/>
        <w:rPr>
          <w:b w:val="0"/>
          <w:bCs w:val="0"/>
          <w:szCs w:val="30"/>
        </w:rPr>
      </w:pPr>
      <w:bookmarkStart w:id="16" w:name="_Hlk80720954"/>
      <w:r>
        <w:rPr>
          <w:rFonts w:hint="eastAsia"/>
          <w:b w:val="0"/>
          <w:bCs w:val="0"/>
          <w:szCs w:val="30"/>
        </w:rPr>
        <w:t>三、绿色发展对矿业开发提出更高的要求</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发展绿色矿业是贯彻落实生态文明建设的重要举措，是国家战略要求，是筑牢西南生态安全屏障的需要，是矿业经济转型高质量发展的必由之路。将绿色矿山历年贯穿于矿产资源保护、勘查与开发利用全过程，有效解决矿产资源开发与生态环境保护之间的矛盾，应引导和带动传统矿业转型升级，提升矿业发展质量和效益。建设绿色矿山、发展绿色矿业已成为麒麟区建设生态文明、转变矿业发展方式、提升矿业整体形象，以及改善民生、促进社会和谐的重要平台和抓手。</w:t>
      </w:r>
    </w:p>
    <w:bookmarkEnd w:id="16"/>
    <w:p>
      <w:pPr>
        <w:pStyle w:val="4"/>
        <w:rPr>
          <w:b w:val="0"/>
          <w:bCs w:val="0"/>
          <w:szCs w:val="30"/>
        </w:rPr>
      </w:pPr>
      <w:bookmarkStart w:id="17" w:name="_Hlk80721051"/>
      <w:r>
        <w:rPr>
          <w:rFonts w:hint="eastAsia"/>
          <w:b w:val="0"/>
          <w:bCs w:val="0"/>
          <w:szCs w:val="30"/>
        </w:rPr>
        <w:t>四、矿产勘查方向方式发生转变</w:t>
      </w:r>
      <w:bookmarkEnd w:id="17"/>
    </w:p>
    <w:p>
      <w:pPr>
        <w:spacing w:line="590" w:lineRule="exact"/>
        <w:ind w:firstLine="600" w:firstLineChars="200"/>
        <w:rPr>
          <w:rFonts w:ascii="方正仿宋_GBK" w:hAnsi="Times New Roman" w:eastAsia="方正仿宋_GBK"/>
          <w:sz w:val="30"/>
          <w:szCs w:val="30"/>
        </w:rPr>
      </w:pPr>
      <w:bookmarkStart w:id="18" w:name="_Hlk80721067"/>
      <w:r>
        <w:rPr>
          <w:rFonts w:hint="eastAsia" w:ascii="方正仿宋_GBK" w:hAnsi="Times New Roman" w:eastAsia="方正仿宋_GBK"/>
          <w:sz w:val="30"/>
          <w:szCs w:val="30"/>
        </w:rPr>
        <w:t>矿产资源勘查矿种由固体矿产为主向战略性矿产和重要非金属矿产转变，勘查范围由区域性普查为主向重要性矿床（点）精准勘探转变，并向深部和外围拓展；勘查方式由传统的地质勘查向绿色勘查转变。</w:t>
      </w:r>
      <w:bookmarkEnd w:id="18"/>
    </w:p>
    <w:p>
      <w:pPr>
        <w:pStyle w:val="2"/>
      </w:pPr>
      <w:bookmarkStart w:id="19" w:name="_Toc65446455"/>
      <w:bookmarkStart w:id="20" w:name="_Toc65446355"/>
      <w:bookmarkStart w:id="21" w:name="_Toc65446305"/>
      <w:bookmarkStart w:id="22" w:name="_Toc100681761"/>
      <w:bookmarkStart w:id="23" w:name="_Toc69948547"/>
      <w:r>
        <w:t>第二章  指导思想、基本原则</w:t>
      </w:r>
      <w:bookmarkEnd w:id="19"/>
      <w:bookmarkEnd w:id="20"/>
      <w:bookmarkEnd w:id="21"/>
      <w:r>
        <w:t>和目标</w:t>
      </w:r>
      <w:bookmarkEnd w:id="22"/>
      <w:bookmarkEnd w:id="23"/>
    </w:p>
    <w:p>
      <w:pPr>
        <w:pStyle w:val="3"/>
        <w:rPr>
          <w:szCs w:val="30"/>
        </w:rPr>
      </w:pPr>
      <w:bookmarkStart w:id="24" w:name="_Toc65446306"/>
      <w:bookmarkStart w:id="25" w:name="_Toc100681762"/>
      <w:bookmarkStart w:id="26" w:name="_Toc69948548"/>
      <w:bookmarkStart w:id="27" w:name="_Toc65446356"/>
      <w:bookmarkStart w:id="28" w:name="_Toc65446456"/>
      <w:r>
        <w:rPr>
          <w:szCs w:val="30"/>
        </w:rPr>
        <w:t>第一节  指导思想</w:t>
      </w:r>
      <w:bookmarkEnd w:id="24"/>
      <w:bookmarkEnd w:id="25"/>
      <w:bookmarkEnd w:id="26"/>
      <w:bookmarkEnd w:id="27"/>
      <w:bookmarkEnd w:id="28"/>
    </w:p>
    <w:p>
      <w:pPr>
        <w:spacing w:line="590" w:lineRule="exact"/>
        <w:ind w:firstLine="600" w:firstLineChars="200"/>
        <w:rPr>
          <w:rFonts w:ascii="方正仿宋_GBK" w:hAnsi="Times New Roman" w:eastAsia="方正仿宋_GBK"/>
          <w:sz w:val="30"/>
          <w:szCs w:val="30"/>
        </w:rPr>
      </w:pPr>
      <w:bookmarkStart w:id="29" w:name="_Hlk74899648"/>
      <w:r>
        <w:rPr>
          <w:rFonts w:hint="eastAsia" w:ascii="方正仿宋_GBK" w:hAnsi="Times New Roman" w:eastAsia="方正仿宋_GBK"/>
          <w:sz w:val="30"/>
          <w:szCs w:val="30"/>
        </w:rPr>
        <w:t>以习近平新时代中国特色社会主义思想为指导，深入贯彻党的十九大和十九届历次全会精神，认真贯彻习近平总书记考察云南重要讲话精神，全面贯彻党的基本理论、基本路线、基本方略，统筹推进“五位一体”总体布局，协调推进“四个全面”战略布局，坚持党的全面领导，坚持以人民为中心，坚持新发展理念，坚持深化改革开放，坚持系统观念，坚持稳中求进工作总基调，以推动高质量发展为主题，以深化供给侧结构性改革为主线，以改革创新为根本动力，以满足人民日益增长的美好生活需要为根本目的，统筹发展和安全，勇于担当、奋发有为、追求卓越，加快建设现代化经济体系，加快探索构建新发展格局有效路径，加快实现经济社会全面绿色转型，高标准、严要求合理利用矿产资源，推动矿业更高质量、更有效率、更加公平、更可持续、更为安全的发展，为开启麒麟现代化建设新征程开好局、起好步。</w:t>
      </w:r>
    </w:p>
    <w:bookmarkEnd w:id="29"/>
    <w:p>
      <w:pPr>
        <w:pStyle w:val="3"/>
        <w:rPr>
          <w:szCs w:val="30"/>
        </w:rPr>
      </w:pPr>
      <w:bookmarkStart w:id="30" w:name="_Toc65446457"/>
      <w:bookmarkStart w:id="31" w:name="_Toc65446357"/>
      <w:bookmarkStart w:id="32" w:name="_Toc65446307"/>
      <w:bookmarkStart w:id="33" w:name="_Toc100681763"/>
      <w:bookmarkStart w:id="34" w:name="_Toc69948549"/>
      <w:r>
        <w:rPr>
          <w:szCs w:val="30"/>
        </w:rPr>
        <w:t>第二节  基本原则</w:t>
      </w:r>
      <w:bookmarkEnd w:id="30"/>
      <w:bookmarkEnd w:id="31"/>
      <w:bookmarkEnd w:id="32"/>
      <w:bookmarkEnd w:id="33"/>
      <w:bookmarkEnd w:id="34"/>
    </w:p>
    <w:p>
      <w:pPr>
        <w:spacing w:line="590" w:lineRule="exact"/>
        <w:ind w:firstLine="600" w:firstLineChars="200"/>
        <w:rPr>
          <w:rFonts w:ascii="方正仿宋_GBK" w:hAnsi="Times New Roman" w:eastAsia="方正仿宋_GBK"/>
          <w:sz w:val="30"/>
          <w:szCs w:val="30"/>
        </w:rPr>
      </w:pPr>
      <w:bookmarkStart w:id="35" w:name="_Toc51082395"/>
      <w:bookmarkStart w:id="36" w:name="_Toc72490005"/>
      <w:r>
        <w:rPr>
          <w:rFonts w:hint="eastAsia" w:ascii="方正仿宋_GBK" w:hAnsi="Times New Roman" w:eastAsia="方正仿宋_GBK"/>
          <w:b/>
          <w:bCs/>
          <w:sz w:val="30"/>
          <w:szCs w:val="30"/>
        </w:rPr>
        <w:t>坚持地质找矿，保障能源资源供应。</w:t>
      </w:r>
      <w:r>
        <w:rPr>
          <w:rFonts w:hint="eastAsia" w:ascii="方正仿宋_GBK" w:hAnsi="Times New Roman" w:eastAsia="方正仿宋_GBK"/>
          <w:sz w:val="30"/>
          <w:szCs w:val="30"/>
        </w:rPr>
        <w:t>加大地质找矿力度，实现找矿突破，增加资源储量和储备，保障能源资源供给，稳定矿产资源产业链和供应链。充分运用矿业权管理政策引导，提高市场配置资源的效率，改善矿业发展环境，促进矿业健康发展。</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b/>
          <w:bCs/>
          <w:sz w:val="30"/>
          <w:szCs w:val="30"/>
        </w:rPr>
        <w:t>坚持生态优先，促进矿业绿色发展。</w:t>
      </w:r>
      <w:r>
        <w:rPr>
          <w:rFonts w:hint="eastAsia" w:ascii="方正仿宋_GBK" w:hAnsi="Times New Roman" w:eastAsia="方正仿宋_GBK"/>
          <w:sz w:val="30"/>
          <w:szCs w:val="30"/>
        </w:rPr>
        <w:t>牢固树立新发展理念，坚持节约资源和环境保护的基本国策，坚持节约优先、保护优先，助力碳达峰、碳中和目标任务的实现，强化矿产资源绿色勘查，加快绿色矿山建设，推动资源利用方式根本转变，</w:t>
      </w:r>
      <w:r>
        <w:rPr>
          <w:rFonts w:ascii="方正仿宋_GBK" w:hAnsi="Times New Roman" w:eastAsia="方正仿宋_GBK"/>
          <w:sz w:val="30"/>
          <w:szCs w:val="30"/>
        </w:rPr>
        <w:t>发展绿色金融，支持绿色技术创新，推进清洁生产，发展环保产业，推进重点行业和重要领域绿色化改造</w:t>
      </w:r>
      <w:r>
        <w:rPr>
          <w:rFonts w:hint="eastAsia" w:ascii="方正仿宋_GBK" w:hAnsi="Times New Roman" w:eastAsia="方正仿宋_GBK"/>
          <w:sz w:val="30"/>
          <w:szCs w:val="30"/>
        </w:rPr>
        <w:t>，</w:t>
      </w:r>
      <w:r>
        <w:rPr>
          <w:rFonts w:ascii="方正仿宋_GBK" w:hAnsi="Times New Roman" w:eastAsia="方正仿宋_GBK"/>
          <w:sz w:val="30"/>
          <w:szCs w:val="30"/>
        </w:rPr>
        <w:t>推动能源清洁低碳安全高效利用</w:t>
      </w:r>
      <w:r>
        <w:rPr>
          <w:rFonts w:hint="eastAsia" w:ascii="方正仿宋_GBK" w:hAnsi="Times New Roman" w:eastAsia="方正仿宋_GBK"/>
          <w:sz w:val="30"/>
          <w:szCs w:val="30"/>
        </w:rPr>
        <w:t>，促进资源开发利用和生态环境保护相协调。</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b/>
          <w:bCs/>
          <w:sz w:val="30"/>
          <w:szCs w:val="30"/>
        </w:rPr>
        <w:t>坚持空间管控，优化矿业开发布局。</w:t>
      </w:r>
      <w:r>
        <w:rPr>
          <w:rFonts w:hint="eastAsia" w:ascii="方正仿宋_GBK" w:hAnsi="Times New Roman" w:eastAsia="方正仿宋_GBK"/>
          <w:sz w:val="30"/>
          <w:szCs w:val="30"/>
        </w:rPr>
        <w:t>优化矿产资源勘查开采布局，严格国土空间用途管制，衔接区域“三线一单”“三区三线”生态环境分区管控要求，构建矿产资源保护勘查开发新格局，推动形成主体功能明显、优势互补、高质量发展的国土空间开发保护新格局。</w:t>
      </w:r>
    </w:p>
    <w:bookmarkEnd w:id="35"/>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b/>
          <w:bCs/>
          <w:sz w:val="30"/>
          <w:szCs w:val="30"/>
        </w:rPr>
        <w:t>坚持技术创新，促进资源高效利用。</w:t>
      </w:r>
      <w:r>
        <w:rPr>
          <w:rFonts w:hint="eastAsia" w:ascii="方正仿宋_GBK" w:hAnsi="Times New Roman" w:eastAsia="方正仿宋_GBK"/>
          <w:sz w:val="30"/>
          <w:szCs w:val="30"/>
        </w:rPr>
        <w:t>加强矿产资源勘查开发技术创新，推动先进开发利用技术、管理经验、信息化技术等方面的深度融合，全面提高矿产资源开发利用水平。</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b/>
          <w:bCs/>
          <w:sz w:val="30"/>
          <w:szCs w:val="30"/>
        </w:rPr>
        <w:t>坚持深化改革，规范矿业市场秩序。</w:t>
      </w:r>
      <w:r>
        <w:rPr>
          <w:rFonts w:hint="eastAsia" w:ascii="方正仿宋_GBK" w:hAnsi="Times New Roman" w:eastAsia="方正仿宋_GBK"/>
          <w:sz w:val="30"/>
          <w:szCs w:val="30"/>
        </w:rPr>
        <w:t>进一步推进“放管服”改革，精简办事程序，创新行政管理方式，提高服务水平，推进矿产资源管理重点领域和关键环节改革。健全完善矿业权出让管理制度，规范矿业权市场交易行为，使市场在资源配置中起决定性作用，同时更好发挥政府宏观调控作用，进一步提升矿产资源领域现代化治理能力和治理水平。</w:t>
      </w:r>
    </w:p>
    <w:p>
      <w:pPr>
        <w:pStyle w:val="3"/>
        <w:rPr>
          <w:szCs w:val="30"/>
        </w:rPr>
      </w:pPr>
      <w:bookmarkStart w:id="37" w:name="_Toc100681764"/>
      <w:r>
        <w:rPr>
          <w:szCs w:val="30"/>
        </w:rPr>
        <w:t>第三节  规划目标</w:t>
      </w:r>
      <w:bookmarkEnd w:id="37"/>
    </w:p>
    <w:p>
      <w:pPr>
        <w:pStyle w:val="4"/>
        <w:rPr>
          <w:b w:val="0"/>
          <w:bCs w:val="0"/>
          <w:szCs w:val="30"/>
        </w:rPr>
      </w:pPr>
      <w:r>
        <w:rPr>
          <w:b w:val="0"/>
          <w:bCs w:val="0"/>
          <w:szCs w:val="30"/>
        </w:rPr>
        <w:t>一、</w:t>
      </w:r>
      <w:r>
        <w:rPr>
          <w:rFonts w:ascii="宋体" w:hAnsi="宋体" w:eastAsia="宋体"/>
          <w:b w:val="0"/>
          <w:bCs w:val="0"/>
          <w:szCs w:val="30"/>
        </w:rPr>
        <w:t>2025</w:t>
      </w:r>
      <w:r>
        <w:rPr>
          <w:b w:val="0"/>
          <w:bCs w:val="0"/>
          <w:szCs w:val="30"/>
        </w:rPr>
        <w:t>年规划目标</w:t>
      </w:r>
    </w:p>
    <w:p>
      <w:pPr>
        <w:spacing w:line="590" w:lineRule="exact"/>
        <w:ind w:firstLine="600" w:firstLineChars="200"/>
        <w:rPr>
          <w:rFonts w:ascii="方正仿宋_GBK" w:hAnsi="Times New Roman" w:eastAsia="方正仿宋_GBK"/>
          <w:sz w:val="30"/>
          <w:szCs w:val="30"/>
        </w:rPr>
      </w:pPr>
      <w:r>
        <w:rPr>
          <w:rFonts w:hint="eastAsia" w:ascii="宋体" w:hAnsi="宋体" w:eastAsia="宋体"/>
          <w:sz w:val="30"/>
          <w:szCs w:val="30"/>
        </w:rPr>
        <w:t>1</w:t>
      </w:r>
      <w:r>
        <w:rPr>
          <w:rFonts w:hint="eastAsia" w:ascii="方正仿宋_GBK" w:hAnsi="Times New Roman" w:eastAsia="方正仿宋_GBK"/>
          <w:sz w:val="30"/>
          <w:szCs w:val="30"/>
        </w:rPr>
        <w:t>、资源保障能力不断加强</w:t>
      </w:r>
    </w:p>
    <w:p>
      <w:pPr>
        <w:spacing w:line="590" w:lineRule="exact"/>
        <w:ind w:firstLine="600" w:firstLineChars="200"/>
        <w:rPr>
          <w:rFonts w:ascii="方正仿宋_GBK" w:hAnsi="Times New Roman" w:eastAsia="方正仿宋_GBK"/>
          <w:sz w:val="30"/>
          <w:szCs w:val="30"/>
        </w:rPr>
      </w:pPr>
      <w:r>
        <w:rPr>
          <w:rFonts w:hint="eastAsia" w:ascii="方正仿宋_GBK" w:hAnsi="方正仿宋简体" w:eastAsia="方正仿宋_GBK"/>
          <w:sz w:val="30"/>
          <w:szCs w:val="30"/>
        </w:rPr>
        <w:t>鼓励商业性勘查资金加快投入</w:t>
      </w:r>
      <w:r>
        <w:rPr>
          <w:rFonts w:hint="eastAsia" w:ascii="方正仿宋_GBK" w:hAnsi="Times New Roman" w:eastAsia="方正仿宋_GBK"/>
          <w:sz w:val="30"/>
          <w:szCs w:val="30"/>
        </w:rPr>
        <w:t>，争取新发现和评价一个大中型矿产地。</w:t>
      </w:r>
    </w:p>
    <w:p>
      <w:pPr>
        <w:spacing w:line="590" w:lineRule="exact"/>
        <w:ind w:firstLine="600" w:firstLineChars="200"/>
        <w:rPr>
          <w:rFonts w:ascii="方正仿宋_GBK" w:hAnsi="Times New Roman" w:eastAsia="方正仿宋_GBK"/>
          <w:sz w:val="30"/>
          <w:szCs w:val="30"/>
        </w:rPr>
      </w:pPr>
      <w:r>
        <w:rPr>
          <w:rFonts w:hint="eastAsia" w:ascii="宋体" w:hAnsi="宋体" w:eastAsia="宋体"/>
          <w:sz w:val="30"/>
          <w:szCs w:val="30"/>
        </w:rPr>
        <w:t>2</w:t>
      </w:r>
      <w:r>
        <w:rPr>
          <w:rFonts w:hint="eastAsia" w:ascii="方正仿宋_GBK" w:hAnsi="Times New Roman" w:eastAsia="方正仿宋_GBK"/>
          <w:sz w:val="30"/>
          <w:szCs w:val="30"/>
        </w:rPr>
        <w:t>、资源开发利用效率有新提升</w:t>
      </w:r>
    </w:p>
    <w:p>
      <w:pPr>
        <w:spacing w:line="590" w:lineRule="exact"/>
        <w:ind w:firstLine="600" w:firstLineChars="200"/>
        <w:rPr>
          <w:rFonts w:ascii="方正仿宋_GBK" w:hAnsi="Times New Roman" w:eastAsia="方正仿宋_GBK"/>
          <w:sz w:val="30"/>
          <w:szCs w:val="30"/>
        </w:rPr>
      </w:pPr>
      <w:r>
        <w:rPr>
          <w:rFonts w:ascii="方正仿宋_GBK" w:hAnsi="Times New Roman" w:eastAsia="方正仿宋_GBK"/>
          <w:sz w:val="30"/>
          <w:szCs w:val="30"/>
        </w:rPr>
        <w:t>建设能源资源基地，布局国家规划矿区、重点开采区、集中开采区，推动区内优势资源规模开发、集约利用。减少小型及以下矿山数量，进一步提高大中型矿山比例，采矿权总数在</w:t>
      </w:r>
      <w:r>
        <w:rPr>
          <w:rFonts w:ascii="宋体" w:hAnsi="宋体" w:eastAsia="宋体"/>
          <w:sz w:val="30"/>
          <w:szCs w:val="30"/>
        </w:rPr>
        <w:t>2020</w:t>
      </w:r>
      <w:r>
        <w:rPr>
          <w:rFonts w:ascii="方正仿宋_GBK" w:hAnsi="Times New Roman" w:eastAsia="方正仿宋_GBK"/>
          <w:sz w:val="30"/>
          <w:szCs w:val="30"/>
        </w:rPr>
        <w:t>年的基础上进一步减少。矿山“三率”水平进一步提升。合理调控</w:t>
      </w:r>
      <w:bookmarkStart w:id="38" w:name="_Hlk100222751"/>
      <w:r>
        <w:rPr>
          <w:rFonts w:ascii="方正仿宋_GBK" w:hAnsi="Times New Roman" w:eastAsia="方正仿宋_GBK"/>
          <w:sz w:val="30"/>
          <w:szCs w:val="30"/>
        </w:rPr>
        <w:t>煤炭、</w:t>
      </w:r>
      <w:r>
        <w:rPr>
          <w:rFonts w:hint="eastAsia" w:ascii="方正仿宋_GBK" w:hAnsi="Times New Roman" w:eastAsia="方正仿宋_GBK"/>
          <w:sz w:val="30"/>
          <w:szCs w:val="30"/>
        </w:rPr>
        <w:t>建筑石料</w:t>
      </w:r>
      <w:r>
        <w:rPr>
          <w:rFonts w:ascii="方正仿宋_GBK" w:hAnsi="Times New Roman" w:eastAsia="方正仿宋_GBK"/>
          <w:sz w:val="30"/>
          <w:szCs w:val="30"/>
        </w:rPr>
        <w:t>用灰岩</w:t>
      </w:r>
      <w:r>
        <w:rPr>
          <w:rFonts w:hint="eastAsia" w:ascii="方正仿宋_GBK" w:hAnsi="Times New Roman" w:eastAsia="方正仿宋_GBK"/>
          <w:sz w:val="30"/>
          <w:szCs w:val="30"/>
        </w:rPr>
        <w:t>、砖瓦用页岩、建筑用砂</w:t>
      </w:r>
      <w:bookmarkEnd w:id="38"/>
      <w:r>
        <w:rPr>
          <w:rFonts w:ascii="方正仿宋_GBK" w:hAnsi="Times New Roman" w:eastAsia="方正仿宋_GBK"/>
          <w:sz w:val="30"/>
          <w:szCs w:val="30"/>
        </w:rPr>
        <w:t>等矿产开采总量。</w:t>
      </w:r>
    </w:p>
    <w:p>
      <w:pPr>
        <w:pStyle w:val="4"/>
        <w:rPr>
          <w:b w:val="0"/>
          <w:bCs w:val="0"/>
          <w:szCs w:val="30"/>
        </w:rPr>
      </w:pPr>
      <w:r>
        <w:rPr>
          <w:b w:val="0"/>
          <w:bCs w:val="0"/>
          <w:szCs w:val="30"/>
        </w:rPr>
        <w:t>二、</w:t>
      </w:r>
      <w:r>
        <w:rPr>
          <w:rFonts w:ascii="宋体" w:hAnsi="宋体" w:eastAsia="宋体"/>
          <w:b w:val="0"/>
          <w:bCs w:val="0"/>
          <w:szCs w:val="30"/>
        </w:rPr>
        <w:t>2035</w:t>
      </w:r>
      <w:r>
        <w:rPr>
          <w:b w:val="0"/>
          <w:bCs w:val="0"/>
          <w:szCs w:val="30"/>
        </w:rPr>
        <w:t>年远景目标</w:t>
      </w:r>
    </w:p>
    <w:p>
      <w:pPr>
        <w:spacing w:line="590" w:lineRule="exact"/>
        <w:ind w:firstLine="600" w:firstLineChars="200"/>
        <w:rPr>
          <w:rFonts w:ascii="方正仿宋_GBK" w:hAnsi="Times New Roman" w:eastAsia="方正仿宋_GBK"/>
          <w:sz w:val="30"/>
          <w:szCs w:val="30"/>
        </w:rPr>
      </w:pPr>
      <w:r>
        <w:rPr>
          <w:rFonts w:ascii="方正仿宋_GBK" w:hAnsi="Times New Roman" w:eastAsia="方正仿宋_GBK"/>
          <w:sz w:val="30"/>
          <w:szCs w:val="30"/>
        </w:rPr>
        <w:t>到</w:t>
      </w:r>
      <w:r>
        <w:rPr>
          <w:rFonts w:ascii="宋体" w:hAnsi="宋体" w:eastAsia="宋体"/>
          <w:sz w:val="30"/>
          <w:szCs w:val="30"/>
        </w:rPr>
        <w:t>2035</w:t>
      </w:r>
      <w:r>
        <w:rPr>
          <w:rFonts w:ascii="方正仿宋_GBK" w:hAnsi="Times New Roman" w:eastAsia="方正仿宋_GBK"/>
          <w:sz w:val="30"/>
          <w:szCs w:val="30"/>
        </w:rPr>
        <w:t>年，资源保障能力切实增强，资源利用水平显著提高，矿山生态环境明显好转，管理制度更加完善，形成矿产资源勘查开发与生态环境保护相协调的绿色发展新格局。矿产资源对社会经济发展的支撑性、保障性作用更加突出，基本实现全区矿业发展与生态文明高度融合。资源开发与生态环境、城乡建设协调发展，矿产资源勘查开发生命周期绿色管控全面实现，矿产资源利用更加集约高效。矿产资源综合管理水平迈上新台阶，矿政管理各项业务规范高效。</w:t>
      </w:r>
    </w:p>
    <w:p>
      <w:pPr>
        <w:pStyle w:val="2"/>
      </w:pPr>
      <w:bookmarkStart w:id="39" w:name="_Toc100681765"/>
      <w:r>
        <w:t>第三章  矿产</w:t>
      </w:r>
      <w:r>
        <w:rPr>
          <w:rFonts w:hint="eastAsia"/>
        </w:rPr>
        <w:t>勘查</w:t>
      </w:r>
      <w:r>
        <w:t>开发与</w:t>
      </w:r>
      <w:r>
        <w:rPr>
          <w:rFonts w:hint="eastAsia"/>
        </w:rPr>
        <w:t>保护</w:t>
      </w:r>
      <w:r>
        <w:t>布局</w:t>
      </w:r>
      <w:bookmarkEnd w:id="36"/>
      <w:bookmarkEnd w:id="39"/>
    </w:p>
    <w:p>
      <w:pPr>
        <w:spacing w:line="590" w:lineRule="exact"/>
        <w:ind w:firstLine="600" w:firstLineChars="200"/>
        <w:rPr>
          <w:rFonts w:ascii="方正仿宋_GBK" w:hAnsi="Times New Roman" w:eastAsia="方正仿宋_GBK"/>
          <w:sz w:val="30"/>
          <w:szCs w:val="30"/>
        </w:rPr>
      </w:pPr>
      <w:bookmarkStart w:id="40" w:name="_Toc536005364"/>
      <w:bookmarkStart w:id="41" w:name="_Toc498364581"/>
      <w:bookmarkStart w:id="42" w:name="_Toc72490006"/>
      <w:r>
        <w:rPr>
          <w:rFonts w:hint="eastAsia" w:ascii="方正仿宋_GBK" w:hAnsi="Times New Roman" w:eastAsia="方正仿宋_GBK"/>
          <w:sz w:val="30"/>
          <w:szCs w:val="30"/>
        </w:rPr>
        <w:t>全面落实上级规划部署的基础性地质调查工作、重要矿产资源调查评价和矿产勘查开发布局。根据麒麟区国民经济和社会发展“十四五”规划、国土空间规划等相关规划、产业功能定位、生态环境保护要求等，结合矿产资源赋存特点、勘查开发水平等因素，推动资源开发与区域发展更加协调。</w:t>
      </w:r>
    </w:p>
    <w:p>
      <w:pPr>
        <w:pStyle w:val="3"/>
        <w:rPr>
          <w:szCs w:val="30"/>
        </w:rPr>
      </w:pPr>
      <w:bookmarkStart w:id="43" w:name="_Toc100681766"/>
      <w:r>
        <w:rPr>
          <w:szCs w:val="30"/>
        </w:rPr>
        <w:t xml:space="preserve">第一节  </w:t>
      </w:r>
      <w:bookmarkEnd w:id="40"/>
      <w:bookmarkEnd w:id="41"/>
      <w:r>
        <w:rPr>
          <w:szCs w:val="30"/>
        </w:rPr>
        <w:t>矿产资源勘查开采调控方向</w:t>
      </w:r>
      <w:bookmarkEnd w:id="42"/>
      <w:bookmarkEnd w:id="43"/>
    </w:p>
    <w:p>
      <w:pPr>
        <w:pStyle w:val="4"/>
        <w:rPr>
          <w:b w:val="0"/>
          <w:bCs w:val="0"/>
          <w:szCs w:val="30"/>
        </w:rPr>
      </w:pPr>
      <w:r>
        <w:rPr>
          <w:b w:val="0"/>
          <w:bCs w:val="0"/>
          <w:szCs w:val="30"/>
        </w:rPr>
        <w:t>一、</w:t>
      </w:r>
      <w:r>
        <w:rPr>
          <w:rFonts w:hint="eastAsia"/>
          <w:b w:val="0"/>
          <w:bCs w:val="0"/>
          <w:szCs w:val="30"/>
        </w:rPr>
        <w:t>开展矿产资源调查评价</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全面落实上级规划在麒麟区行政区内开展额基础地质、矿产调查及地下水资源评价等工作，总结成矿规律，提交新发现矿产地，评价资源潜力，摸清资源本底，利用财政资金，统一部署开展前期勘查，形成新发现矿产地，鼓励和引导商业资金勘查投入。</w:t>
      </w:r>
    </w:p>
    <w:p>
      <w:pPr>
        <w:pStyle w:val="4"/>
        <w:rPr>
          <w:b w:val="0"/>
          <w:bCs w:val="0"/>
          <w:szCs w:val="30"/>
        </w:rPr>
      </w:pPr>
      <w:r>
        <w:rPr>
          <w:rFonts w:hint="eastAsia"/>
          <w:b w:val="0"/>
          <w:bCs w:val="0"/>
          <w:szCs w:val="30"/>
        </w:rPr>
        <w:t>二</w:t>
      </w:r>
      <w:r>
        <w:rPr>
          <w:b w:val="0"/>
          <w:bCs w:val="0"/>
          <w:szCs w:val="30"/>
        </w:rPr>
        <w:t>、矿产资源勘查</w:t>
      </w:r>
    </w:p>
    <w:p>
      <w:pPr>
        <w:spacing w:line="590" w:lineRule="exact"/>
        <w:ind w:firstLine="600" w:firstLineChars="200"/>
        <w:rPr>
          <w:rFonts w:ascii="方正仿宋_GBK" w:hAnsi="Times New Roman" w:eastAsia="方正仿宋_GBK"/>
          <w:sz w:val="30"/>
          <w:szCs w:val="30"/>
        </w:rPr>
      </w:pPr>
      <w:r>
        <w:rPr>
          <w:rFonts w:ascii="方正仿宋_GBK" w:hAnsi="Times New Roman" w:eastAsia="方正仿宋_GBK"/>
          <w:sz w:val="30"/>
          <w:szCs w:val="30"/>
        </w:rPr>
        <w:t>以绿色勘查为</w:t>
      </w:r>
      <w:r>
        <w:rPr>
          <w:rFonts w:hint="eastAsia" w:ascii="方正仿宋_GBK" w:hAnsi="Times New Roman" w:eastAsia="方正仿宋_GBK"/>
          <w:sz w:val="30"/>
          <w:szCs w:val="30"/>
        </w:rPr>
        <w:t>导向</w:t>
      </w:r>
      <w:r>
        <w:rPr>
          <w:rFonts w:ascii="方正仿宋_GBK" w:hAnsi="Times New Roman" w:eastAsia="方正仿宋_GBK"/>
          <w:sz w:val="30"/>
          <w:szCs w:val="30"/>
        </w:rPr>
        <w:t>，加强新技术新方法应用，</w:t>
      </w:r>
      <w:r>
        <w:rPr>
          <w:rFonts w:hint="eastAsia" w:ascii="方正仿宋_GBK" w:hAnsi="Times New Roman" w:eastAsia="方正仿宋_GBK"/>
          <w:sz w:val="30"/>
          <w:szCs w:val="30"/>
        </w:rPr>
        <w:t>把绿色勘查与和谐勘查贯穿于地质勘查的全过程，</w:t>
      </w:r>
      <w:r>
        <w:rPr>
          <w:rFonts w:ascii="方正仿宋_GBK" w:hAnsi="Times New Roman" w:eastAsia="方正仿宋_GBK"/>
          <w:sz w:val="30"/>
          <w:szCs w:val="30"/>
        </w:rPr>
        <w:t>实施勘查全过程环境影响最小化控制，降低矿产勘查活动对生态环境的影响。</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开展矿产资源地质潜力、开发技术经济条件和环境影响“三位一体”综合调查评价。</w:t>
      </w:r>
      <w:r>
        <w:rPr>
          <w:rFonts w:ascii="方正仿宋_GBK" w:hAnsi="Times New Roman" w:eastAsia="方正仿宋_GBK"/>
          <w:sz w:val="30"/>
          <w:szCs w:val="30"/>
        </w:rPr>
        <w:t>鼓励和引导商业性勘查投入，严格按照勘查实施方案开展地质勘查工作，完成最低勘查投入和工作量，按</w:t>
      </w:r>
      <w:r>
        <w:rPr>
          <w:rFonts w:hint="eastAsia" w:ascii="方正仿宋_GBK" w:hAnsi="Times New Roman" w:eastAsia="方正仿宋_GBK"/>
          <w:sz w:val="30"/>
          <w:szCs w:val="30"/>
        </w:rPr>
        <w:t>“综合勘查、综合评价”</w:t>
      </w:r>
      <w:r>
        <w:rPr>
          <w:rFonts w:ascii="方正仿宋_GBK" w:hAnsi="Times New Roman" w:eastAsia="方正仿宋_GBK"/>
          <w:sz w:val="30"/>
          <w:szCs w:val="30"/>
        </w:rPr>
        <w:t>的要求进行地质勘查工作。</w:t>
      </w:r>
      <w:r>
        <w:rPr>
          <w:rFonts w:hint="eastAsia" w:ascii="方正仿宋_GBK" w:hAnsi="Times New Roman" w:eastAsia="方正仿宋_GBK"/>
          <w:sz w:val="30"/>
          <w:szCs w:val="30"/>
        </w:rPr>
        <w:t>按照突出优势及重要矿产、兼顾其他矿产的原则，重点勘查煤层气、煤等矿产。限制勘查蓝石棉、砂金、砂铁</w:t>
      </w:r>
      <w:r>
        <w:rPr>
          <w:rFonts w:ascii="方正仿宋_GBK" w:hAnsi="Times New Roman" w:eastAsia="方正仿宋_GBK"/>
          <w:sz w:val="30"/>
          <w:szCs w:val="30"/>
        </w:rPr>
        <w:t>等</w:t>
      </w:r>
      <w:r>
        <w:rPr>
          <w:rFonts w:hint="eastAsia" w:ascii="方正仿宋_GBK" w:hAnsi="Times New Roman" w:eastAsia="方正仿宋_GBK"/>
          <w:sz w:val="30"/>
          <w:szCs w:val="30"/>
        </w:rPr>
        <w:t>矿产。</w:t>
      </w:r>
    </w:p>
    <w:p>
      <w:pPr>
        <w:pStyle w:val="4"/>
        <w:rPr>
          <w:b w:val="0"/>
          <w:bCs w:val="0"/>
          <w:szCs w:val="30"/>
        </w:rPr>
      </w:pPr>
      <w:r>
        <w:rPr>
          <w:rFonts w:hint="eastAsia"/>
          <w:b w:val="0"/>
          <w:bCs w:val="0"/>
          <w:szCs w:val="30"/>
        </w:rPr>
        <w:t>三</w:t>
      </w:r>
      <w:r>
        <w:rPr>
          <w:b w:val="0"/>
          <w:bCs w:val="0"/>
          <w:szCs w:val="30"/>
        </w:rPr>
        <w:t>、矿产资源开发</w:t>
      </w:r>
    </w:p>
    <w:p>
      <w:pPr>
        <w:spacing w:line="590" w:lineRule="exact"/>
        <w:ind w:firstLine="600" w:firstLineChars="200"/>
        <w:rPr>
          <w:rFonts w:ascii="方正仿宋_GBK" w:hAnsi="Times New Roman" w:eastAsia="方正仿宋_GBK"/>
          <w:sz w:val="30"/>
          <w:szCs w:val="30"/>
        </w:rPr>
      </w:pPr>
      <w:r>
        <w:rPr>
          <w:rFonts w:ascii="方正仿宋_GBK" w:hAnsi="Times New Roman" w:eastAsia="方正仿宋_GBK"/>
          <w:sz w:val="30"/>
          <w:szCs w:val="30"/>
        </w:rPr>
        <w:t>严格落实省</w:t>
      </w:r>
      <w:r>
        <w:rPr>
          <w:rFonts w:hint="eastAsia" w:ascii="方正仿宋_GBK" w:hAnsi="Times New Roman" w:eastAsia="方正仿宋_GBK"/>
          <w:sz w:val="30"/>
          <w:szCs w:val="30"/>
        </w:rPr>
        <w:t>、市</w:t>
      </w:r>
      <w:r>
        <w:rPr>
          <w:rFonts w:ascii="方正仿宋_GBK" w:hAnsi="Times New Roman" w:eastAsia="方正仿宋_GBK"/>
          <w:sz w:val="30"/>
          <w:szCs w:val="30"/>
        </w:rPr>
        <w:t>级规划在麒麟区政区域内的矿产资源开发保护布局</w:t>
      </w:r>
      <w:r>
        <w:rPr>
          <w:rFonts w:hint="eastAsia" w:ascii="方正仿宋_GBK" w:hAnsi="Times New Roman" w:eastAsia="方正仿宋_GBK"/>
          <w:sz w:val="30"/>
          <w:szCs w:val="30"/>
        </w:rPr>
        <w:t>,</w:t>
      </w:r>
      <w:r>
        <w:rPr>
          <w:rFonts w:ascii="方正仿宋_GBK" w:hAnsi="Times New Roman" w:eastAsia="方正仿宋_GBK"/>
          <w:sz w:val="30"/>
          <w:szCs w:val="30"/>
        </w:rPr>
        <w:t>优化资源配置、合理开发，</w:t>
      </w:r>
      <w:r>
        <w:rPr>
          <w:rFonts w:hint="eastAsia" w:ascii="方正仿宋_GBK" w:hAnsi="Times New Roman" w:eastAsia="方正仿宋_GBK"/>
          <w:sz w:val="30"/>
          <w:szCs w:val="30"/>
        </w:rPr>
        <w:t>充分发挥麒麟区煤矿的资源优势，依靠科技进步，推动麒麟区矿业转型，</w:t>
      </w:r>
      <w:r>
        <w:rPr>
          <w:rFonts w:ascii="方正仿宋_GBK" w:hAnsi="Times New Roman" w:eastAsia="方正仿宋_GBK"/>
          <w:sz w:val="30"/>
          <w:szCs w:val="30"/>
        </w:rPr>
        <w:t>实现资源开发与生态环境保护的协调统一。</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充分发挥麒麟区矿产资源优势，</w:t>
      </w:r>
      <w:r>
        <w:rPr>
          <w:rFonts w:ascii="方正仿宋_GBK" w:hAnsi="Times New Roman" w:eastAsia="方正仿宋_GBK"/>
          <w:sz w:val="30"/>
          <w:szCs w:val="30"/>
        </w:rPr>
        <w:t>重点开采</w:t>
      </w:r>
      <w:r>
        <w:rPr>
          <w:rFonts w:hint="eastAsia" w:ascii="方正仿宋_GBK" w:hAnsi="Times New Roman" w:eastAsia="方正仿宋_GBK"/>
          <w:sz w:val="30"/>
          <w:szCs w:val="30"/>
        </w:rPr>
        <w:t>煤炭、建筑石料用灰岩、建筑用砂及砖瓦用页岩等矿种</w:t>
      </w:r>
      <w:r>
        <w:rPr>
          <w:rFonts w:ascii="方正仿宋_GBK" w:hAnsi="Times New Roman" w:eastAsia="方正仿宋_GBK"/>
          <w:sz w:val="30"/>
          <w:szCs w:val="30"/>
        </w:rPr>
        <w:t>。限制开采高硫、高砷、高灰、高氟煤炭</w:t>
      </w:r>
      <w:r>
        <w:rPr>
          <w:rFonts w:hint="eastAsia" w:ascii="方正仿宋_GBK" w:hAnsi="Times New Roman" w:eastAsia="方正仿宋_GBK"/>
          <w:sz w:val="30"/>
          <w:szCs w:val="30"/>
        </w:rPr>
        <w:t>以及砂金、砂铁等重砂矿物，从严控制采矿权投放</w:t>
      </w:r>
      <w:r>
        <w:rPr>
          <w:rFonts w:ascii="方正仿宋_GBK" w:hAnsi="Times New Roman" w:eastAsia="方正仿宋_GBK"/>
          <w:sz w:val="30"/>
          <w:szCs w:val="30"/>
        </w:rPr>
        <w:t>。禁止开采</w:t>
      </w:r>
      <w:r>
        <w:rPr>
          <w:rFonts w:hint="eastAsia" w:ascii="方正仿宋_GBK" w:hAnsi="Times New Roman" w:eastAsia="方正仿宋_GBK"/>
          <w:sz w:val="30"/>
          <w:szCs w:val="30"/>
        </w:rPr>
        <w:t>可耕地的</w:t>
      </w:r>
      <w:r>
        <w:rPr>
          <w:rFonts w:ascii="方正仿宋_GBK" w:hAnsi="Times New Roman" w:eastAsia="方正仿宋_GBK"/>
          <w:sz w:val="30"/>
          <w:szCs w:val="30"/>
        </w:rPr>
        <w:t>砖瓦用粘土。</w:t>
      </w:r>
    </w:p>
    <w:p>
      <w:pPr>
        <w:pStyle w:val="3"/>
        <w:rPr>
          <w:szCs w:val="30"/>
        </w:rPr>
      </w:pPr>
      <w:bookmarkStart w:id="44" w:name="_Toc100681767"/>
      <w:bookmarkStart w:id="45" w:name="_Toc72490007"/>
      <w:r>
        <w:rPr>
          <w:rFonts w:hint="eastAsia"/>
          <w:szCs w:val="30"/>
        </w:rPr>
        <w:t xml:space="preserve">第二节 </w:t>
      </w:r>
      <w:r>
        <w:rPr>
          <w:szCs w:val="30"/>
        </w:rPr>
        <w:t xml:space="preserve"> 矿产资源产业重点发展区域</w:t>
      </w:r>
      <w:bookmarkEnd w:id="44"/>
      <w:bookmarkEnd w:id="45"/>
    </w:p>
    <w:p>
      <w:pPr>
        <w:pStyle w:val="4"/>
        <w:rPr>
          <w:b w:val="0"/>
          <w:bCs w:val="0"/>
          <w:szCs w:val="30"/>
        </w:rPr>
      </w:pPr>
      <w:r>
        <w:rPr>
          <w:b w:val="0"/>
          <w:bCs w:val="0"/>
          <w:szCs w:val="30"/>
        </w:rPr>
        <w:t>一、矿产资源开发及相关产业重点发展区域</w:t>
      </w:r>
    </w:p>
    <w:p>
      <w:pPr>
        <w:spacing w:line="590" w:lineRule="exact"/>
        <w:ind w:firstLine="600" w:firstLineChars="200"/>
        <w:rPr>
          <w:rFonts w:ascii="方正仿宋_GBK" w:hAnsi="Times New Roman" w:eastAsia="方正仿宋_GBK"/>
          <w:sz w:val="30"/>
          <w:szCs w:val="30"/>
        </w:rPr>
      </w:pPr>
      <w:r>
        <w:rPr>
          <w:rFonts w:ascii="方正仿宋_GBK" w:hAnsi="Times New Roman" w:eastAsia="方正仿宋_GBK"/>
          <w:sz w:val="30"/>
          <w:szCs w:val="30"/>
        </w:rPr>
        <w:t>结合</w:t>
      </w:r>
      <w:r>
        <w:rPr>
          <w:rFonts w:hint="eastAsia" w:ascii="方正仿宋_GBK" w:hAnsi="Times New Roman" w:eastAsia="方正仿宋_GBK"/>
          <w:sz w:val="30"/>
          <w:szCs w:val="30"/>
        </w:rPr>
        <w:t>麒麟区</w:t>
      </w:r>
      <w:r>
        <w:rPr>
          <w:rFonts w:ascii="方正仿宋_GBK" w:hAnsi="Times New Roman" w:eastAsia="方正仿宋_GBK"/>
          <w:sz w:val="30"/>
          <w:szCs w:val="30"/>
        </w:rPr>
        <w:t>经济发展和矿产资源相关产业空间布局，确定</w:t>
      </w:r>
      <w:r>
        <w:rPr>
          <w:rFonts w:hint="eastAsia" w:ascii="方正仿宋_GBK" w:hAnsi="Times New Roman" w:eastAsia="方正仿宋_GBK"/>
          <w:sz w:val="30"/>
          <w:szCs w:val="30"/>
        </w:rPr>
        <w:t>区</w:t>
      </w:r>
      <w:r>
        <w:rPr>
          <w:rFonts w:ascii="方正仿宋_GBK" w:hAnsi="Times New Roman" w:eastAsia="方正仿宋_GBK"/>
          <w:sz w:val="30"/>
          <w:szCs w:val="30"/>
        </w:rPr>
        <w:t>内矿产资源产业发展重点区域。</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tcPr>
          <w:p>
            <w:pPr>
              <w:spacing w:line="560" w:lineRule="exact"/>
              <w:jc w:val="center"/>
              <w:rPr>
                <w:rFonts w:ascii="方正黑体_GBK" w:eastAsia="方正黑体_GBK"/>
                <w:sz w:val="30"/>
                <w:szCs w:val="30"/>
              </w:rPr>
            </w:pPr>
            <w:r>
              <w:rPr>
                <w:rFonts w:hint="eastAsia" w:ascii="方正黑体_GBK" w:hAnsi="Calibri" w:eastAsia="方正黑体_GBK"/>
                <w:b/>
                <w:bCs/>
                <w:color w:val="000000"/>
                <w:kern w:val="0"/>
                <w:sz w:val="30"/>
                <w:szCs w:val="30"/>
              </w:rPr>
              <w:t>矿产资源产业发展重点区域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90" w:lineRule="exact"/>
              <w:ind w:firstLine="561"/>
              <w:rPr>
                <w:rFonts w:ascii="方正仿宋_GBK" w:hAnsi="Times New Roman" w:eastAsia="方正仿宋_GBK"/>
                <w:bCs/>
                <w:sz w:val="30"/>
                <w:szCs w:val="30"/>
              </w:rPr>
            </w:pPr>
            <w:r>
              <w:rPr>
                <w:rFonts w:hint="eastAsia" w:ascii="方正仿宋_GBK" w:hAnsi="Times New Roman" w:eastAsia="方正仿宋_GBK"/>
                <w:b/>
                <w:sz w:val="30"/>
                <w:szCs w:val="30"/>
              </w:rPr>
              <w:t>东山镇：</w:t>
            </w:r>
            <w:r>
              <w:rPr>
                <w:rFonts w:hint="eastAsia" w:ascii="方正仿宋_GBK" w:hAnsi="Times New Roman" w:eastAsia="方正仿宋_GBK"/>
                <w:bCs/>
                <w:sz w:val="30"/>
                <w:szCs w:val="30"/>
              </w:rPr>
              <w:t>镇内煤炭资源储量大，依托恩洪煤矿，大力发展新型煤化工产业，强化煤化工原料保障，打造成为清洁能源及新型煤化工产业基地。</w:t>
            </w:r>
          </w:p>
          <w:p>
            <w:pPr>
              <w:spacing w:line="590" w:lineRule="exact"/>
              <w:ind w:firstLine="561"/>
              <w:rPr>
                <w:rFonts w:ascii="方正仿宋_GBK" w:hAnsi="仿宋" w:eastAsia="方正仿宋_GBK"/>
                <w:kern w:val="0"/>
                <w:sz w:val="30"/>
                <w:szCs w:val="30"/>
              </w:rPr>
            </w:pPr>
            <w:r>
              <w:rPr>
                <w:rFonts w:hint="eastAsia" w:ascii="方正仿宋_GBK" w:hAnsi="Times New Roman" w:eastAsia="方正仿宋_GBK"/>
                <w:b/>
                <w:sz w:val="30"/>
                <w:szCs w:val="30"/>
              </w:rPr>
              <w:t>越州镇</w:t>
            </w:r>
            <w:r>
              <w:rPr>
                <w:rFonts w:hint="eastAsia" w:ascii="方正仿宋_GBK" w:hAnsi="Times New Roman" w:eastAsia="方正仿宋_GBK"/>
                <w:sz w:val="30"/>
                <w:szCs w:val="30"/>
              </w:rPr>
              <w:t>：</w:t>
            </w:r>
            <w:r>
              <w:rPr>
                <w:rFonts w:ascii="方正仿宋_GBK" w:hAnsi="Times New Roman" w:eastAsia="方正仿宋_GBK"/>
                <w:sz w:val="30"/>
                <w:szCs w:val="30"/>
              </w:rPr>
              <w:t>结合越州工业片区的区位条件、交通条件、资源优势、产业等优势及发展潜力</w:t>
            </w:r>
            <w:r>
              <w:rPr>
                <w:rFonts w:hint="eastAsia" w:ascii="方正仿宋_GBK" w:hAnsi="Times New Roman" w:eastAsia="方正仿宋_GBK"/>
                <w:sz w:val="30"/>
                <w:szCs w:val="30"/>
              </w:rPr>
              <w:t>，加快园区集中布局、产业集聚发展、资源集约利用，推动煤化工、精细化工产业绿色循环低碳发展，争创省级绿色化工园区</w:t>
            </w:r>
            <w:r>
              <w:rPr>
                <w:rFonts w:hint="eastAsia" w:ascii="方正仿宋_GBK" w:hAnsi="仿宋" w:eastAsia="方正仿宋_GBK"/>
                <w:kern w:val="0"/>
                <w:sz w:val="30"/>
                <w:szCs w:val="30"/>
              </w:rPr>
              <w:t>。</w:t>
            </w:r>
          </w:p>
        </w:tc>
      </w:tr>
    </w:tbl>
    <w:p>
      <w:pPr>
        <w:pStyle w:val="4"/>
        <w:rPr>
          <w:b w:val="0"/>
          <w:bCs w:val="0"/>
          <w:szCs w:val="30"/>
        </w:rPr>
      </w:pPr>
      <w:r>
        <w:rPr>
          <w:b w:val="0"/>
          <w:bCs w:val="0"/>
          <w:szCs w:val="30"/>
        </w:rPr>
        <w:t>二、产业结构调整方向及措施</w:t>
      </w:r>
    </w:p>
    <w:p>
      <w:pPr>
        <w:pStyle w:val="5"/>
        <w:spacing w:before="0" w:after="0" w:line="590" w:lineRule="exact"/>
        <w:ind w:firstLine="600" w:firstLineChars="200"/>
        <w:rPr>
          <w:rFonts w:ascii="方正仿宋_GBK" w:hAnsi="Times New Roman" w:eastAsia="方正仿宋_GBK"/>
          <w:b w:val="0"/>
          <w:sz w:val="30"/>
          <w:szCs w:val="30"/>
        </w:rPr>
      </w:pPr>
      <w:bookmarkStart w:id="46" w:name="_Toc76997123"/>
      <w:bookmarkStart w:id="47" w:name="_Toc47000332"/>
      <w:bookmarkStart w:id="48" w:name="_Toc46998014"/>
      <w:r>
        <w:rPr>
          <w:rFonts w:hint="eastAsia" w:ascii="方正仿宋_GBK" w:hAnsi="Times New Roman" w:eastAsia="方正仿宋_GBK"/>
          <w:b w:val="0"/>
          <w:sz w:val="30"/>
          <w:szCs w:val="30"/>
        </w:rPr>
        <w:t>（一）</w:t>
      </w:r>
      <w:r>
        <w:rPr>
          <w:rFonts w:ascii="方正仿宋_GBK" w:hAnsi="Times New Roman" w:eastAsia="方正仿宋_GBK"/>
          <w:b w:val="0"/>
          <w:sz w:val="30"/>
          <w:szCs w:val="30"/>
        </w:rPr>
        <w:t>依托资源比较优势，坚持以市场为导向，突出发展具有优势的矿产资源产业经济，努力延长产业链</w:t>
      </w:r>
      <w:r>
        <w:rPr>
          <w:rFonts w:hint="eastAsia" w:ascii="方正仿宋_GBK" w:hAnsi="Times New Roman" w:eastAsia="方正仿宋_GBK"/>
          <w:b w:val="0"/>
          <w:sz w:val="30"/>
          <w:szCs w:val="30"/>
        </w:rPr>
        <w:t>。</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坚持集约、高效、绿色开发矿产资源，提高矿产资源综合开发利用水平，</w:t>
      </w:r>
      <w:r>
        <w:rPr>
          <w:rFonts w:ascii="方正仿宋_GBK" w:hAnsi="Times New Roman" w:eastAsia="方正仿宋_GBK"/>
          <w:sz w:val="30"/>
          <w:szCs w:val="30"/>
        </w:rPr>
        <w:t>积极发展优势产业及深加工产品，努力延长相关产业链</w:t>
      </w:r>
      <w:r>
        <w:rPr>
          <w:rFonts w:hint="eastAsia" w:ascii="方正仿宋_GBK" w:hAnsi="Times New Roman" w:eastAsia="方正仿宋_GBK"/>
          <w:sz w:val="30"/>
          <w:szCs w:val="30"/>
        </w:rPr>
        <w:t>，</w:t>
      </w:r>
      <w:r>
        <w:rPr>
          <w:rFonts w:ascii="方正仿宋_GBK" w:hAnsi="Times New Roman" w:eastAsia="方正仿宋_GBK"/>
          <w:sz w:val="30"/>
          <w:szCs w:val="30"/>
        </w:rPr>
        <w:t>把具有优势的矿产资源产业经济做深做细、做大规模。实现集约化、规模化开发，推动集群发展，培养出以资源为起点，经过中间产品，直到最终产品的产业链体系</w:t>
      </w:r>
      <w:r>
        <w:rPr>
          <w:rFonts w:hint="eastAsia" w:ascii="方正仿宋_GBK" w:hAnsi="Times New Roman" w:eastAsia="方正仿宋_GBK"/>
          <w:sz w:val="30"/>
          <w:szCs w:val="30"/>
        </w:rPr>
        <w:t>。</w:t>
      </w:r>
    </w:p>
    <w:p>
      <w:pPr>
        <w:pStyle w:val="5"/>
        <w:spacing w:before="0" w:after="0" w:line="590" w:lineRule="exact"/>
        <w:ind w:firstLine="600" w:firstLineChars="200"/>
        <w:rPr>
          <w:rFonts w:ascii="方正仿宋_GBK" w:hAnsi="Times New Roman" w:eastAsia="方正仿宋_GBK"/>
          <w:b w:val="0"/>
          <w:sz w:val="30"/>
          <w:szCs w:val="30"/>
        </w:rPr>
      </w:pPr>
      <w:r>
        <w:rPr>
          <w:rFonts w:hint="eastAsia" w:ascii="方正仿宋_GBK" w:hAnsi="Times New Roman" w:eastAsia="方正仿宋_GBK"/>
          <w:b w:val="0"/>
          <w:sz w:val="30"/>
          <w:szCs w:val="30"/>
        </w:rPr>
        <w:t>（二）</w:t>
      </w:r>
      <w:r>
        <w:rPr>
          <w:rFonts w:ascii="方正仿宋_GBK" w:hAnsi="Times New Roman" w:eastAsia="方正仿宋_GBK"/>
          <w:b w:val="0"/>
          <w:sz w:val="30"/>
          <w:szCs w:val="30"/>
        </w:rPr>
        <w:t>努力推进技术进步，为创造</w:t>
      </w:r>
      <w:r>
        <w:rPr>
          <w:rFonts w:hint="eastAsia" w:ascii="方正仿宋_GBK" w:hAnsi="Times New Roman" w:eastAsia="方正仿宋_GBK"/>
          <w:b w:val="0"/>
          <w:sz w:val="30"/>
          <w:szCs w:val="30"/>
        </w:rPr>
        <w:t>麒麟</w:t>
      </w:r>
      <w:r>
        <w:rPr>
          <w:rFonts w:ascii="方正仿宋_GBK" w:hAnsi="Times New Roman" w:eastAsia="方正仿宋_GBK"/>
          <w:b w:val="0"/>
          <w:sz w:val="30"/>
          <w:szCs w:val="30"/>
        </w:rPr>
        <w:t>产业的竞争优势打好基础</w:t>
      </w:r>
      <w:r>
        <w:rPr>
          <w:rFonts w:hint="eastAsia" w:ascii="方正仿宋_GBK" w:hAnsi="Times New Roman" w:eastAsia="方正仿宋_GBK"/>
          <w:b w:val="0"/>
          <w:sz w:val="30"/>
          <w:szCs w:val="30"/>
        </w:rPr>
        <w:t>。</w:t>
      </w:r>
    </w:p>
    <w:p>
      <w:pPr>
        <w:spacing w:line="590" w:lineRule="exact"/>
        <w:ind w:firstLine="600" w:firstLineChars="200"/>
        <w:rPr>
          <w:rFonts w:ascii="方正仿宋_GBK" w:hAnsi="Times New Roman" w:eastAsia="方正仿宋_GBK"/>
          <w:sz w:val="30"/>
          <w:szCs w:val="30"/>
        </w:rPr>
      </w:pPr>
      <w:r>
        <w:rPr>
          <w:rFonts w:ascii="方正仿宋_GBK" w:hAnsi="Times New Roman" w:eastAsia="方正仿宋_GBK"/>
          <w:sz w:val="30"/>
          <w:szCs w:val="30"/>
        </w:rPr>
        <w:t>通过</w:t>
      </w:r>
      <w:r>
        <w:rPr>
          <w:rFonts w:hint="eastAsia" w:ascii="方正仿宋_GBK" w:hAnsi="Times New Roman" w:eastAsia="方正仿宋_GBK"/>
          <w:sz w:val="30"/>
          <w:szCs w:val="30"/>
        </w:rPr>
        <w:t>加大</w:t>
      </w:r>
      <w:r>
        <w:rPr>
          <w:rFonts w:ascii="方正仿宋_GBK" w:hAnsi="Times New Roman" w:eastAsia="方正仿宋_GBK"/>
          <w:sz w:val="30"/>
          <w:szCs w:val="30"/>
        </w:rPr>
        <w:t>资金</w:t>
      </w:r>
      <w:r>
        <w:rPr>
          <w:rFonts w:hint="eastAsia" w:ascii="方正仿宋_GBK" w:hAnsi="Times New Roman" w:eastAsia="方正仿宋_GBK"/>
          <w:sz w:val="30"/>
          <w:szCs w:val="30"/>
        </w:rPr>
        <w:t>投入</w:t>
      </w:r>
      <w:r>
        <w:rPr>
          <w:rFonts w:ascii="方正仿宋_GBK" w:hAnsi="Times New Roman" w:eastAsia="方正仿宋_GBK"/>
          <w:sz w:val="30"/>
          <w:szCs w:val="30"/>
        </w:rPr>
        <w:t>和技术</w:t>
      </w:r>
      <w:r>
        <w:rPr>
          <w:rFonts w:hint="eastAsia" w:ascii="方正仿宋_GBK" w:hAnsi="Times New Roman" w:eastAsia="方正仿宋_GBK"/>
          <w:sz w:val="30"/>
          <w:szCs w:val="30"/>
        </w:rPr>
        <w:t>创新</w:t>
      </w:r>
      <w:r>
        <w:rPr>
          <w:rFonts w:ascii="方正仿宋_GBK" w:hAnsi="Times New Roman" w:eastAsia="方正仿宋_GBK"/>
          <w:sz w:val="30"/>
          <w:szCs w:val="30"/>
        </w:rPr>
        <w:t>等要素，</w:t>
      </w:r>
      <w:r>
        <w:rPr>
          <w:rFonts w:hint="eastAsia" w:ascii="方正仿宋_GBK" w:hAnsi="Times New Roman" w:eastAsia="方正仿宋_GBK"/>
          <w:sz w:val="30"/>
          <w:szCs w:val="30"/>
        </w:rPr>
        <w:t>提高技术装备和集约化发展水平，推进矿山信息化建设。通过信息化改造传统工业，突出信息化在生产过程控制、企业管理、节能监测等传统产业转型升级中的作用，走工业化与信息化融合的发展道路，建立起</w:t>
      </w:r>
      <w:r>
        <w:rPr>
          <w:rFonts w:ascii="方正仿宋_GBK" w:hAnsi="Times New Roman" w:eastAsia="方正仿宋_GBK"/>
          <w:sz w:val="30"/>
          <w:szCs w:val="30"/>
        </w:rPr>
        <w:t>动态的市场竞争优势，从而建立起</w:t>
      </w:r>
      <w:r>
        <w:rPr>
          <w:rFonts w:hint="eastAsia" w:ascii="方正仿宋_GBK" w:hAnsi="Times New Roman" w:eastAsia="方正仿宋_GBK"/>
          <w:sz w:val="30"/>
          <w:szCs w:val="30"/>
        </w:rPr>
        <w:t>麒麟区矿业</w:t>
      </w:r>
      <w:r>
        <w:rPr>
          <w:rFonts w:ascii="方正仿宋_GBK" w:hAnsi="Times New Roman" w:eastAsia="方正仿宋_GBK"/>
          <w:sz w:val="30"/>
          <w:szCs w:val="30"/>
        </w:rPr>
        <w:t>经济发展的永续依托。</w:t>
      </w:r>
    </w:p>
    <w:p>
      <w:pPr>
        <w:pStyle w:val="5"/>
        <w:spacing w:before="0" w:after="0" w:line="590" w:lineRule="exact"/>
        <w:ind w:firstLine="600" w:firstLineChars="200"/>
        <w:rPr>
          <w:rFonts w:ascii="方正仿宋_GBK" w:hAnsi="Times New Roman" w:eastAsia="方正仿宋_GBK"/>
          <w:b w:val="0"/>
          <w:sz w:val="30"/>
          <w:szCs w:val="30"/>
        </w:rPr>
      </w:pPr>
      <w:r>
        <w:rPr>
          <w:rFonts w:hint="eastAsia" w:ascii="方正仿宋_GBK" w:hAnsi="Times New Roman" w:eastAsia="方正仿宋_GBK"/>
          <w:b w:val="0"/>
          <w:sz w:val="30"/>
          <w:szCs w:val="30"/>
        </w:rPr>
        <w:t>（三）提高</w:t>
      </w:r>
      <w:r>
        <w:rPr>
          <w:rFonts w:ascii="方正仿宋_GBK" w:hAnsi="Times New Roman" w:eastAsia="方正仿宋_GBK"/>
          <w:b w:val="0"/>
          <w:sz w:val="30"/>
          <w:szCs w:val="30"/>
        </w:rPr>
        <w:t>可持续发展</w:t>
      </w:r>
      <w:r>
        <w:rPr>
          <w:rFonts w:hint="eastAsia" w:ascii="方正仿宋_GBK" w:hAnsi="Times New Roman" w:eastAsia="方正仿宋_GBK"/>
          <w:b w:val="0"/>
          <w:sz w:val="30"/>
          <w:szCs w:val="30"/>
        </w:rPr>
        <w:t>与生态</w:t>
      </w:r>
      <w:r>
        <w:rPr>
          <w:rFonts w:ascii="方正仿宋_GBK" w:hAnsi="Times New Roman" w:eastAsia="方正仿宋_GBK"/>
          <w:b w:val="0"/>
          <w:sz w:val="30"/>
          <w:szCs w:val="30"/>
        </w:rPr>
        <w:t>环境相协调</w:t>
      </w:r>
      <w:r>
        <w:rPr>
          <w:rFonts w:hint="eastAsia" w:ascii="方正仿宋_GBK" w:hAnsi="Times New Roman" w:eastAsia="方正仿宋_GBK"/>
          <w:b w:val="0"/>
          <w:sz w:val="30"/>
          <w:szCs w:val="30"/>
        </w:rPr>
        <w:t>。</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麒麟区</w:t>
      </w:r>
      <w:r>
        <w:rPr>
          <w:rFonts w:ascii="方正仿宋_GBK" w:hAnsi="Times New Roman" w:eastAsia="方正仿宋_GBK"/>
          <w:sz w:val="30"/>
          <w:szCs w:val="30"/>
        </w:rPr>
        <w:t>矿产资源的开发必须在保护好生态环境的前提下进行，</w:t>
      </w:r>
      <w:r>
        <w:rPr>
          <w:rFonts w:hint="eastAsia" w:ascii="方正仿宋_GBK" w:hAnsi="Times New Roman" w:eastAsia="方正仿宋_GBK"/>
          <w:sz w:val="30"/>
          <w:szCs w:val="30"/>
        </w:rPr>
        <w:t>要建立健全节能减排机制，倒逼矿山企业转型升级，实施单位能耗下降和能源消费总量双控措施，严格环境准入和节能评估审查。规范矿山开采方式，严格执行矿产资源开发利用方案和开采设计方案，鼓励矿山企业淘汰落后设备，引进和消化先进的新技术、新设备，改造提升现有矿山企业科技水平和加工工艺，加速产业升级，提高资源利用效率，开展节能降耗、节能减排工作，节能降耗达到国家规定指标；矿产资源“三率”水平不低于矿产资源开发利用方案指标。加快推进节能减排重点项目，积极培育和创建低碳绿色矿山，</w:t>
      </w:r>
      <w:r>
        <w:rPr>
          <w:rFonts w:ascii="方正仿宋_GBK" w:hAnsi="Times New Roman" w:eastAsia="方正仿宋_GBK"/>
          <w:sz w:val="30"/>
          <w:szCs w:val="30"/>
        </w:rPr>
        <w:t>走可持续发展之路，努力</w:t>
      </w:r>
      <w:r>
        <w:rPr>
          <w:rFonts w:hint="eastAsia" w:ascii="方正仿宋_GBK" w:hAnsi="Times New Roman" w:eastAsia="方正仿宋_GBK"/>
          <w:sz w:val="30"/>
          <w:szCs w:val="30"/>
        </w:rPr>
        <w:t>构建资源节约型和环境友好型社会。</w:t>
      </w:r>
    </w:p>
    <w:p>
      <w:pPr>
        <w:pStyle w:val="5"/>
        <w:spacing w:before="0" w:after="0" w:line="590" w:lineRule="exact"/>
        <w:ind w:firstLine="600" w:firstLineChars="200"/>
        <w:rPr>
          <w:rFonts w:ascii="方正仿宋_GBK" w:hAnsi="Times New Roman" w:eastAsia="方正仿宋_GBK"/>
          <w:b w:val="0"/>
          <w:sz w:val="30"/>
          <w:szCs w:val="30"/>
        </w:rPr>
      </w:pPr>
      <w:r>
        <w:rPr>
          <w:rFonts w:hint="eastAsia" w:ascii="方正仿宋_GBK" w:hAnsi="Times New Roman" w:eastAsia="方正仿宋_GBK"/>
          <w:b w:val="0"/>
          <w:sz w:val="30"/>
          <w:szCs w:val="30"/>
        </w:rPr>
        <w:t>（四）</w:t>
      </w:r>
      <w:r>
        <w:rPr>
          <w:rFonts w:ascii="方正仿宋_GBK" w:hAnsi="Times New Roman" w:eastAsia="方正仿宋_GBK"/>
          <w:b w:val="0"/>
          <w:sz w:val="30"/>
          <w:szCs w:val="30"/>
        </w:rPr>
        <w:t>依托现有优势企业规模扩张，带动矿业布局优化调整</w:t>
      </w:r>
      <w:r>
        <w:rPr>
          <w:rFonts w:hint="eastAsia" w:ascii="方正仿宋_GBK" w:hAnsi="Times New Roman" w:eastAsia="方正仿宋_GBK"/>
          <w:b w:val="0"/>
          <w:sz w:val="30"/>
          <w:szCs w:val="30"/>
        </w:rPr>
        <w:t>。</w:t>
      </w:r>
    </w:p>
    <w:p>
      <w:pPr>
        <w:spacing w:line="590" w:lineRule="exact"/>
        <w:ind w:firstLine="600" w:firstLineChars="200"/>
        <w:rPr>
          <w:rFonts w:ascii="方正仿宋_GBK" w:hAnsi="Times New Roman" w:eastAsia="方正仿宋_GBK"/>
          <w:sz w:val="30"/>
          <w:szCs w:val="30"/>
        </w:rPr>
      </w:pPr>
      <w:r>
        <w:rPr>
          <w:rFonts w:ascii="方正仿宋_GBK" w:hAnsi="Times New Roman" w:eastAsia="方正仿宋_GBK"/>
          <w:sz w:val="30"/>
          <w:szCs w:val="30"/>
        </w:rPr>
        <w:t>以科技创新和节约化生产经营为导向，</w:t>
      </w:r>
      <w:r>
        <w:rPr>
          <w:rFonts w:hint="eastAsia" w:ascii="方正仿宋_GBK" w:hAnsi="Times New Roman" w:eastAsia="方正仿宋_GBK"/>
          <w:sz w:val="30"/>
          <w:szCs w:val="30"/>
        </w:rPr>
        <w:t>以绿色矿山建设为标准，</w:t>
      </w:r>
      <w:r>
        <w:rPr>
          <w:rFonts w:ascii="方正仿宋_GBK" w:hAnsi="Times New Roman" w:eastAsia="方正仿宋_GBK"/>
          <w:sz w:val="30"/>
          <w:szCs w:val="30"/>
        </w:rPr>
        <w:t>加</w:t>
      </w:r>
      <w:r>
        <w:rPr>
          <w:rFonts w:hint="eastAsia" w:ascii="方正仿宋_GBK" w:hAnsi="Times New Roman" w:eastAsia="方正仿宋_GBK"/>
          <w:sz w:val="30"/>
          <w:szCs w:val="30"/>
        </w:rPr>
        <w:t>快</w:t>
      </w:r>
      <w:r>
        <w:rPr>
          <w:rFonts w:ascii="方正仿宋_GBK" w:hAnsi="Times New Roman" w:eastAsia="方正仿宋_GBK"/>
          <w:sz w:val="30"/>
          <w:szCs w:val="30"/>
        </w:rPr>
        <w:t>矿产资源整合</w:t>
      </w:r>
      <w:r>
        <w:rPr>
          <w:rFonts w:hint="eastAsia" w:ascii="方正仿宋_GBK" w:hAnsi="Times New Roman" w:eastAsia="方正仿宋_GBK"/>
          <w:sz w:val="30"/>
          <w:szCs w:val="30"/>
        </w:rPr>
        <w:t>工作</w:t>
      </w:r>
      <w:r>
        <w:rPr>
          <w:rFonts w:ascii="方正仿宋_GBK" w:hAnsi="Times New Roman" w:eastAsia="方正仿宋_GBK"/>
          <w:sz w:val="30"/>
          <w:szCs w:val="30"/>
        </w:rPr>
        <w:t>，淘汰落后产能</w:t>
      </w:r>
      <w:r>
        <w:rPr>
          <w:rFonts w:hint="eastAsia" w:ascii="方正仿宋_GBK" w:hAnsi="Times New Roman" w:eastAsia="方正仿宋_GBK"/>
          <w:sz w:val="30"/>
          <w:szCs w:val="30"/>
        </w:rPr>
        <w:t>。鼓励对矿产品进行精、深加工，发挥煤炭</w:t>
      </w:r>
      <w:r>
        <w:rPr>
          <w:rFonts w:ascii="方正仿宋_GBK" w:hAnsi="Times New Roman" w:eastAsia="方正仿宋_GBK"/>
          <w:sz w:val="30"/>
          <w:szCs w:val="30"/>
        </w:rPr>
        <w:t>传统</w:t>
      </w:r>
      <w:r>
        <w:rPr>
          <w:rFonts w:hint="eastAsia" w:ascii="方正仿宋_GBK" w:hAnsi="Times New Roman" w:eastAsia="方正仿宋_GBK"/>
          <w:sz w:val="30"/>
          <w:szCs w:val="30"/>
        </w:rPr>
        <w:t>产业</w:t>
      </w:r>
      <w:r>
        <w:rPr>
          <w:rFonts w:ascii="方正仿宋_GBK" w:hAnsi="Times New Roman" w:eastAsia="方正仿宋_GBK"/>
          <w:sz w:val="30"/>
          <w:szCs w:val="30"/>
        </w:rPr>
        <w:t>优势，</w:t>
      </w:r>
      <w:r>
        <w:rPr>
          <w:rFonts w:hint="eastAsia" w:ascii="方正仿宋_GBK" w:hAnsi="Times New Roman" w:eastAsia="方正仿宋_GBK"/>
          <w:sz w:val="30"/>
          <w:szCs w:val="30"/>
        </w:rPr>
        <w:t>加快砂石土矿产的开发利用，进一步摸清砂石资源禀赋、实际产能和开发利用现状，统筹考虑矿产资源、交通物流等因素，优化砂石资源规划布局，促进砂石矿产资源集约化、规模化开采，支持大中型矿山建设。通过实施兼并重组，加快淘汰关闭落后小砂石采矿权，压减、改造砂石低效产能，加强矿产资源综合性利用，实现矿业布局优化目标。</w:t>
      </w:r>
    </w:p>
    <w:p>
      <w:pPr>
        <w:pStyle w:val="5"/>
        <w:spacing w:before="0" w:after="0" w:line="590" w:lineRule="exact"/>
        <w:ind w:firstLine="600" w:firstLineChars="200"/>
        <w:rPr>
          <w:rFonts w:ascii="方正仿宋_GBK" w:hAnsi="Times New Roman" w:eastAsia="方正仿宋_GBK"/>
          <w:b w:val="0"/>
          <w:sz w:val="30"/>
          <w:szCs w:val="30"/>
        </w:rPr>
      </w:pPr>
      <w:r>
        <w:rPr>
          <w:rFonts w:hint="eastAsia" w:ascii="方正仿宋_GBK" w:hAnsi="Times New Roman" w:eastAsia="方正仿宋_GBK"/>
          <w:b w:val="0"/>
          <w:sz w:val="30"/>
          <w:szCs w:val="30"/>
        </w:rPr>
        <w:t>（五）</w:t>
      </w:r>
      <w:r>
        <w:rPr>
          <w:rFonts w:ascii="方正仿宋_GBK" w:hAnsi="Times New Roman" w:eastAsia="方正仿宋_GBK"/>
          <w:b w:val="0"/>
          <w:sz w:val="30"/>
          <w:szCs w:val="30"/>
        </w:rPr>
        <w:t>坚持矿业布局优化调整机制的市场主导，完善政府的功能性调控</w:t>
      </w:r>
      <w:r>
        <w:rPr>
          <w:rFonts w:hint="eastAsia" w:ascii="方正仿宋_GBK" w:hAnsi="Times New Roman" w:eastAsia="方正仿宋_GBK"/>
          <w:b w:val="0"/>
          <w:sz w:val="30"/>
          <w:szCs w:val="30"/>
        </w:rPr>
        <w:t>。</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全面推进矿业权出让制度改革，严格落实矿业权竞争性出让，限制协议出让行为，认真执行同一矿种矿业权出让登记同级管理，强化出让监管服务，确保“放得下、接得住、管得好”，建立符合市场经济要求和矿业规律的矿权出让制度。</w:t>
      </w:r>
    </w:p>
    <w:p>
      <w:pPr>
        <w:pStyle w:val="3"/>
        <w:rPr>
          <w:szCs w:val="30"/>
        </w:rPr>
      </w:pPr>
      <w:bookmarkStart w:id="49" w:name="_Toc100681768"/>
      <w:r>
        <w:rPr>
          <w:szCs w:val="30"/>
        </w:rPr>
        <w:t>第三节  勘查开采</w:t>
      </w:r>
      <w:bookmarkEnd w:id="46"/>
      <w:bookmarkEnd w:id="47"/>
      <w:bookmarkEnd w:id="48"/>
      <w:r>
        <w:rPr>
          <w:rFonts w:hint="eastAsia"/>
          <w:szCs w:val="30"/>
        </w:rPr>
        <w:t>与保护布局</w:t>
      </w:r>
      <w:bookmarkEnd w:id="49"/>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落实上级规划划定的能源资源基地</w:t>
      </w:r>
      <w:r>
        <w:rPr>
          <w:rFonts w:hint="eastAsia" w:ascii="宋体" w:hAnsi="宋体" w:eastAsia="宋体"/>
          <w:sz w:val="30"/>
          <w:szCs w:val="30"/>
        </w:rPr>
        <w:t>1</w:t>
      </w:r>
      <w:r>
        <w:rPr>
          <w:rFonts w:hint="eastAsia" w:ascii="方正仿宋_GBK" w:hAnsi="Times New Roman" w:eastAsia="方正仿宋_GBK"/>
          <w:sz w:val="30"/>
          <w:szCs w:val="30"/>
        </w:rPr>
        <w:t>个，</w:t>
      </w:r>
      <w:r>
        <w:rPr>
          <w:rFonts w:hint="eastAsia" w:ascii="方正仿宋_GBK" w:hAnsi="方正仿宋简体" w:eastAsia="方正仿宋_GBK"/>
          <w:sz w:val="30"/>
          <w:szCs w:val="30"/>
        </w:rPr>
        <w:t>面积</w:t>
      </w:r>
      <w:r>
        <w:rPr>
          <w:rFonts w:ascii="宋体" w:hAnsi="宋体"/>
          <w:sz w:val="30"/>
          <w:szCs w:val="30"/>
        </w:rPr>
        <w:t>14.2834</w:t>
      </w:r>
      <w:r>
        <w:rPr>
          <w:rFonts w:hint="eastAsia" w:ascii="方正仿宋_GBK" w:hAnsi="方正仿宋简体" w:eastAsia="方正仿宋_GBK"/>
          <w:sz w:val="30"/>
          <w:szCs w:val="30"/>
        </w:rPr>
        <w:t>平方千米，为煤炭能源资源基地。</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落实上级规划国家规划矿区</w:t>
      </w:r>
      <w:r>
        <w:rPr>
          <w:rFonts w:hint="eastAsia" w:ascii="宋体" w:hAnsi="宋体" w:eastAsia="宋体"/>
          <w:sz w:val="30"/>
          <w:szCs w:val="30"/>
        </w:rPr>
        <w:t>1</w:t>
      </w:r>
      <w:r>
        <w:rPr>
          <w:rFonts w:hint="eastAsia" w:ascii="方正仿宋_GBK" w:hAnsi="Times New Roman" w:eastAsia="方正仿宋_GBK"/>
          <w:sz w:val="30"/>
          <w:szCs w:val="30"/>
        </w:rPr>
        <w:t>个，</w:t>
      </w:r>
      <w:r>
        <w:rPr>
          <w:rFonts w:hint="eastAsia" w:ascii="方正仿宋_GBK" w:hAnsi="方正仿宋简体" w:eastAsia="方正仿宋_GBK"/>
          <w:sz w:val="30"/>
          <w:szCs w:val="30"/>
        </w:rPr>
        <w:t>面积</w:t>
      </w:r>
      <w:r>
        <w:rPr>
          <w:rFonts w:ascii="宋体" w:hAnsi="宋体"/>
          <w:sz w:val="30"/>
          <w:szCs w:val="30"/>
        </w:rPr>
        <w:t>14.2834</w:t>
      </w:r>
      <w:r>
        <w:rPr>
          <w:rFonts w:hint="eastAsia" w:ascii="方正仿宋_GBK" w:hAnsi="方正仿宋简体" w:eastAsia="方正仿宋_GBK"/>
          <w:sz w:val="30"/>
          <w:szCs w:val="30"/>
        </w:rPr>
        <w:t>平方千米，为煤炭国家规划矿区</w:t>
      </w:r>
      <w:r>
        <w:rPr>
          <w:rFonts w:hint="eastAsia" w:ascii="方正仿宋_GBK" w:hAnsi="Times New Roman" w:eastAsia="方正仿宋_GBK"/>
          <w:sz w:val="30"/>
          <w:szCs w:val="30"/>
        </w:rPr>
        <w:t>。</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落实省级</w:t>
      </w:r>
      <w:r>
        <w:rPr>
          <w:rFonts w:ascii="方正仿宋_GBK" w:hAnsi="Times New Roman" w:eastAsia="方正仿宋_GBK"/>
          <w:sz w:val="30"/>
          <w:szCs w:val="30"/>
        </w:rPr>
        <w:t>规划重点勘查区</w:t>
      </w:r>
      <w:r>
        <w:rPr>
          <w:rFonts w:ascii="宋体" w:hAnsi="宋体" w:eastAsia="宋体"/>
          <w:sz w:val="30"/>
          <w:szCs w:val="30"/>
        </w:rPr>
        <w:t>1</w:t>
      </w:r>
      <w:r>
        <w:rPr>
          <w:rFonts w:ascii="方正仿宋_GBK" w:hAnsi="Times New Roman" w:eastAsia="方正仿宋_GBK"/>
          <w:sz w:val="30"/>
          <w:szCs w:val="30"/>
        </w:rPr>
        <w:t>个</w:t>
      </w:r>
      <w:r>
        <w:rPr>
          <w:rFonts w:hint="eastAsia" w:ascii="方正仿宋_GBK" w:hAnsi="Times New Roman" w:eastAsia="方正仿宋_GBK"/>
          <w:sz w:val="30"/>
          <w:szCs w:val="30"/>
        </w:rPr>
        <w:t>，</w:t>
      </w:r>
      <w:r>
        <w:rPr>
          <w:rFonts w:hint="eastAsia" w:ascii="方正仿宋_GBK" w:hAnsi="方正仿宋简体" w:eastAsia="方正仿宋_GBK"/>
          <w:sz w:val="30"/>
          <w:szCs w:val="30"/>
        </w:rPr>
        <w:t>面积</w:t>
      </w:r>
      <w:r>
        <w:rPr>
          <w:rFonts w:ascii="宋体" w:hAnsi="宋体"/>
          <w:sz w:val="30"/>
          <w:szCs w:val="30"/>
        </w:rPr>
        <w:t>19.3620</w:t>
      </w:r>
      <w:r>
        <w:rPr>
          <w:rFonts w:hint="eastAsia" w:ascii="方正仿宋_GBK" w:hAnsi="方正仿宋简体" w:eastAsia="方正仿宋_GBK"/>
          <w:sz w:val="30"/>
          <w:szCs w:val="30"/>
        </w:rPr>
        <w:t>平方千米，为煤层气重点勘查区</w:t>
      </w:r>
      <w:r>
        <w:rPr>
          <w:rFonts w:hint="eastAsia" w:ascii="方正仿宋_GBK" w:hAnsi="Times New Roman" w:eastAsia="方正仿宋_GBK"/>
          <w:sz w:val="30"/>
          <w:szCs w:val="30"/>
        </w:rPr>
        <w:t>。</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落实省级规划重点开采区</w:t>
      </w:r>
      <w:r>
        <w:rPr>
          <w:rFonts w:hint="eastAsia" w:ascii="宋体" w:hAnsi="宋体" w:eastAsia="宋体"/>
          <w:sz w:val="30"/>
          <w:szCs w:val="30"/>
        </w:rPr>
        <w:t>1</w:t>
      </w:r>
      <w:r>
        <w:rPr>
          <w:rFonts w:hint="eastAsia" w:ascii="方正仿宋_GBK" w:hAnsi="Times New Roman" w:eastAsia="方正仿宋_GBK"/>
          <w:sz w:val="30"/>
          <w:szCs w:val="30"/>
        </w:rPr>
        <w:t>个，</w:t>
      </w:r>
      <w:r>
        <w:rPr>
          <w:rFonts w:hint="eastAsia" w:ascii="方正仿宋_GBK" w:hAnsi="方正仿宋简体" w:eastAsia="方正仿宋_GBK"/>
          <w:sz w:val="30"/>
          <w:szCs w:val="30"/>
        </w:rPr>
        <w:t>面积</w:t>
      </w:r>
      <w:r>
        <w:rPr>
          <w:rFonts w:ascii="宋体" w:hAnsi="宋体"/>
          <w:sz w:val="30"/>
          <w:szCs w:val="30"/>
        </w:rPr>
        <w:t>44.7208</w:t>
      </w:r>
      <w:r>
        <w:rPr>
          <w:rFonts w:hint="eastAsia" w:ascii="方正仿宋_GBK" w:hAnsi="方正仿宋简体" w:eastAsia="方正仿宋_GBK"/>
          <w:sz w:val="30"/>
          <w:szCs w:val="30"/>
        </w:rPr>
        <w:t>平方千米，为煤炭重点开采区</w:t>
      </w:r>
      <w:r>
        <w:rPr>
          <w:rFonts w:hint="eastAsia" w:ascii="方正仿宋_GBK" w:hAnsi="Times New Roman" w:eastAsia="方正仿宋_GBK"/>
          <w:sz w:val="30"/>
          <w:szCs w:val="30"/>
        </w:rPr>
        <w:t>。</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砂石土类矿产集中开采区：规划划定集中开采区</w:t>
      </w:r>
      <w:r>
        <w:rPr>
          <w:rFonts w:ascii="宋体" w:hAnsi="宋体" w:eastAsia="宋体"/>
          <w:sz w:val="30"/>
          <w:szCs w:val="30"/>
        </w:rPr>
        <w:t>6</w:t>
      </w:r>
      <w:r>
        <w:rPr>
          <w:rFonts w:hint="eastAsia" w:ascii="方正仿宋_GBK" w:hAnsi="Times New Roman" w:eastAsia="方正仿宋_GBK"/>
          <w:sz w:val="30"/>
          <w:szCs w:val="30"/>
        </w:rPr>
        <w:t>个，</w:t>
      </w:r>
      <w:r>
        <w:rPr>
          <w:rFonts w:hint="eastAsia" w:ascii="方正仿宋_GBK" w:hAnsi="方正仿宋简体" w:eastAsia="方正仿宋_GBK"/>
          <w:sz w:val="30"/>
          <w:szCs w:val="30"/>
        </w:rPr>
        <w:t>总面积为</w:t>
      </w:r>
      <w:r>
        <w:rPr>
          <w:rFonts w:ascii="宋体" w:hAnsi="宋体"/>
          <w:sz w:val="30"/>
          <w:szCs w:val="30"/>
        </w:rPr>
        <w:t>58.6027</w:t>
      </w:r>
      <w:r>
        <w:rPr>
          <w:rFonts w:hint="eastAsia" w:ascii="方正仿宋_GBK" w:hAnsi="方正仿宋简体" w:eastAsia="方正仿宋_GBK"/>
          <w:sz w:val="30"/>
          <w:szCs w:val="30"/>
        </w:rPr>
        <w:t>平方千米，在集中开采区中规划预留了</w:t>
      </w:r>
      <w:r>
        <w:rPr>
          <w:rFonts w:ascii="宋体" w:hAnsi="宋体"/>
          <w:sz w:val="30"/>
          <w:szCs w:val="30"/>
        </w:rPr>
        <w:t>10</w:t>
      </w:r>
      <w:r>
        <w:rPr>
          <w:rFonts w:hint="eastAsia" w:ascii="方正仿宋_GBK" w:hAnsi="方正仿宋简体" w:eastAsia="方正仿宋_GBK"/>
          <w:sz w:val="30"/>
          <w:szCs w:val="30"/>
        </w:rPr>
        <w:t>个空白区新设采矿权指标。</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落实市级规划划定勘查规划区块</w:t>
      </w:r>
      <w:r>
        <w:rPr>
          <w:rFonts w:ascii="宋体" w:hAnsi="宋体" w:eastAsia="宋体"/>
          <w:sz w:val="30"/>
          <w:szCs w:val="30"/>
        </w:rPr>
        <w:t>2</w:t>
      </w:r>
      <w:r>
        <w:rPr>
          <w:rFonts w:hint="eastAsia" w:ascii="方正仿宋_GBK" w:hAnsi="Times New Roman" w:eastAsia="方正仿宋_GBK"/>
          <w:sz w:val="30"/>
          <w:szCs w:val="30"/>
        </w:rPr>
        <w:t>个，均为空白区新设。</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开采规划区块划分：</w:t>
      </w:r>
      <w:bookmarkStart w:id="50" w:name="_Toc497407074"/>
      <w:bookmarkStart w:id="51" w:name="_Toc422927957"/>
      <w:bookmarkStart w:id="52" w:name="_Toc30987"/>
      <w:r>
        <w:rPr>
          <w:rFonts w:ascii="方正仿宋_GBK" w:hAnsi="Times New Roman" w:eastAsia="方正仿宋_GBK"/>
          <w:sz w:val="30"/>
          <w:szCs w:val="30"/>
        </w:rPr>
        <w:t>截至</w:t>
      </w:r>
      <w:r>
        <w:rPr>
          <w:rFonts w:ascii="宋体" w:hAnsi="宋体" w:eastAsia="宋体"/>
          <w:sz w:val="30"/>
          <w:szCs w:val="30"/>
        </w:rPr>
        <w:t>2020</w:t>
      </w:r>
      <w:r>
        <w:rPr>
          <w:rFonts w:ascii="方正仿宋_GBK" w:hAnsi="Times New Roman" w:eastAsia="方正仿宋_GBK"/>
          <w:sz w:val="30"/>
          <w:szCs w:val="30"/>
        </w:rPr>
        <w:t>年底，</w:t>
      </w:r>
      <w:r>
        <w:rPr>
          <w:rFonts w:hint="eastAsia" w:ascii="方正仿宋_GBK" w:hAnsi="Times New Roman" w:eastAsia="方正仿宋_GBK"/>
          <w:sz w:val="30"/>
          <w:szCs w:val="30"/>
        </w:rPr>
        <w:t>全</w:t>
      </w:r>
      <w:r>
        <w:rPr>
          <w:rFonts w:ascii="方正仿宋_GBK" w:hAnsi="Times New Roman" w:eastAsia="方正仿宋_GBK"/>
          <w:sz w:val="30"/>
          <w:szCs w:val="30"/>
        </w:rPr>
        <w:t>区共有采矿权</w:t>
      </w:r>
      <w:r>
        <w:rPr>
          <w:rFonts w:ascii="宋体" w:hAnsi="宋体" w:eastAsia="宋体"/>
          <w:sz w:val="30"/>
          <w:szCs w:val="30"/>
        </w:rPr>
        <w:t>115</w:t>
      </w:r>
      <w:r>
        <w:rPr>
          <w:rFonts w:ascii="方正仿宋_GBK" w:hAnsi="Times New Roman" w:eastAsia="方正仿宋_GBK"/>
          <w:sz w:val="30"/>
          <w:szCs w:val="30"/>
        </w:rPr>
        <w:t>个，其中</w:t>
      </w:r>
      <w:r>
        <w:rPr>
          <w:rFonts w:hint="eastAsia" w:ascii="方正仿宋_GBK" w:hAnsi="Times New Roman" w:eastAsia="方正仿宋_GBK"/>
          <w:sz w:val="30"/>
          <w:szCs w:val="30"/>
        </w:rPr>
        <w:t>：第一类和第二类矿产采矿权</w:t>
      </w:r>
      <w:r>
        <w:rPr>
          <w:rFonts w:hint="eastAsia" w:ascii="宋体" w:hAnsi="宋体" w:eastAsia="宋体"/>
          <w:sz w:val="30"/>
          <w:szCs w:val="30"/>
        </w:rPr>
        <w:t>3</w:t>
      </w:r>
      <w:r>
        <w:rPr>
          <w:rFonts w:ascii="宋体" w:hAnsi="宋体" w:eastAsia="宋体"/>
          <w:sz w:val="30"/>
          <w:szCs w:val="30"/>
        </w:rPr>
        <w:t>3</w:t>
      </w:r>
      <w:r>
        <w:rPr>
          <w:rFonts w:hint="eastAsia" w:ascii="方正仿宋_GBK" w:hAnsi="Times New Roman" w:eastAsia="方正仿宋_GBK"/>
          <w:sz w:val="30"/>
          <w:szCs w:val="30"/>
        </w:rPr>
        <w:t>个，第三类矿产采矿权</w:t>
      </w:r>
      <w:r>
        <w:rPr>
          <w:rFonts w:hint="eastAsia" w:ascii="宋体" w:hAnsi="宋体" w:eastAsia="宋体"/>
          <w:sz w:val="30"/>
          <w:szCs w:val="30"/>
        </w:rPr>
        <w:t>8</w:t>
      </w:r>
      <w:r>
        <w:rPr>
          <w:rFonts w:ascii="宋体" w:hAnsi="宋体" w:eastAsia="宋体"/>
          <w:sz w:val="30"/>
          <w:szCs w:val="30"/>
        </w:rPr>
        <w:t>2</w:t>
      </w:r>
      <w:r>
        <w:rPr>
          <w:rFonts w:hint="eastAsia" w:ascii="方正仿宋_GBK" w:hAnsi="Times New Roman" w:eastAsia="方正仿宋_GBK"/>
          <w:sz w:val="30"/>
          <w:szCs w:val="30"/>
        </w:rPr>
        <w:t>个。</w:t>
      </w:r>
    </w:p>
    <w:p>
      <w:pPr>
        <w:spacing w:line="590" w:lineRule="exact"/>
        <w:ind w:firstLine="600" w:firstLineChars="200"/>
        <w:rPr>
          <w:rFonts w:ascii="方正仿宋_GBK" w:hAnsi="Times New Roman" w:eastAsia="方正仿宋_GBK"/>
          <w:color w:val="000000" w:themeColor="text1"/>
          <w:sz w:val="30"/>
          <w:szCs w:val="30"/>
          <w14:textFill>
            <w14:solidFill>
              <w14:schemeClr w14:val="tx1"/>
            </w14:solidFill>
          </w14:textFill>
        </w:rPr>
      </w:pPr>
      <w:r>
        <w:rPr>
          <w:rFonts w:hint="eastAsia" w:ascii="方正仿宋_GBK" w:hAnsi="Times New Roman" w:eastAsia="方正仿宋_GBK"/>
          <w:color w:val="000000" w:themeColor="text1"/>
          <w:sz w:val="30"/>
          <w:szCs w:val="30"/>
          <w14:textFill>
            <w14:solidFill>
              <w14:schemeClr w14:val="tx1"/>
            </w14:solidFill>
          </w14:textFill>
        </w:rPr>
        <w:t>到</w:t>
      </w:r>
      <w:r>
        <w:rPr>
          <w:rFonts w:hint="eastAsia" w:ascii="宋体" w:hAnsi="宋体" w:eastAsia="宋体"/>
          <w:color w:val="000000" w:themeColor="text1"/>
          <w:sz w:val="30"/>
          <w:szCs w:val="30"/>
          <w14:textFill>
            <w14:solidFill>
              <w14:schemeClr w14:val="tx1"/>
            </w14:solidFill>
          </w14:textFill>
        </w:rPr>
        <w:t>2</w:t>
      </w:r>
      <w:r>
        <w:rPr>
          <w:rFonts w:ascii="宋体" w:hAnsi="宋体" w:eastAsia="宋体"/>
          <w:color w:val="000000" w:themeColor="text1"/>
          <w:sz w:val="30"/>
          <w:szCs w:val="30"/>
          <w14:textFill>
            <w14:solidFill>
              <w14:schemeClr w14:val="tx1"/>
            </w14:solidFill>
          </w14:textFill>
        </w:rPr>
        <w:t>025</w:t>
      </w:r>
      <w:r>
        <w:rPr>
          <w:rFonts w:hint="eastAsia" w:ascii="方正仿宋_GBK" w:hAnsi="Times New Roman" w:eastAsia="方正仿宋_GBK"/>
          <w:color w:val="000000" w:themeColor="text1"/>
          <w:sz w:val="30"/>
          <w:szCs w:val="30"/>
          <w14:textFill>
            <w14:solidFill>
              <w14:schemeClr w14:val="tx1"/>
            </w14:solidFill>
          </w14:textFill>
        </w:rPr>
        <w:t>年，采矿权规划期内，第一类和第二类矿产采矿权减少</w:t>
      </w:r>
      <w:r>
        <w:rPr>
          <w:rFonts w:hint="eastAsia" w:ascii="宋体" w:hAnsi="宋体" w:eastAsia="宋体"/>
          <w:color w:val="000000" w:themeColor="text1"/>
          <w:sz w:val="30"/>
          <w:szCs w:val="30"/>
          <w14:textFill>
            <w14:solidFill>
              <w14:schemeClr w14:val="tx1"/>
            </w14:solidFill>
          </w14:textFill>
        </w:rPr>
        <w:t>1</w:t>
      </w:r>
      <w:r>
        <w:rPr>
          <w:rFonts w:ascii="宋体" w:hAnsi="宋体" w:eastAsia="宋体"/>
          <w:color w:val="000000" w:themeColor="text1"/>
          <w:sz w:val="30"/>
          <w:szCs w:val="30"/>
          <w14:textFill>
            <w14:solidFill>
              <w14:schemeClr w14:val="tx1"/>
            </w14:solidFill>
          </w14:textFill>
        </w:rPr>
        <w:t>2</w:t>
      </w:r>
      <w:r>
        <w:rPr>
          <w:rFonts w:hint="eastAsia" w:ascii="方正仿宋_GBK" w:hAnsi="Times New Roman" w:eastAsia="方正仿宋_GBK"/>
          <w:color w:val="000000" w:themeColor="text1"/>
          <w:sz w:val="30"/>
          <w:szCs w:val="30"/>
          <w14:textFill>
            <w14:solidFill>
              <w14:schemeClr w14:val="tx1"/>
            </w14:solidFill>
          </w14:textFill>
        </w:rPr>
        <w:t>个，新设</w:t>
      </w:r>
      <w:r>
        <w:rPr>
          <w:rFonts w:hint="eastAsia" w:ascii="宋体" w:hAnsi="宋体" w:eastAsia="宋体"/>
          <w:color w:val="000000" w:themeColor="text1"/>
          <w:sz w:val="30"/>
          <w:szCs w:val="30"/>
          <w14:textFill>
            <w14:solidFill>
              <w14:schemeClr w14:val="tx1"/>
            </w14:solidFill>
          </w14:textFill>
        </w:rPr>
        <w:t>3</w:t>
      </w:r>
      <w:r>
        <w:rPr>
          <w:rFonts w:hint="eastAsia" w:ascii="方正仿宋_GBK" w:hAnsi="Times New Roman" w:eastAsia="方正仿宋_GBK"/>
          <w:color w:val="000000" w:themeColor="text1"/>
          <w:sz w:val="30"/>
          <w:szCs w:val="30"/>
          <w14:textFill>
            <w14:solidFill>
              <w14:schemeClr w14:val="tx1"/>
            </w14:solidFill>
          </w14:textFill>
        </w:rPr>
        <w:t>个。第三类矿产采矿权注销关闭减少</w:t>
      </w:r>
      <w:r>
        <w:rPr>
          <w:rFonts w:hint="eastAsia" w:ascii="宋体" w:hAnsi="宋体" w:eastAsia="宋体"/>
          <w:color w:val="000000" w:themeColor="text1"/>
          <w:sz w:val="30"/>
          <w:szCs w:val="30"/>
          <w14:textFill>
            <w14:solidFill>
              <w14:schemeClr w14:val="tx1"/>
            </w14:solidFill>
          </w14:textFill>
        </w:rPr>
        <w:t>2</w:t>
      </w:r>
      <w:r>
        <w:rPr>
          <w:rFonts w:ascii="宋体" w:hAnsi="宋体" w:eastAsia="宋体"/>
          <w:color w:val="000000" w:themeColor="text1"/>
          <w:sz w:val="30"/>
          <w:szCs w:val="30"/>
          <w14:textFill>
            <w14:solidFill>
              <w14:schemeClr w14:val="tx1"/>
            </w14:solidFill>
          </w14:textFill>
        </w:rPr>
        <w:t>3</w:t>
      </w:r>
      <w:r>
        <w:rPr>
          <w:rFonts w:hint="eastAsia" w:ascii="方正仿宋_GBK" w:hAnsi="Times New Roman" w:eastAsia="方正仿宋_GBK"/>
          <w:color w:val="000000" w:themeColor="text1"/>
          <w:sz w:val="30"/>
          <w:szCs w:val="30"/>
          <w14:textFill>
            <w14:solidFill>
              <w14:schemeClr w14:val="tx1"/>
            </w14:solidFill>
          </w14:textFill>
        </w:rPr>
        <w:t>个，新设</w:t>
      </w:r>
      <w:r>
        <w:rPr>
          <w:rFonts w:hint="eastAsia" w:ascii="宋体" w:hAnsi="宋体" w:eastAsia="宋体"/>
          <w:color w:val="000000" w:themeColor="text1"/>
          <w:sz w:val="30"/>
          <w:szCs w:val="30"/>
          <w14:textFill>
            <w14:solidFill>
              <w14:schemeClr w14:val="tx1"/>
            </w14:solidFill>
          </w14:textFill>
        </w:rPr>
        <w:t>18</w:t>
      </w:r>
      <w:r>
        <w:rPr>
          <w:rFonts w:hint="eastAsia" w:ascii="方正仿宋_GBK" w:hAnsi="Times New Roman" w:eastAsia="方正仿宋_GBK"/>
          <w:color w:val="000000" w:themeColor="text1"/>
          <w:sz w:val="30"/>
          <w:szCs w:val="30"/>
          <w14:textFill>
            <w14:solidFill>
              <w14:schemeClr w14:val="tx1"/>
            </w14:solidFill>
          </w14:textFill>
        </w:rPr>
        <w:t>个。</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到</w:t>
      </w:r>
      <w:r>
        <w:rPr>
          <w:rFonts w:hint="eastAsia" w:ascii="宋体" w:hAnsi="宋体" w:eastAsia="宋体"/>
          <w:sz w:val="30"/>
          <w:szCs w:val="30"/>
        </w:rPr>
        <w:t>2</w:t>
      </w:r>
      <w:r>
        <w:rPr>
          <w:rFonts w:ascii="宋体" w:hAnsi="宋体" w:eastAsia="宋体"/>
          <w:sz w:val="30"/>
          <w:szCs w:val="30"/>
        </w:rPr>
        <w:t>025</w:t>
      </w:r>
      <w:r>
        <w:rPr>
          <w:rFonts w:hint="eastAsia" w:ascii="方正仿宋_GBK" w:hAnsi="Times New Roman" w:eastAsia="方正仿宋_GBK"/>
          <w:sz w:val="30"/>
          <w:szCs w:val="30"/>
        </w:rPr>
        <w:t>年，采矿权总数在</w:t>
      </w:r>
      <w:r>
        <w:rPr>
          <w:rFonts w:hint="eastAsia" w:ascii="宋体" w:hAnsi="宋体" w:eastAsia="宋体"/>
          <w:sz w:val="30"/>
          <w:szCs w:val="30"/>
        </w:rPr>
        <w:t>2</w:t>
      </w:r>
      <w:r>
        <w:rPr>
          <w:rFonts w:ascii="宋体" w:hAnsi="宋体" w:eastAsia="宋体"/>
          <w:sz w:val="30"/>
          <w:szCs w:val="30"/>
        </w:rPr>
        <w:t>020</w:t>
      </w:r>
      <w:r>
        <w:rPr>
          <w:rFonts w:hint="eastAsia" w:ascii="方正仿宋_GBK" w:hAnsi="Times New Roman" w:eastAsia="方正仿宋_GBK"/>
          <w:sz w:val="30"/>
          <w:szCs w:val="30"/>
        </w:rPr>
        <w:t>年基础上减少</w:t>
      </w:r>
      <w:r>
        <w:rPr>
          <w:rFonts w:hint="eastAsia" w:ascii="宋体" w:hAnsi="宋体" w:eastAsia="宋体"/>
          <w:sz w:val="30"/>
          <w:szCs w:val="30"/>
        </w:rPr>
        <w:t>1</w:t>
      </w:r>
      <w:r>
        <w:rPr>
          <w:rFonts w:ascii="宋体" w:hAnsi="宋体" w:eastAsia="宋体"/>
          <w:sz w:val="30"/>
          <w:szCs w:val="30"/>
        </w:rPr>
        <w:t>0</w:t>
      </w:r>
      <w:r>
        <w:rPr>
          <w:rFonts w:hint="eastAsia" w:ascii="宋体" w:hAnsi="宋体" w:eastAsia="宋体"/>
          <w:sz w:val="30"/>
          <w:szCs w:val="30"/>
        </w:rPr>
        <w:t>%</w:t>
      </w:r>
      <w:r>
        <w:rPr>
          <w:rFonts w:hint="eastAsia" w:ascii="方正仿宋_GBK" w:hAnsi="Times New Roman" w:eastAsia="方正仿宋_GBK"/>
          <w:sz w:val="30"/>
          <w:szCs w:val="30"/>
        </w:rPr>
        <w:t>以上，控制在</w:t>
      </w:r>
      <w:r>
        <w:rPr>
          <w:rFonts w:hint="eastAsia" w:ascii="宋体" w:hAnsi="宋体" w:eastAsia="宋体"/>
          <w:sz w:val="30"/>
          <w:szCs w:val="30"/>
        </w:rPr>
        <w:t>1</w:t>
      </w:r>
      <w:r>
        <w:rPr>
          <w:rFonts w:ascii="宋体" w:hAnsi="宋体" w:eastAsia="宋体"/>
          <w:sz w:val="30"/>
          <w:szCs w:val="30"/>
        </w:rPr>
        <w:t>03</w:t>
      </w:r>
      <w:r>
        <w:rPr>
          <w:rFonts w:hint="eastAsia" w:ascii="方正仿宋_GBK" w:hAnsi="Times New Roman" w:eastAsia="方正仿宋_GBK"/>
          <w:sz w:val="30"/>
          <w:szCs w:val="30"/>
        </w:rPr>
        <w:t>个以内。其中第三类矿产采矿权数量控制在</w:t>
      </w:r>
      <w:r>
        <w:rPr>
          <w:rFonts w:hint="eastAsia" w:ascii="宋体" w:hAnsi="宋体" w:eastAsia="宋体"/>
          <w:sz w:val="30"/>
          <w:szCs w:val="30"/>
        </w:rPr>
        <w:t>7</w:t>
      </w:r>
      <w:r>
        <w:rPr>
          <w:rFonts w:ascii="宋体" w:hAnsi="宋体" w:eastAsia="宋体"/>
          <w:sz w:val="30"/>
          <w:szCs w:val="30"/>
        </w:rPr>
        <w:t>4</w:t>
      </w:r>
      <w:r>
        <w:rPr>
          <w:rFonts w:hint="eastAsia" w:ascii="方正仿宋_GBK" w:hAnsi="Times New Roman" w:eastAsia="方正仿宋_GBK"/>
          <w:sz w:val="30"/>
          <w:szCs w:val="30"/>
        </w:rPr>
        <w:t>个以内。</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全区共划定开采区块</w:t>
      </w:r>
      <w:r>
        <w:rPr>
          <w:rFonts w:ascii="宋体" w:hAnsi="宋体" w:eastAsia="宋体"/>
          <w:sz w:val="30"/>
          <w:szCs w:val="30"/>
        </w:rPr>
        <w:t>24</w:t>
      </w:r>
      <w:r>
        <w:rPr>
          <w:rFonts w:hint="eastAsia" w:ascii="方正仿宋_GBK" w:hAnsi="Times New Roman" w:eastAsia="方正仿宋_GBK"/>
          <w:sz w:val="30"/>
          <w:szCs w:val="30"/>
        </w:rPr>
        <w:t>个，其中，空白区新设区块</w:t>
      </w:r>
      <w:r>
        <w:rPr>
          <w:rFonts w:ascii="宋体" w:hAnsi="宋体" w:eastAsia="宋体"/>
          <w:sz w:val="30"/>
          <w:szCs w:val="30"/>
        </w:rPr>
        <w:t>8</w:t>
      </w:r>
      <w:r>
        <w:rPr>
          <w:rFonts w:hint="eastAsia" w:ascii="方正仿宋_GBK" w:hAnsi="Times New Roman" w:eastAsia="方正仿宋_GBK"/>
          <w:sz w:val="30"/>
          <w:szCs w:val="30"/>
        </w:rPr>
        <w:t>个，范围调整区块</w:t>
      </w:r>
      <w:r>
        <w:rPr>
          <w:rFonts w:ascii="宋体" w:hAnsi="宋体" w:eastAsia="宋体"/>
          <w:sz w:val="30"/>
          <w:szCs w:val="30"/>
        </w:rPr>
        <w:t>10</w:t>
      </w:r>
      <w:r>
        <w:rPr>
          <w:rFonts w:hint="eastAsia" w:ascii="方正仿宋_GBK" w:hAnsi="Times New Roman" w:eastAsia="方正仿宋_GBK"/>
          <w:sz w:val="30"/>
          <w:szCs w:val="30"/>
        </w:rPr>
        <w:t>个，已设采矿权整合</w:t>
      </w:r>
      <w:r>
        <w:rPr>
          <w:rFonts w:hint="eastAsia" w:ascii="宋体" w:hAnsi="宋体" w:eastAsia="宋体"/>
          <w:sz w:val="30"/>
          <w:szCs w:val="30"/>
        </w:rPr>
        <w:t>6</w:t>
      </w:r>
      <w:r>
        <w:rPr>
          <w:rFonts w:hint="eastAsia" w:ascii="方正仿宋_GBK" w:hAnsi="Times New Roman" w:eastAsia="方正仿宋_GBK"/>
          <w:sz w:val="30"/>
          <w:szCs w:val="30"/>
        </w:rPr>
        <w:t>个。</w:t>
      </w:r>
    </w:p>
    <w:p>
      <w:pPr>
        <w:pStyle w:val="2"/>
      </w:pPr>
      <w:bookmarkStart w:id="53" w:name="_Toc100681769"/>
      <w:r>
        <w:t xml:space="preserve">第四章 </w:t>
      </w:r>
      <w:bookmarkEnd w:id="50"/>
      <w:bookmarkEnd w:id="51"/>
      <w:bookmarkStart w:id="54" w:name="_Toc468377074"/>
      <w:r>
        <w:t xml:space="preserve"> 矿产资源勘查开发利用与保护</w:t>
      </w:r>
      <w:bookmarkEnd w:id="52"/>
      <w:bookmarkEnd w:id="53"/>
    </w:p>
    <w:p>
      <w:pPr>
        <w:spacing w:line="590" w:lineRule="exact"/>
        <w:ind w:firstLine="600" w:firstLineChars="200"/>
        <w:rPr>
          <w:rFonts w:ascii="方正仿宋_GBK" w:hAnsi="Times New Roman" w:eastAsia="方正仿宋_GBK"/>
          <w:sz w:val="30"/>
          <w:szCs w:val="30"/>
        </w:rPr>
      </w:pPr>
      <w:bookmarkStart w:id="55" w:name="_Toc27376"/>
      <w:bookmarkStart w:id="56" w:name="_Toc497407075"/>
      <w:bookmarkStart w:id="57" w:name="_Toc100681770"/>
      <w:r>
        <w:rPr>
          <w:rFonts w:hint="eastAsia" w:ascii="方正仿宋_GBK" w:hAnsi="Times New Roman" w:eastAsia="方正仿宋_GBK"/>
          <w:sz w:val="30"/>
          <w:szCs w:val="30"/>
        </w:rPr>
        <w:t>坚持节约优先、保护优先，推进矿业转型升级，合理调控资源开发利用强度，调整矿产资源开发利用结构，积极推进资源高效利用，严格准入管理，引导资源合理配置，推动资源规模开发与集约利用。</w:t>
      </w:r>
    </w:p>
    <w:p>
      <w:pPr>
        <w:pStyle w:val="3"/>
        <w:rPr>
          <w:szCs w:val="30"/>
        </w:rPr>
      </w:pPr>
      <w:r>
        <w:rPr>
          <w:szCs w:val="30"/>
        </w:rPr>
        <w:t xml:space="preserve">第一节  </w:t>
      </w:r>
      <w:bookmarkEnd w:id="55"/>
      <w:bookmarkEnd w:id="56"/>
      <w:r>
        <w:rPr>
          <w:szCs w:val="30"/>
        </w:rPr>
        <w:t>合理确定开发强度</w:t>
      </w:r>
      <w:bookmarkEnd w:id="57"/>
    </w:p>
    <w:p>
      <w:pPr>
        <w:pStyle w:val="4"/>
        <w:rPr>
          <w:b w:val="0"/>
          <w:bCs w:val="0"/>
          <w:szCs w:val="30"/>
        </w:rPr>
      </w:pPr>
      <w:r>
        <w:rPr>
          <w:b w:val="0"/>
          <w:bCs w:val="0"/>
          <w:szCs w:val="30"/>
        </w:rPr>
        <w:t>一、</w:t>
      </w:r>
      <w:r>
        <w:rPr>
          <w:rFonts w:hint="eastAsia"/>
          <w:b w:val="0"/>
          <w:bCs w:val="0"/>
          <w:szCs w:val="30"/>
        </w:rPr>
        <w:t>推进煤炭高质量发展</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推进集约化开发，实现煤炭产业绿色发展，生产原煤实现应选尽选，矿井工作面回采率达到国家规定标准，煤矸石综合利用率达到</w:t>
      </w:r>
      <w:r>
        <w:rPr>
          <w:rFonts w:hint="eastAsia" w:ascii="宋体" w:hAnsi="宋体" w:eastAsia="宋体"/>
          <w:sz w:val="30"/>
          <w:szCs w:val="30"/>
        </w:rPr>
        <w:t>9</w:t>
      </w:r>
      <w:r>
        <w:rPr>
          <w:rFonts w:ascii="宋体" w:hAnsi="宋体" w:eastAsia="宋体"/>
          <w:sz w:val="30"/>
          <w:szCs w:val="30"/>
        </w:rPr>
        <w:t>5%</w:t>
      </w:r>
      <w:r>
        <w:rPr>
          <w:rFonts w:hint="eastAsia" w:ascii="方正仿宋_GBK" w:hAnsi="Times New Roman" w:eastAsia="方正仿宋_GBK"/>
          <w:sz w:val="30"/>
          <w:szCs w:val="30"/>
        </w:rPr>
        <w:t>。</w:t>
      </w:r>
    </w:p>
    <w:p>
      <w:pPr>
        <w:pStyle w:val="4"/>
        <w:rPr>
          <w:b w:val="0"/>
          <w:bCs w:val="0"/>
          <w:szCs w:val="30"/>
        </w:rPr>
      </w:pPr>
      <w:r>
        <w:rPr>
          <w:rFonts w:hint="eastAsia"/>
          <w:b w:val="0"/>
          <w:bCs w:val="0"/>
          <w:szCs w:val="30"/>
        </w:rPr>
        <w:t>二</w:t>
      </w:r>
      <w:r>
        <w:rPr>
          <w:b w:val="0"/>
          <w:bCs w:val="0"/>
          <w:szCs w:val="30"/>
        </w:rPr>
        <w:t>、</w:t>
      </w:r>
      <w:r>
        <w:rPr>
          <w:rFonts w:hint="eastAsia"/>
          <w:b w:val="0"/>
          <w:bCs w:val="0"/>
          <w:szCs w:val="30"/>
        </w:rPr>
        <w:t>加强非煤矿山管控</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提高矿山准入门槛，严格执行非煤矿山最低开采规模和服务年限标准，切实提高非煤矿山开采规模，严防边关闭边低水平重复建设。开展非煤矿山专项整治，逐步优化非煤矿山布局，提升非煤矿山资源保障能力。到</w:t>
      </w:r>
      <w:r>
        <w:rPr>
          <w:rFonts w:hint="eastAsia" w:ascii="宋体" w:hAnsi="宋体" w:eastAsia="宋体"/>
          <w:sz w:val="30"/>
          <w:szCs w:val="30"/>
        </w:rPr>
        <w:t>2</w:t>
      </w:r>
      <w:r>
        <w:rPr>
          <w:rFonts w:ascii="宋体" w:hAnsi="宋体" w:eastAsia="宋体"/>
          <w:sz w:val="30"/>
          <w:szCs w:val="30"/>
        </w:rPr>
        <w:t>025</w:t>
      </w:r>
      <w:r>
        <w:rPr>
          <w:rFonts w:hint="eastAsia" w:ascii="方正仿宋_GBK" w:hAnsi="Times New Roman" w:eastAsia="方正仿宋_GBK"/>
          <w:sz w:val="30"/>
          <w:szCs w:val="30"/>
        </w:rPr>
        <w:t>年，在巩固和深化非煤矿山专项整治工作的基础上，麒麟区非煤矿山总量控制、动态管理、依法监管机制进一步健全和完善。</w:t>
      </w:r>
    </w:p>
    <w:p>
      <w:pPr>
        <w:pStyle w:val="4"/>
        <w:rPr>
          <w:b w:val="0"/>
          <w:bCs w:val="0"/>
          <w:szCs w:val="30"/>
        </w:rPr>
      </w:pPr>
      <w:r>
        <w:rPr>
          <w:rFonts w:hint="eastAsia"/>
          <w:b w:val="0"/>
          <w:bCs w:val="0"/>
          <w:szCs w:val="30"/>
        </w:rPr>
        <w:t>三</w:t>
      </w:r>
      <w:r>
        <w:rPr>
          <w:b w:val="0"/>
          <w:bCs w:val="0"/>
          <w:szCs w:val="30"/>
        </w:rPr>
        <w:t>、</w:t>
      </w:r>
      <w:r>
        <w:rPr>
          <w:rFonts w:hint="eastAsia"/>
          <w:b w:val="0"/>
          <w:bCs w:val="0"/>
          <w:szCs w:val="30"/>
        </w:rPr>
        <w:t>推进砂石产业高质量绿色发展</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坚持生态优先、绿色发展，进一步优化砂石资源规划布局。鼓励砂石资源开发整合，引导砂石矿山企业做大做强，促进砂石矿产资源集约化、规模化、现代化、绿色化开采。统筹资源禀赋、市场需求、运输半径、绿色环保等因素，积极推进“净矿”出让，有序投放第三类矿产采矿权。支持建设大型砂石生产基地，发展和推广应用机制砂石、积极有序投放机制砂石采矿权，鼓励采矿权人依法回收利用废石尾矿，增加砂石供给。</w:t>
      </w:r>
    </w:p>
    <w:p>
      <w:pPr>
        <w:pStyle w:val="4"/>
        <w:rPr>
          <w:b w:val="0"/>
          <w:bCs w:val="0"/>
          <w:szCs w:val="30"/>
        </w:rPr>
      </w:pPr>
      <w:r>
        <w:rPr>
          <w:rFonts w:hint="eastAsia"/>
          <w:b w:val="0"/>
          <w:bCs w:val="0"/>
          <w:szCs w:val="30"/>
        </w:rPr>
        <w:t>四</w:t>
      </w:r>
      <w:r>
        <w:rPr>
          <w:b w:val="0"/>
          <w:bCs w:val="0"/>
          <w:szCs w:val="30"/>
        </w:rPr>
        <w:t>、开采总量调控</w:t>
      </w:r>
    </w:p>
    <w:p>
      <w:pPr>
        <w:spacing w:line="590" w:lineRule="exact"/>
        <w:ind w:firstLine="600" w:firstLineChars="200"/>
        <w:rPr>
          <w:rFonts w:ascii="方正仿宋_GBK" w:hAnsi="Times New Roman" w:eastAsia="方正仿宋_GBK"/>
          <w:sz w:val="30"/>
          <w:szCs w:val="30"/>
        </w:rPr>
      </w:pPr>
      <w:r>
        <w:rPr>
          <w:rFonts w:ascii="方正仿宋_GBK" w:hAnsi="Times New Roman" w:eastAsia="方正仿宋_GBK"/>
          <w:sz w:val="30"/>
          <w:szCs w:val="30"/>
        </w:rPr>
        <w:t>坚持节约优先、保护优先的原则，落实上级矿产资源规划有关要求，对麒麟区优势和重要矿产进行开采总量目标调控，切实推进矿产资源节约化、保护化开发利用。</w:t>
      </w:r>
    </w:p>
    <w:p>
      <w:pPr>
        <w:pStyle w:val="4"/>
        <w:rPr>
          <w:b w:val="0"/>
          <w:bCs w:val="0"/>
          <w:szCs w:val="30"/>
        </w:rPr>
      </w:pPr>
      <w:r>
        <w:rPr>
          <w:rFonts w:hint="eastAsia"/>
          <w:b w:val="0"/>
          <w:bCs w:val="0"/>
          <w:szCs w:val="30"/>
        </w:rPr>
        <w:t>五、管理措施</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第一、二类矿产的开采总量调控管理措施严格落实省、市级规划。普通建筑用砂石土采矿权执行麒麟区矿山最小生产规模和生产服务年限。全区新设和已设采矿权必须通过矿业权联勘联审和矿山生态环境综合评估。因资源枯竭，不符合生态保护、安全生产、公共利益、产业政策最新要求的采矿权逐步关闭退出。</w:t>
      </w:r>
    </w:p>
    <w:p>
      <w:pPr>
        <w:pStyle w:val="3"/>
        <w:rPr>
          <w:szCs w:val="30"/>
        </w:rPr>
      </w:pPr>
      <w:bookmarkStart w:id="58" w:name="_Toc100681771"/>
      <w:r>
        <w:rPr>
          <w:szCs w:val="30"/>
        </w:rPr>
        <w:t>第二节  优化开发利用结构</w:t>
      </w:r>
      <w:bookmarkEnd w:id="58"/>
    </w:p>
    <w:p>
      <w:pPr>
        <w:pStyle w:val="4"/>
        <w:rPr>
          <w:b w:val="0"/>
          <w:bCs w:val="0"/>
          <w:szCs w:val="30"/>
        </w:rPr>
      </w:pPr>
      <w:r>
        <w:rPr>
          <w:b w:val="0"/>
          <w:bCs w:val="0"/>
          <w:szCs w:val="30"/>
        </w:rPr>
        <w:t>一、</w:t>
      </w:r>
      <w:r>
        <w:rPr>
          <w:rFonts w:hint="eastAsia"/>
          <w:b w:val="0"/>
          <w:bCs w:val="0"/>
          <w:szCs w:val="30"/>
        </w:rPr>
        <w:t>严格</w:t>
      </w:r>
      <w:r>
        <w:rPr>
          <w:b w:val="0"/>
          <w:bCs w:val="0"/>
          <w:szCs w:val="30"/>
        </w:rPr>
        <w:t>矿山最低开采规模</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411"/>
        <w:gridCol w:w="1415"/>
        <w:gridCol w:w="1135"/>
        <w:gridCol w:w="996"/>
        <w:gridCol w:w="850"/>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jc w:val="center"/>
        </w:trPr>
        <w:tc>
          <w:tcPr>
            <w:tcW w:w="8296" w:type="dxa"/>
            <w:gridSpan w:val="7"/>
            <w:shd w:val="clear" w:color="auto" w:fill="auto"/>
            <w:noWrap/>
            <w:vAlign w:val="center"/>
          </w:tcPr>
          <w:p>
            <w:pPr>
              <w:widowControl/>
              <w:spacing w:line="590" w:lineRule="exact"/>
              <w:jc w:val="center"/>
              <w:rPr>
                <w:rFonts w:ascii="方正黑体_GBK" w:hAnsi="Times New Roman" w:eastAsia="方正黑体_GBK" w:cs="Times New Roman"/>
                <w:b/>
                <w:bCs/>
                <w:kern w:val="0"/>
                <w:sz w:val="30"/>
                <w:szCs w:val="30"/>
              </w:rPr>
            </w:pPr>
            <w:r>
              <w:rPr>
                <w:rFonts w:hint="eastAsia" w:ascii="方正黑体_GBK" w:hAnsi="Times New Roman" w:eastAsia="方正黑体_GBK" w:cs="Times New Roman"/>
                <w:b/>
                <w:bCs/>
                <w:kern w:val="0"/>
                <w:sz w:val="30"/>
                <w:szCs w:val="30"/>
              </w:rPr>
              <w:t>麒麟区主要矿产最低开采规模设计标准一览表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blHeader/>
          <w:jc w:val="center"/>
        </w:trPr>
        <w:tc>
          <w:tcPr>
            <w:tcW w:w="703" w:type="dxa"/>
            <w:shd w:val="clear" w:color="auto" w:fill="auto"/>
            <w:noWrap/>
            <w:vAlign w:val="center"/>
          </w:tcPr>
          <w:p>
            <w:pPr>
              <w:widowControl/>
              <w:spacing w:line="590" w:lineRule="exac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序号</w:t>
            </w:r>
          </w:p>
        </w:tc>
        <w:tc>
          <w:tcPr>
            <w:tcW w:w="2411" w:type="dxa"/>
            <w:shd w:val="clear" w:color="auto" w:fill="auto"/>
            <w:noWrap/>
            <w:vAlign w:val="center"/>
          </w:tcPr>
          <w:p>
            <w:pPr>
              <w:widowControl/>
              <w:spacing w:line="590" w:lineRule="exac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矿产名称</w:t>
            </w:r>
          </w:p>
        </w:tc>
        <w:tc>
          <w:tcPr>
            <w:tcW w:w="1415" w:type="dxa"/>
            <w:shd w:val="clear" w:color="auto" w:fill="auto"/>
            <w:vAlign w:val="center"/>
          </w:tcPr>
          <w:p>
            <w:pPr>
              <w:widowControl/>
              <w:spacing w:line="590" w:lineRule="exac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单位/年</w:t>
            </w:r>
          </w:p>
        </w:tc>
        <w:tc>
          <w:tcPr>
            <w:tcW w:w="1135" w:type="dxa"/>
            <w:shd w:val="clear" w:color="auto" w:fill="auto"/>
            <w:noWrap/>
            <w:vAlign w:val="center"/>
          </w:tcPr>
          <w:p>
            <w:pPr>
              <w:widowControl/>
              <w:spacing w:line="590" w:lineRule="exac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大型</w:t>
            </w:r>
          </w:p>
        </w:tc>
        <w:tc>
          <w:tcPr>
            <w:tcW w:w="996" w:type="dxa"/>
            <w:shd w:val="clear" w:color="auto" w:fill="auto"/>
            <w:vAlign w:val="center"/>
          </w:tcPr>
          <w:p>
            <w:pPr>
              <w:widowControl/>
              <w:spacing w:line="590" w:lineRule="exac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中型</w:t>
            </w:r>
          </w:p>
        </w:tc>
        <w:tc>
          <w:tcPr>
            <w:tcW w:w="850" w:type="dxa"/>
            <w:shd w:val="clear" w:color="auto" w:fill="auto"/>
            <w:vAlign w:val="center"/>
          </w:tcPr>
          <w:p>
            <w:pPr>
              <w:spacing w:line="590" w:lineRule="exac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小型</w:t>
            </w:r>
          </w:p>
        </w:tc>
        <w:tc>
          <w:tcPr>
            <w:tcW w:w="786" w:type="dxa"/>
            <w:shd w:val="clear" w:color="auto" w:fill="auto"/>
            <w:vAlign w:val="center"/>
          </w:tcPr>
          <w:p>
            <w:pPr>
              <w:widowControl/>
              <w:spacing w:line="590" w:lineRule="exact"/>
              <w:jc w:val="center"/>
              <w:rPr>
                <w:rFonts w:ascii="方正黑体_GBK" w:hAnsi="Times New Roman" w:eastAsia="方正黑体_GBK" w:cs="Times New Roman"/>
                <w:kern w:val="0"/>
                <w:sz w:val="24"/>
                <w:szCs w:val="24"/>
              </w:rPr>
            </w:pPr>
            <w:r>
              <w:rPr>
                <w:rFonts w:hint="eastAsia" w:ascii="方正黑体_GBK" w:hAnsi="Times New Roman" w:eastAsia="方正黑体_GBK"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3" w:type="dxa"/>
            <w:shd w:val="clear" w:color="auto" w:fill="auto"/>
            <w:noWrap/>
            <w:vAlign w:val="center"/>
          </w:tcPr>
          <w:p>
            <w:pPr>
              <w:widowControl/>
              <w:spacing w:line="59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2411" w:type="dxa"/>
            <w:shd w:val="clear" w:color="auto" w:fill="auto"/>
            <w:noWrap/>
            <w:vAlign w:val="center"/>
          </w:tcPr>
          <w:p>
            <w:pPr>
              <w:widowControl/>
              <w:spacing w:line="590" w:lineRule="exact"/>
              <w:jc w:val="center"/>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煤矿（地下开采/露天开采）</w:t>
            </w:r>
          </w:p>
        </w:tc>
        <w:tc>
          <w:tcPr>
            <w:tcW w:w="1415" w:type="dxa"/>
            <w:shd w:val="clear" w:color="auto" w:fill="auto"/>
            <w:noWrap/>
            <w:vAlign w:val="center"/>
          </w:tcPr>
          <w:p>
            <w:pPr>
              <w:widowControl/>
              <w:spacing w:line="590" w:lineRule="exact"/>
              <w:jc w:val="center"/>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原煤 万吨</w:t>
            </w:r>
          </w:p>
        </w:tc>
        <w:tc>
          <w:tcPr>
            <w:tcW w:w="1135" w:type="dxa"/>
            <w:shd w:val="clear" w:color="auto" w:fill="auto"/>
            <w:noWrap/>
            <w:vAlign w:val="center"/>
          </w:tcPr>
          <w:p>
            <w:pPr>
              <w:widowControl/>
              <w:spacing w:line="59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120/400</w:t>
            </w:r>
          </w:p>
        </w:tc>
        <w:tc>
          <w:tcPr>
            <w:tcW w:w="996" w:type="dxa"/>
            <w:shd w:val="clear" w:color="auto" w:fill="auto"/>
            <w:noWrap/>
            <w:vAlign w:val="center"/>
          </w:tcPr>
          <w:p>
            <w:pPr>
              <w:widowControl/>
              <w:spacing w:line="59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45/100</w:t>
            </w:r>
          </w:p>
        </w:tc>
        <w:tc>
          <w:tcPr>
            <w:tcW w:w="850" w:type="dxa"/>
            <w:shd w:val="clear" w:color="auto" w:fill="auto"/>
            <w:noWrap/>
            <w:vAlign w:val="center"/>
          </w:tcPr>
          <w:p>
            <w:pPr>
              <w:widowControl/>
              <w:spacing w:line="59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30/30</w:t>
            </w:r>
          </w:p>
        </w:tc>
        <w:tc>
          <w:tcPr>
            <w:tcW w:w="786" w:type="dxa"/>
            <w:shd w:val="clear" w:color="auto" w:fill="auto"/>
            <w:noWrap/>
            <w:vAlign w:val="center"/>
          </w:tcPr>
          <w:p>
            <w:pPr>
              <w:widowControl/>
              <w:spacing w:line="590" w:lineRule="exact"/>
              <w:jc w:val="center"/>
              <w:rPr>
                <w:rFonts w:ascii="方正仿宋_GBK"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3" w:type="dxa"/>
            <w:shd w:val="clear" w:color="auto" w:fill="auto"/>
            <w:noWrap/>
            <w:vAlign w:val="center"/>
          </w:tcPr>
          <w:p>
            <w:pPr>
              <w:widowControl/>
              <w:spacing w:line="59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w:t>
            </w:r>
          </w:p>
        </w:tc>
        <w:tc>
          <w:tcPr>
            <w:tcW w:w="2411" w:type="dxa"/>
            <w:shd w:val="clear" w:color="auto" w:fill="auto"/>
            <w:noWrap/>
            <w:vAlign w:val="center"/>
          </w:tcPr>
          <w:p>
            <w:pPr>
              <w:widowControl/>
              <w:spacing w:line="590" w:lineRule="exact"/>
              <w:jc w:val="center"/>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建筑石料用灰岩</w:t>
            </w:r>
          </w:p>
        </w:tc>
        <w:tc>
          <w:tcPr>
            <w:tcW w:w="1415" w:type="dxa"/>
            <w:shd w:val="clear" w:color="auto" w:fill="auto"/>
            <w:noWrap/>
            <w:vAlign w:val="center"/>
          </w:tcPr>
          <w:p>
            <w:pPr>
              <w:widowControl/>
              <w:spacing w:line="590" w:lineRule="exact"/>
              <w:jc w:val="center"/>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矿石 万吨</w:t>
            </w:r>
          </w:p>
        </w:tc>
        <w:tc>
          <w:tcPr>
            <w:tcW w:w="1135" w:type="dxa"/>
            <w:shd w:val="clear" w:color="auto" w:fill="auto"/>
            <w:noWrap/>
            <w:vAlign w:val="center"/>
          </w:tcPr>
          <w:p>
            <w:pPr>
              <w:widowControl/>
              <w:spacing w:line="59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100</w:t>
            </w:r>
          </w:p>
        </w:tc>
        <w:tc>
          <w:tcPr>
            <w:tcW w:w="996" w:type="dxa"/>
            <w:shd w:val="clear" w:color="auto" w:fill="auto"/>
            <w:noWrap/>
            <w:vAlign w:val="center"/>
          </w:tcPr>
          <w:p>
            <w:pPr>
              <w:widowControl/>
              <w:spacing w:line="59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50</w:t>
            </w:r>
          </w:p>
        </w:tc>
        <w:tc>
          <w:tcPr>
            <w:tcW w:w="850" w:type="dxa"/>
            <w:shd w:val="clear" w:color="auto" w:fill="auto"/>
            <w:noWrap/>
            <w:vAlign w:val="center"/>
          </w:tcPr>
          <w:p>
            <w:pPr>
              <w:widowControl/>
              <w:spacing w:line="59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w:t>
            </w:r>
          </w:p>
        </w:tc>
        <w:tc>
          <w:tcPr>
            <w:tcW w:w="786" w:type="dxa"/>
            <w:shd w:val="clear" w:color="auto" w:fill="auto"/>
            <w:noWrap/>
            <w:vAlign w:val="center"/>
          </w:tcPr>
          <w:p>
            <w:pPr>
              <w:widowControl/>
              <w:spacing w:line="590" w:lineRule="exact"/>
              <w:jc w:val="center"/>
              <w:rPr>
                <w:rFonts w:ascii="方正仿宋_GBK"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3" w:type="dxa"/>
            <w:shd w:val="clear" w:color="auto" w:fill="auto"/>
            <w:noWrap/>
            <w:vAlign w:val="center"/>
          </w:tcPr>
          <w:p>
            <w:pPr>
              <w:widowControl/>
              <w:spacing w:line="59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w:t>
            </w:r>
          </w:p>
        </w:tc>
        <w:tc>
          <w:tcPr>
            <w:tcW w:w="2411" w:type="dxa"/>
            <w:shd w:val="clear" w:color="auto" w:fill="auto"/>
            <w:noWrap/>
            <w:vAlign w:val="center"/>
          </w:tcPr>
          <w:p>
            <w:pPr>
              <w:widowControl/>
              <w:spacing w:line="590" w:lineRule="exact"/>
              <w:jc w:val="center"/>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建筑用砂</w:t>
            </w:r>
          </w:p>
        </w:tc>
        <w:tc>
          <w:tcPr>
            <w:tcW w:w="1415" w:type="dxa"/>
            <w:shd w:val="clear" w:color="auto" w:fill="auto"/>
            <w:noWrap/>
            <w:vAlign w:val="center"/>
          </w:tcPr>
          <w:p>
            <w:pPr>
              <w:widowControl/>
              <w:spacing w:line="590" w:lineRule="exact"/>
              <w:jc w:val="center"/>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矿石 万吨</w:t>
            </w:r>
          </w:p>
        </w:tc>
        <w:tc>
          <w:tcPr>
            <w:tcW w:w="1135" w:type="dxa"/>
            <w:shd w:val="clear" w:color="auto" w:fill="auto"/>
            <w:noWrap/>
            <w:vAlign w:val="center"/>
          </w:tcPr>
          <w:p>
            <w:pPr>
              <w:widowControl/>
              <w:spacing w:line="590" w:lineRule="exact"/>
              <w:jc w:val="center"/>
              <w:rPr>
                <w:rFonts w:ascii="宋体" w:hAnsi="宋体" w:eastAsia="宋体" w:cs="Times New Roman"/>
                <w:kern w:val="0"/>
                <w:sz w:val="24"/>
                <w:szCs w:val="24"/>
              </w:rPr>
            </w:pPr>
            <w:r>
              <w:rPr>
                <w:rFonts w:ascii="宋体" w:hAnsi="宋体" w:eastAsia="宋体" w:cs="Times New Roman"/>
                <w:kern w:val="0"/>
                <w:sz w:val="24"/>
                <w:szCs w:val="24"/>
              </w:rPr>
              <w:t>100</w:t>
            </w:r>
          </w:p>
        </w:tc>
        <w:tc>
          <w:tcPr>
            <w:tcW w:w="996" w:type="dxa"/>
            <w:shd w:val="clear" w:color="auto" w:fill="auto"/>
            <w:noWrap/>
            <w:vAlign w:val="center"/>
          </w:tcPr>
          <w:p>
            <w:pPr>
              <w:widowControl/>
              <w:spacing w:line="590" w:lineRule="exact"/>
              <w:jc w:val="center"/>
              <w:rPr>
                <w:rFonts w:ascii="宋体" w:hAnsi="宋体" w:eastAsia="宋体" w:cs="Times New Roman"/>
                <w:kern w:val="0"/>
                <w:sz w:val="24"/>
                <w:szCs w:val="24"/>
              </w:rPr>
            </w:pPr>
            <w:r>
              <w:rPr>
                <w:rFonts w:ascii="宋体" w:hAnsi="宋体" w:eastAsia="宋体" w:cs="Times New Roman"/>
                <w:kern w:val="0"/>
                <w:sz w:val="24"/>
                <w:szCs w:val="24"/>
              </w:rPr>
              <w:t>50</w:t>
            </w:r>
          </w:p>
        </w:tc>
        <w:tc>
          <w:tcPr>
            <w:tcW w:w="850" w:type="dxa"/>
            <w:shd w:val="clear" w:color="auto" w:fill="auto"/>
            <w:noWrap/>
            <w:vAlign w:val="center"/>
          </w:tcPr>
          <w:p>
            <w:pPr>
              <w:widowControl/>
              <w:spacing w:line="590" w:lineRule="exact"/>
              <w:jc w:val="center"/>
              <w:rPr>
                <w:rFonts w:ascii="宋体" w:hAnsi="宋体" w:eastAsia="宋体" w:cs="Times New Roman"/>
                <w:kern w:val="0"/>
                <w:sz w:val="24"/>
                <w:szCs w:val="24"/>
              </w:rPr>
            </w:pPr>
            <w:r>
              <w:rPr>
                <w:rFonts w:ascii="宋体" w:hAnsi="宋体" w:eastAsia="宋体" w:cs="Times New Roman"/>
                <w:kern w:val="0"/>
                <w:sz w:val="24"/>
                <w:szCs w:val="24"/>
              </w:rPr>
              <w:t>10</w:t>
            </w:r>
          </w:p>
        </w:tc>
        <w:tc>
          <w:tcPr>
            <w:tcW w:w="786" w:type="dxa"/>
            <w:shd w:val="clear" w:color="auto" w:fill="auto"/>
            <w:noWrap/>
            <w:vAlign w:val="center"/>
          </w:tcPr>
          <w:p>
            <w:pPr>
              <w:widowControl/>
              <w:spacing w:line="590" w:lineRule="exact"/>
              <w:jc w:val="center"/>
              <w:rPr>
                <w:rFonts w:ascii="方正仿宋_GBK"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3" w:type="dxa"/>
            <w:shd w:val="clear" w:color="auto" w:fill="auto"/>
            <w:noWrap/>
            <w:vAlign w:val="center"/>
          </w:tcPr>
          <w:p>
            <w:pPr>
              <w:widowControl/>
              <w:spacing w:line="59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2411" w:type="dxa"/>
            <w:shd w:val="clear" w:color="auto" w:fill="auto"/>
            <w:noWrap/>
            <w:vAlign w:val="center"/>
          </w:tcPr>
          <w:p>
            <w:pPr>
              <w:widowControl/>
              <w:spacing w:line="590" w:lineRule="exact"/>
              <w:jc w:val="center"/>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砖瓦用页岩</w:t>
            </w:r>
          </w:p>
        </w:tc>
        <w:tc>
          <w:tcPr>
            <w:tcW w:w="1415" w:type="dxa"/>
            <w:shd w:val="clear" w:color="auto" w:fill="auto"/>
            <w:noWrap/>
            <w:vAlign w:val="center"/>
          </w:tcPr>
          <w:p>
            <w:pPr>
              <w:widowControl/>
              <w:spacing w:line="590" w:lineRule="exact"/>
              <w:jc w:val="center"/>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矿石 万吨</w:t>
            </w:r>
          </w:p>
        </w:tc>
        <w:tc>
          <w:tcPr>
            <w:tcW w:w="1135" w:type="dxa"/>
            <w:shd w:val="clear" w:color="auto" w:fill="auto"/>
            <w:noWrap/>
            <w:vAlign w:val="center"/>
          </w:tcPr>
          <w:p>
            <w:pPr>
              <w:widowControl/>
              <w:spacing w:line="59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w:t>
            </w:r>
          </w:p>
        </w:tc>
        <w:tc>
          <w:tcPr>
            <w:tcW w:w="996" w:type="dxa"/>
            <w:shd w:val="clear" w:color="auto" w:fill="auto"/>
            <w:noWrap/>
            <w:vAlign w:val="center"/>
          </w:tcPr>
          <w:p>
            <w:pPr>
              <w:widowControl/>
              <w:spacing w:line="59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10</w:t>
            </w:r>
          </w:p>
        </w:tc>
        <w:tc>
          <w:tcPr>
            <w:tcW w:w="850" w:type="dxa"/>
            <w:shd w:val="clear" w:color="auto" w:fill="auto"/>
            <w:noWrap/>
            <w:vAlign w:val="center"/>
          </w:tcPr>
          <w:p>
            <w:pPr>
              <w:widowControl/>
              <w:spacing w:line="59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w:t>
            </w:r>
          </w:p>
        </w:tc>
        <w:tc>
          <w:tcPr>
            <w:tcW w:w="786" w:type="dxa"/>
            <w:shd w:val="clear" w:color="auto" w:fill="auto"/>
            <w:noWrap/>
            <w:vAlign w:val="center"/>
          </w:tcPr>
          <w:p>
            <w:pPr>
              <w:widowControl/>
              <w:spacing w:line="590" w:lineRule="exact"/>
              <w:jc w:val="center"/>
              <w:rPr>
                <w:rFonts w:ascii="方正仿宋_GBK" w:hAnsi="Times New Roman" w:eastAsia="方正仿宋_GBK" w:cs="Times New Roman"/>
                <w:kern w:val="0"/>
                <w:sz w:val="24"/>
                <w:szCs w:val="24"/>
              </w:rPr>
            </w:pPr>
          </w:p>
        </w:tc>
      </w:tr>
      <w:bookmarkEnd w:id="54"/>
    </w:tbl>
    <w:p>
      <w:pPr>
        <w:rPr>
          <w:rFonts w:ascii="方正仿宋_GBK" w:hAnsi="Times New Roman" w:eastAsia="方正仿宋_GBK"/>
          <w:szCs w:val="21"/>
        </w:rPr>
      </w:pPr>
      <w:r>
        <w:rPr>
          <w:rFonts w:hint="eastAsia" w:ascii="方正仿宋_GBK" w:hAnsi="Times New Roman" w:eastAsia="方正仿宋_GBK"/>
          <w:szCs w:val="21"/>
        </w:rPr>
        <w:t>注：上表中“-”表示不允许新建该矿种小型矿山，该矿种新建矿山最低开采规模必须达到中型矿山的最低开采规模。</w:t>
      </w:r>
    </w:p>
    <w:p>
      <w:pPr>
        <w:pStyle w:val="4"/>
        <w:rPr>
          <w:b w:val="0"/>
          <w:bCs w:val="0"/>
          <w:szCs w:val="30"/>
        </w:rPr>
      </w:pPr>
      <w:r>
        <w:rPr>
          <w:b w:val="0"/>
          <w:bCs w:val="0"/>
          <w:szCs w:val="30"/>
        </w:rPr>
        <w:t>二、</w:t>
      </w:r>
      <w:r>
        <w:rPr>
          <w:rFonts w:hint="eastAsia"/>
          <w:b w:val="0"/>
          <w:bCs w:val="0"/>
          <w:szCs w:val="30"/>
        </w:rPr>
        <w:t>调整矿山规模结构</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按照矿区（床）资源量规模与矿山生产建设规模相适应的原则，调整矿山开采规模结构。通过市场主导、政府调控等手段，调整矿山规模结构，压缩小型矿山数量，提高大中型矿山数量比重，到</w:t>
      </w:r>
      <w:r>
        <w:rPr>
          <w:rFonts w:hint="eastAsia" w:ascii="宋体" w:hAnsi="宋体" w:eastAsia="宋体"/>
          <w:sz w:val="30"/>
          <w:szCs w:val="30"/>
        </w:rPr>
        <w:t>2</w:t>
      </w:r>
      <w:r>
        <w:rPr>
          <w:rFonts w:ascii="宋体" w:hAnsi="宋体" w:eastAsia="宋体"/>
          <w:sz w:val="30"/>
          <w:szCs w:val="30"/>
        </w:rPr>
        <w:t>025</w:t>
      </w:r>
      <w:r>
        <w:rPr>
          <w:rFonts w:ascii="方正仿宋_GBK" w:hAnsi="Times New Roman" w:eastAsia="方正仿宋_GBK"/>
          <w:sz w:val="30"/>
          <w:szCs w:val="30"/>
        </w:rPr>
        <w:t>年，麒麟区大中型矿山比例达到</w:t>
      </w:r>
      <w:r>
        <w:rPr>
          <w:rFonts w:hint="eastAsia" w:ascii="宋体" w:hAnsi="宋体" w:eastAsia="宋体"/>
          <w:sz w:val="30"/>
          <w:szCs w:val="30"/>
        </w:rPr>
        <w:t>2</w:t>
      </w:r>
      <w:r>
        <w:rPr>
          <w:rFonts w:ascii="宋体" w:hAnsi="宋体" w:eastAsia="宋体"/>
          <w:sz w:val="30"/>
          <w:szCs w:val="30"/>
        </w:rPr>
        <w:t>0%</w:t>
      </w:r>
      <w:r>
        <w:rPr>
          <w:rFonts w:ascii="方正仿宋_GBK" w:hAnsi="Times New Roman" w:eastAsia="方正仿宋_GBK"/>
          <w:sz w:val="30"/>
          <w:szCs w:val="30"/>
        </w:rPr>
        <w:t>以上，矿业集中度进一步提高。</w:t>
      </w:r>
    </w:p>
    <w:p>
      <w:pPr>
        <w:pStyle w:val="4"/>
        <w:rPr>
          <w:b w:val="0"/>
          <w:bCs w:val="0"/>
          <w:szCs w:val="30"/>
        </w:rPr>
      </w:pPr>
      <w:r>
        <w:rPr>
          <w:rFonts w:hint="eastAsia"/>
          <w:b w:val="0"/>
          <w:bCs w:val="0"/>
          <w:szCs w:val="30"/>
        </w:rPr>
        <w:t>三</w:t>
      </w:r>
      <w:r>
        <w:rPr>
          <w:b w:val="0"/>
          <w:bCs w:val="0"/>
          <w:szCs w:val="30"/>
        </w:rPr>
        <w:t>、</w:t>
      </w:r>
      <w:r>
        <w:rPr>
          <w:rFonts w:hint="eastAsia"/>
          <w:b w:val="0"/>
          <w:bCs w:val="0"/>
          <w:szCs w:val="30"/>
        </w:rPr>
        <w:t>延长产业链、提高附加值的要求和措施</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发挥麒麟区产业基础和特色，主动融入全省打造世界一流“三张牌”布局，加快构建多业并举、多链共建、多元发展的现代产业体系。提速新型工业化进程。突出打好“绿色能源牌”，推进煤炭、焦化、钢铁、化工等传统工业向高端化、信息化、绿色化迭代升级，有效承接新材料、先进装备制造、数字经济、电子信息、节能环保等新兴产业。争创国家级新型工业化产业示范基地和国家级高新技术产业开发区。</w:t>
      </w:r>
    </w:p>
    <w:p>
      <w:pPr>
        <w:pStyle w:val="3"/>
        <w:rPr>
          <w:szCs w:val="30"/>
        </w:rPr>
      </w:pPr>
      <w:bookmarkStart w:id="59" w:name="_Toc100681772"/>
      <w:r>
        <w:rPr>
          <w:rFonts w:hint="eastAsia"/>
          <w:szCs w:val="30"/>
        </w:rPr>
        <w:t xml:space="preserve">第三节 </w:t>
      </w:r>
      <w:r>
        <w:rPr>
          <w:szCs w:val="30"/>
        </w:rPr>
        <w:t xml:space="preserve"> 严格规划准入管理</w:t>
      </w:r>
      <w:bookmarkEnd w:id="59"/>
    </w:p>
    <w:p>
      <w:pPr>
        <w:pStyle w:val="4"/>
        <w:rPr>
          <w:b w:val="0"/>
          <w:bCs w:val="0"/>
          <w:szCs w:val="30"/>
        </w:rPr>
      </w:pPr>
      <w:bookmarkStart w:id="60" w:name="_Hlk80793177"/>
      <w:r>
        <w:rPr>
          <w:rFonts w:hint="eastAsia"/>
          <w:b w:val="0"/>
          <w:bCs w:val="0"/>
          <w:szCs w:val="30"/>
        </w:rPr>
        <w:t>一、矿产资源勘查准入管理</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（一）推进绿色勘查</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坚持生态保护优先，充分尊重群众意愿，调整优化找矿突破战略行动工作布局。大力推进绿色勘查，部署实施绿色勘查示范项目，大力发展和推广新技术和新方法，健全绿色勘查技术体系。实施地质勘查行业标准、规范，调整或替代对地表环境影响大的槽探等勘查手段，减少地质勘查对生态环境的影响。</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（二）规范财政出资地质勘查</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坚持财政出资地质勘查的基础性、公益性和引导性定位，推动地质找矿与矿业权管理协调配合，中央或地方财政出资勘查项目，不再新设置探矿权，凭项目任务书开展地质勘查工作。已设探矿权的，完成勘查工作后注销探矿权，勘查成果公开竞争出让，促进地勘基金项目成果转化，提高财政资金利用效率，实现财政资金良性循环。</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（三）引导和拉动商业性矿产勘查</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全面实施矿业权竞争性出让，充分发挥市场在资源配置中的决定性作用。建立完善地质找矿激励机制，充分发挥社会资金在矿产勘查中的主体地位，鼓励各类社会资本参与矿产资源勘查。</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（四）加强综合勘查和综合评价</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加强共、伴生矿产资源的综合评价，提倡多矿种综合勘查、综合评价、综合利用、节约资源。矿床勘探应当对区内具有工业价值的共生和伴生矿床进行综合评价，未做综合评价的勘探地质报告不予批准。勘查证载矿种以外的共生矿产资源的，须按有关规定办理许可手续。</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（五）完善矿产资源勘查退出机制</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探矿权人有权优先取得勘查作业区内勘查资源的采矿权，探矿权人申请采矿许可证后，应同时注销勘查许可证。严格执行矿产资源勘查区块缩减和退出制度。勘查许可证到期，探矿权人既不申请延续，也不申请注销，报请登记机关依法公告注销勘查许可证。</w:t>
      </w:r>
    </w:p>
    <w:p>
      <w:pPr>
        <w:pStyle w:val="4"/>
        <w:rPr>
          <w:b w:val="0"/>
          <w:bCs w:val="0"/>
          <w:szCs w:val="30"/>
        </w:rPr>
      </w:pPr>
      <w:r>
        <w:rPr>
          <w:rFonts w:hint="eastAsia"/>
          <w:b w:val="0"/>
          <w:bCs w:val="0"/>
          <w:szCs w:val="30"/>
        </w:rPr>
        <w:t>二、矿产资源开发准入管理</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（一）严格矿业权出让源头管控</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严格落实联勘联审制度及国土空间规划、矿产资源规划、生态保护红线、各级各类保护区管控要求，严格执行国家产业政策和矿产资源勘查开发调控政策。充分发挥市场对资源配置的决定性作用，全面推进矿业权竞争性出让，严格控制协议出让，科学调控、合理布局矿业权。</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（二）稳步推进“净矿”出让</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按照试点先行、稳步推进的原则，对砂石土等直接出让的采矿权试点开展“净矿”出让，取得经验后适时推广实施。采矿权“净矿”出让前要建立出让项目库，确保出让项目符合管控要求和产业政策，落实环境保护、安全生产等相关要求。</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（三）健全完善开发利用监督管理体系</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进一步完善社会监督、政府抽查、失信惩戒的矿产资源监管体系，做好矿业权人勘查开采信息公示等工作。建立健全矿产资源勘查开发综合监管平台，开展动态巡查和卫星遥感监测，强化对无证勘查、无证开采、越界开采等行为的执法监察。</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（四）强化矿产资源开发利用管理</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实施矿种差别化、区域差别化管理。对紧缺矿产，实施鼓励性勘查开发政策。对优势矿产，合理调控开发利用总量。对产能过剩类矿产，严格控制新增产能，淘汰落后产能。对战略性新兴矿产，保障资源供应。对涉及生态保护红线、自然保护地、永久基本农田的矿产资源勘查开发，严格执行相关规定。</w:t>
      </w:r>
    </w:p>
    <w:bookmarkEnd w:id="60"/>
    <w:p>
      <w:pPr>
        <w:pStyle w:val="2"/>
      </w:pPr>
      <w:bookmarkStart w:id="61" w:name="_Toc100681773"/>
      <w:r>
        <w:t>第五章 绿色矿山建设和矿区生态保护修复</w:t>
      </w:r>
      <w:bookmarkEnd w:id="61"/>
    </w:p>
    <w:p>
      <w:pPr>
        <w:pStyle w:val="3"/>
        <w:rPr>
          <w:szCs w:val="30"/>
        </w:rPr>
      </w:pPr>
      <w:bookmarkStart w:id="62" w:name="_Toc100681774"/>
      <w:r>
        <w:rPr>
          <w:szCs w:val="30"/>
        </w:rPr>
        <w:t>第一节  绿色矿山建设</w:t>
      </w:r>
      <w:bookmarkEnd w:id="62"/>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分类指导，积极推进绿色矿山建设；生态优先，进一步贯彻落实绿色勘查；到</w:t>
      </w:r>
      <w:r>
        <w:rPr>
          <w:rFonts w:hint="eastAsia" w:ascii="宋体" w:hAnsi="宋体" w:eastAsia="宋体"/>
          <w:sz w:val="30"/>
          <w:szCs w:val="30"/>
        </w:rPr>
        <w:t>2025</w:t>
      </w:r>
      <w:r>
        <w:rPr>
          <w:rFonts w:hint="eastAsia" w:ascii="方正仿宋_GBK" w:hAnsi="Times New Roman" w:eastAsia="方正仿宋_GBK"/>
          <w:sz w:val="30"/>
          <w:szCs w:val="30"/>
        </w:rPr>
        <w:t>年底，全区新建矿山全部按照绿色矿山标准进行规划、设计、建设和运营管理，生产矿山加快改造升级，逐步达标，走出一条资源节约、环境友好、高效利用、矿地和谐的发展道路。</w:t>
      </w:r>
    </w:p>
    <w:p>
      <w:pPr>
        <w:pStyle w:val="3"/>
        <w:rPr>
          <w:szCs w:val="30"/>
        </w:rPr>
      </w:pPr>
      <w:bookmarkStart w:id="63" w:name="_Toc100681775"/>
      <w:r>
        <w:rPr>
          <w:szCs w:val="30"/>
        </w:rPr>
        <w:t>第二节  矿区生态保护修复</w:t>
      </w:r>
      <w:bookmarkEnd w:id="63"/>
    </w:p>
    <w:p>
      <w:pPr>
        <w:spacing w:line="590" w:lineRule="exact"/>
        <w:ind w:firstLine="600" w:firstLineChars="200"/>
        <w:rPr>
          <w:rFonts w:ascii="方正仿宋_GBK" w:hAnsi="Times New Roman" w:eastAsia="方正仿宋_GBK"/>
          <w:sz w:val="30"/>
          <w:szCs w:val="30"/>
        </w:rPr>
      </w:pPr>
      <w:bookmarkStart w:id="64" w:name="_Hlk80793832"/>
      <w:r>
        <w:rPr>
          <w:rFonts w:hint="eastAsia" w:ascii="方正仿宋_GBK" w:hAnsi="Times New Roman" w:eastAsia="方正仿宋_GBK"/>
          <w:sz w:val="30"/>
          <w:szCs w:val="30"/>
        </w:rPr>
        <w:t>深入贯彻绿色发展理念，建立健全新建、生产和历史遗留矿山生态保护修复管理措施,将矿山地质环境治理恢复贯穿于矿产资源开发全过程。</w:t>
      </w:r>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强化新建矿山准入条件和预防要求，按照边开采边修复的原则，完善生产矿山生态修复责任机制，进一步完善矿山企业履行矿山地质环境保护修复义务和基金制度，新建、生产矿山造成的地质环境问题由矿山企业负责修复,历史遗留矿山由地方人民政府统筹组织修复。按照“谁治理、谁受益”的原则，充分发挥财政资金的引导带动作用，大力探索构建“政府主导、政策扶持、社会参与、开发式治理、市场化运作”的矿山生态修复新模式。</w:t>
      </w:r>
    </w:p>
    <w:bookmarkEnd w:id="64"/>
    <w:p>
      <w:pPr>
        <w:pStyle w:val="2"/>
      </w:pPr>
      <w:bookmarkStart w:id="65" w:name="_Toc68600021"/>
      <w:bookmarkStart w:id="66" w:name="_Toc492544753"/>
      <w:bookmarkStart w:id="67" w:name="_Toc68600196"/>
      <w:bookmarkStart w:id="68" w:name="_Toc76997132"/>
      <w:bookmarkStart w:id="69" w:name="_Toc74899243"/>
      <w:bookmarkStart w:id="70" w:name="_Toc100681776"/>
      <w:bookmarkStart w:id="71" w:name="_Hlk68787820"/>
      <w:bookmarkStart w:id="72" w:name="_Hlk75179512"/>
      <w:r>
        <w:t>第</w:t>
      </w:r>
      <w:r>
        <w:rPr>
          <w:rFonts w:hint="eastAsia"/>
        </w:rPr>
        <w:t>六</w:t>
      </w:r>
      <w:r>
        <w:t>章  规划</w:t>
      </w:r>
      <w:bookmarkEnd w:id="65"/>
      <w:bookmarkEnd w:id="66"/>
      <w:bookmarkEnd w:id="67"/>
      <w:r>
        <w:t>实施与管理</w:t>
      </w:r>
      <w:bookmarkEnd w:id="68"/>
      <w:bookmarkEnd w:id="69"/>
      <w:bookmarkEnd w:id="70"/>
    </w:p>
    <w:bookmarkEnd w:id="71"/>
    <w:bookmarkEnd w:id="72"/>
    <w:p>
      <w:pPr>
        <w:pStyle w:val="3"/>
        <w:rPr>
          <w:szCs w:val="30"/>
        </w:rPr>
      </w:pPr>
      <w:bookmarkStart w:id="73" w:name="_Toc79996276"/>
      <w:bookmarkStart w:id="74" w:name="_Toc68600197"/>
      <w:bookmarkStart w:id="75" w:name="_Toc68600022"/>
      <w:bookmarkStart w:id="76" w:name="_Toc492544754"/>
      <w:bookmarkStart w:id="77" w:name="_Toc76997133"/>
      <w:bookmarkStart w:id="78" w:name="_Toc74899244"/>
      <w:bookmarkStart w:id="79" w:name="_Toc100681777"/>
      <w:r>
        <w:rPr>
          <w:rFonts w:hint="eastAsia"/>
          <w:szCs w:val="30"/>
        </w:rPr>
        <w:t>第一节</w:t>
      </w:r>
      <w:bookmarkEnd w:id="73"/>
      <w:bookmarkEnd w:id="74"/>
      <w:bookmarkEnd w:id="75"/>
      <w:bookmarkEnd w:id="76"/>
      <w:bookmarkEnd w:id="77"/>
      <w:bookmarkEnd w:id="78"/>
      <w:r>
        <w:rPr>
          <w:rFonts w:hint="eastAsia"/>
          <w:szCs w:val="30"/>
        </w:rPr>
        <w:t xml:space="preserve"> 规划实施目标责任考核</w:t>
      </w:r>
      <w:bookmarkEnd w:id="79"/>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经批准后的《规划》具有法定效力，必须严格执行。在区人民政府领导下，自然资源、发改、工科、财政、生态环境、水务、应急、交运、住建、林草等部门加强协调配合，搞好政策衔接，及时研究解决规划实施中的重大问题，形成推动规划实施的合力，认真贯彻落实规划提出的发展目标和任务，健全和完善麒麟区矿产资源规划管理实施相关制度措施，将规划实施成效纳入矿产资源管理考核的重要内容，切实维护规划的权威性和严肃性。</w:t>
      </w:r>
    </w:p>
    <w:p>
      <w:pPr>
        <w:pStyle w:val="3"/>
        <w:rPr>
          <w:szCs w:val="30"/>
        </w:rPr>
      </w:pPr>
      <w:bookmarkStart w:id="80" w:name="_Toc79996278"/>
      <w:bookmarkStart w:id="81" w:name="_Toc492544756"/>
      <w:bookmarkStart w:id="82" w:name="_Toc68600024"/>
      <w:bookmarkStart w:id="83" w:name="_Toc68600199"/>
      <w:bookmarkStart w:id="84" w:name="_Toc76997135"/>
      <w:bookmarkStart w:id="85" w:name="_Toc74899246"/>
      <w:bookmarkStart w:id="86" w:name="_Toc100681778"/>
      <w:r>
        <w:rPr>
          <w:rFonts w:hint="eastAsia"/>
          <w:szCs w:val="30"/>
        </w:rPr>
        <w:t>第二节</w:t>
      </w:r>
      <w:bookmarkEnd w:id="80"/>
      <w:bookmarkEnd w:id="81"/>
      <w:bookmarkEnd w:id="82"/>
      <w:bookmarkEnd w:id="83"/>
      <w:bookmarkEnd w:id="84"/>
      <w:bookmarkEnd w:id="85"/>
      <w:r>
        <w:rPr>
          <w:rFonts w:hint="eastAsia"/>
          <w:szCs w:val="30"/>
        </w:rPr>
        <w:t xml:space="preserve"> 规划实施评估和调整</w:t>
      </w:r>
      <w:bookmarkEnd w:id="86"/>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区自然资源局应当组织在《规划》实施过程中或在规划期末对开展规划目标和任务实现程度、规划管理制度和执行情况、违反规划行为及查处纠正情况等系统检查和评价，总结规划实施效果，分析产生问题的原因，并提出有针对性的对策建议。建立和完善矿产资源规划调整机制，调整或修改已批准的规划必须经过法定程序。规划调整涉及其他部门的，应当征求其他部门意见，并经区人民政府批准。</w:t>
      </w:r>
    </w:p>
    <w:p>
      <w:pPr>
        <w:pStyle w:val="3"/>
        <w:rPr>
          <w:szCs w:val="30"/>
        </w:rPr>
      </w:pPr>
      <w:bookmarkStart w:id="87" w:name="_Toc79996277"/>
      <w:bookmarkStart w:id="88" w:name="_Toc76997134"/>
      <w:bookmarkStart w:id="89" w:name="_Toc492544755"/>
      <w:bookmarkStart w:id="90" w:name="_Toc68600023"/>
      <w:bookmarkStart w:id="91" w:name="_Toc74899245"/>
      <w:bookmarkStart w:id="92" w:name="_Toc68600198"/>
      <w:bookmarkStart w:id="93" w:name="_Toc100681779"/>
      <w:r>
        <w:rPr>
          <w:rFonts w:hint="eastAsia"/>
          <w:szCs w:val="30"/>
        </w:rPr>
        <w:t xml:space="preserve">第三节 </w:t>
      </w:r>
      <w:bookmarkEnd w:id="87"/>
      <w:bookmarkEnd w:id="88"/>
      <w:bookmarkEnd w:id="89"/>
      <w:bookmarkEnd w:id="90"/>
      <w:bookmarkEnd w:id="91"/>
      <w:bookmarkEnd w:id="92"/>
      <w:r>
        <w:rPr>
          <w:rFonts w:hint="eastAsia"/>
          <w:szCs w:val="30"/>
        </w:rPr>
        <w:t>规划实施情况监督</w:t>
      </w:r>
      <w:bookmarkEnd w:id="93"/>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规划》批准发布后，要建立健全政府统一领导、部门各负其责、群众广泛参与、社会全面监督的工作机制，对规划实施全过程全角度监督管理，切实发挥《规划》指导和管控作用。应采用卫星遥感等信息化技术和手段，加强对规划实施情况的监督检查，对违反规划的行为及时查处和纠正。强化各级各类规划衔接协调，收集《规划》实施过程中的各种数据和信息，动态跟踪监督《规划》实施、评估、调整等过程。</w:t>
      </w:r>
    </w:p>
    <w:p>
      <w:pPr>
        <w:pStyle w:val="3"/>
        <w:rPr>
          <w:szCs w:val="30"/>
        </w:rPr>
      </w:pPr>
      <w:bookmarkStart w:id="94" w:name="_Toc74899247"/>
      <w:bookmarkStart w:id="95" w:name="_Toc492544759"/>
      <w:bookmarkStart w:id="96" w:name="_Toc68600202"/>
      <w:bookmarkStart w:id="97" w:name="_Toc76997136"/>
      <w:bookmarkStart w:id="98" w:name="_Toc68600027"/>
      <w:bookmarkStart w:id="99" w:name="_Toc79996279"/>
      <w:bookmarkStart w:id="100" w:name="_Toc100681780"/>
      <w:r>
        <w:rPr>
          <w:rFonts w:hint="eastAsia"/>
          <w:szCs w:val="30"/>
        </w:rPr>
        <w:t xml:space="preserve">第四节 </w:t>
      </w:r>
      <w:bookmarkEnd w:id="94"/>
      <w:bookmarkEnd w:id="95"/>
      <w:bookmarkEnd w:id="96"/>
      <w:bookmarkEnd w:id="97"/>
      <w:bookmarkEnd w:id="98"/>
      <w:bookmarkEnd w:id="99"/>
      <w:r>
        <w:rPr>
          <w:rFonts w:hint="eastAsia"/>
          <w:szCs w:val="30"/>
        </w:rPr>
        <w:t>加强规划宣传</w:t>
      </w:r>
      <w:bookmarkEnd w:id="100"/>
    </w:p>
    <w:p>
      <w:pPr>
        <w:spacing w:line="590" w:lineRule="exact"/>
        <w:ind w:firstLine="600" w:firstLineChars="200"/>
        <w:rPr>
          <w:rFonts w:ascii="方正仿宋_GBK" w:hAnsi="Times New Roman" w:eastAsia="方正仿宋_GBK"/>
          <w:sz w:val="30"/>
          <w:szCs w:val="30"/>
        </w:rPr>
      </w:pPr>
      <w:r>
        <w:rPr>
          <w:rFonts w:hint="eastAsia" w:ascii="方正仿宋_GBK" w:hAnsi="Times New Roman" w:eastAsia="方正仿宋_GBK"/>
          <w:sz w:val="30"/>
          <w:szCs w:val="30"/>
        </w:rPr>
        <w:t>积极采取多种形式，充分利用各种媒体平台，大力宣传解读矿产资源法律法规、政策文件和《规划》内容，增进社会各界对《规划》的理解和认可，强化矿产资源</w:t>
      </w:r>
      <w:r>
        <w:rPr>
          <w:rFonts w:hint="eastAsia" w:ascii="方正仿宋_GBK" w:hAnsi="Times New Roman" w:eastAsia="方正仿宋_GBK"/>
          <w:sz w:val="30"/>
          <w:szCs w:val="30"/>
          <w:lang w:eastAsia="zh-CN"/>
        </w:rPr>
        <w:t>法治意识</w:t>
      </w:r>
      <w:r>
        <w:rPr>
          <w:rFonts w:hint="eastAsia" w:ascii="方正仿宋_GBK" w:hAnsi="Times New Roman" w:eastAsia="方正仿宋_GBK"/>
          <w:sz w:val="30"/>
          <w:szCs w:val="30"/>
        </w:rPr>
        <w:t>和规划意识，形成矿业经济绿色、低碳、高质量发展的共识，在习近平生态文明思想指引下，推动矿业行业向绿色、安全、和谐、智能、高效的方向迈进。</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2510878"/>
      <w:docPartObj>
        <w:docPartGallery w:val="autotext"/>
      </w:docPartObj>
    </w:sdtPr>
    <w:sdtContent>
      <w:p>
        <w:pPr>
          <w:pStyle w:val="9"/>
          <w:jc w:val="center"/>
        </w:pPr>
        <w:r>
          <w:fldChar w:fldCharType="begin"/>
        </w:r>
        <w:r>
          <w:instrText xml:space="preserve">PAGE   \* MERGEFORMAT</w:instrText>
        </w:r>
        <w:r>
          <w:fldChar w:fldCharType="separate"/>
        </w:r>
        <w:r>
          <w:rPr>
            <w:lang w:val="zh-CN"/>
          </w:rPr>
          <w:t>34</w:t>
        </w:r>
        <w:r>
          <w:fldChar w:fldCharType="end"/>
        </w:r>
      </w:p>
    </w:sdtContent>
  </w:sdt>
  <w:p>
    <w:pPr>
      <w:pStyle w:val="9"/>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611DD0"/>
    <w:rsid w:val="00005062"/>
    <w:rsid w:val="00006427"/>
    <w:rsid w:val="000102E8"/>
    <w:rsid w:val="0001168A"/>
    <w:rsid w:val="00012B4D"/>
    <w:rsid w:val="0001356E"/>
    <w:rsid w:val="00013BEB"/>
    <w:rsid w:val="0001766E"/>
    <w:rsid w:val="00023CFC"/>
    <w:rsid w:val="00023D5E"/>
    <w:rsid w:val="00027D3B"/>
    <w:rsid w:val="0003438C"/>
    <w:rsid w:val="000361BE"/>
    <w:rsid w:val="00043E67"/>
    <w:rsid w:val="00044A96"/>
    <w:rsid w:val="00047294"/>
    <w:rsid w:val="00062A0D"/>
    <w:rsid w:val="000649BE"/>
    <w:rsid w:val="00064AB4"/>
    <w:rsid w:val="000713AF"/>
    <w:rsid w:val="000715BA"/>
    <w:rsid w:val="00077671"/>
    <w:rsid w:val="00083408"/>
    <w:rsid w:val="00095F75"/>
    <w:rsid w:val="00096374"/>
    <w:rsid w:val="000A0953"/>
    <w:rsid w:val="000A29FF"/>
    <w:rsid w:val="000A2A6B"/>
    <w:rsid w:val="000A786B"/>
    <w:rsid w:val="000B428B"/>
    <w:rsid w:val="000B558C"/>
    <w:rsid w:val="000C4BCA"/>
    <w:rsid w:val="000C756F"/>
    <w:rsid w:val="000C7C56"/>
    <w:rsid w:val="000D1CD0"/>
    <w:rsid w:val="000D57E3"/>
    <w:rsid w:val="000D7592"/>
    <w:rsid w:val="000E225C"/>
    <w:rsid w:val="000E4F8D"/>
    <w:rsid w:val="000E5FD1"/>
    <w:rsid w:val="000F22B5"/>
    <w:rsid w:val="000F290C"/>
    <w:rsid w:val="00100940"/>
    <w:rsid w:val="00106A54"/>
    <w:rsid w:val="00106D4E"/>
    <w:rsid w:val="00110351"/>
    <w:rsid w:val="001156A7"/>
    <w:rsid w:val="00117F10"/>
    <w:rsid w:val="00120024"/>
    <w:rsid w:val="00124AAE"/>
    <w:rsid w:val="00127659"/>
    <w:rsid w:val="00127BE8"/>
    <w:rsid w:val="00130D7B"/>
    <w:rsid w:val="00133DDF"/>
    <w:rsid w:val="001426FC"/>
    <w:rsid w:val="00145323"/>
    <w:rsid w:val="00150A2F"/>
    <w:rsid w:val="00151190"/>
    <w:rsid w:val="0016609D"/>
    <w:rsid w:val="001744F0"/>
    <w:rsid w:val="00181150"/>
    <w:rsid w:val="00186ADC"/>
    <w:rsid w:val="00191E8C"/>
    <w:rsid w:val="00193C9C"/>
    <w:rsid w:val="001A1A84"/>
    <w:rsid w:val="001A3497"/>
    <w:rsid w:val="001A3AAE"/>
    <w:rsid w:val="001A74F8"/>
    <w:rsid w:val="001B65B8"/>
    <w:rsid w:val="001B698B"/>
    <w:rsid w:val="001B720B"/>
    <w:rsid w:val="001B791D"/>
    <w:rsid w:val="001C0C24"/>
    <w:rsid w:val="001C6EF3"/>
    <w:rsid w:val="001D1FA9"/>
    <w:rsid w:val="001D2911"/>
    <w:rsid w:val="001D46BC"/>
    <w:rsid w:val="001D5066"/>
    <w:rsid w:val="001D6A51"/>
    <w:rsid w:val="001E2FB5"/>
    <w:rsid w:val="001E3C57"/>
    <w:rsid w:val="001E6B9A"/>
    <w:rsid w:val="001F0768"/>
    <w:rsid w:val="001F6191"/>
    <w:rsid w:val="001F6BDB"/>
    <w:rsid w:val="0020644F"/>
    <w:rsid w:val="00210339"/>
    <w:rsid w:val="0021222B"/>
    <w:rsid w:val="00212CAD"/>
    <w:rsid w:val="00221C74"/>
    <w:rsid w:val="00224C56"/>
    <w:rsid w:val="00231100"/>
    <w:rsid w:val="002315CF"/>
    <w:rsid w:val="00232712"/>
    <w:rsid w:val="00232780"/>
    <w:rsid w:val="00235D22"/>
    <w:rsid w:val="002410AD"/>
    <w:rsid w:val="00242051"/>
    <w:rsid w:val="00245161"/>
    <w:rsid w:val="002506C7"/>
    <w:rsid w:val="00251443"/>
    <w:rsid w:val="00251946"/>
    <w:rsid w:val="00254E0D"/>
    <w:rsid w:val="002561FE"/>
    <w:rsid w:val="002607B1"/>
    <w:rsid w:val="002635E9"/>
    <w:rsid w:val="00263DD9"/>
    <w:rsid w:val="002662C7"/>
    <w:rsid w:val="00272504"/>
    <w:rsid w:val="00277D00"/>
    <w:rsid w:val="002825A5"/>
    <w:rsid w:val="00287C0B"/>
    <w:rsid w:val="00296038"/>
    <w:rsid w:val="00297AE1"/>
    <w:rsid w:val="002A3C96"/>
    <w:rsid w:val="002B574B"/>
    <w:rsid w:val="002C3491"/>
    <w:rsid w:val="002C6318"/>
    <w:rsid w:val="002C6D96"/>
    <w:rsid w:val="002C7190"/>
    <w:rsid w:val="002D1DDE"/>
    <w:rsid w:val="002F183C"/>
    <w:rsid w:val="0030772B"/>
    <w:rsid w:val="0031163C"/>
    <w:rsid w:val="00325E86"/>
    <w:rsid w:val="00327ED5"/>
    <w:rsid w:val="0033412F"/>
    <w:rsid w:val="00342154"/>
    <w:rsid w:val="003425CD"/>
    <w:rsid w:val="0035087C"/>
    <w:rsid w:val="00351BA4"/>
    <w:rsid w:val="00352637"/>
    <w:rsid w:val="0035440D"/>
    <w:rsid w:val="00354E17"/>
    <w:rsid w:val="00364049"/>
    <w:rsid w:val="00371C69"/>
    <w:rsid w:val="00373299"/>
    <w:rsid w:val="00377967"/>
    <w:rsid w:val="003875EC"/>
    <w:rsid w:val="00394DB2"/>
    <w:rsid w:val="00397083"/>
    <w:rsid w:val="0039782A"/>
    <w:rsid w:val="003A44A8"/>
    <w:rsid w:val="003C32B3"/>
    <w:rsid w:val="003C4D55"/>
    <w:rsid w:val="003D0FFE"/>
    <w:rsid w:val="003D3441"/>
    <w:rsid w:val="003D6358"/>
    <w:rsid w:val="003D7C5E"/>
    <w:rsid w:val="003E6331"/>
    <w:rsid w:val="003E764F"/>
    <w:rsid w:val="003F4B04"/>
    <w:rsid w:val="00401D4F"/>
    <w:rsid w:val="00402328"/>
    <w:rsid w:val="00415C4F"/>
    <w:rsid w:val="00420AF6"/>
    <w:rsid w:val="00423258"/>
    <w:rsid w:val="00431769"/>
    <w:rsid w:val="00433D48"/>
    <w:rsid w:val="004445F8"/>
    <w:rsid w:val="004519CA"/>
    <w:rsid w:val="00452022"/>
    <w:rsid w:val="004566FE"/>
    <w:rsid w:val="00461068"/>
    <w:rsid w:val="00461B80"/>
    <w:rsid w:val="00474ECF"/>
    <w:rsid w:val="00481A8D"/>
    <w:rsid w:val="00483D44"/>
    <w:rsid w:val="00484A97"/>
    <w:rsid w:val="00485524"/>
    <w:rsid w:val="004954A8"/>
    <w:rsid w:val="0049744A"/>
    <w:rsid w:val="00497713"/>
    <w:rsid w:val="004A15A8"/>
    <w:rsid w:val="004A543B"/>
    <w:rsid w:val="004B152D"/>
    <w:rsid w:val="004B4320"/>
    <w:rsid w:val="004C182E"/>
    <w:rsid w:val="004C4617"/>
    <w:rsid w:val="004D2546"/>
    <w:rsid w:val="004D3A70"/>
    <w:rsid w:val="004D6532"/>
    <w:rsid w:val="004D749A"/>
    <w:rsid w:val="004E30A8"/>
    <w:rsid w:val="004F0264"/>
    <w:rsid w:val="00500652"/>
    <w:rsid w:val="00500CEA"/>
    <w:rsid w:val="0050427D"/>
    <w:rsid w:val="00506705"/>
    <w:rsid w:val="00511108"/>
    <w:rsid w:val="005131D9"/>
    <w:rsid w:val="00520CF6"/>
    <w:rsid w:val="00531112"/>
    <w:rsid w:val="00531297"/>
    <w:rsid w:val="00533ABD"/>
    <w:rsid w:val="00536BAA"/>
    <w:rsid w:val="005408A6"/>
    <w:rsid w:val="0054760F"/>
    <w:rsid w:val="00555A8D"/>
    <w:rsid w:val="00564941"/>
    <w:rsid w:val="00566965"/>
    <w:rsid w:val="00573308"/>
    <w:rsid w:val="00575E06"/>
    <w:rsid w:val="005760A4"/>
    <w:rsid w:val="005810EE"/>
    <w:rsid w:val="00585B50"/>
    <w:rsid w:val="00593009"/>
    <w:rsid w:val="00594AEA"/>
    <w:rsid w:val="005A2CD7"/>
    <w:rsid w:val="005A694B"/>
    <w:rsid w:val="005B749E"/>
    <w:rsid w:val="005C2C10"/>
    <w:rsid w:val="005C40BC"/>
    <w:rsid w:val="005C7783"/>
    <w:rsid w:val="005D0173"/>
    <w:rsid w:val="005D1255"/>
    <w:rsid w:val="005D5A8C"/>
    <w:rsid w:val="005E1092"/>
    <w:rsid w:val="005E1223"/>
    <w:rsid w:val="005E1884"/>
    <w:rsid w:val="005E5CCC"/>
    <w:rsid w:val="005F2939"/>
    <w:rsid w:val="005F48C2"/>
    <w:rsid w:val="005F53BF"/>
    <w:rsid w:val="005F7E47"/>
    <w:rsid w:val="006021DE"/>
    <w:rsid w:val="00603015"/>
    <w:rsid w:val="00603ED9"/>
    <w:rsid w:val="00606CA7"/>
    <w:rsid w:val="00611399"/>
    <w:rsid w:val="00611DD0"/>
    <w:rsid w:val="006150E3"/>
    <w:rsid w:val="0061640C"/>
    <w:rsid w:val="006174E3"/>
    <w:rsid w:val="00622F6B"/>
    <w:rsid w:val="00624DC2"/>
    <w:rsid w:val="00633920"/>
    <w:rsid w:val="00636F3D"/>
    <w:rsid w:val="00641C94"/>
    <w:rsid w:val="00647088"/>
    <w:rsid w:val="006471C7"/>
    <w:rsid w:val="006502B4"/>
    <w:rsid w:val="00651490"/>
    <w:rsid w:val="00652494"/>
    <w:rsid w:val="00655BC9"/>
    <w:rsid w:val="0066127A"/>
    <w:rsid w:val="00667D9F"/>
    <w:rsid w:val="00673ECF"/>
    <w:rsid w:val="00680449"/>
    <w:rsid w:val="00682D82"/>
    <w:rsid w:val="006842C6"/>
    <w:rsid w:val="00686789"/>
    <w:rsid w:val="00687449"/>
    <w:rsid w:val="00687BBC"/>
    <w:rsid w:val="00690608"/>
    <w:rsid w:val="0069367D"/>
    <w:rsid w:val="006A4574"/>
    <w:rsid w:val="006A689F"/>
    <w:rsid w:val="006A7DA9"/>
    <w:rsid w:val="006B49EE"/>
    <w:rsid w:val="006C0B6E"/>
    <w:rsid w:val="006C4964"/>
    <w:rsid w:val="006D3524"/>
    <w:rsid w:val="006D5066"/>
    <w:rsid w:val="006D7D21"/>
    <w:rsid w:val="006F4982"/>
    <w:rsid w:val="006F68DA"/>
    <w:rsid w:val="00701509"/>
    <w:rsid w:val="00713209"/>
    <w:rsid w:val="00716899"/>
    <w:rsid w:val="00725B09"/>
    <w:rsid w:val="00732473"/>
    <w:rsid w:val="007327D6"/>
    <w:rsid w:val="00734B14"/>
    <w:rsid w:val="00736FBC"/>
    <w:rsid w:val="007549BA"/>
    <w:rsid w:val="0075750E"/>
    <w:rsid w:val="007601D5"/>
    <w:rsid w:val="007616C0"/>
    <w:rsid w:val="0076347C"/>
    <w:rsid w:val="007667F1"/>
    <w:rsid w:val="00770C98"/>
    <w:rsid w:val="00772078"/>
    <w:rsid w:val="00773F45"/>
    <w:rsid w:val="007747CA"/>
    <w:rsid w:val="00783910"/>
    <w:rsid w:val="00784497"/>
    <w:rsid w:val="007860A9"/>
    <w:rsid w:val="00786804"/>
    <w:rsid w:val="00787D36"/>
    <w:rsid w:val="007906E1"/>
    <w:rsid w:val="0079144E"/>
    <w:rsid w:val="007922D0"/>
    <w:rsid w:val="007A36A4"/>
    <w:rsid w:val="007A4818"/>
    <w:rsid w:val="007A660B"/>
    <w:rsid w:val="007C008D"/>
    <w:rsid w:val="007C289A"/>
    <w:rsid w:val="007C5CD9"/>
    <w:rsid w:val="007D1739"/>
    <w:rsid w:val="007D2378"/>
    <w:rsid w:val="007D4DC5"/>
    <w:rsid w:val="007D5D86"/>
    <w:rsid w:val="007E2868"/>
    <w:rsid w:val="007F3052"/>
    <w:rsid w:val="00803A24"/>
    <w:rsid w:val="00811ED7"/>
    <w:rsid w:val="00815CB0"/>
    <w:rsid w:val="0082205C"/>
    <w:rsid w:val="00823BA0"/>
    <w:rsid w:val="00833FAB"/>
    <w:rsid w:val="008405AF"/>
    <w:rsid w:val="0085260B"/>
    <w:rsid w:val="00865272"/>
    <w:rsid w:val="00871FF7"/>
    <w:rsid w:val="00877820"/>
    <w:rsid w:val="00880DE3"/>
    <w:rsid w:val="00885EEF"/>
    <w:rsid w:val="00894204"/>
    <w:rsid w:val="00894B70"/>
    <w:rsid w:val="00897018"/>
    <w:rsid w:val="008A2BD7"/>
    <w:rsid w:val="008A35EC"/>
    <w:rsid w:val="008B13BC"/>
    <w:rsid w:val="008B439A"/>
    <w:rsid w:val="008B7139"/>
    <w:rsid w:val="008C03D0"/>
    <w:rsid w:val="008C1FCB"/>
    <w:rsid w:val="008C2974"/>
    <w:rsid w:val="008C2BD9"/>
    <w:rsid w:val="008C6C89"/>
    <w:rsid w:val="008C6E98"/>
    <w:rsid w:val="008C703E"/>
    <w:rsid w:val="008C7D07"/>
    <w:rsid w:val="008D0FC8"/>
    <w:rsid w:val="008D118B"/>
    <w:rsid w:val="008D24CB"/>
    <w:rsid w:val="008D4958"/>
    <w:rsid w:val="008D5494"/>
    <w:rsid w:val="008E07F2"/>
    <w:rsid w:val="008E108D"/>
    <w:rsid w:val="008E1A54"/>
    <w:rsid w:val="008E25A9"/>
    <w:rsid w:val="008E45DB"/>
    <w:rsid w:val="008E5AFB"/>
    <w:rsid w:val="008F1FF0"/>
    <w:rsid w:val="008F721E"/>
    <w:rsid w:val="00903659"/>
    <w:rsid w:val="009114FB"/>
    <w:rsid w:val="00913EDF"/>
    <w:rsid w:val="00922495"/>
    <w:rsid w:val="00922793"/>
    <w:rsid w:val="009261DC"/>
    <w:rsid w:val="009314EA"/>
    <w:rsid w:val="00945408"/>
    <w:rsid w:val="00953E94"/>
    <w:rsid w:val="00955DC3"/>
    <w:rsid w:val="00955F3B"/>
    <w:rsid w:val="009573CC"/>
    <w:rsid w:val="00963FD3"/>
    <w:rsid w:val="00966C34"/>
    <w:rsid w:val="00970FF8"/>
    <w:rsid w:val="0097474F"/>
    <w:rsid w:val="00974A62"/>
    <w:rsid w:val="00976BB4"/>
    <w:rsid w:val="00986E8A"/>
    <w:rsid w:val="00986F75"/>
    <w:rsid w:val="00990AD7"/>
    <w:rsid w:val="00994BEE"/>
    <w:rsid w:val="009A30CB"/>
    <w:rsid w:val="009A55F8"/>
    <w:rsid w:val="009A6AB2"/>
    <w:rsid w:val="009B0A2F"/>
    <w:rsid w:val="009B0EEE"/>
    <w:rsid w:val="009C57A8"/>
    <w:rsid w:val="009C59EC"/>
    <w:rsid w:val="009D28A3"/>
    <w:rsid w:val="009D36FA"/>
    <w:rsid w:val="009D38B0"/>
    <w:rsid w:val="009D68F0"/>
    <w:rsid w:val="009E58AD"/>
    <w:rsid w:val="009E7D09"/>
    <w:rsid w:val="009E7E49"/>
    <w:rsid w:val="009F0584"/>
    <w:rsid w:val="009F2056"/>
    <w:rsid w:val="00A0007B"/>
    <w:rsid w:val="00A00DEA"/>
    <w:rsid w:val="00A05DF7"/>
    <w:rsid w:val="00A06C69"/>
    <w:rsid w:val="00A073DC"/>
    <w:rsid w:val="00A10C08"/>
    <w:rsid w:val="00A13A2E"/>
    <w:rsid w:val="00A1635D"/>
    <w:rsid w:val="00A27797"/>
    <w:rsid w:val="00A533E7"/>
    <w:rsid w:val="00A55250"/>
    <w:rsid w:val="00A57B7B"/>
    <w:rsid w:val="00A600F7"/>
    <w:rsid w:val="00A60DDD"/>
    <w:rsid w:val="00A6498A"/>
    <w:rsid w:val="00A64D0F"/>
    <w:rsid w:val="00A71125"/>
    <w:rsid w:val="00A74B7C"/>
    <w:rsid w:val="00A839C2"/>
    <w:rsid w:val="00A84A4F"/>
    <w:rsid w:val="00A912D6"/>
    <w:rsid w:val="00A91AC6"/>
    <w:rsid w:val="00A97025"/>
    <w:rsid w:val="00AA0A2E"/>
    <w:rsid w:val="00AA40CA"/>
    <w:rsid w:val="00AB14FC"/>
    <w:rsid w:val="00AB37E1"/>
    <w:rsid w:val="00AB606B"/>
    <w:rsid w:val="00AC0443"/>
    <w:rsid w:val="00AC0E96"/>
    <w:rsid w:val="00AC2BBD"/>
    <w:rsid w:val="00AC61FA"/>
    <w:rsid w:val="00AD0C37"/>
    <w:rsid w:val="00AD17A9"/>
    <w:rsid w:val="00AD64AD"/>
    <w:rsid w:val="00AE1A54"/>
    <w:rsid w:val="00AF4A85"/>
    <w:rsid w:val="00AF4E8A"/>
    <w:rsid w:val="00AF520F"/>
    <w:rsid w:val="00AF650E"/>
    <w:rsid w:val="00AF7F3C"/>
    <w:rsid w:val="00B01035"/>
    <w:rsid w:val="00B02FC8"/>
    <w:rsid w:val="00B04F11"/>
    <w:rsid w:val="00B05335"/>
    <w:rsid w:val="00B1040C"/>
    <w:rsid w:val="00B162B4"/>
    <w:rsid w:val="00B21B7B"/>
    <w:rsid w:val="00B22E5C"/>
    <w:rsid w:val="00B22EDA"/>
    <w:rsid w:val="00B4183E"/>
    <w:rsid w:val="00B562EA"/>
    <w:rsid w:val="00B57BDC"/>
    <w:rsid w:val="00B6355A"/>
    <w:rsid w:val="00B723D2"/>
    <w:rsid w:val="00B76564"/>
    <w:rsid w:val="00B85FEA"/>
    <w:rsid w:val="00B87138"/>
    <w:rsid w:val="00B901D3"/>
    <w:rsid w:val="00B95A7F"/>
    <w:rsid w:val="00BA064C"/>
    <w:rsid w:val="00BA0BB2"/>
    <w:rsid w:val="00BA0DB0"/>
    <w:rsid w:val="00BA0E9B"/>
    <w:rsid w:val="00BA2C36"/>
    <w:rsid w:val="00BA42A5"/>
    <w:rsid w:val="00BA5EAD"/>
    <w:rsid w:val="00BA78E4"/>
    <w:rsid w:val="00BB442A"/>
    <w:rsid w:val="00BB57C8"/>
    <w:rsid w:val="00BB5CE4"/>
    <w:rsid w:val="00BD21F3"/>
    <w:rsid w:val="00BD4377"/>
    <w:rsid w:val="00BD47B8"/>
    <w:rsid w:val="00BE0CCA"/>
    <w:rsid w:val="00BE301D"/>
    <w:rsid w:val="00BE7535"/>
    <w:rsid w:val="00BE7E07"/>
    <w:rsid w:val="00BF2C43"/>
    <w:rsid w:val="00BF3D9A"/>
    <w:rsid w:val="00C0130D"/>
    <w:rsid w:val="00C10F3D"/>
    <w:rsid w:val="00C12307"/>
    <w:rsid w:val="00C21223"/>
    <w:rsid w:val="00C26E58"/>
    <w:rsid w:val="00C36D70"/>
    <w:rsid w:val="00C37C8D"/>
    <w:rsid w:val="00C40BE9"/>
    <w:rsid w:val="00C40E80"/>
    <w:rsid w:val="00C44C65"/>
    <w:rsid w:val="00C45D64"/>
    <w:rsid w:val="00C50FF8"/>
    <w:rsid w:val="00C603F4"/>
    <w:rsid w:val="00C61011"/>
    <w:rsid w:val="00C6413B"/>
    <w:rsid w:val="00C66EC4"/>
    <w:rsid w:val="00C73220"/>
    <w:rsid w:val="00C76F88"/>
    <w:rsid w:val="00C77283"/>
    <w:rsid w:val="00C8262C"/>
    <w:rsid w:val="00C8365C"/>
    <w:rsid w:val="00C8590E"/>
    <w:rsid w:val="00C91C4D"/>
    <w:rsid w:val="00CA1C39"/>
    <w:rsid w:val="00CA6D1D"/>
    <w:rsid w:val="00CB00D1"/>
    <w:rsid w:val="00CB0212"/>
    <w:rsid w:val="00CB1C6B"/>
    <w:rsid w:val="00CB3EF2"/>
    <w:rsid w:val="00CB682D"/>
    <w:rsid w:val="00CC5672"/>
    <w:rsid w:val="00CC669B"/>
    <w:rsid w:val="00CD33CC"/>
    <w:rsid w:val="00CD3FAE"/>
    <w:rsid w:val="00CE1CFB"/>
    <w:rsid w:val="00CE3163"/>
    <w:rsid w:val="00CE5BC7"/>
    <w:rsid w:val="00CF4E1B"/>
    <w:rsid w:val="00D03100"/>
    <w:rsid w:val="00D06744"/>
    <w:rsid w:val="00D11E3B"/>
    <w:rsid w:val="00D120EF"/>
    <w:rsid w:val="00D17CEB"/>
    <w:rsid w:val="00D23839"/>
    <w:rsid w:val="00D23BC5"/>
    <w:rsid w:val="00D3258C"/>
    <w:rsid w:val="00D36520"/>
    <w:rsid w:val="00D37492"/>
    <w:rsid w:val="00D56756"/>
    <w:rsid w:val="00D62B45"/>
    <w:rsid w:val="00D80CF8"/>
    <w:rsid w:val="00D87875"/>
    <w:rsid w:val="00D90230"/>
    <w:rsid w:val="00D903F1"/>
    <w:rsid w:val="00D914E2"/>
    <w:rsid w:val="00D93A5C"/>
    <w:rsid w:val="00D972A5"/>
    <w:rsid w:val="00D972AC"/>
    <w:rsid w:val="00DA3912"/>
    <w:rsid w:val="00DB159E"/>
    <w:rsid w:val="00DB2169"/>
    <w:rsid w:val="00DB255E"/>
    <w:rsid w:val="00DB48AC"/>
    <w:rsid w:val="00DB76B9"/>
    <w:rsid w:val="00DC2A0B"/>
    <w:rsid w:val="00DC61B5"/>
    <w:rsid w:val="00DD180D"/>
    <w:rsid w:val="00DD3344"/>
    <w:rsid w:val="00DE1CEB"/>
    <w:rsid w:val="00DE7870"/>
    <w:rsid w:val="00DF1D62"/>
    <w:rsid w:val="00DF4608"/>
    <w:rsid w:val="00E05AD9"/>
    <w:rsid w:val="00E07226"/>
    <w:rsid w:val="00E07EF3"/>
    <w:rsid w:val="00E12751"/>
    <w:rsid w:val="00E138E3"/>
    <w:rsid w:val="00E253F4"/>
    <w:rsid w:val="00E26410"/>
    <w:rsid w:val="00E27158"/>
    <w:rsid w:val="00E27448"/>
    <w:rsid w:val="00E30FA1"/>
    <w:rsid w:val="00E31931"/>
    <w:rsid w:val="00E34C0C"/>
    <w:rsid w:val="00E35A23"/>
    <w:rsid w:val="00E36C25"/>
    <w:rsid w:val="00E4093A"/>
    <w:rsid w:val="00E419A8"/>
    <w:rsid w:val="00E4769D"/>
    <w:rsid w:val="00E53489"/>
    <w:rsid w:val="00E64FAB"/>
    <w:rsid w:val="00E677E7"/>
    <w:rsid w:val="00E70FC7"/>
    <w:rsid w:val="00E7314F"/>
    <w:rsid w:val="00E77497"/>
    <w:rsid w:val="00E87487"/>
    <w:rsid w:val="00E87FD6"/>
    <w:rsid w:val="00E94E4D"/>
    <w:rsid w:val="00E9691C"/>
    <w:rsid w:val="00E97055"/>
    <w:rsid w:val="00EA10B2"/>
    <w:rsid w:val="00EA18F1"/>
    <w:rsid w:val="00EA48C3"/>
    <w:rsid w:val="00EA586C"/>
    <w:rsid w:val="00EA7D1A"/>
    <w:rsid w:val="00EC6D1A"/>
    <w:rsid w:val="00ED5B98"/>
    <w:rsid w:val="00EE144A"/>
    <w:rsid w:val="00EE39B8"/>
    <w:rsid w:val="00EF3814"/>
    <w:rsid w:val="00EF4D34"/>
    <w:rsid w:val="00EF58C6"/>
    <w:rsid w:val="00EF71A1"/>
    <w:rsid w:val="00EF78CD"/>
    <w:rsid w:val="00F02E62"/>
    <w:rsid w:val="00F04684"/>
    <w:rsid w:val="00F07602"/>
    <w:rsid w:val="00F21748"/>
    <w:rsid w:val="00F21E7B"/>
    <w:rsid w:val="00F230AD"/>
    <w:rsid w:val="00F32427"/>
    <w:rsid w:val="00F358C4"/>
    <w:rsid w:val="00F36907"/>
    <w:rsid w:val="00F36D7A"/>
    <w:rsid w:val="00F45F3F"/>
    <w:rsid w:val="00F461D2"/>
    <w:rsid w:val="00F50665"/>
    <w:rsid w:val="00F506C9"/>
    <w:rsid w:val="00F5384F"/>
    <w:rsid w:val="00F76D5D"/>
    <w:rsid w:val="00F874B6"/>
    <w:rsid w:val="00F94843"/>
    <w:rsid w:val="00F94E73"/>
    <w:rsid w:val="00F977E1"/>
    <w:rsid w:val="00FA3AE1"/>
    <w:rsid w:val="00FB019E"/>
    <w:rsid w:val="00FB02EB"/>
    <w:rsid w:val="00FB0886"/>
    <w:rsid w:val="00FB5ED7"/>
    <w:rsid w:val="00FC2B22"/>
    <w:rsid w:val="00FC3030"/>
    <w:rsid w:val="00FD0326"/>
    <w:rsid w:val="00FD3E7D"/>
    <w:rsid w:val="00FD64BE"/>
    <w:rsid w:val="00FD6812"/>
    <w:rsid w:val="00FE1647"/>
    <w:rsid w:val="00FE58E0"/>
    <w:rsid w:val="00FE6A97"/>
    <w:rsid w:val="00FF365B"/>
    <w:rsid w:val="01D27539"/>
    <w:rsid w:val="0226757D"/>
    <w:rsid w:val="05AD01A2"/>
    <w:rsid w:val="067B1F68"/>
    <w:rsid w:val="067D4F0A"/>
    <w:rsid w:val="06FB009A"/>
    <w:rsid w:val="08386350"/>
    <w:rsid w:val="089443C0"/>
    <w:rsid w:val="0899642E"/>
    <w:rsid w:val="09D3700C"/>
    <w:rsid w:val="0A854F27"/>
    <w:rsid w:val="0AFB047C"/>
    <w:rsid w:val="0BC10445"/>
    <w:rsid w:val="0C3225FA"/>
    <w:rsid w:val="0C377E7A"/>
    <w:rsid w:val="0CEC5A7F"/>
    <w:rsid w:val="0DB5085C"/>
    <w:rsid w:val="0DF62F82"/>
    <w:rsid w:val="0E683C22"/>
    <w:rsid w:val="0FB07B9C"/>
    <w:rsid w:val="10196374"/>
    <w:rsid w:val="10D30EAE"/>
    <w:rsid w:val="11AA1ACE"/>
    <w:rsid w:val="12E04DCD"/>
    <w:rsid w:val="135935D6"/>
    <w:rsid w:val="13FB0C28"/>
    <w:rsid w:val="14D90E13"/>
    <w:rsid w:val="14F11FC9"/>
    <w:rsid w:val="159B3E1A"/>
    <w:rsid w:val="16703B36"/>
    <w:rsid w:val="1A121B15"/>
    <w:rsid w:val="1A705D97"/>
    <w:rsid w:val="1AB73371"/>
    <w:rsid w:val="1C9A7229"/>
    <w:rsid w:val="1CC0100F"/>
    <w:rsid w:val="1E0160E9"/>
    <w:rsid w:val="1E7944AD"/>
    <w:rsid w:val="2130184D"/>
    <w:rsid w:val="22FE4807"/>
    <w:rsid w:val="24173428"/>
    <w:rsid w:val="24464020"/>
    <w:rsid w:val="25500D0C"/>
    <w:rsid w:val="25AC47A1"/>
    <w:rsid w:val="26792C1B"/>
    <w:rsid w:val="2693114E"/>
    <w:rsid w:val="26D00413"/>
    <w:rsid w:val="2ACA2539"/>
    <w:rsid w:val="2B811F8F"/>
    <w:rsid w:val="2C2B33B3"/>
    <w:rsid w:val="3047081B"/>
    <w:rsid w:val="3074577D"/>
    <w:rsid w:val="30B475FC"/>
    <w:rsid w:val="30C916D4"/>
    <w:rsid w:val="329A3007"/>
    <w:rsid w:val="32EE1BDC"/>
    <w:rsid w:val="34902E40"/>
    <w:rsid w:val="34EF51D9"/>
    <w:rsid w:val="380E5C48"/>
    <w:rsid w:val="3B076ED3"/>
    <w:rsid w:val="3D8760D1"/>
    <w:rsid w:val="403D05E0"/>
    <w:rsid w:val="40A857DE"/>
    <w:rsid w:val="41263DF8"/>
    <w:rsid w:val="42B85CB1"/>
    <w:rsid w:val="42F10C09"/>
    <w:rsid w:val="43DD7BEB"/>
    <w:rsid w:val="44A6145C"/>
    <w:rsid w:val="45B44489"/>
    <w:rsid w:val="48DB5A48"/>
    <w:rsid w:val="494C10EA"/>
    <w:rsid w:val="4967239C"/>
    <w:rsid w:val="496F3E88"/>
    <w:rsid w:val="497309FF"/>
    <w:rsid w:val="4B8F0599"/>
    <w:rsid w:val="4C781057"/>
    <w:rsid w:val="4E217E6D"/>
    <w:rsid w:val="4E9E78EC"/>
    <w:rsid w:val="4F6F1351"/>
    <w:rsid w:val="525452E2"/>
    <w:rsid w:val="532D63B3"/>
    <w:rsid w:val="54906ED7"/>
    <w:rsid w:val="559B6371"/>
    <w:rsid w:val="567263FC"/>
    <w:rsid w:val="568F26C5"/>
    <w:rsid w:val="5794737C"/>
    <w:rsid w:val="5AF8134E"/>
    <w:rsid w:val="5DFC6825"/>
    <w:rsid w:val="5EDF7C5F"/>
    <w:rsid w:val="5F756330"/>
    <w:rsid w:val="60407D8C"/>
    <w:rsid w:val="60AA5CA4"/>
    <w:rsid w:val="6424610D"/>
    <w:rsid w:val="65D51CB4"/>
    <w:rsid w:val="65EB0636"/>
    <w:rsid w:val="66BC7B6E"/>
    <w:rsid w:val="6ACC306A"/>
    <w:rsid w:val="6B313C18"/>
    <w:rsid w:val="6D4364AC"/>
    <w:rsid w:val="6DC67319"/>
    <w:rsid w:val="6DEA231B"/>
    <w:rsid w:val="6F193645"/>
    <w:rsid w:val="6F69405F"/>
    <w:rsid w:val="6F846D2F"/>
    <w:rsid w:val="704B2836"/>
    <w:rsid w:val="71C05ED6"/>
    <w:rsid w:val="743025FF"/>
    <w:rsid w:val="75157EE9"/>
    <w:rsid w:val="7550601C"/>
    <w:rsid w:val="75C91635"/>
    <w:rsid w:val="76655F38"/>
    <w:rsid w:val="76A267EC"/>
    <w:rsid w:val="76DA6084"/>
    <w:rsid w:val="76EB6545"/>
    <w:rsid w:val="771B542F"/>
    <w:rsid w:val="793F1D64"/>
    <w:rsid w:val="7974571F"/>
    <w:rsid w:val="7CF2165A"/>
    <w:rsid w:val="7D2C6AD6"/>
    <w:rsid w:val="7ECC13FD"/>
    <w:rsid w:val="7F626BA9"/>
    <w:rsid w:val="7FA57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90" w:lineRule="exact"/>
      <w:jc w:val="center"/>
      <w:outlineLvl w:val="0"/>
    </w:pPr>
    <w:rPr>
      <w:rFonts w:eastAsia="方正小标宋_GBK"/>
      <w:bCs/>
      <w:kern w:val="44"/>
      <w:sz w:val="32"/>
      <w:szCs w:val="44"/>
    </w:rPr>
  </w:style>
  <w:style w:type="paragraph" w:styleId="3">
    <w:name w:val="heading 2"/>
    <w:basedOn w:val="1"/>
    <w:next w:val="1"/>
    <w:unhideWhenUsed/>
    <w:qFormat/>
    <w:uiPriority w:val="9"/>
    <w:pPr>
      <w:keepNext/>
      <w:keepLines/>
      <w:spacing w:line="590" w:lineRule="exact"/>
      <w:jc w:val="center"/>
      <w:outlineLvl w:val="1"/>
    </w:pPr>
    <w:rPr>
      <w:rFonts w:eastAsia="方正黑体_GBK" w:asciiTheme="majorHAnsi" w:hAnsiTheme="majorHAnsi" w:cstheme="majorBidi"/>
      <w:b/>
      <w:bCs/>
      <w:sz w:val="30"/>
      <w:szCs w:val="32"/>
    </w:rPr>
  </w:style>
  <w:style w:type="paragraph" w:styleId="4">
    <w:name w:val="heading 3"/>
    <w:basedOn w:val="1"/>
    <w:next w:val="1"/>
    <w:link w:val="25"/>
    <w:unhideWhenUsed/>
    <w:qFormat/>
    <w:uiPriority w:val="9"/>
    <w:pPr>
      <w:keepNext/>
      <w:keepLines/>
      <w:spacing w:line="590" w:lineRule="exact"/>
      <w:outlineLvl w:val="2"/>
    </w:pPr>
    <w:rPr>
      <w:rFonts w:eastAsia="方正楷体简体"/>
      <w:b/>
      <w:bCs/>
      <w:sz w:val="30"/>
      <w:szCs w:val="32"/>
    </w:rPr>
  </w:style>
  <w:style w:type="paragraph" w:styleId="5">
    <w:name w:val="heading 4"/>
    <w:basedOn w:val="1"/>
    <w:next w:val="1"/>
    <w:link w:val="2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ate"/>
    <w:basedOn w:val="1"/>
    <w:next w:val="1"/>
    <w:link w:val="23"/>
    <w:qFormat/>
    <w:uiPriority w:val="0"/>
    <w:pPr>
      <w:ind w:left="100" w:leftChars="2500"/>
    </w:pPr>
  </w:style>
  <w:style w:type="paragraph" w:styleId="8">
    <w:name w:val="Balloon Text"/>
    <w:basedOn w:val="1"/>
    <w:link w:val="26"/>
    <w:semiHidden/>
    <w:unhideWhenUsed/>
    <w:qFormat/>
    <w:uiPriority w:val="0"/>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296"/>
      </w:tabs>
      <w:jc w:val="center"/>
    </w:pPr>
    <w:rPr>
      <w:rFonts w:ascii="方正小标宋_GBK" w:hAnsi="Times New Roman" w:eastAsia="方正小标宋_GBK"/>
      <w:b/>
      <w:sz w:val="36"/>
      <w:szCs w:val="36"/>
    </w:rPr>
  </w:style>
  <w:style w:type="paragraph" w:styleId="12">
    <w:name w:val="toc 2"/>
    <w:basedOn w:val="1"/>
    <w:next w:val="1"/>
    <w:qFormat/>
    <w:uiPriority w:val="39"/>
    <w:pPr>
      <w:ind w:left="420" w:leftChars="200"/>
    </w:pPr>
  </w:style>
  <w:style w:type="table" w:styleId="14">
    <w:name w:val="Table Grid"/>
    <w:basedOn w:val="1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样式 仿宋 三号 行距: 固定值 28 磅 首行缩进:  2 字符"/>
    <w:basedOn w:val="1"/>
    <w:qFormat/>
    <w:uiPriority w:val="0"/>
    <w:pPr>
      <w:spacing w:line="560" w:lineRule="exact"/>
      <w:ind w:firstLine="640" w:firstLineChars="200"/>
    </w:pPr>
    <w:rPr>
      <w:rFonts w:ascii="仿宋" w:hAnsi="仿宋" w:eastAsia="仿宋" w:cs="宋体"/>
      <w:sz w:val="30"/>
      <w:szCs w:val="20"/>
    </w:rPr>
  </w:style>
  <w:style w:type="paragraph" w:styleId="18">
    <w:name w:val="List Paragraph"/>
    <w:basedOn w:val="1"/>
    <w:qFormat/>
    <w:uiPriority w:val="34"/>
    <w:pPr>
      <w:ind w:firstLine="420" w:firstLineChars="200"/>
    </w:pPr>
  </w:style>
  <w:style w:type="paragraph" w:customStyle="1" w:styleId="19">
    <w:name w:val="样式 标题 3 + 黑体"/>
    <w:basedOn w:val="4"/>
    <w:qFormat/>
    <w:uiPriority w:val="0"/>
    <w:rPr>
      <w:rFonts w:ascii="黑体" w:hAnsi="黑体" w:eastAsia="黑体"/>
    </w:rPr>
  </w:style>
  <w:style w:type="character" w:customStyle="1" w:styleId="20">
    <w:name w:val="正文缩进 + 首行缩进:  2 字符 Char Char"/>
    <w:link w:val="21"/>
    <w:qFormat/>
    <w:uiPriority w:val="0"/>
    <w:rPr>
      <w:rFonts w:ascii="宋体" w:cs="宋体"/>
      <w:sz w:val="24"/>
    </w:rPr>
  </w:style>
  <w:style w:type="paragraph" w:customStyle="1" w:styleId="21">
    <w:name w:val="正文缩进 + 首行缩进:  2 字符"/>
    <w:basedOn w:val="6"/>
    <w:link w:val="20"/>
    <w:qFormat/>
    <w:uiPriority w:val="0"/>
    <w:pPr>
      <w:widowControl/>
      <w:spacing w:line="400" w:lineRule="exact"/>
      <w:ind w:firstLine="200"/>
    </w:pPr>
    <w:rPr>
      <w:rFonts w:ascii="宋体" w:hAnsi="Calibri" w:eastAsia="宋体" w:cs="宋体"/>
      <w:kern w:val="0"/>
      <w:sz w:val="24"/>
      <w:szCs w:val="20"/>
    </w:rPr>
  </w:style>
  <w:style w:type="character" w:customStyle="1" w:styleId="22">
    <w:name w:val="页脚 字符"/>
    <w:basedOn w:val="15"/>
    <w:link w:val="9"/>
    <w:qFormat/>
    <w:uiPriority w:val="99"/>
    <w:rPr>
      <w:rFonts w:asciiTheme="minorHAnsi" w:hAnsiTheme="minorHAnsi" w:eastAsiaTheme="minorEastAsia" w:cstheme="minorBidi"/>
      <w:kern w:val="2"/>
      <w:sz w:val="18"/>
      <w:szCs w:val="22"/>
    </w:rPr>
  </w:style>
  <w:style w:type="character" w:customStyle="1" w:styleId="23">
    <w:name w:val="日期 字符"/>
    <w:basedOn w:val="15"/>
    <w:link w:val="7"/>
    <w:qFormat/>
    <w:uiPriority w:val="0"/>
    <w:rPr>
      <w:rFonts w:asciiTheme="minorHAnsi" w:hAnsiTheme="minorHAnsi" w:eastAsiaTheme="minorEastAsia" w:cstheme="minorBidi"/>
      <w:kern w:val="2"/>
      <w:sz w:val="21"/>
      <w:szCs w:val="22"/>
    </w:rPr>
  </w:style>
  <w:style w:type="character" w:customStyle="1" w:styleId="24">
    <w:name w:val="标题 4 字符"/>
    <w:basedOn w:val="15"/>
    <w:link w:val="5"/>
    <w:qFormat/>
    <w:uiPriority w:val="0"/>
    <w:rPr>
      <w:rFonts w:asciiTheme="majorHAnsi" w:hAnsiTheme="majorHAnsi" w:eastAsiaTheme="majorEastAsia" w:cstheme="majorBidi"/>
      <w:b/>
      <w:bCs/>
      <w:kern w:val="2"/>
      <w:sz w:val="28"/>
      <w:szCs w:val="28"/>
    </w:rPr>
  </w:style>
  <w:style w:type="character" w:customStyle="1" w:styleId="25">
    <w:name w:val="标题 3 字符"/>
    <w:link w:val="4"/>
    <w:qFormat/>
    <w:uiPriority w:val="9"/>
    <w:rPr>
      <w:rFonts w:eastAsia="方正楷体简体" w:asciiTheme="minorHAnsi" w:hAnsiTheme="minorHAnsi" w:cstheme="minorBidi"/>
      <w:b/>
      <w:bCs/>
      <w:kern w:val="2"/>
      <w:sz w:val="30"/>
      <w:szCs w:val="32"/>
    </w:rPr>
  </w:style>
  <w:style w:type="character" w:customStyle="1" w:styleId="26">
    <w:name w:val="批注框文本 字符"/>
    <w:basedOn w:val="15"/>
    <w:link w:val="8"/>
    <w:semiHidden/>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42E62-5DB6-4A42-AB07-B1C200E91A51}">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9619</Words>
  <Characters>9790</Characters>
  <Lines>73</Lines>
  <Paragraphs>20</Paragraphs>
  <TotalTime>192</TotalTime>
  <ScaleCrop>false</ScaleCrop>
  <LinksUpToDate>false</LinksUpToDate>
  <CharactersWithSpaces>9839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2022-12-08T07:47:00Z</dcterms:created>
  <dc:creator>Administrator</dc:creator>
  <cp:lastModifiedBy>WPS_1577147775</cp:lastModifiedBy>
  <cp:lastPrinted>2023-01-12T01:39:00Z</cp:lastPrinted>
  <dcterms:modified xsi:type="dcterms:W3CDTF">2024-08-01T02:50:31Z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BCD2E3FE33734AC7BC3822746A7FD4C9_13</vt:lpwstr>
  </property>
</Properties>
</file>