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B9498">
      <w:pPr>
        <w:spacing w:line="440" w:lineRule="exact"/>
        <w:jc w:val="center"/>
        <w:rPr>
          <w:rFonts w:hint="default"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曲靖市福邦酒店有限公司福朔商务楼项目建设工程设计方案调整批前公示</w:t>
      </w:r>
    </w:p>
    <w:p w14:paraId="2CC666F0">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14:paraId="2F818E97">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曲靖市福邦酒店有限公司福朔商务楼项目建设工程设计方案调整</w:t>
      </w:r>
      <w:r>
        <w:rPr>
          <w:rFonts w:hint="eastAsia" w:ascii="仿宋" w:hAnsi="仿宋" w:eastAsia="仿宋" w:cs="宋体"/>
          <w:color w:val="000000"/>
          <w:kern w:val="0"/>
          <w:sz w:val="32"/>
          <w:szCs w:val="32"/>
          <w:lang w:val="en-US" w:eastAsia="zh-CN"/>
        </w:rPr>
        <w:t>已经属地自然资源部门审查，符合当地规划技术指标要求，经曲靖市自然资源和规划局2024年第十六次专题分析会研究，拟同意该项目办理规划手续，按照有关规定，现将该项目规划予以批前公示。</w:t>
      </w:r>
    </w:p>
    <w:p w14:paraId="47426469">
      <w:pPr>
        <w:keepNext w:val="0"/>
        <w:keepLines w:val="0"/>
        <w:pageBreakBefore w:val="0"/>
        <w:widowControl w:val="0"/>
        <w:kinsoku/>
        <w:wordWrap/>
        <w:overflowPunct/>
        <w:topLinePunct w:val="0"/>
        <w:autoSpaceDE/>
        <w:autoSpaceDN/>
        <w:bidi w:val="0"/>
        <w:adjustRightInd/>
        <w:snapToGrid/>
        <w:spacing w:line="52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曲靖市福邦酒店有限公司福朔商务楼项目建设工程设计方案调整</w:t>
      </w:r>
    </w:p>
    <w:p w14:paraId="3BC25BD6">
      <w:pPr>
        <w:keepNext w:val="0"/>
        <w:keepLines w:val="0"/>
        <w:pageBreakBefore w:val="0"/>
        <w:widowControl w:val="0"/>
        <w:kinsoku/>
        <w:wordWrap/>
        <w:overflowPunct/>
        <w:topLinePunct w:val="0"/>
        <w:autoSpaceDE/>
        <w:autoSpaceDN/>
        <w:bidi w:val="0"/>
        <w:adjustRightInd/>
        <w:snapToGrid/>
        <w:spacing w:line="52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bCs/>
          <w:color w:val="000000"/>
          <w:kern w:val="0"/>
          <w:sz w:val="32"/>
          <w:szCs w:val="32"/>
          <w:u w:val="single"/>
          <w:lang w:val="en-US" w:eastAsia="zh-CN"/>
        </w:rPr>
        <w:t>曲靖市福邦酒店有限公司</w:t>
      </w:r>
    </w:p>
    <w:p w14:paraId="36DD6C6D">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项目位置：</w:t>
      </w:r>
      <w:r>
        <w:rPr>
          <w:rFonts w:hint="eastAsia" w:ascii="仿宋" w:hAnsi="仿宋" w:eastAsia="仿宋" w:cs="宋体"/>
          <w:b/>
          <w:bCs/>
          <w:color w:val="000000"/>
          <w:kern w:val="0"/>
          <w:sz w:val="32"/>
          <w:szCs w:val="32"/>
          <w:u w:val="single"/>
          <w:lang w:val="en-US" w:eastAsia="zh-CN"/>
        </w:rPr>
        <w:t>文笔路以北，银屯路东侧</w:t>
      </w:r>
    </w:p>
    <w:p w14:paraId="115E6B51">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Times New Roman" w:hAnsi="Times New Roman" w:eastAsia="方正仿宋_GBK" w:cs="Times New Roman"/>
          <w:kern w:val="2"/>
          <w:sz w:val="32"/>
          <w:szCs w:val="32"/>
          <w:lang w:val="en-US" w:eastAsia="zh-CN" w:bidi="ar-SA"/>
        </w:rPr>
        <w:t>总建筑面积由28265.95㎡调整为28750.27㎡，地上计容建筑面积由19475.21㎡调整为19439.52㎡，地下不计容建筑面积由8790.74㎡调整为9310.75㎡，建筑密度由32.49%调整为31.22%，容积率，绿地率、机动车位个数和非机动车位个数与原审批一致。现调整方案较原审批方案，总建筑面积增加484.32㎡，地上计容建筑面积减少35.69㎡，地下不计容建筑面积增加520.01㎡，建筑密度减少1.27%</w:t>
      </w:r>
      <w:r>
        <w:rPr>
          <w:rFonts w:hint="eastAsia" w:ascii="Times New Roman" w:hAnsi="Times New Roman" w:cs="Times New Roman"/>
          <w:kern w:val="2"/>
          <w:sz w:val="32"/>
          <w:szCs w:val="32"/>
          <w:lang w:val="en-US" w:eastAsia="zh-CN" w:bidi="ar-SA"/>
        </w:rPr>
        <w:t>。</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：2024年11月20日至28日（7个工作日）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附件：1.规划总平面图对比</w:t>
      </w:r>
    </w:p>
    <w:p w14:paraId="0AE69352">
      <w:pPr>
        <w:keepNext w:val="0"/>
        <w:keepLines w:val="0"/>
        <w:pageBreakBefore w:val="0"/>
        <w:widowControl w:val="0"/>
        <w:kinsoku/>
        <w:wordWrap/>
        <w:overflowPunct/>
        <w:topLinePunct w:val="0"/>
        <w:autoSpaceDE/>
        <w:autoSpaceDN/>
        <w:bidi w:val="0"/>
        <w:adjustRightInd/>
        <w:snapToGrid/>
        <w:spacing w:line="520" w:lineRule="exact"/>
        <w:ind w:firstLine="960" w:firstLineChars="300"/>
        <w:jc w:val="both"/>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2.新增地下三层</w:t>
      </w:r>
    </w:p>
    <w:p w14:paraId="78A48AD4">
      <w:pPr>
        <w:keepNext w:val="0"/>
        <w:keepLines w:val="0"/>
        <w:pageBreakBefore w:val="0"/>
        <w:widowControl w:val="0"/>
        <w:kinsoku/>
        <w:wordWrap/>
        <w:overflowPunct/>
        <w:topLinePunct w:val="0"/>
        <w:autoSpaceDE/>
        <w:autoSpaceDN/>
        <w:bidi w:val="0"/>
        <w:adjustRightInd/>
        <w:snapToGrid/>
        <w:spacing w:line="520" w:lineRule="exact"/>
        <w:ind w:firstLine="960" w:firstLineChars="3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3.经济技术指标表对比</w:t>
      </w:r>
    </w:p>
    <w:p w14:paraId="0486A489">
      <w:pPr>
        <w:keepNext w:val="0"/>
        <w:keepLines w:val="0"/>
        <w:pageBreakBefore w:val="0"/>
        <w:widowControl w:val="0"/>
        <w:kinsoku/>
        <w:wordWrap/>
        <w:overflowPunct/>
        <w:topLinePunct w:val="0"/>
        <w:autoSpaceDE/>
        <w:autoSpaceDN/>
        <w:bidi w:val="0"/>
        <w:adjustRightInd/>
        <w:snapToGrid/>
        <w:spacing w:line="520" w:lineRule="exact"/>
        <w:ind w:firstLine="960" w:firstLineChars="3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4.效果图对比</w:t>
      </w:r>
    </w:p>
    <w:p w14:paraId="3FDF0BF6">
      <w:pPr>
        <w:keepNext w:val="0"/>
        <w:keepLines w:val="0"/>
        <w:pageBreakBefore w:val="0"/>
        <w:widowControl w:val="0"/>
        <w:kinsoku/>
        <w:wordWrap/>
        <w:overflowPunct/>
        <w:topLinePunct w:val="0"/>
        <w:autoSpaceDE/>
        <w:autoSpaceDN/>
        <w:bidi w:val="0"/>
        <w:adjustRightInd/>
        <w:snapToGrid/>
        <w:spacing w:line="520" w:lineRule="exact"/>
        <w:ind w:firstLine="960" w:firstLineChars="3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color w:val="000000"/>
          <w:kern w:val="0"/>
          <w:sz w:val="32"/>
          <w:szCs w:val="32"/>
          <w:lang w:val="en-US" w:eastAsia="zh-CN"/>
        </w:rPr>
        <w:t>5.调整后方案效果图</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14:paraId="0F7897E9">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 曲靖市麒麟区自然资源局</w:t>
      </w:r>
    </w:p>
    <w:p w14:paraId="40F89521">
      <w:pPr>
        <w:keepNext w:val="0"/>
        <w:keepLines w:val="0"/>
        <w:pageBreakBefore w:val="0"/>
        <w:kinsoku/>
        <w:wordWrap w:val="0"/>
        <w:overflowPunct/>
        <w:topLinePunct w:val="0"/>
        <w:autoSpaceDE/>
        <w:autoSpaceDN/>
        <w:bidi w:val="0"/>
        <w:adjustRightInd/>
        <w:snapToGrid/>
        <w:spacing w:line="440" w:lineRule="exact"/>
        <w:jc w:val="right"/>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2024年11月20日   </w:t>
      </w:r>
    </w:p>
    <w:p w14:paraId="3C0B10B2">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25B684C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47324BC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442CF64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0C468E7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53E02D4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7A5BB36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5375D54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1B2B277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5D6A204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4CDAE9C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16D15FD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03F6FA7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5730372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78AEB89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lang w:val="en-US"/>
        </w:rPr>
      </w:pPr>
      <w:r>
        <w:rPr>
          <w:rFonts w:hint="eastAsia" w:ascii="仿宋" w:hAnsi="仿宋" w:eastAsia="仿宋" w:cs="宋体"/>
          <w:color w:val="000000"/>
          <w:kern w:val="0"/>
          <w:sz w:val="32"/>
          <w:szCs w:val="32"/>
          <w:lang w:val="en-US" w:eastAsia="zh-CN"/>
        </w:rPr>
        <w:t>附件1 规划总平面图对比</w:t>
      </w:r>
    </w:p>
    <w:p w14:paraId="4A72D878">
      <w:pPr>
        <w:shd w:val="clear"/>
        <w:rPr>
          <w:rFonts w:hint="eastAsia" w:eastAsiaTheme="minorEastAsia"/>
          <w:lang w:eastAsia="zh-CN"/>
        </w:rPr>
      </w:pPr>
    </w:p>
    <w:p w14:paraId="49FE5E21">
      <w:pPr>
        <w:shd w:val="clear"/>
        <w:jc w:val="both"/>
        <w:rPr>
          <w:rFonts w:hint="eastAsia" w:eastAsiaTheme="minorEastAsia"/>
          <w:lang w:eastAsia="zh-CN"/>
        </w:rPr>
      </w:pPr>
      <w:r>
        <w:drawing>
          <wp:inline distT="0" distB="0" distL="114300" distR="114300">
            <wp:extent cx="5266690" cy="3051175"/>
            <wp:effectExtent l="0" t="0" r="10160"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5266690" cy="3051175"/>
                    </a:xfrm>
                    <a:prstGeom prst="rect">
                      <a:avLst/>
                    </a:prstGeom>
                    <a:noFill/>
                    <a:ln>
                      <a:noFill/>
                    </a:ln>
                  </pic:spPr>
                </pic:pic>
              </a:graphicData>
            </a:graphic>
          </wp:inline>
        </w:drawing>
      </w:r>
    </w:p>
    <w:p w14:paraId="5B5BFA13">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（1）1号位置原审批绿地调整为消防回车场；</w:t>
      </w:r>
    </w:p>
    <w:p w14:paraId="705614A7">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（2）2号位置室外非机动车充电区面积由原审批的66.66㎡调整为405.05㎡；</w:t>
      </w:r>
    </w:p>
    <w:p w14:paraId="328D2F37">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（3）3号位置和4号位置建筑内部部分功能调整；</w:t>
      </w:r>
    </w:p>
    <w:p w14:paraId="23BDBAF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（4）5号位置景观绿地标高调整；</w:t>
      </w:r>
    </w:p>
    <w:p w14:paraId="36492018">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（5）增加树型柱；</w:t>
      </w:r>
    </w:p>
    <w:p w14:paraId="0561DA32">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（6）增加结构支撑柱；</w:t>
      </w:r>
    </w:p>
    <w:p w14:paraId="25DDDEA3">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（7）地下室层数由原审批的2层调整为3层，地下室功能布局调整。</w:t>
      </w:r>
    </w:p>
    <w:p w14:paraId="4064BA48">
      <w:pPr>
        <w:shd w:val="clear"/>
        <w:rPr>
          <w:rFonts w:hint="eastAsia" w:eastAsiaTheme="minorEastAsia"/>
          <w:lang w:eastAsia="zh-CN"/>
        </w:rPr>
      </w:pPr>
    </w:p>
    <w:p w14:paraId="2790CF98">
      <w:pPr>
        <w:shd w:val="clear"/>
        <w:rPr>
          <w:rFonts w:hint="eastAsia" w:eastAsiaTheme="minorEastAsia"/>
          <w:lang w:eastAsia="zh-CN"/>
        </w:rPr>
      </w:pPr>
    </w:p>
    <w:p w14:paraId="3B997540">
      <w:pPr>
        <w:shd w:val="clear"/>
        <w:rPr>
          <w:rFonts w:hint="eastAsia" w:eastAsiaTheme="minorEastAsia"/>
          <w:lang w:eastAsia="zh-CN"/>
        </w:rPr>
      </w:pPr>
    </w:p>
    <w:p w14:paraId="6DAAAE9D">
      <w:pPr>
        <w:shd w:val="clear"/>
        <w:rPr>
          <w:rFonts w:hint="eastAsia" w:eastAsiaTheme="minorEastAsia"/>
          <w:lang w:eastAsia="zh-CN"/>
        </w:rPr>
      </w:pPr>
    </w:p>
    <w:p w14:paraId="6E216251">
      <w:pPr>
        <w:shd w:val="clear"/>
        <w:rPr>
          <w:rFonts w:hint="eastAsia" w:eastAsiaTheme="minorEastAsia"/>
          <w:lang w:eastAsia="zh-CN"/>
        </w:rPr>
      </w:pPr>
    </w:p>
    <w:p w14:paraId="699A4F19">
      <w:pPr>
        <w:shd w:val="clear"/>
        <w:rPr>
          <w:rFonts w:hint="eastAsia" w:eastAsiaTheme="minorEastAsia"/>
          <w:lang w:eastAsia="zh-CN"/>
        </w:rPr>
      </w:pPr>
    </w:p>
    <w:p w14:paraId="4291D7BB">
      <w:pPr>
        <w:shd w:val="clear"/>
        <w:jc w:val="center"/>
        <w:rPr>
          <w:rFonts w:hint="eastAsia" w:eastAsiaTheme="minorEastAsia"/>
          <w:lang w:eastAsia="zh-CN"/>
        </w:rPr>
      </w:pPr>
    </w:p>
    <w:p w14:paraId="76C3E425">
      <w:pPr>
        <w:shd w:val="clear"/>
        <w:jc w:val="center"/>
        <w:rPr>
          <w:rFonts w:hint="eastAsia" w:eastAsiaTheme="minorEastAsia"/>
          <w:lang w:eastAsia="zh-CN"/>
        </w:rPr>
      </w:pPr>
    </w:p>
    <w:p w14:paraId="32C3F965">
      <w:pPr>
        <w:shd w:val="clear"/>
        <w:jc w:val="center"/>
        <w:rPr>
          <w:rFonts w:hint="eastAsia" w:eastAsiaTheme="minorEastAsia"/>
          <w:lang w:eastAsia="zh-CN"/>
        </w:rPr>
      </w:pPr>
    </w:p>
    <w:p w14:paraId="2D5CC542">
      <w:pPr>
        <w:shd w:val="clear"/>
        <w:jc w:val="center"/>
        <w:rPr>
          <w:rFonts w:hint="eastAsia" w:eastAsiaTheme="minorEastAsia"/>
          <w:lang w:eastAsia="zh-CN"/>
        </w:rPr>
      </w:pPr>
    </w:p>
    <w:p w14:paraId="746C7E8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 新</w:t>
      </w:r>
      <w:bookmarkStart w:id="0" w:name="_GoBack"/>
      <w:bookmarkEnd w:id="0"/>
      <w:r>
        <w:rPr>
          <w:rFonts w:hint="eastAsia" w:ascii="仿宋" w:hAnsi="仿宋" w:eastAsia="仿宋" w:cs="宋体"/>
          <w:color w:val="000000"/>
          <w:kern w:val="0"/>
          <w:sz w:val="32"/>
          <w:szCs w:val="32"/>
          <w:lang w:val="en-US" w:eastAsia="zh-CN"/>
        </w:rPr>
        <w:t>增地下三层</w:t>
      </w:r>
    </w:p>
    <w:p w14:paraId="551D44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drawing>
          <wp:inline distT="0" distB="0" distL="114300" distR="114300">
            <wp:extent cx="5665470" cy="5904230"/>
            <wp:effectExtent l="0" t="0" r="0" b="0"/>
            <wp:docPr id="11" name="图片 1" descr="G:/2024/福朔商务楼/0603/0821/0909/PDF/0912/pdf/-3F.jpg-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G:/2024/福朔商务楼/0603/0821/0909/PDF/0912/pdf/-3F.jpg-3F"/>
                    <pic:cNvPicPr>
                      <a:picLocks noChangeAspect="1"/>
                    </pic:cNvPicPr>
                  </pic:nvPicPr>
                  <pic:blipFill>
                    <a:blip r:embed="rId5"/>
                    <a:srcRect l="1474" r="1474" b="3478"/>
                    <a:stretch>
                      <a:fillRect/>
                    </a:stretch>
                  </pic:blipFill>
                  <pic:spPr>
                    <a:xfrm>
                      <a:off x="0" y="0"/>
                      <a:ext cx="5665470" cy="5904230"/>
                    </a:xfrm>
                    <a:prstGeom prst="rect">
                      <a:avLst/>
                    </a:prstGeom>
                    <a:ln>
                      <a:solidFill>
                        <a:schemeClr val="tx1"/>
                      </a:solidFill>
                    </a:ln>
                  </pic:spPr>
                </pic:pic>
              </a:graphicData>
            </a:graphic>
          </wp:inline>
        </w:drawing>
      </w:r>
    </w:p>
    <w:p w14:paraId="1D4C44A2">
      <w:pPr>
        <w:shd w:val="clear"/>
        <w:rPr>
          <w:rFonts w:hint="eastAsia" w:eastAsiaTheme="minorEastAsia"/>
          <w:lang w:eastAsia="zh-CN"/>
        </w:rPr>
      </w:pPr>
    </w:p>
    <w:p w14:paraId="2A5AB093">
      <w:pPr>
        <w:shd w:val="clear"/>
        <w:rPr>
          <w:rFonts w:hint="eastAsia" w:eastAsiaTheme="minorEastAsia"/>
          <w:lang w:eastAsia="zh-CN"/>
        </w:rPr>
      </w:pPr>
    </w:p>
    <w:p w14:paraId="1C29E030">
      <w:pPr>
        <w:shd w:val="clear"/>
        <w:rPr>
          <w:rFonts w:hint="eastAsia" w:eastAsiaTheme="minorEastAsia"/>
          <w:lang w:eastAsia="zh-CN"/>
        </w:rPr>
      </w:pPr>
    </w:p>
    <w:p w14:paraId="061DB930">
      <w:pPr>
        <w:shd w:val="clear"/>
        <w:rPr>
          <w:rFonts w:hint="eastAsia" w:eastAsiaTheme="minorEastAsia"/>
          <w:lang w:eastAsia="zh-CN"/>
        </w:rPr>
      </w:pPr>
    </w:p>
    <w:p w14:paraId="03DEC0DE">
      <w:pPr>
        <w:shd w:val="clear"/>
        <w:rPr>
          <w:rFonts w:hint="eastAsia" w:eastAsiaTheme="minorEastAsia"/>
          <w:lang w:eastAsia="zh-CN"/>
        </w:rPr>
      </w:pPr>
    </w:p>
    <w:p w14:paraId="439F9D20">
      <w:pPr>
        <w:shd w:val="clear"/>
        <w:rPr>
          <w:rFonts w:hint="eastAsia" w:eastAsiaTheme="minorEastAsia"/>
          <w:lang w:eastAsia="zh-CN"/>
        </w:rPr>
      </w:pPr>
    </w:p>
    <w:p w14:paraId="67F9A96D">
      <w:pPr>
        <w:shd w:val="clear"/>
        <w:rPr>
          <w:rFonts w:hint="eastAsia" w:eastAsiaTheme="minorEastAsia"/>
          <w:lang w:eastAsia="zh-CN"/>
        </w:rPr>
      </w:pPr>
    </w:p>
    <w:p w14:paraId="525CD2D4">
      <w:pPr>
        <w:shd w:val="clear"/>
        <w:rPr>
          <w:rFonts w:hint="eastAsia" w:eastAsiaTheme="minorEastAsia"/>
          <w:lang w:eastAsia="zh-CN"/>
        </w:rPr>
      </w:pPr>
    </w:p>
    <w:p w14:paraId="68E7542F">
      <w:pPr>
        <w:shd w:val="clear"/>
        <w:rPr>
          <w:rFonts w:hint="eastAsia" w:eastAsiaTheme="minorEastAsia"/>
          <w:lang w:eastAsia="zh-CN"/>
        </w:rPr>
      </w:pPr>
    </w:p>
    <w:p w14:paraId="2A10979D">
      <w:pPr>
        <w:shd w:val="clear"/>
        <w:rPr>
          <w:rFonts w:hint="eastAsia" w:eastAsiaTheme="minorEastAsia"/>
          <w:lang w:eastAsia="zh-CN"/>
        </w:rPr>
      </w:pPr>
    </w:p>
    <w:p w14:paraId="397789BE">
      <w:pPr>
        <w:shd w:val="clear"/>
        <w:rPr>
          <w:rFonts w:hint="eastAsia" w:eastAsiaTheme="minorEastAsia"/>
          <w:lang w:eastAsia="zh-CN"/>
        </w:rPr>
      </w:pPr>
    </w:p>
    <w:p w14:paraId="0A3FFCED">
      <w:pPr>
        <w:shd w:val="clear"/>
        <w:rPr>
          <w:rFonts w:hint="eastAsia" w:eastAsiaTheme="minorEastAsia"/>
          <w:lang w:eastAsia="zh-CN"/>
        </w:rPr>
      </w:pPr>
    </w:p>
    <w:p w14:paraId="441AFFC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附件3 经济技术指表对比</w:t>
      </w:r>
    </w:p>
    <w:p w14:paraId="60DE9AD7">
      <w:pPr>
        <w:shd w:val="clear"/>
        <w:rPr>
          <w:rFonts w:hint="eastAsia" w:ascii="仿宋" w:hAnsi="仿宋" w:eastAsia="仿宋" w:cs="宋体"/>
          <w:color w:val="000000"/>
          <w:kern w:val="0"/>
          <w:sz w:val="32"/>
          <w:szCs w:val="32"/>
          <w:lang w:val="en-US" w:eastAsia="zh-CN"/>
        </w:rPr>
      </w:pPr>
      <w:r>
        <w:drawing>
          <wp:inline distT="0" distB="0" distL="114300" distR="114300">
            <wp:extent cx="5274310" cy="3967480"/>
            <wp:effectExtent l="0" t="0" r="254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5274310" cy="3967480"/>
                    </a:xfrm>
                    <a:prstGeom prst="rect">
                      <a:avLst/>
                    </a:prstGeom>
                    <a:noFill/>
                    <a:ln>
                      <a:noFill/>
                    </a:ln>
                  </pic:spPr>
                </pic:pic>
              </a:graphicData>
            </a:graphic>
          </wp:inline>
        </w:drawing>
      </w:r>
    </w:p>
    <w:p w14:paraId="3718730D">
      <w:pPr>
        <w:jc w:val="both"/>
      </w:pPr>
    </w:p>
    <w:p w14:paraId="1E6BA89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附件4 效果图对比</w:t>
      </w:r>
    </w:p>
    <w:p w14:paraId="1B021672">
      <w:pPr>
        <w:jc w:val="both"/>
        <w:rPr>
          <w:rFonts w:hint="default" w:ascii="仿宋" w:hAnsi="仿宋" w:eastAsia="仿宋" w:cs="宋体"/>
          <w:color w:val="000000"/>
          <w:kern w:val="0"/>
          <w:sz w:val="32"/>
          <w:szCs w:val="32"/>
          <w:lang w:val="en-US" w:eastAsia="zh-CN"/>
        </w:rPr>
      </w:pPr>
      <w:r>
        <w:drawing>
          <wp:inline distT="0" distB="0" distL="114300" distR="114300">
            <wp:extent cx="5271135" cy="3420745"/>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rcRect t="792"/>
                    <a:stretch>
                      <a:fillRect/>
                    </a:stretch>
                  </pic:blipFill>
                  <pic:spPr>
                    <a:xfrm>
                      <a:off x="0" y="0"/>
                      <a:ext cx="5271135" cy="3420745"/>
                    </a:xfrm>
                    <a:prstGeom prst="rect">
                      <a:avLst/>
                    </a:prstGeom>
                    <a:noFill/>
                    <a:ln>
                      <a:noFill/>
                    </a:ln>
                  </pic:spPr>
                </pic:pic>
              </a:graphicData>
            </a:graphic>
          </wp:inline>
        </w:drawing>
      </w:r>
    </w:p>
    <w:p w14:paraId="5414849A">
      <w:pPr>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附件5 调整后方案效果图</w:t>
      </w:r>
    </w:p>
    <w:p w14:paraId="5B4E9019">
      <w:pPr>
        <w:jc w:val="both"/>
      </w:pPr>
      <w:r>
        <w:drawing>
          <wp:inline distT="0" distB="0" distL="114300" distR="114300">
            <wp:extent cx="5219700" cy="3915410"/>
            <wp:effectExtent l="0" t="0" r="0" b="8890"/>
            <wp:docPr id="3" name="图片 2" descr="F:/桌面项目 8.14/2024年项目/福邦酒店调规/福朔商务楼--公示图片/福朔商务楼--公示图片/50fd9e9fd034cf12b91511a40ac9478.jpg50fd9e9fd034cf12b91511a40ac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桌面项目 8.14/2024年项目/福邦酒店调规/福朔商务楼--公示图片/福朔商务楼--公示图片/50fd9e9fd034cf12b91511a40ac9478.jpg50fd9e9fd034cf12b91511a40ac9478"/>
                    <pic:cNvPicPr>
                      <a:picLocks noChangeAspect="1"/>
                    </pic:cNvPicPr>
                  </pic:nvPicPr>
                  <pic:blipFill>
                    <a:blip r:embed="rId8"/>
                    <a:srcRect l="16" r="16"/>
                    <a:stretch>
                      <a:fillRect/>
                    </a:stretch>
                  </pic:blipFill>
                  <pic:spPr>
                    <a:xfrm>
                      <a:off x="0" y="0"/>
                      <a:ext cx="5219700" cy="3915410"/>
                    </a:xfrm>
                    <a:prstGeom prst="rect">
                      <a:avLst/>
                    </a:prstGeom>
                  </pic:spPr>
                </pic:pic>
              </a:graphicData>
            </a:graphic>
          </wp:inline>
        </w:drawing>
      </w:r>
    </w:p>
    <w:p w14:paraId="548D0024">
      <w:pPr>
        <w:jc w:val="both"/>
      </w:pPr>
      <w:r>
        <w:drawing>
          <wp:inline distT="0" distB="0" distL="114300" distR="114300">
            <wp:extent cx="5218430" cy="3913505"/>
            <wp:effectExtent l="0" t="0" r="1270" b="10795"/>
            <wp:docPr id="6" name="图片 5" descr="F:/桌面项目 8.14/2024年项目/福邦酒店调规/福朔商务楼--公示图片/福朔商务楼--公示图片/12c9cccd3174244b74fb8f217b2e792.jpg12c9cccd3174244b74fb8f217b2e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桌面项目 8.14/2024年项目/福邦酒店调规/福朔商务楼--公示图片/福朔商务楼--公示图片/12c9cccd3174244b74fb8f217b2e792.jpg12c9cccd3174244b74fb8f217b2e792"/>
                    <pic:cNvPicPr>
                      <a:picLocks noChangeAspect="1"/>
                    </pic:cNvPicPr>
                  </pic:nvPicPr>
                  <pic:blipFill>
                    <a:blip r:embed="rId9"/>
                    <a:srcRect t="6" b="6"/>
                    <a:stretch>
                      <a:fillRect/>
                    </a:stretch>
                  </pic:blipFill>
                  <pic:spPr>
                    <a:xfrm>
                      <a:off x="0" y="0"/>
                      <a:ext cx="5218430" cy="3913505"/>
                    </a:xfrm>
                    <a:prstGeom prst="rect">
                      <a:avLst/>
                    </a:prstGeom>
                  </pic:spPr>
                </pic:pic>
              </a:graphicData>
            </a:graphic>
          </wp:inline>
        </w:drawing>
      </w:r>
    </w:p>
    <w:p w14:paraId="0E2B5EFA">
      <w:pPr>
        <w:jc w:val="both"/>
      </w:pPr>
    </w:p>
    <w:p w14:paraId="0E9FF8EE">
      <w:pPr>
        <w:jc w:val="both"/>
      </w:pPr>
    </w:p>
    <w:p w14:paraId="58A40322">
      <w:pPr>
        <w:jc w:val="both"/>
        <w:rPr>
          <w:rFonts w:hint="default"/>
          <w:lang w:val="en-US" w:eastAsia="zh-CN"/>
        </w:rPr>
      </w:pPr>
      <w:r>
        <w:drawing>
          <wp:inline distT="0" distB="0" distL="114300" distR="114300">
            <wp:extent cx="5167630" cy="6461125"/>
            <wp:effectExtent l="0" t="0" r="13970" b="15875"/>
            <wp:docPr id="2" name="图片 1" descr="F:/桌面项目 8.14/2024年项目/福邦酒店调规/福朔商务楼--公示图片/福朔商务楼--公示图片/544b6de8e1eaf2347be95bbceedeaa0.jpg544b6de8e1eaf2347be95bbceede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桌面项目 8.14/2024年项目/福邦酒店调规/福朔商务楼--公示图片/福朔商务楼--公示图片/544b6de8e1eaf2347be95bbceedeaa0.jpg544b6de8e1eaf2347be95bbceedeaa0"/>
                    <pic:cNvPicPr>
                      <a:picLocks noChangeAspect="1"/>
                    </pic:cNvPicPr>
                  </pic:nvPicPr>
                  <pic:blipFill>
                    <a:blip r:embed="rId10"/>
                    <a:srcRect l="15" r="15"/>
                    <a:stretch>
                      <a:fillRect/>
                    </a:stretch>
                  </pic:blipFill>
                  <pic:spPr>
                    <a:xfrm>
                      <a:off x="0" y="0"/>
                      <a:ext cx="5167630" cy="64611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1ZGEzYjhmZDlkNGU0Y2NkMGQ2MDE5NzQ1MzJlNDAifQ=="/>
    <w:docVar w:name="KSO_WPS_MARK_KEY" w:val="b0957b1a-9431-4949-bf1e-c484317e1821"/>
  </w:docVars>
  <w:rsids>
    <w:rsidRoot w:val="689C49DC"/>
    <w:rsid w:val="003F007A"/>
    <w:rsid w:val="0097577D"/>
    <w:rsid w:val="00C44C44"/>
    <w:rsid w:val="01960D43"/>
    <w:rsid w:val="01D45748"/>
    <w:rsid w:val="01F73B1B"/>
    <w:rsid w:val="02D77D9B"/>
    <w:rsid w:val="031413F0"/>
    <w:rsid w:val="052A6AD1"/>
    <w:rsid w:val="061705E2"/>
    <w:rsid w:val="071F2612"/>
    <w:rsid w:val="07431B12"/>
    <w:rsid w:val="097C2D95"/>
    <w:rsid w:val="09CD3B43"/>
    <w:rsid w:val="0AE0504E"/>
    <w:rsid w:val="0B375B18"/>
    <w:rsid w:val="0BCF59FE"/>
    <w:rsid w:val="0C5B7E66"/>
    <w:rsid w:val="0CC05AB7"/>
    <w:rsid w:val="0CCB51C9"/>
    <w:rsid w:val="0DE74598"/>
    <w:rsid w:val="0EC00531"/>
    <w:rsid w:val="0EE2239D"/>
    <w:rsid w:val="0F770A50"/>
    <w:rsid w:val="0FEF7661"/>
    <w:rsid w:val="102F1A55"/>
    <w:rsid w:val="1141273A"/>
    <w:rsid w:val="11B55F40"/>
    <w:rsid w:val="11D3306C"/>
    <w:rsid w:val="12186707"/>
    <w:rsid w:val="12E176DE"/>
    <w:rsid w:val="13C47D0F"/>
    <w:rsid w:val="14A40083"/>
    <w:rsid w:val="15040C8C"/>
    <w:rsid w:val="15B92EBA"/>
    <w:rsid w:val="15DF1345"/>
    <w:rsid w:val="17656988"/>
    <w:rsid w:val="178D3C98"/>
    <w:rsid w:val="193B71B3"/>
    <w:rsid w:val="1BFD0C46"/>
    <w:rsid w:val="1C1C04CF"/>
    <w:rsid w:val="1D3A087F"/>
    <w:rsid w:val="1E27029E"/>
    <w:rsid w:val="1F7D79B2"/>
    <w:rsid w:val="1FB22434"/>
    <w:rsid w:val="204D1E63"/>
    <w:rsid w:val="227C3BB4"/>
    <w:rsid w:val="22AE50CC"/>
    <w:rsid w:val="249935AC"/>
    <w:rsid w:val="259A59BE"/>
    <w:rsid w:val="26927023"/>
    <w:rsid w:val="27C37EFD"/>
    <w:rsid w:val="28F55CE4"/>
    <w:rsid w:val="293E0E3F"/>
    <w:rsid w:val="2A6D15FD"/>
    <w:rsid w:val="2B637A26"/>
    <w:rsid w:val="2C9C1CC7"/>
    <w:rsid w:val="2CB06C5F"/>
    <w:rsid w:val="2CB24021"/>
    <w:rsid w:val="2CE113E7"/>
    <w:rsid w:val="2D0A5DDE"/>
    <w:rsid w:val="2DFF51EF"/>
    <w:rsid w:val="2E5846E0"/>
    <w:rsid w:val="2ECA5697"/>
    <w:rsid w:val="2F5C49DA"/>
    <w:rsid w:val="2F8F1226"/>
    <w:rsid w:val="303C1F64"/>
    <w:rsid w:val="3210686D"/>
    <w:rsid w:val="327D3987"/>
    <w:rsid w:val="33A516A6"/>
    <w:rsid w:val="33F67FC4"/>
    <w:rsid w:val="34413A33"/>
    <w:rsid w:val="34AA1C4B"/>
    <w:rsid w:val="35E37DFC"/>
    <w:rsid w:val="36766209"/>
    <w:rsid w:val="371328B1"/>
    <w:rsid w:val="378D3EBA"/>
    <w:rsid w:val="384E318F"/>
    <w:rsid w:val="39E62317"/>
    <w:rsid w:val="39FD6893"/>
    <w:rsid w:val="3A3302E2"/>
    <w:rsid w:val="3AD96FF8"/>
    <w:rsid w:val="3B23042C"/>
    <w:rsid w:val="3B2E07D1"/>
    <w:rsid w:val="3B881D34"/>
    <w:rsid w:val="3C0D42D6"/>
    <w:rsid w:val="3C8F795C"/>
    <w:rsid w:val="3DA57E10"/>
    <w:rsid w:val="3DE07D45"/>
    <w:rsid w:val="3E277DF2"/>
    <w:rsid w:val="3F027239"/>
    <w:rsid w:val="3F1C7FA4"/>
    <w:rsid w:val="3FD9347D"/>
    <w:rsid w:val="413606A8"/>
    <w:rsid w:val="414508EB"/>
    <w:rsid w:val="419E1F1B"/>
    <w:rsid w:val="43E63694"/>
    <w:rsid w:val="44550EAB"/>
    <w:rsid w:val="45E350EA"/>
    <w:rsid w:val="46933926"/>
    <w:rsid w:val="47654F0E"/>
    <w:rsid w:val="47F47406"/>
    <w:rsid w:val="480D3608"/>
    <w:rsid w:val="481D1D1C"/>
    <w:rsid w:val="485C77F9"/>
    <w:rsid w:val="4970716C"/>
    <w:rsid w:val="49D863F6"/>
    <w:rsid w:val="49DC31EF"/>
    <w:rsid w:val="4D896004"/>
    <w:rsid w:val="4EDF107B"/>
    <w:rsid w:val="4F1072D9"/>
    <w:rsid w:val="4F6872B7"/>
    <w:rsid w:val="50594988"/>
    <w:rsid w:val="515D5808"/>
    <w:rsid w:val="53274B11"/>
    <w:rsid w:val="53F52FE5"/>
    <w:rsid w:val="54770566"/>
    <w:rsid w:val="595E2AC4"/>
    <w:rsid w:val="59FB4523"/>
    <w:rsid w:val="5C513715"/>
    <w:rsid w:val="5CD475E1"/>
    <w:rsid w:val="5D1E3978"/>
    <w:rsid w:val="5D431107"/>
    <w:rsid w:val="5E824FEC"/>
    <w:rsid w:val="5FA5225D"/>
    <w:rsid w:val="601B0D2A"/>
    <w:rsid w:val="608D1895"/>
    <w:rsid w:val="61C80AAF"/>
    <w:rsid w:val="62210161"/>
    <w:rsid w:val="6483759B"/>
    <w:rsid w:val="64D15426"/>
    <w:rsid w:val="66A16CEA"/>
    <w:rsid w:val="67D30150"/>
    <w:rsid w:val="680A039A"/>
    <w:rsid w:val="689C49DC"/>
    <w:rsid w:val="68C16542"/>
    <w:rsid w:val="69321FF0"/>
    <w:rsid w:val="698D2452"/>
    <w:rsid w:val="6E493F8C"/>
    <w:rsid w:val="6E5C3ECA"/>
    <w:rsid w:val="6F130C28"/>
    <w:rsid w:val="6FC646EE"/>
    <w:rsid w:val="708F4019"/>
    <w:rsid w:val="71256C76"/>
    <w:rsid w:val="71846A96"/>
    <w:rsid w:val="73C75DED"/>
    <w:rsid w:val="740C459B"/>
    <w:rsid w:val="74A955E6"/>
    <w:rsid w:val="75B86FA7"/>
    <w:rsid w:val="76F75DE3"/>
    <w:rsid w:val="77AB6956"/>
    <w:rsid w:val="7B10284A"/>
    <w:rsid w:val="7B661868"/>
    <w:rsid w:val="7B8F6A55"/>
    <w:rsid w:val="7BF8164C"/>
    <w:rsid w:val="7C694787"/>
    <w:rsid w:val="7E1C1010"/>
    <w:rsid w:val="7E481A5E"/>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UserStyle_0"/>
    <w:basedOn w:val="1"/>
    <w:next w:val="1"/>
    <w:qFormat/>
    <w:uiPriority w:val="0"/>
    <w:pPr>
      <w:spacing w:before="100" w:beforeAutospacing="1" w:after="100" w:afterAutospacing="1"/>
      <w:jc w:val="left"/>
    </w:pPr>
    <w:rPr>
      <w:rFonts w:ascii="宋体" w:hAnsi="宋体" w:eastAsia="宋体"/>
      <w:b/>
      <w:kern w:val="44"/>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7</Pages>
  <Words>746</Words>
  <Characters>871</Characters>
  <Lines>0</Lines>
  <Paragraphs>0</Paragraphs>
  <TotalTime>1</TotalTime>
  <ScaleCrop>false</ScaleCrop>
  <LinksUpToDate>false</LinksUpToDate>
  <CharactersWithSpaces>933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小狮子</cp:lastModifiedBy>
  <cp:lastPrinted>2023-09-27T07:05:00Z</cp:lastPrinted>
  <dcterms:modified xsi:type="dcterms:W3CDTF">2024-11-20T00:57:33Z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4001CBAD2BEB45E88469814A088FBC21_13</vt:lpwstr>
  </property>
</Properties>
</file>