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EE692">
      <w:pPr>
        <w:tabs>
          <w:tab w:val="left" w:pos="180"/>
        </w:tabs>
        <w:snapToGrid w:val="0"/>
        <w:spacing w:line="360" w:lineRule="auto"/>
        <w:ind w:firstLine="420" w:firstLineChars="200"/>
        <w:jc w:val="left"/>
        <w:rPr>
          <w:rFonts w:hint="default" w:cs="Times New Roman"/>
          <w:b/>
          <w:bCs/>
          <w:sz w:val="28"/>
          <w:szCs w:val="28"/>
          <w:lang w:val="en-US" w:eastAsia="zh-CN"/>
        </w:rPr>
      </w:pPr>
      <w:bookmarkStart w:id="0" w:name="_Toc515982523"/>
      <w:bookmarkStart w:id="1" w:name="_Toc527964416"/>
      <w:bookmarkStart w:id="2" w:name="_Toc21590470"/>
      <w:r>
        <w:rPr>
          <w:rFonts w:hint="default" w:ascii="Times New Roman" w:hAnsi="Times New Roman" w:cs="Times New Roman"/>
          <w:lang w:eastAsia="zh-CN"/>
        </w:rPr>
        <w:tab/>
      </w:r>
      <w:bookmarkEnd w:id="0"/>
      <w:bookmarkEnd w:id="1"/>
      <w:bookmarkEnd w:id="2"/>
      <w:bookmarkStart w:id="9" w:name="_GoBack"/>
      <w:bookmarkEnd w:id="9"/>
      <w:bookmarkStart w:id="3" w:name="_Toc303848371"/>
      <w:bookmarkStart w:id="4" w:name="_Toc304290508"/>
      <w:bookmarkStart w:id="5" w:name="_Toc302487593"/>
      <w:bookmarkStart w:id="6" w:name="_Toc527964417"/>
      <w:bookmarkStart w:id="7" w:name="_Toc515982524"/>
      <w:bookmarkStart w:id="8" w:name="_Toc21590471"/>
      <w:r>
        <w:rPr>
          <w:rFonts w:hint="eastAsia" w:cs="Times New Roman"/>
          <w:b/>
          <w:bCs/>
          <w:sz w:val="28"/>
          <w:szCs w:val="28"/>
          <w:lang w:val="en-US" w:eastAsia="zh-CN"/>
        </w:rPr>
        <w:t>曲靖市麒麟区越州镇丫巴山采石场普通建筑石料用石灰岩矿（拟设）</w:t>
      </w:r>
    </w:p>
    <w:p w14:paraId="01AA4BA8">
      <w:pPr>
        <w:bidi w:val="0"/>
        <w:jc w:val="center"/>
        <w:rPr>
          <w:rFonts w:hint="eastAsia" w:cs="Times New Roman"/>
          <w:b/>
          <w:bCs/>
          <w:sz w:val="28"/>
          <w:szCs w:val="28"/>
          <w:lang w:val="en-US" w:eastAsia="zh-CN"/>
        </w:rPr>
      </w:pPr>
      <w:r>
        <w:rPr>
          <w:rFonts w:hint="eastAsia" w:cs="Times New Roman"/>
          <w:b/>
          <w:bCs/>
          <w:sz w:val="28"/>
          <w:szCs w:val="28"/>
          <w:lang w:val="en-US" w:eastAsia="zh-CN"/>
        </w:rPr>
        <w:t>采矿权拟</w:t>
      </w:r>
      <w:r>
        <w:rPr>
          <w:rFonts w:hint="default" w:ascii="Times New Roman" w:hAnsi="Times New Roman" w:cs="Times New Roman"/>
          <w:b/>
          <w:bCs/>
          <w:sz w:val="28"/>
          <w:szCs w:val="28"/>
        </w:rPr>
        <w:t>挂牌出让所涉</w:t>
      </w:r>
      <w:r>
        <w:rPr>
          <w:rFonts w:hint="default" w:cs="Times New Roman"/>
          <w:b/>
          <w:bCs/>
          <w:sz w:val="28"/>
          <w:szCs w:val="28"/>
          <w:lang w:val="en-US" w:eastAsia="zh-CN"/>
        </w:rPr>
        <w:t>及</w:t>
      </w:r>
      <w:r>
        <w:rPr>
          <w:rFonts w:hint="eastAsia" w:cs="Times New Roman"/>
          <w:b/>
          <w:bCs/>
          <w:sz w:val="28"/>
          <w:szCs w:val="28"/>
          <w:lang w:val="en-US" w:eastAsia="zh-CN"/>
        </w:rPr>
        <w:t>的曲靖市麒麟区越州镇丫巴山采石场</w:t>
      </w:r>
    </w:p>
    <w:p w14:paraId="1FD15E4B">
      <w:pPr>
        <w:bidi w:val="0"/>
        <w:jc w:val="center"/>
        <w:rPr>
          <w:rFonts w:hint="default" w:ascii="Times New Roman" w:hAnsi="Times New Roman" w:cs="Times New Roman"/>
          <w:b/>
          <w:bCs/>
          <w:sz w:val="28"/>
          <w:szCs w:val="28"/>
        </w:rPr>
      </w:pPr>
      <w:r>
        <w:rPr>
          <w:rFonts w:hint="default" w:cs="Times New Roman"/>
          <w:b/>
          <w:bCs/>
          <w:sz w:val="28"/>
          <w:szCs w:val="28"/>
          <w:lang w:val="en-US" w:eastAsia="zh-CN"/>
        </w:rPr>
        <w:t>实物资</w:t>
      </w:r>
      <w:r>
        <w:rPr>
          <w:rFonts w:hint="default" w:ascii="Times New Roman" w:hAnsi="Times New Roman" w:cs="Times New Roman"/>
          <w:b/>
          <w:bCs/>
          <w:sz w:val="28"/>
          <w:szCs w:val="28"/>
        </w:rPr>
        <w:t>产</w:t>
      </w:r>
      <w:r>
        <w:rPr>
          <w:rFonts w:hint="eastAsia" w:cs="Times New Roman"/>
          <w:b/>
          <w:bCs/>
          <w:sz w:val="28"/>
          <w:szCs w:val="28"/>
          <w:lang w:val="en-US" w:eastAsia="zh-CN"/>
        </w:rPr>
        <w:t>市场价值</w:t>
      </w:r>
      <w:r>
        <w:rPr>
          <w:rFonts w:hint="default" w:ascii="Times New Roman" w:hAnsi="Times New Roman" w:cs="Times New Roman"/>
          <w:b/>
          <w:bCs/>
          <w:sz w:val="28"/>
          <w:szCs w:val="28"/>
        </w:rPr>
        <w:t>评估项目</w:t>
      </w:r>
    </w:p>
    <w:p w14:paraId="5C831482">
      <w:pPr>
        <w:tabs>
          <w:tab w:val="center" w:pos="4594"/>
          <w:tab w:val="left" w:pos="7030"/>
        </w:tabs>
        <w:bidi w:val="0"/>
        <w:jc w:val="left"/>
        <w:rPr>
          <w:rFonts w:hint="eastAsia" w:ascii="Times New Roman" w:hAnsi="Times New Roman" w:eastAsia="宋体" w:cs="Times New Roman"/>
          <w:highlight w:val="none"/>
          <w:lang w:eastAsia="zh-CN"/>
        </w:rPr>
      </w:pPr>
      <w:r>
        <w:rPr>
          <w:rFonts w:hint="eastAsia" w:cs="Times New Roman"/>
          <w:b/>
          <w:bCs/>
          <w:sz w:val="32"/>
          <w:szCs w:val="32"/>
          <w:lang w:eastAsia="zh-CN"/>
        </w:rPr>
        <w:tab/>
      </w:r>
      <w:r>
        <w:rPr>
          <w:rFonts w:hint="default" w:ascii="Times New Roman" w:hAnsi="Times New Roman" w:cs="Times New Roman"/>
          <w:b/>
          <w:bCs/>
          <w:sz w:val="32"/>
          <w:szCs w:val="32"/>
        </w:rPr>
        <w:t>资</w:t>
      </w:r>
      <w:r>
        <w:rPr>
          <w:rFonts w:hint="default" w:ascii="Times New Roman" w:hAnsi="Times New Roman" w:cs="Times New Roman"/>
          <w:b/>
          <w:bCs/>
          <w:sz w:val="32"/>
          <w:szCs w:val="32"/>
          <w:highlight w:val="none"/>
        </w:rPr>
        <w:t>产评估报告</w:t>
      </w:r>
      <w:bookmarkEnd w:id="3"/>
      <w:bookmarkEnd w:id="4"/>
      <w:bookmarkEnd w:id="5"/>
      <w:bookmarkEnd w:id="6"/>
      <w:bookmarkEnd w:id="7"/>
      <w:bookmarkEnd w:id="8"/>
      <w:r>
        <w:rPr>
          <w:rFonts w:hint="eastAsia" w:cs="Times New Roman"/>
          <w:b/>
          <w:bCs/>
          <w:sz w:val="32"/>
          <w:szCs w:val="32"/>
          <w:highlight w:val="none"/>
          <w:lang w:eastAsia="zh-CN"/>
        </w:rPr>
        <w:tab/>
      </w:r>
    </w:p>
    <w:p w14:paraId="7C1493A9">
      <w:pPr>
        <w:pStyle w:val="13"/>
        <w:adjustRightInd w:val="0"/>
        <w:snapToGrid w:val="0"/>
        <w:ind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云公信评报字[202</w:t>
      </w:r>
      <w:r>
        <w:rPr>
          <w:rFonts w:hint="eastAsia" w:ascii="Times New Roman" w:hAnsi="Times New Roman" w:eastAsia="宋体" w:cs="Times New Roman"/>
          <w:b/>
          <w:sz w:val="21"/>
          <w:szCs w:val="21"/>
          <w:highlight w:val="none"/>
          <w:lang w:val="en-US" w:eastAsia="zh-CN"/>
        </w:rPr>
        <w:t>4</w:t>
      </w:r>
      <w:r>
        <w:rPr>
          <w:rFonts w:hint="default" w:ascii="Times New Roman" w:hAnsi="Times New Roman" w:eastAsia="宋体" w:cs="Times New Roman"/>
          <w:b/>
          <w:sz w:val="21"/>
          <w:szCs w:val="21"/>
          <w:highlight w:val="none"/>
        </w:rPr>
        <w:t>]第</w:t>
      </w:r>
      <w:r>
        <w:rPr>
          <w:rFonts w:hint="eastAsia" w:ascii="Times New Roman" w:hAnsi="Times New Roman" w:eastAsia="宋体" w:cs="Times New Roman"/>
          <w:b/>
          <w:sz w:val="21"/>
          <w:szCs w:val="21"/>
          <w:highlight w:val="none"/>
          <w:lang w:val="en-US" w:eastAsia="zh-CN"/>
        </w:rPr>
        <w:t>014</w:t>
      </w:r>
      <w:r>
        <w:rPr>
          <w:rFonts w:hint="default" w:ascii="Times New Roman" w:hAnsi="Times New Roman" w:eastAsia="宋体" w:cs="Times New Roman"/>
          <w:b/>
          <w:sz w:val="21"/>
          <w:szCs w:val="21"/>
          <w:highlight w:val="none"/>
        </w:rPr>
        <w:t>号</w:t>
      </w:r>
    </w:p>
    <w:p w14:paraId="116722DD">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摘  要</w:t>
      </w:r>
    </w:p>
    <w:p w14:paraId="73042931">
      <w:pPr>
        <w:pStyle w:val="4"/>
        <w:spacing w:after="0" w:line="360" w:lineRule="auto"/>
        <w:rPr>
          <w:rFonts w:hint="default" w:ascii="Times New Roman" w:hAnsi="Times New Roman" w:cs="Times New Roman"/>
          <w:szCs w:val="24"/>
        </w:rPr>
      </w:pPr>
    </w:p>
    <w:p w14:paraId="529C3292">
      <w:pPr>
        <w:pStyle w:val="4"/>
        <w:spacing w:after="0"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云南公信房地产土地资产评估有限公司接受</w:t>
      </w:r>
      <w:r>
        <w:rPr>
          <w:rFonts w:hint="default" w:ascii="Times New Roman" w:hAnsi="Times New Roman" w:cs="Times New Roman"/>
          <w:szCs w:val="24"/>
          <w:highlight w:val="none"/>
          <w:lang w:eastAsia="zh-CN"/>
        </w:rPr>
        <w:t>曲靖市麒麟区自然资源局</w:t>
      </w:r>
      <w:r>
        <w:rPr>
          <w:rFonts w:hint="default" w:ascii="Times New Roman" w:hAnsi="Times New Roman" w:cs="Times New Roman"/>
          <w:szCs w:val="24"/>
        </w:rPr>
        <w:t>的委托，按照法律、行政法规和资产评估准则的规定，坚持独立、客观和公正的原则，按照必要的评估程序，对</w:t>
      </w:r>
      <w:r>
        <w:rPr>
          <w:rFonts w:hint="eastAsia" w:cs="Times New Roman"/>
          <w:szCs w:val="24"/>
          <w:highlight w:val="none"/>
          <w:lang w:eastAsia="zh-CN"/>
        </w:rPr>
        <w:t>曲靖市麒麟区越州镇丫巴山采石场普通建筑石料用石灰岩矿（</w:t>
      </w:r>
      <w:r>
        <w:rPr>
          <w:rFonts w:hint="eastAsia" w:cs="Times New Roman"/>
          <w:szCs w:val="24"/>
          <w:highlight w:val="none"/>
          <w:lang w:val="en-US" w:eastAsia="zh-CN"/>
        </w:rPr>
        <w:t>拟设）</w:t>
      </w:r>
      <w:r>
        <w:rPr>
          <w:rFonts w:hint="eastAsia" w:cs="Times New Roman"/>
          <w:szCs w:val="24"/>
          <w:highlight w:val="none"/>
          <w:lang w:eastAsia="zh-CN"/>
        </w:rPr>
        <w:t>采矿权拟挂牌出让</w:t>
      </w:r>
      <w:r>
        <w:rPr>
          <w:rFonts w:hint="default" w:ascii="Times New Roman" w:hAnsi="Times New Roman" w:cs="Times New Roman"/>
          <w:szCs w:val="24"/>
          <w:highlight w:val="none"/>
        </w:rPr>
        <w:t>所涉及的</w:t>
      </w:r>
      <w:r>
        <w:rPr>
          <w:rFonts w:hint="eastAsia" w:cs="Times New Roman"/>
          <w:szCs w:val="24"/>
          <w:highlight w:val="none"/>
          <w:lang w:eastAsia="zh-CN"/>
        </w:rPr>
        <w:t>曲靖市麒麟区越州镇丫巴山采石场</w:t>
      </w:r>
      <w:r>
        <w:rPr>
          <w:rFonts w:hint="default" w:ascii="Times New Roman" w:hAnsi="Times New Roman" w:cs="Times New Roman"/>
          <w:szCs w:val="24"/>
          <w:highlight w:val="none"/>
          <w:lang w:eastAsia="zh-CN"/>
        </w:rPr>
        <w:t>的</w:t>
      </w:r>
      <w:r>
        <w:rPr>
          <w:rFonts w:hint="default" w:ascii="Times New Roman" w:hAnsi="Times New Roman" w:cs="Times New Roman"/>
          <w:szCs w:val="24"/>
          <w:highlight w:val="none"/>
        </w:rPr>
        <w:t>实物资产在</w:t>
      </w:r>
      <w:r>
        <w:rPr>
          <w:rFonts w:hint="default" w:ascii="Times New Roman" w:hAnsi="Times New Roman" w:cs="Times New Roman"/>
          <w:szCs w:val="24"/>
        </w:rPr>
        <w:t>评估基准日</w:t>
      </w:r>
      <w:r>
        <w:rPr>
          <w:rFonts w:hint="eastAsia" w:cs="Times New Roman"/>
          <w:szCs w:val="24"/>
          <w:lang w:eastAsia="zh-CN"/>
        </w:rPr>
        <w:t>2024年9月18日</w:t>
      </w:r>
      <w:r>
        <w:rPr>
          <w:rFonts w:hint="default" w:ascii="Times New Roman" w:hAnsi="Times New Roman" w:cs="Times New Roman"/>
          <w:szCs w:val="24"/>
        </w:rPr>
        <w:t>的市场价值进行了评估。现将评估报告正文的相关内容摘要如下：</w:t>
      </w:r>
    </w:p>
    <w:p w14:paraId="75338683">
      <w:pPr>
        <w:pStyle w:val="4"/>
        <w:spacing w:after="0" w:line="360" w:lineRule="auto"/>
        <w:ind w:firstLine="482" w:firstLineChars="200"/>
        <w:jc w:val="left"/>
        <w:rPr>
          <w:rFonts w:hint="default" w:ascii="Times New Roman" w:hAnsi="Times New Roman" w:cs="Times New Roman"/>
          <w:szCs w:val="24"/>
        </w:rPr>
      </w:pPr>
      <w:r>
        <w:rPr>
          <w:rFonts w:hint="default" w:ascii="Times New Roman" w:hAnsi="Times New Roman" w:cs="Times New Roman"/>
          <w:b/>
          <w:szCs w:val="24"/>
          <w:highlight w:val="none"/>
        </w:rPr>
        <w:t>评估目的：</w:t>
      </w:r>
      <w:r>
        <w:rPr>
          <w:rFonts w:hint="default" w:ascii="Times New Roman" w:hAnsi="Times New Roman" w:cs="Times New Roman"/>
          <w:szCs w:val="24"/>
          <w:highlight w:val="none"/>
        </w:rPr>
        <w:t>因</w:t>
      </w:r>
      <w:r>
        <w:rPr>
          <w:rFonts w:hint="eastAsia" w:cs="Times New Roman"/>
          <w:szCs w:val="24"/>
          <w:highlight w:val="none"/>
          <w:lang w:eastAsia="zh-CN"/>
        </w:rPr>
        <w:t>曲靖市麒麟区越州镇丫巴山采石场普通建筑石料用石灰岩矿（</w:t>
      </w:r>
      <w:r>
        <w:rPr>
          <w:rFonts w:hint="eastAsia" w:cs="Times New Roman"/>
          <w:szCs w:val="24"/>
          <w:highlight w:val="none"/>
          <w:lang w:val="en-US" w:eastAsia="zh-CN"/>
        </w:rPr>
        <w:t>拟设）</w:t>
      </w:r>
      <w:r>
        <w:rPr>
          <w:rFonts w:hint="eastAsia" w:cs="Times New Roman"/>
          <w:szCs w:val="24"/>
          <w:highlight w:val="none"/>
          <w:lang w:eastAsia="zh-CN"/>
        </w:rPr>
        <w:t>采矿权拟挂牌出让</w:t>
      </w:r>
      <w:r>
        <w:rPr>
          <w:rFonts w:hint="default" w:ascii="Times New Roman" w:hAnsi="Times New Roman" w:cs="Times New Roman"/>
          <w:szCs w:val="24"/>
        </w:rPr>
        <w:t>，为此需对涉及的</w:t>
      </w:r>
      <w:r>
        <w:rPr>
          <w:rFonts w:hint="eastAsia" w:cs="Times New Roman"/>
          <w:snapToGrid w:val="0"/>
          <w:szCs w:val="24"/>
          <w:lang w:eastAsia="zh-CN"/>
        </w:rPr>
        <w:t>曲靖市麒麟区越州镇丫巴山采石场</w:t>
      </w:r>
      <w:r>
        <w:rPr>
          <w:rFonts w:hint="default" w:ascii="Times New Roman" w:hAnsi="Times New Roman" w:cs="Times New Roman"/>
          <w:szCs w:val="24"/>
        </w:rPr>
        <w:t>实物资产在评估基准日</w:t>
      </w:r>
      <w:r>
        <w:rPr>
          <w:rFonts w:hint="eastAsia" w:cs="Times New Roman"/>
          <w:szCs w:val="24"/>
          <w:lang w:eastAsia="zh-CN"/>
        </w:rPr>
        <w:t>2024年9月18日</w:t>
      </w:r>
      <w:r>
        <w:rPr>
          <w:rFonts w:hint="default" w:ascii="Times New Roman" w:hAnsi="Times New Roman" w:cs="Times New Roman"/>
          <w:szCs w:val="24"/>
        </w:rPr>
        <w:t>的市场价值进行评估，为该经济行为提供价值参考依据。</w:t>
      </w:r>
    </w:p>
    <w:p w14:paraId="7EE0A2FD">
      <w:pPr>
        <w:pStyle w:val="4"/>
        <w:spacing w:after="0" w:line="360" w:lineRule="auto"/>
        <w:ind w:firstLine="482" w:firstLineChars="200"/>
        <w:rPr>
          <w:rFonts w:hint="default" w:ascii="Times New Roman" w:hAnsi="Times New Roman" w:cs="Times New Roman"/>
          <w:b/>
          <w:szCs w:val="24"/>
        </w:rPr>
      </w:pPr>
      <w:r>
        <w:rPr>
          <w:rFonts w:hint="default" w:ascii="Times New Roman" w:hAnsi="Times New Roman" w:cs="Times New Roman"/>
          <w:b/>
          <w:szCs w:val="24"/>
          <w:highlight w:val="none"/>
        </w:rPr>
        <w:t>评估对象：</w:t>
      </w:r>
      <w:r>
        <w:rPr>
          <w:rFonts w:hint="eastAsia" w:cs="Times New Roman"/>
          <w:snapToGrid w:val="0"/>
          <w:szCs w:val="24"/>
          <w:lang w:eastAsia="zh-CN"/>
        </w:rPr>
        <w:t>曲靖市麒麟区越州镇丫巴山采石场普通建筑石料用石灰岩矿</w:t>
      </w:r>
      <w:r>
        <w:rPr>
          <w:rFonts w:hint="eastAsia" w:cs="Times New Roman"/>
          <w:szCs w:val="24"/>
          <w:highlight w:val="none"/>
          <w:lang w:eastAsia="zh-CN"/>
        </w:rPr>
        <w:t>（</w:t>
      </w:r>
      <w:r>
        <w:rPr>
          <w:rFonts w:hint="eastAsia" w:cs="Times New Roman"/>
          <w:szCs w:val="24"/>
          <w:highlight w:val="none"/>
          <w:lang w:val="en-US" w:eastAsia="zh-CN"/>
        </w:rPr>
        <w:t>拟设）</w:t>
      </w:r>
      <w:r>
        <w:rPr>
          <w:rFonts w:hint="eastAsia" w:cs="Times New Roman"/>
          <w:snapToGrid w:val="0"/>
          <w:szCs w:val="24"/>
          <w:lang w:eastAsia="zh-CN"/>
        </w:rPr>
        <w:t>采矿权拟挂牌出让</w:t>
      </w:r>
      <w:r>
        <w:rPr>
          <w:rFonts w:hint="default" w:ascii="Times New Roman" w:hAnsi="Times New Roman" w:cs="Times New Roman"/>
          <w:szCs w:val="24"/>
        </w:rPr>
        <w:t>所涉及的</w:t>
      </w:r>
      <w:r>
        <w:rPr>
          <w:rFonts w:hint="eastAsia" w:cs="Times New Roman"/>
          <w:szCs w:val="24"/>
          <w:lang w:eastAsia="zh-CN"/>
        </w:rPr>
        <w:t>曲靖市麒麟区越州镇丫巴山采石场</w:t>
      </w:r>
      <w:r>
        <w:rPr>
          <w:rFonts w:hint="default" w:ascii="Times New Roman" w:hAnsi="Times New Roman" w:cs="Times New Roman"/>
          <w:szCs w:val="24"/>
        </w:rPr>
        <w:t>实物资产</w:t>
      </w:r>
      <w:r>
        <w:rPr>
          <w:rFonts w:hint="default" w:ascii="Times New Roman" w:hAnsi="Times New Roman" w:cs="Times New Roman"/>
          <w:snapToGrid w:val="0"/>
          <w:szCs w:val="24"/>
        </w:rPr>
        <w:t>市场价值</w:t>
      </w:r>
      <w:r>
        <w:rPr>
          <w:rFonts w:hint="default" w:ascii="Times New Roman" w:hAnsi="Times New Roman" w:cs="Times New Roman"/>
          <w:szCs w:val="24"/>
        </w:rPr>
        <w:t>。</w:t>
      </w:r>
    </w:p>
    <w:p w14:paraId="32380AB0">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highlight w:val="none"/>
        </w:rPr>
        <w:t>评估范围：</w:t>
      </w:r>
      <w:r>
        <w:rPr>
          <w:rFonts w:hint="eastAsia" w:cs="Times New Roman"/>
          <w:szCs w:val="24"/>
          <w:lang w:eastAsia="zh-CN"/>
        </w:rPr>
        <w:t>曲靖市麒麟区越州镇丫巴山采石场普通建筑石料用石灰岩矿</w:t>
      </w:r>
      <w:r>
        <w:rPr>
          <w:rFonts w:hint="eastAsia" w:cs="Times New Roman"/>
          <w:szCs w:val="24"/>
          <w:highlight w:val="none"/>
          <w:lang w:eastAsia="zh-CN"/>
        </w:rPr>
        <w:t>（</w:t>
      </w:r>
      <w:r>
        <w:rPr>
          <w:rFonts w:hint="eastAsia" w:cs="Times New Roman"/>
          <w:szCs w:val="24"/>
          <w:highlight w:val="none"/>
          <w:lang w:val="en-US" w:eastAsia="zh-CN"/>
        </w:rPr>
        <w:t>拟设）</w:t>
      </w:r>
      <w:r>
        <w:rPr>
          <w:rFonts w:hint="eastAsia" w:cs="Times New Roman"/>
          <w:szCs w:val="24"/>
          <w:lang w:eastAsia="zh-CN"/>
        </w:rPr>
        <w:t>采矿权拟挂牌出让</w:t>
      </w:r>
      <w:r>
        <w:rPr>
          <w:rFonts w:hint="default" w:ascii="Times New Roman" w:hAnsi="Times New Roman" w:cs="Times New Roman"/>
          <w:szCs w:val="24"/>
        </w:rPr>
        <w:t>所涉及的</w:t>
      </w:r>
      <w:r>
        <w:rPr>
          <w:rFonts w:hint="eastAsia" w:cs="Times New Roman"/>
          <w:szCs w:val="24"/>
          <w:lang w:eastAsia="zh-CN"/>
        </w:rPr>
        <w:t>曲靖市麒麟区越州镇丫巴山采石场</w:t>
      </w:r>
      <w:r>
        <w:rPr>
          <w:rFonts w:hint="default" w:ascii="Times New Roman" w:hAnsi="Times New Roman" w:cs="Times New Roman"/>
          <w:szCs w:val="24"/>
          <w:lang w:eastAsia="zh-CN"/>
        </w:rPr>
        <w:t>的存货、</w:t>
      </w:r>
      <w:r>
        <w:rPr>
          <w:rFonts w:hint="default" w:ascii="Times New Roman" w:hAnsi="Times New Roman" w:cs="Times New Roman"/>
          <w:szCs w:val="24"/>
        </w:rPr>
        <w:t>房屋建筑物、</w:t>
      </w:r>
      <w:r>
        <w:rPr>
          <w:rFonts w:hint="default" w:ascii="Times New Roman" w:hAnsi="Times New Roman" w:cs="Times New Roman"/>
          <w:szCs w:val="24"/>
          <w:lang w:eastAsia="zh-CN"/>
        </w:rPr>
        <w:t>构筑物、机器设备</w:t>
      </w:r>
      <w:r>
        <w:rPr>
          <w:rFonts w:hint="default" w:ascii="Times New Roman" w:hAnsi="Times New Roman" w:cs="Times New Roman"/>
          <w:szCs w:val="24"/>
        </w:rPr>
        <w:t>、</w:t>
      </w:r>
      <w:r>
        <w:rPr>
          <w:rFonts w:hint="default" w:ascii="Times New Roman" w:hAnsi="Times New Roman" w:cs="Times New Roman"/>
          <w:szCs w:val="24"/>
          <w:lang w:eastAsia="zh-CN"/>
        </w:rPr>
        <w:t>车辆、</w:t>
      </w:r>
      <w:r>
        <w:rPr>
          <w:rFonts w:hint="eastAsia" w:cs="Times New Roman"/>
          <w:szCs w:val="24"/>
          <w:lang w:eastAsia="zh-CN"/>
        </w:rPr>
        <w:t>电子设备、</w:t>
      </w:r>
      <w:r>
        <w:rPr>
          <w:rFonts w:hint="default" w:ascii="Times New Roman" w:hAnsi="Times New Roman" w:cs="Times New Roman"/>
          <w:szCs w:val="24"/>
          <w:lang w:eastAsia="zh-CN"/>
        </w:rPr>
        <w:t>家用家具</w:t>
      </w:r>
      <w:r>
        <w:rPr>
          <w:rFonts w:hint="default" w:ascii="Times New Roman" w:hAnsi="Times New Roman" w:cs="Times New Roman"/>
          <w:szCs w:val="24"/>
        </w:rPr>
        <w:t>等资产（明细详见资产评估明细表）。</w:t>
      </w:r>
    </w:p>
    <w:p w14:paraId="5E0ECEEE">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评估基准日：</w:t>
      </w:r>
      <w:r>
        <w:rPr>
          <w:rFonts w:hint="eastAsia" w:cs="Times New Roman"/>
          <w:szCs w:val="24"/>
          <w:lang w:eastAsia="zh-CN"/>
        </w:rPr>
        <w:t>2024年9月18日</w:t>
      </w:r>
      <w:r>
        <w:rPr>
          <w:rFonts w:hint="default" w:ascii="Times New Roman" w:hAnsi="Times New Roman" w:cs="Times New Roman"/>
          <w:szCs w:val="24"/>
        </w:rPr>
        <w:t>。</w:t>
      </w:r>
    </w:p>
    <w:p w14:paraId="3A7FA0E8">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价值类型：</w:t>
      </w:r>
      <w:r>
        <w:rPr>
          <w:rFonts w:hint="default" w:ascii="Times New Roman" w:hAnsi="Times New Roman" w:cs="Times New Roman"/>
          <w:szCs w:val="24"/>
        </w:rPr>
        <w:t>市场价值。</w:t>
      </w:r>
    </w:p>
    <w:p w14:paraId="06DB001A">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评估方法：</w:t>
      </w:r>
      <w:r>
        <w:rPr>
          <w:rFonts w:hint="default" w:ascii="Times New Roman" w:hAnsi="Times New Roman" w:cs="Times New Roman"/>
          <w:szCs w:val="24"/>
        </w:rPr>
        <w:t>成本法。</w:t>
      </w:r>
    </w:p>
    <w:p w14:paraId="564C27A2">
      <w:pPr>
        <w:pStyle w:val="4"/>
        <w:spacing w:after="0" w:line="360" w:lineRule="auto"/>
        <w:ind w:firstLine="482" w:firstLineChars="200"/>
        <w:rPr>
          <w:rFonts w:hint="eastAsia" w:cs="Times New Roman"/>
          <w:szCs w:val="24"/>
          <w:highlight w:val="none"/>
          <w:lang w:val="en-US" w:eastAsia="zh-CN"/>
        </w:rPr>
      </w:pPr>
      <w:r>
        <w:rPr>
          <w:rFonts w:hint="default" w:ascii="Times New Roman" w:hAnsi="Times New Roman" w:cs="Times New Roman"/>
          <w:b/>
          <w:szCs w:val="24"/>
        </w:rPr>
        <w:t>评估结论：</w:t>
      </w:r>
      <w:r>
        <w:rPr>
          <w:rFonts w:hint="default" w:ascii="Times New Roman" w:hAnsi="Times New Roman" w:cs="Times New Roman"/>
          <w:szCs w:val="24"/>
        </w:rPr>
        <w:t>在评估基准日</w:t>
      </w:r>
      <w:r>
        <w:rPr>
          <w:rFonts w:hint="eastAsia" w:cs="Times New Roman"/>
          <w:szCs w:val="24"/>
          <w:lang w:eastAsia="zh-CN"/>
        </w:rPr>
        <w:t>2024年9月18日</w:t>
      </w:r>
      <w:r>
        <w:rPr>
          <w:rFonts w:hint="default" w:ascii="Times New Roman" w:hAnsi="Times New Roman" w:cs="Times New Roman"/>
          <w:szCs w:val="24"/>
        </w:rPr>
        <w:t>，经成本法评估，</w:t>
      </w:r>
      <w:r>
        <w:rPr>
          <w:rFonts w:hint="eastAsia" w:cs="Times New Roman"/>
          <w:szCs w:val="24"/>
          <w:lang w:eastAsia="zh-CN"/>
        </w:rPr>
        <w:t>曲靖市麒麟区越州镇丫巴山采石场普通建筑石料用石灰岩矿</w:t>
      </w:r>
      <w:r>
        <w:rPr>
          <w:rFonts w:hint="eastAsia" w:cs="Times New Roman"/>
          <w:szCs w:val="24"/>
          <w:highlight w:val="none"/>
          <w:lang w:eastAsia="zh-CN"/>
        </w:rPr>
        <w:t>（</w:t>
      </w:r>
      <w:r>
        <w:rPr>
          <w:rFonts w:hint="eastAsia" w:cs="Times New Roman"/>
          <w:szCs w:val="24"/>
          <w:highlight w:val="none"/>
          <w:lang w:val="en-US" w:eastAsia="zh-CN"/>
        </w:rPr>
        <w:t>拟设）</w:t>
      </w:r>
      <w:r>
        <w:rPr>
          <w:rFonts w:hint="eastAsia" w:cs="Times New Roman"/>
          <w:szCs w:val="24"/>
          <w:lang w:eastAsia="zh-CN"/>
        </w:rPr>
        <w:t>采矿权拟挂牌出让</w:t>
      </w:r>
      <w:r>
        <w:rPr>
          <w:rFonts w:hint="default" w:ascii="Times New Roman" w:hAnsi="Times New Roman" w:cs="Times New Roman"/>
          <w:szCs w:val="24"/>
        </w:rPr>
        <w:t>所涉及的</w:t>
      </w:r>
      <w:r>
        <w:rPr>
          <w:rFonts w:hint="eastAsia" w:cs="Times New Roman"/>
          <w:szCs w:val="24"/>
          <w:lang w:eastAsia="zh-CN"/>
        </w:rPr>
        <w:t>曲靖市麒麟区越州镇丫巴山采石场</w:t>
      </w:r>
      <w:r>
        <w:rPr>
          <w:rFonts w:hint="default" w:ascii="Times New Roman" w:hAnsi="Times New Roman" w:cs="Times New Roman"/>
          <w:szCs w:val="24"/>
        </w:rPr>
        <w:t>实物资产市场价值</w:t>
      </w:r>
      <w:r>
        <w:rPr>
          <w:rFonts w:hint="default" w:ascii="Times New Roman" w:hAnsi="Times New Roman" w:cs="Times New Roman"/>
          <w:szCs w:val="24"/>
          <w:highlight w:val="none"/>
          <w:lang w:eastAsia="zh-CN"/>
        </w:rPr>
        <w:t>为</w:t>
      </w:r>
      <w:r>
        <w:rPr>
          <w:rFonts w:hint="eastAsia" w:cs="Times New Roman"/>
          <w:b/>
          <w:bCs/>
          <w:szCs w:val="24"/>
          <w:highlight w:val="none"/>
          <w:lang w:val="en-US" w:eastAsia="zh-CN"/>
        </w:rPr>
        <w:t xml:space="preserve"> 651.69</w:t>
      </w:r>
      <w:r>
        <w:rPr>
          <w:rFonts w:hint="default" w:ascii="Times New Roman" w:hAnsi="Times New Roman" w:cs="Times New Roman"/>
          <w:b/>
          <w:bCs/>
          <w:szCs w:val="24"/>
          <w:highlight w:val="none"/>
        </w:rPr>
        <w:t>万元（大写人民币</w:t>
      </w:r>
      <w:r>
        <w:rPr>
          <w:rFonts w:hint="eastAsia" w:cs="Times New Roman"/>
          <w:b/>
          <w:bCs/>
          <w:szCs w:val="24"/>
          <w:highlight w:val="none"/>
          <w:lang w:eastAsia="zh-CN"/>
        </w:rPr>
        <w:t>陆佰伍拾壹万陆仟玖佰元</w:t>
      </w:r>
      <w:r>
        <w:rPr>
          <w:rFonts w:hint="default" w:ascii="Times New Roman" w:hAnsi="Times New Roman" w:cs="Times New Roman"/>
          <w:b/>
          <w:bCs/>
          <w:szCs w:val="24"/>
          <w:highlight w:val="none"/>
        </w:rPr>
        <w:t>整）</w:t>
      </w:r>
      <w:r>
        <w:rPr>
          <w:rFonts w:hint="default" w:ascii="Times New Roman" w:hAnsi="Times New Roman" w:cs="Times New Roman"/>
          <w:szCs w:val="24"/>
          <w:highlight w:val="none"/>
        </w:rPr>
        <w:t>。</w:t>
      </w:r>
      <w:r>
        <w:rPr>
          <w:rFonts w:hint="eastAsia" w:cs="Times New Roman"/>
          <w:szCs w:val="24"/>
          <w:highlight w:val="none"/>
          <w:lang w:val="en-US" w:eastAsia="zh-CN"/>
        </w:rPr>
        <w:t>详见资产评估结果汇总表：</w:t>
      </w:r>
    </w:p>
    <w:p w14:paraId="31635BC7">
      <w:pPr>
        <w:pStyle w:val="4"/>
        <w:spacing w:after="0" w:line="360" w:lineRule="auto"/>
        <w:ind w:firstLine="480" w:firstLineChars="200"/>
        <w:rPr>
          <w:rFonts w:hint="eastAsia" w:cs="Times New Roman"/>
          <w:szCs w:val="24"/>
          <w:highlight w:val="none"/>
          <w:lang w:val="en-US" w:eastAsia="zh-CN"/>
        </w:rPr>
      </w:pPr>
    </w:p>
    <w:p w14:paraId="22E6674F">
      <w:pPr>
        <w:pStyle w:val="4"/>
        <w:spacing w:after="0" w:line="360" w:lineRule="auto"/>
        <w:ind w:firstLine="480" w:firstLineChars="200"/>
        <w:rPr>
          <w:rFonts w:hint="eastAsia" w:cs="Times New Roman"/>
          <w:szCs w:val="24"/>
          <w:highlight w:val="none"/>
          <w:lang w:val="en-US" w:eastAsia="zh-CN"/>
        </w:rPr>
      </w:pPr>
    </w:p>
    <w:p w14:paraId="295D6B67">
      <w:pPr>
        <w:pStyle w:val="4"/>
        <w:spacing w:after="0" w:line="360" w:lineRule="auto"/>
        <w:ind w:firstLine="480" w:firstLineChars="200"/>
        <w:rPr>
          <w:rFonts w:hint="eastAsia" w:cs="Times New Roman"/>
          <w:szCs w:val="24"/>
          <w:highlight w:val="none"/>
          <w:lang w:val="en-US" w:eastAsia="zh-CN"/>
        </w:rPr>
      </w:pPr>
    </w:p>
    <w:p w14:paraId="018DFA8F">
      <w:pPr>
        <w:spacing w:before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资产评估结果汇总表</w:t>
      </w:r>
    </w:p>
    <w:p w14:paraId="375B69E4">
      <w:pPr>
        <w:spacing w:line="36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评估基准日：</w:t>
      </w:r>
      <w:r>
        <w:rPr>
          <w:rFonts w:hint="eastAsia" w:cs="Times New Roman"/>
          <w:sz w:val="24"/>
          <w:szCs w:val="24"/>
          <w:highlight w:val="none"/>
          <w:lang w:eastAsia="zh-CN"/>
        </w:rPr>
        <w:t>2024年9月18日</w:t>
      </w:r>
    </w:p>
    <w:p w14:paraId="79C6189B">
      <w:pPr>
        <w:spacing w:line="360" w:lineRule="auto"/>
        <w:jc w:val="left"/>
        <w:rPr>
          <w:rFonts w:hint="default" w:ascii="Times New Roman" w:hAnsi="Times New Roman" w:cs="Times New Roman"/>
          <w:sz w:val="21"/>
          <w:szCs w:val="21"/>
        </w:rPr>
      </w:pPr>
      <w:r>
        <w:rPr>
          <w:rFonts w:hint="default" w:cs="Times New Roman"/>
          <w:sz w:val="21"/>
          <w:szCs w:val="21"/>
          <w:highlight w:val="none"/>
          <w:lang w:eastAsia="zh-CN"/>
        </w:rPr>
        <w:t>产权持有单位：</w:t>
      </w:r>
      <w:r>
        <w:rPr>
          <w:rFonts w:hint="eastAsia" w:cs="Times New Roman"/>
          <w:sz w:val="21"/>
          <w:szCs w:val="21"/>
          <w:highlight w:val="none"/>
          <w:lang w:eastAsia="zh-CN"/>
        </w:rPr>
        <w:t>曲靖市麒麟区越州镇丫巴山采石场</w:t>
      </w:r>
      <w:r>
        <w:rPr>
          <w:rFonts w:hint="eastAsia" w:cs="Times New Roman"/>
          <w:sz w:val="21"/>
          <w:szCs w:val="21"/>
          <w:highlight w:val="none"/>
          <w:lang w:val="en-US" w:eastAsia="zh-CN"/>
        </w:rPr>
        <w:t xml:space="preserve">         </w:t>
      </w:r>
      <w:r>
        <w:rPr>
          <w:rFonts w:hint="default" w:ascii="Times New Roman" w:hAnsi="Times New Roman" w:cs="Times New Roman"/>
          <w:sz w:val="21"/>
          <w:szCs w:val="21"/>
        </w:rPr>
        <w:t>金额单位：人民币万元</w:t>
      </w:r>
    </w:p>
    <w:tbl>
      <w:tblPr>
        <w:tblStyle w:val="10"/>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6"/>
        <w:gridCol w:w="4206"/>
      </w:tblGrid>
      <w:tr w14:paraId="1AF8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BF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w:t>
            </w:r>
            <w:r>
              <w:rPr>
                <w:rStyle w:val="16"/>
                <w:rFonts w:hint="default" w:ascii="Times New Roman" w:hAnsi="Times New Roman" w:eastAsia="宋体" w:cs="Times New Roman"/>
                <w:lang w:val="en-US" w:eastAsia="zh-CN" w:bidi="ar"/>
              </w:rPr>
              <w:t xml:space="preserve">            </w:t>
            </w:r>
            <w:r>
              <w:rPr>
                <w:rFonts w:hint="default" w:ascii="Times New Roman" w:hAnsi="Times New Roman" w:eastAsia="宋体" w:cs="Times New Roman"/>
                <w:b/>
                <w:bCs/>
                <w:i w:val="0"/>
                <w:iCs w:val="0"/>
                <w:color w:val="000000"/>
                <w:kern w:val="0"/>
                <w:sz w:val="24"/>
                <w:szCs w:val="24"/>
                <w:u w:val="none"/>
                <w:lang w:val="en-US" w:eastAsia="zh-CN" w:bidi="ar"/>
              </w:rPr>
              <w:t>目</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67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评估价值</w:t>
            </w:r>
          </w:p>
        </w:tc>
      </w:tr>
      <w:tr w14:paraId="1012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8A5">
            <w:pPr>
              <w:jc w:val="center"/>
              <w:rPr>
                <w:rFonts w:hint="default" w:ascii="Times New Roman" w:hAnsi="Times New Roman" w:eastAsia="宋体" w:cs="Times New Roman"/>
                <w:b/>
                <w:bCs/>
                <w:i w:val="0"/>
                <w:iCs w:val="0"/>
                <w:color w:val="000000"/>
                <w:sz w:val="24"/>
                <w:szCs w:val="24"/>
                <w:u w:val="none"/>
              </w:rPr>
            </w:pP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C727">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r>
      <w:tr w14:paraId="176F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DAA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Style w:val="17"/>
                <w:rFonts w:hint="default" w:ascii="Times New Roman" w:hAnsi="Times New Roman" w:eastAsia="宋体" w:cs="Times New Roman"/>
                <w:highlight w:val="none"/>
                <w:lang w:val="en-US" w:eastAsia="zh-CN" w:bidi="ar"/>
              </w:rPr>
              <w:t>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164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4.79 </w:t>
            </w:r>
          </w:p>
        </w:tc>
      </w:tr>
      <w:tr w14:paraId="38D0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2D0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非流动资产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F2E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646.91 </w:t>
            </w:r>
          </w:p>
        </w:tc>
      </w:tr>
      <w:tr w14:paraId="5B2C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57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其中：可供出售金融资产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E4C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AA6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3CD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持有至到期投资</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EB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EC3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C24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长期应收款</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90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F69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2B4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长期股权投资</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C6B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3B3A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742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固定资产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FA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646.91 </w:t>
            </w:r>
          </w:p>
        </w:tc>
      </w:tr>
      <w:tr w14:paraId="28B4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DE1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在建工程</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2B5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8A8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3C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固定资产清理</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942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1ACD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95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生产性生物资产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52A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2B78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55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无形资产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81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10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B6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商誉</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0EA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0ED9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957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长期待摊费用</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FEAE">
            <w:pPr>
              <w:keepNext w:val="0"/>
              <w:keepLines w:val="0"/>
              <w:widowControl/>
              <w:suppressLineNumbers w:val="0"/>
              <w:jc w:val="right"/>
              <w:textAlignment w:val="center"/>
              <w:rPr>
                <w:rFonts w:hint="eastAsia" w:ascii="Times New Roman" w:hAnsi="Times New Roman" w:eastAsia="宋体" w:cs="Times New Roman"/>
                <w:i w:val="0"/>
                <w:iCs w:val="0"/>
                <w:color w:val="000000"/>
                <w:sz w:val="22"/>
                <w:szCs w:val="22"/>
                <w:highlight w:val="none"/>
                <w:u w:val="none"/>
                <w:lang w:val="en-US" w:eastAsia="zh-CN"/>
              </w:rPr>
            </w:pPr>
            <w:r>
              <w:rPr>
                <w:rFonts w:hint="eastAsia" w:cs="Times New Roman"/>
                <w:i w:val="0"/>
                <w:iCs w:val="0"/>
                <w:color w:val="000000"/>
                <w:sz w:val="22"/>
                <w:szCs w:val="22"/>
                <w:highlight w:val="none"/>
                <w:u w:val="none"/>
                <w:lang w:val="en-US" w:eastAsia="zh-CN"/>
              </w:rPr>
              <w:t>-</w:t>
            </w:r>
          </w:p>
        </w:tc>
      </w:tr>
      <w:tr w14:paraId="6C6D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D3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递延所得税资产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C8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18E1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DB7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其他非流动资产</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220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   </w:t>
            </w:r>
          </w:p>
        </w:tc>
      </w:tr>
      <w:tr w14:paraId="7D71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4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资产总计</w:t>
            </w:r>
          </w:p>
        </w:tc>
        <w:tc>
          <w:tcPr>
            <w:tcW w:w="4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01D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651.69 </w:t>
            </w:r>
          </w:p>
        </w:tc>
      </w:tr>
    </w:tbl>
    <w:p w14:paraId="2CB0B508">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评估结论的使用有效期：</w:t>
      </w:r>
      <w:r>
        <w:rPr>
          <w:rFonts w:hint="default" w:ascii="Times New Roman" w:hAnsi="Times New Roman" w:cs="Times New Roman"/>
          <w:sz w:val="24"/>
          <w:szCs w:val="24"/>
        </w:rPr>
        <w:t>自评估基准日</w:t>
      </w:r>
      <w:r>
        <w:rPr>
          <w:rFonts w:hint="eastAsia" w:cs="Times New Roman"/>
          <w:sz w:val="24"/>
          <w:szCs w:val="24"/>
          <w:lang w:eastAsia="zh-CN"/>
        </w:rPr>
        <w:t>2024年9月18日</w:t>
      </w:r>
      <w:r>
        <w:rPr>
          <w:rFonts w:hint="default" w:ascii="Times New Roman" w:hAnsi="Times New Roman" w:cs="Times New Roman"/>
          <w:sz w:val="24"/>
          <w:szCs w:val="24"/>
        </w:rPr>
        <w:t>起一年有效。</w:t>
      </w:r>
    </w:p>
    <w:p w14:paraId="546896C5">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重大特别事项：</w:t>
      </w:r>
    </w:p>
    <w:p w14:paraId="2039441E">
      <w:pPr>
        <w:numPr>
          <w:ilvl w:val="0"/>
          <w:numId w:val="1"/>
        </w:numPr>
        <w:spacing w:line="360" w:lineRule="auto"/>
        <w:ind w:firstLine="480" w:firstLineChars="200"/>
        <w:rPr>
          <w:rFonts w:hint="default" w:ascii="Times New Roman" w:hAnsi="Times New Roman" w:cs="Times New Roman"/>
          <w:sz w:val="24"/>
          <w:szCs w:val="24"/>
          <w:highlight w:val="none"/>
        </w:rPr>
      </w:pPr>
      <w:r>
        <w:rPr>
          <w:rFonts w:hint="eastAsia" w:cs="Times New Roman"/>
          <w:sz w:val="24"/>
          <w:szCs w:val="24"/>
          <w:lang w:val="en-US" w:eastAsia="zh-CN"/>
        </w:rPr>
        <w:t>本次资产评估，进场道路的长、宽及挖填方量数据</w:t>
      </w:r>
      <w:r>
        <w:rPr>
          <w:rFonts w:hint="eastAsia" w:cs="Times New Roman"/>
          <w:sz w:val="24"/>
          <w:szCs w:val="24"/>
          <w:highlight w:val="none"/>
          <w:lang w:val="en-US" w:eastAsia="zh-CN"/>
        </w:rPr>
        <w:t>引用了云南铭测科技有限公司2024年 9月12日出具的《曲靖市麒麟区越州镇丫巴山采石场进场道路路面测绘及土石方量计算服务技术总结报告》。</w:t>
      </w:r>
    </w:p>
    <w:p w14:paraId="3655FA1F">
      <w:pPr>
        <w:numPr>
          <w:ilvl w:val="0"/>
          <w:numId w:val="0"/>
        </w:num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纳入本次评估范围内的房屋建筑物截止评估基准日尚未办理房屋所有权证。为此</w:t>
      </w:r>
      <w:r>
        <w:rPr>
          <w:rFonts w:hint="eastAsia" w:cs="Times New Roman"/>
          <w:sz w:val="24"/>
          <w:szCs w:val="24"/>
          <w:lang w:eastAsia="zh-CN"/>
        </w:rPr>
        <w:t>曲靖市麒麟区越州镇丫巴山采石场</w:t>
      </w:r>
      <w:r>
        <w:rPr>
          <w:rFonts w:hint="default" w:ascii="Times New Roman" w:hAnsi="Times New Roman" w:cs="Times New Roman"/>
          <w:sz w:val="24"/>
          <w:szCs w:val="24"/>
        </w:rPr>
        <w:t>出具了书面的权属声明及承诺：本次申报评估的所有建筑物类资产属其所有，不存在权属纠纷及其他对其占有、使用、收益和处置的限制，相关房屋建筑物一旦发生权属纠纷，将由其承担相关法律及经济合同规定的责任。</w:t>
      </w:r>
    </w:p>
    <w:p w14:paraId="0B8CA269">
      <w:pPr>
        <w:pStyle w:val="3"/>
        <w:numPr>
          <w:ilvl w:val="0"/>
          <w:numId w:val="0"/>
        </w:numPr>
        <w:spacing w:line="460" w:lineRule="exact"/>
        <w:ind w:firstLine="480" w:firstLineChars="200"/>
        <w:rPr>
          <w:rFonts w:hint="default" w:ascii="Times New Roman" w:hAnsi="Times New Roman" w:cs="Times New Roman"/>
          <w:sz w:val="24"/>
          <w:szCs w:val="24"/>
        </w:rPr>
      </w:pPr>
      <w:r>
        <w:rPr>
          <w:rFonts w:hint="eastAsia"/>
          <w:kern w:val="2"/>
          <w:szCs w:val="24"/>
          <w:lang w:val="en-US" w:eastAsia="zh-CN"/>
        </w:rPr>
        <w:t>3、</w:t>
      </w:r>
      <w:r>
        <w:rPr>
          <w:rFonts w:hint="eastAsia" w:ascii="Times New Roman" w:hAnsi="Times New Roman" w:eastAsia="宋体" w:cs="Times New Roman"/>
          <w:kern w:val="2"/>
          <w:sz w:val="24"/>
          <w:szCs w:val="24"/>
          <w:lang w:val="en-US" w:eastAsia="zh-CN" w:bidi="ar-SA"/>
        </w:rPr>
        <w:t>纳入本次评估范围内的车辆共计4辆，为曲靖市麒麟区越州镇丫巴山采石场购入的二手车，主要在采石场内使用，未办理过户手续，未提供产权证明材料，为此曲靖市麒麟区越州镇丫巴山采石场出具了书面的权属声明及承诺：本次申报评估的所有车辆类资产属其所有，不存在权属纠纷及其他对其占有、使用、收益和处置的限制，相关车辆一旦发生权属纠纷，将由其承担相关法律及经济合同规定的责任。</w:t>
      </w:r>
    </w:p>
    <w:p w14:paraId="14A6BA1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、本次评估范围中的建筑物的评估值仅包含建筑物本身价值，不包含其占用土地的土地使用权价值。</w:t>
      </w:r>
    </w:p>
    <w:p w14:paraId="7391B9A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纳入本次评估范围内的建筑物占用的土地使用权为租赁用地，本次评估是基于以上房屋建筑物占用范围内的相关租赁使用的土地使用权租赁期届满后可以续租，不影响建筑物的正常使用为前提下将其纳入本次评估范围。</w:t>
      </w:r>
    </w:p>
    <w:p w14:paraId="45B9CF0A">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6</w:t>
      </w:r>
      <w:r>
        <w:rPr>
          <w:rFonts w:hint="default" w:ascii="Times New Roman" w:hAnsi="Times New Roman" w:cs="Times New Roman"/>
          <w:sz w:val="24"/>
          <w:szCs w:val="24"/>
        </w:rPr>
        <w:t>、本次实物资产评估价值内涵为评估基准日对应资产实体状况的完整价值，未付款项由产权持有人继续支付。</w:t>
      </w:r>
    </w:p>
    <w:p w14:paraId="0E63C1F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7</w:t>
      </w:r>
      <w:r>
        <w:rPr>
          <w:rFonts w:hint="default" w:ascii="Times New Roman" w:hAnsi="Times New Roman" w:cs="Times New Roman"/>
          <w:sz w:val="24"/>
          <w:szCs w:val="24"/>
        </w:rPr>
        <w:t>、本次评估，重置全价包含《财政部 税务总局 海关总署关于深化增值税改革有政策的公告》（财政部 税务总局 海关总署公告2019第39号）规定允许抵扣的增值税进项税额。</w:t>
      </w:r>
    </w:p>
    <w:p w14:paraId="0393DC7A">
      <w:pPr>
        <w:spacing w:line="360" w:lineRule="auto"/>
        <w:ind w:firstLine="482" w:firstLineChars="200"/>
        <w:rPr>
          <w:rFonts w:hint="eastAsia" w:cs="Times New Roman"/>
          <w:b/>
          <w:kern w:val="0"/>
          <w:sz w:val="24"/>
          <w:szCs w:val="24"/>
          <w:lang w:eastAsia="zh-CN"/>
        </w:rPr>
      </w:pPr>
      <w:r>
        <w:rPr>
          <w:rFonts w:hint="default" w:ascii="Times New Roman" w:hAnsi="Times New Roman" w:cs="Times New Roman"/>
          <w:b/>
          <w:kern w:val="0"/>
          <w:sz w:val="24"/>
          <w:szCs w:val="24"/>
        </w:rPr>
        <w:t>以上内容摘自资产评估报告正文，欲了解本评估项目的详细情况和合理理解评估结论，应当阅读资产评估报告正文</w:t>
      </w:r>
      <w:r>
        <w:rPr>
          <w:rFonts w:hint="eastAsia" w:cs="Times New Roman"/>
          <w:b/>
          <w:kern w:val="0"/>
          <w:sz w:val="24"/>
          <w:szCs w:val="24"/>
          <w:lang w:eastAsia="zh-CN"/>
        </w:rPr>
        <w:t>。</w:t>
      </w:r>
    </w:p>
    <w:p w14:paraId="2ACA9DCF">
      <w:pPr>
        <w:spacing w:line="360" w:lineRule="auto"/>
        <w:ind w:firstLine="482" w:firstLineChars="200"/>
        <w:rPr>
          <w:rFonts w:hint="eastAsia" w:cs="Times New Roman"/>
          <w:b/>
          <w:kern w:val="0"/>
          <w:sz w:val="24"/>
          <w:szCs w:val="24"/>
          <w:lang w:eastAsia="zh-CN"/>
        </w:rPr>
      </w:pPr>
    </w:p>
    <w:p w14:paraId="01FFD151">
      <w:pPr>
        <w:spacing w:line="360" w:lineRule="auto"/>
        <w:ind w:firstLine="482" w:firstLineChars="200"/>
        <w:rPr>
          <w:rFonts w:hint="eastAsia" w:cs="Times New Roman"/>
          <w:b/>
          <w:kern w:val="0"/>
          <w:sz w:val="24"/>
          <w:szCs w:val="24"/>
          <w:lang w:eastAsia="zh-CN"/>
        </w:rPr>
      </w:pPr>
    </w:p>
    <w:p w14:paraId="36EBDBB6">
      <w:pPr>
        <w:spacing w:line="360" w:lineRule="auto"/>
        <w:ind w:firstLine="482" w:firstLineChars="200"/>
        <w:rPr>
          <w:rFonts w:hint="eastAsia" w:cs="Times New Roman"/>
          <w:b/>
          <w:kern w:val="0"/>
          <w:sz w:val="24"/>
          <w:szCs w:val="24"/>
          <w:lang w:eastAsia="zh-CN"/>
        </w:rPr>
      </w:pPr>
    </w:p>
    <w:p w14:paraId="242CED2E">
      <w:pPr>
        <w:spacing w:line="360" w:lineRule="auto"/>
        <w:ind w:firstLine="482" w:firstLineChars="200"/>
        <w:rPr>
          <w:rFonts w:hint="eastAsia" w:cs="Times New Roman"/>
          <w:b/>
          <w:kern w:val="0"/>
          <w:sz w:val="24"/>
          <w:szCs w:val="24"/>
          <w:lang w:eastAsia="zh-CN"/>
        </w:rPr>
      </w:pPr>
    </w:p>
    <w:p w14:paraId="62FC82F7">
      <w:pPr>
        <w:spacing w:line="360" w:lineRule="auto"/>
        <w:ind w:firstLine="482" w:firstLineChars="200"/>
        <w:rPr>
          <w:rFonts w:hint="eastAsia" w:cs="Times New Roman"/>
          <w:b/>
          <w:kern w:val="0"/>
          <w:sz w:val="24"/>
          <w:szCs w:val="24"/>
          <w:lang w:eastAsia="zh-CN"/>
        </w:rPr>
      </w:pPr>
    </w:p>
    <w:p w14:paraId="04AD8228">
      <w:pPr>
        <w:spacing w:line="360" w:lineRule="auto"/>
        <w:ind w:firstLine="4096" w:firstLineChars="1700"/>
        <w:rPr>
          <w:rFonts w:hint="eastAsia" w:cs="Times New Roman"/>
          <w:b/>
          <w:kern w:val="0"/>
          <w:sz w:val="24"/>
          <w:szCs w:val="24"/>
          <w:lang w:val="en-US" w:eastAsia="zh-CN"/>
        </w:rPr>
      </w:pPr>
      <w:r>
        <w:rPr>
          <w:rFonts w:hint="eastAsia" w:cs="Times New Roman"/>
          <w:b/>
          <w:kern w:val="0"/>
          <w:sz w:val="24"/>
          <w:szCs w:val="24"/>
          <w:lang w:val="en-US" w:eastAsia="zh-CN"/>
        </w:rPr>
        <w:t>云南公信房地产土地资产评估有限公司</w:t>
      </w:r>
    </w:p>
    <w:p w14:paraId="501E530C">
      <w:pPr>
        <w:spacing w:line="360" w:lineRule="auto"/>
        <w:rPr>
          <w:rFonts w:hint="eastAsia" w:cs="Times New Roman"/>
          <w:b/>
          <w:kern w:val="0"/>
          <w:sz w:val="24"/>
          <w:szCs w:val="24"/>
          <w:lang w:val="en-US" w:eastAsia="zh-CN"/>
        </w:rPr>
      </w:pPr>
    </w:p>
    <w:p w14:paraId="0ABA0F6E">
      <w:pPr>
        <w:spacing w:line="360" w:lineRule="auto"/>
        <w:ind w:firstLine="5301" w:firstLineChars="2200"/>
        <w:rPr>
          <w:rFonts w:hint="eastAsia" w:cs="Times New Roman"/>
          <w:b/>
          <w:kern w:val="0"/>
          <w:sz w:val="24"/>
          <w:szCs w:val="24"/>
          <w:lang w:val="en-US" w:eastAsia="zh-CN"/>
        </w:rPr>
      </w:pPr>
    </w:p>
    <w:p w14:paraId="0084358C">
      <w:pPr>
        <w:ind w:firstLine="5301" w:firstLineChars="2200"/>
        <w:rPr>
          <w:rFonts w:hint="default" w:ascii="Times New Roman" w:hAnsi="Times New Roman" w:cs="Times New Roman"/>
        </w:rPr>
      </w:pPr>
      <w:r>
        <w:rPr>
          <w:rFonts w:hint="eastAsia" w:cs="Times New Roman"/>
          <w:b/>
          <w:kern w:val="0"/>
          <w:sz w:val="24"/>
          <w:szCs w:val="24"/>
          <w:lang w:val="en-US" w:eastAsia="zh-CN"/>
        </w:rPr>
        <w:t>2024年10月9日</w:t>
      </w:r>
    </w:p>
    <w:sectPr>
      <w:headerReference r:id="rId4" w:type="first"/>
      <w:footerReference r:id="rId6" w:type="first"/>
      <w:headerReference r:id="rId3" w:type="default"/>
      <w:footerReference r:id="rId5" w:type="default"/>
      <w:pgSz w:w="11906" w:h="16838"/>
      <w:pgMar w:top="1134" w:right="1418" w:bottom="1134" w:left="1418" w:header="851" w:footer="85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细圆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2848">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5F044316">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w:t>
    </w:r>
    <w:r>
      <w:rPr>
        <w:rFonts w:hint="eastAsia"/>
        <w:sz w:val="21"/>
        <w:szCs w:val="21"/>
      </w:rPr>
      <w:t>7  传真：0874-33</w:t>
    </w:r>
    <w:r>
      <w:rPr>
        <w:rFonts w:hint="eastAsia"/>
        <w:sz w:val="21"/>
        <w:szCs w:val="21"/>
        <w:lang w:val="en-US" w:eastAsia="zh-CN"/>
      </w:rPr>
      <w:t>15687</w:t>
    </w:r>
  </w:p>
  <w:p w14:paraId="019A8D1E">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16</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F194">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2D3E19F9">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15687</w:t>
    </w:r>
    <w:r>
      <w:rPr>
        <w:rFonts w:hint="eastAsia"/>
        <w:sz w:val="21"/>
        <w:szCs w:val="21"/>
      </w:rPr>
      <w:t xml:space="preserve">  传真：0874-33</w:t>
    </w:r>
    <w:r>
      <w:rPr>
        <w:rFonts w:hint="eastAsia"/>
        <w:sz w:val="21"/>
        <w:szCs w:val="21"/>
        <w:lang w:val="en-US" w:eastAsia="zh-CN"/>
      </w:rPr>
      <w:t>15687</w:t>
    </w:r>
  </w:p>
  <w:p w14:paraId="588B8969">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7DB4">
    <w:pPr>
      <w:pStyle w:val="6"/>
      <w:jc w:val="left"/>
      <w:rPr>
        <w:rFonts w:hint="default"/>
        <w:color w:val="000000"/>
        <w:kern w:val="0"/>
        <w:sz w:val="21"/>
        <w:szCs w:val="21"/>
        <w:lang w:val="en-US" w:eastAsia="zh-CN"/>
      </w:rPr>
    </w:pPr>
    <w:r>
      <w:rPr>
        <w:rFonts w:hint="eastAsia"/>
        <w:color w:val="000000"/>
        <w:kern w:val="0"/>
        <w:sz w:val="21"/>
        <w:szCs w:val="21"/>
        <w:lang w:eastAsia="zh-CN"/>
      </w:rPr>
      <w:t>曲靖市麒麟区越州镇丫巴山采石场普通建筑石料用石灰岩矿（</w:t>
    </w:r>
    <w:r>
      <w:rPr>
        <w:rFonts w:hint="eastAsia"/>
        <w:color w:val="000000"/>
        <w:kern w:val="0"/>
        <w:sz w:val="21"/>
        <w:szCs w:val="21"/>
        <w:lang w:val="en-US" w:eastAsia="zh-CN"/>
      </w:rPr>
      <w:t>拟设）</w:t>
    </w:r>
    <w:r>
      <w:rPr>
        <w:rFonts w:hint="eastAsia"/>
        <w:color w:val="000000"/>
        <w:kern w:val="0"/>
        <w:sz w:val="21"/>
        <w:szCs w:val="21"/>
        <w:lang w:eastAsia="zh-CN"/>
      </w:rPr>
      <w:t>采矿权拟挂牌出让所涉及的</w:t>
    </w:r>
    <w:r>
      <w:rPr>
        <w:rFonts w:hint="eastAsia"/>
        <w:color w:val="000000"/>
        <w:kern w:val="0"/>
        <w:sz w:val="21"/>
        <w:szCs w:val="21"/>
        <w:lang w:val="en-US" w:eastAsia="zh-CN"/>
      </w:rPr>
      <w:t>曲靖市麒麟区越州镇丫巴山采石场</w:t>
    </w:r>
    <w:r>
      <w:rPr>
        <w:rFonts w:hint="eastAsia"/>
        <w:color w:val="000000"/>
        <w:kern w:val="0"/>
        <w:sz w:val="21"/>
        <w:szCs w:val="21"/>
        <w:lang w:eastAsia="zh-CN"/>
      </w:rPr>
      <w:t>实物资产</w:t>
    </w:r>
    <w:r>
      <w:rPr>
        <w:rFonts w:hint="eastAsia"/>
        <w:color w:val="000000"/>
        <w:kern w:val="0"/>
        <w:sz w:val="21"/>
        <w:szCs w:val="21"/>
        <w:lang w:val="en-US" w:eastAsia="zh-CN"/>
      </w:rPr>
      <w:t>市场价值</w:t>
    </w:r>
    <w:r>
      <w:rPr>
        <w:rFonts w:hint="eastAsia"/>
        <w:color w:val="000000"/>
        <w:kern w:val="0"/>
        <w:sz w:val="21"/>
        <w:szCs w:val="21"/>
        <w:lang w:eastAsia="zh-CN"/>
      </w:rPr>
      <w:t>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F24B">
    <w:pPr>
      <w:pStyle w:val="6"/>
      <w:jc w:val="left"/>
      <w:rPr>
        <w:rFonts w:hint="default" w:eastAsia="宋体"/>
        <w:sz w:val="21"/>
        <w:szCs w:val="21"/>
        <w:lang w:val="en-US" w:eastAsia="zh-CN"/>
      </w:rPr>
    </w:pPr>
    <w:r>
      <w:rPr>
        <w:rFonts w:hint="eastAsia"/>
        <w:color w:val="000000"/>
        <w:kern w:val="0"/>
        <w:sz w:val="21"/>
        <w:szCs w:val="21"/>
        <w:lang w:eastAsia="zh-CN"/>
      </w:rPr>
      <w:t>曲靖市麒麟区越州镇丫巴山采石场普通建筑石料用石灰岩矿（</w:t>
    </w:r>
    <w:r>
      <w:rPr>
        <w:rFonts w:hint="eastAsia"/>
        <w:color w:val="000000"/>
        <w:kern w:val="0"/>
        <w:sz w:val="21"/>
        <w:szCs w:val="21"/>
        <w:lang w:val="en-US" w:eastAsia="zh-CN"/>
      </w:rPr>
      <w:t>拟设）</w:t>
    </w:r>
    <w:r>
      <w:rPr>
        <w:rFonts w:hint="eastAsia"/>
        <w:color w:val="000000"/>
        <w:kern w:val="0"/>
        <w:sz w:val="21"/>
        <w:szCs w:val="21"/>
        <w:lang w:eastAsia="zh-CN"/>
      </w:rPr>
      <w:t>采矿权拟挂牌出让所涉及的</w:t>
    </w:r>
    <w:r>
      <w:rPr>
        <w:rFonts w:hint="eastAsia"/>
        <w:color w:val="000000"/>
        <w:kern w:val="0"/>
        <w:sz w:val="21"/>
        <w:szCs w:val="21"/>
        <w:lang w:val="en-US" w:eastAsia="zh-CN"/>
      </w:rPr>
      <w:t>曲靖市麒麟区越州镇丫巴山采石场</w:t>
    </w:r>
    <w:r>
      <w:rPr>
        <w:rFonts w:hint="eastAsia"/>
        <w:color w:val="000000"/>
        <w:kern w:val="0"/>
        <w:sz w:val="21"/>
        <w:szCs w:val="21"/>
        <w:lang w:eastAsia="zh-CN"/>
      </w:rPr>
      <w:t>实物资产</w:t>
    </w:r>
    <w:r>
      <w:rPr>
        <w:rFonts w:hint="eastAsia"/>
        <w:color w:val="000000"/>
        <w:kern w:val="0"/>
        <w:sz w:val="21"/>
        <w:szCs w:val="21"/>
        <w:lang w:val="en-US" w:eastAsia="zh-CN"/>
      </w:rPr>
      <w:t>市场价值</w:t>
    </w:r>
    <w:r>
      <w:rPr>
        <w:rFonts w:hint="eastAsia"/>
        <w:color w:val="000000"/>
        <w:kern w:val="0"/>
        <w:sz w:val="21"/>
        <w:szCs w:val="21"/>
        <w:lang w:eastAsia="zh-CN"/>
      </w:rPr>
      <w:t>评估项目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E091A"/>
    <w:multiLevelType w:val="singleLevel"/>
    <w:tmpl w:val="A92E09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mZhZWJkODY1NDBiODIyYTRmZDRmZWI5YWFkMDkifQ=="/>
  </w:docVars>
  <w:rsids>
    <w:rsidRoot w:val="00000000"/>
    <w:rsid w:val="009E70F5"/>
    <w:rsid w:val="02445D75"/>
    <w:rsid w:val="031F3DF1"/>
    <w:rsid w:val="03824F69"/>
    <w:rsid w:val="04B4143D"/>
    <w:rsid w:val="04FE63B4"/>
    <w:rsid w:val="057E12A3"/>
    <w:rsid w:val="05AF48CD"/>
    <w:rsid w:val="05EE4145"/>
    <w:rsid w:val="062E4A77"/>
    <w:rsid w:val="06D80FC2"/>
    <w:rsid w:val="0744651C"/>
    <w:rsid w:val="07762B7A"/>
    <w:rsid w:val="08393F56"/>
    <w:rsid w:val="084C38DA"/>
    <w:rsid w:val="0851227F"/>
    <w:rsid w:val="0B0264D2"/>
    <w:rsid w:val="0BDC7109"/>
    <w:rsid w:val="0D0B143F"/>
    <w:rsid w:val="0D3D1A44"/>
    <w:rsid w:val="0D700C7C"/>
    <w:rsid w:val="0FBF2BE4"/>
    <w:rsid w:val="0FEE34C9"/>
    <w:rsid w:val="118B5473"/>
    <w:rsid w:val="11B610FF"/>
    <w:rsid w:val="12380A2C"/>
    <w:rsid w:val="123A29F6"/>
    <w:rsid w:val="12655CC4"/>
    <w:rsid w:val="12993BC0"/>
    <w:rsid w:val="12C624DB"/>
    <w:rsid w:val="12CD56F2"/>
    <w:rsid w:val="140137CB"/>
    <w:rsid w:val="149E726C"/>
    <w:rsid w:val="14B06F9F"/>
    <w:rsid w:val="15A93654"/>
    <w:rsid w:val="16007AB2"/>
    <w:rsid w:val="167F131F"/>
    <w:rsid w:val="170F61FF"/>
    <w:rsid w:val="172E20D2"/>
    <w:rsid w:val="17404141"/>
    <w:rsid w:val="17516817"/>
    <w:rsid w:val="17620A24"/>
    <w:rsid w:val="18266A91"/>
    <w:rsid w:val="18802534"/>
    <w:rsid w:val="18C272A1"/>
    <w:rsid w:val="18F276B7"/>
    <w:rsid w:val="18FC6C57"/>
    <w:rsid w:val="19F52E15"/>
    <w:rsid w:val="1A4C23EA"/>
    <w:rsid w:val="1B7C407F"/>
    <w:rsid w:val="1B811695"/>
    <w:rsid w:val="1BCC409F"/>
    <w:rsid w:val="1C2E5379"/>
    <w:rsid w:val="1C4701E9"/>
    <w:rsid w:val="1D9751A0"/>
    <w:rsid w:val="1D9C7E86"/>
    <w:rsid w:val="1DEA0BDD"/>
    <w:rsid w:val="1E125C7B"/>
    <w:rsid w:val="1F214D74"/>
    <w:rsid w:val="1FB36242"/>
    <w:rsid w:val="21012A66"/>
    <w:rsid w:val="22082246"/>
    <w:rsid w:val="22B1460E"/>
    <w:rsid w:val="23733FB9"/>
    <w:rsid w:val="238E494F"/>
    <w:rsid w:val="23957A8C"/>
    <w:rsid w:val="23DF51AB"/>
    <w:rsid w:val="2455362D"/>
    <w:rsid w:val="25545725"/>
    <w:rsid w:val="25A034AF"/>
    <w:rsid w:val="2707752E"/>
    <w:rsid w:val="28D77DD1"/>
    <w:rsid w:val="29325D7D"/>
    <w:rsid w:val="29B3474C"/>
    <w:rsid w:val="2ACA2711"/>
    <w:rsid w:val="2B872659"/>
    <w:rsid w:val="2CB65EB0"/>
    <w:rsid w:val="2D5B14F1"/>
    <w:rsid w:val="2EC60750"/>
    <w:rsid w:val="302C6BCC"/>
    <w:rsid w:val="30C53039"/>
    <w:rsid w:val="321921D0"/>
    <w:rsid w:val="322B4AD8"/>
    <w:rsid w:val="32A372A9"/>
    <w:rsid w:val="33D91C17"/>
    <w:rsid w:val="34555287"/>
    <w:rsid w:val="34A22009"/>
    <w:rsid w:val="34EA5B19"/>
    <w:rsid w:val="356D090D"/>
    <w:rsid w:val="359202CF"/>
    <w:rsid w:val="36835E6A"/>
    <w:rsid w:val="371D3A9C"/>
    <w:rsid w:val="376B0DD8"/>
    <w:rsid w:val="382B1CCD"/>
    <w:rsid w:val="384B6529"/>
    <w:rsid w:val="393A3157"/>
    <w:rsid w:val="397321C6"/>
    <w:rsid w:val="39EF6D6D"/>
    <w:rsid w:val="3A575643"/>
    <w:rsid w:val="3A6B7341"/>
    <w:rsid w:val="3A9947E9"/>
    <w:rsid w:val="3AE0388B"/>
    <w:rsid w:val="3E5C147A"/>
    <w:rsid w:val="404A15C6"/>
    <w:rsid w:val="40CB2B6B"/>
    <w:rsid w:val="421B164C"/>
    <w:rsid w:val="42D416CF"/>
    <w:rsid w:val="43B14016"/>
    <w:rsid w:val="442347E8"/>
    <w:rsid w:val="44E44389"/>
    <w:rsid w:val="457C3351"/>
    <w:rsid w:val="4613773B"/>
    <w:rsid w:val="46DC007B"/>
    <w:rsid w:val="47A3011A"/>
    <w:rsid w:val="47CF0101"/>
    <w:rsid w:val="48745B07"/>
    <w:rsid w:val="499A379E"/>
    <w:rsid w:val="49A9386E"/>
    <w:rsid w:val="4A195577"/>
    <w:rsid w:val="4AEE78FE"/>
    <w:rsid w:val="4B2638E1"/>
    <w:rsid w:val="4B997FA1"/>
    <w:rsid w:val="4D275349"/>
    <w:rsid w:val="4D395546"/>
    <w:rsid w:val="4D8A4FE2"/>
    <w:rsid w:val="4EAF2A99"/>
    <w:rsid w:val="4EBA7CE3"/>
    <w:rsid w:val="4F1D73FB"/>
    <w:rsid w:val="4FB80AB6"/>
    <w:rsid w:val="4FED287A"/>
    <w:rsid w:val="502618E8"/>
    <w:rsid w:val="509947B0"/>
    <w:rsid w:val="50AA724D"/>
    <w:rsid w:val="50E06371"/>
    <w:rsid w:val="50F419E6"/>
    <w:rsid w:val="511D718F"/>
    <w:rsid w:val="5179593A"/>
    <w:rsid w:val="520619D1"/>
    <w:rsid w:val="5293427F"/>
    <w:rsid w:val="534328F3"/>
    <w:rsid w:val="536C7C6B"/>
    <w:rsid w:val="53CC6C4A"/>
    <w:rsid w:val="53D61A1E"/>
    <w:rsid w:val="53F154AF"/>
    <w:rsid w:val="544F34C3"/>
    <w:rsid w:val="54A84FC1"/>
    <w:rsid w:val="554129AF"/>
    <w:rsid w:val="55FC709B"/>
    <w:rsid w:val="585175C5"/>
    <w:rsid w:val="59101387"/>
    <w:rsid w:val="5C190553"/>
    <w:rsid w:val="5C3E5877"/>
    <w:rsid w:val="5CE23680"/>
    <w:rsid w:val="5D276C9F"/>
    <w:rsid w:val="5E111E29"/>
    <w:rsid w:val="5E662E39"/>
    <w:rsid w:val="5F3F29C6"/>
    <w:rsid w:val="5F4454ED"/>
    <w:rsid w:val="609E449F"/>
    <w:rsid w:val="62AE40EB"/>
    <w:rsid w:val="63E60F0E"/>
    <w:rsid w:val="64852C29"/>
    <w:rsid w:val="657333CA"/>
    <w:rsid w:val="65801E38"/>
    <w:rsid w:val="65A215B9"/>
    <w:rsid w:val="66551F58"/>
    <w:rsid w:val="665D1AFF"/>
    <w:rsid w:val="66742F55"/>
    <w:rsid w:val="66F75934"/>
    <w:rsid w:val="68774F7F"/>
    <w:rsid w:val="69101DD9"/>
    <w:rsid w:val="697338DA"/>
    <w:rsid w:val="6994325F"/>
    <w:rsid w:val="6B7C294D"/>
    <w:rsid w:val="6B8C3426"/>
    <w:rsid w:val="6CDC0C77"/>
    <w:rsid w:val="6D1A237D"/>
    <w:rsid w:val="6D8C7802"/>
    <w:rsid w:val="6DEA7B8D"/>
    <w:rsid w:val="6E032E11"/>
    <w:rsid w:val="6E262DB2"/>
    <w:rsid w:val="70ED0190"/>
    <w:rsid w:val="71834994"/>
    <w:rsid w:val="71CF06B9"/>
    <w:rsid w:val="71CF1988"/>
    <w:rsid w:val="71DB032D"/>
    <w:rsid w:val="727B566C"/>
    <w:rsid w:val="72FF004B"/>
    <w:rsid w:val="73AE3DA9"/>
    <w:rsid w:val="741E0BCE"/>
    <w:rsid w:val="74CF321F"/>
    <w:rsid w:val="762A4C39"/>
    <w:rsid w:val="76D84669"/>
    <w:rsid w:val="76FD2AF3"/>
    <w:rsid w:val="7716144C"/>
    <w:rsid w:val="778E4093"/>
    <w:rsid w:val="77C25F2B"/>
    <w:rsid w:val="78BE4504"/>
    <w:rsid w:val="79102FB2"/>
    <w:rsid w:val="7ACA53E2"/>
    <w:rsid w:val="7ADE2C3C"/>
    <w:rsid w:val="7AF34939"/>
    <w:rsid w:val="7DDD1FBC"/>
    <w:rsid w:val="7E39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120" w:after="120" w:line="360" w:lineRule="auto"/>
      <w:ind w:firstLine="200" w:firstLineChars="200"/>
      <w:outlineLvl w:val="1"/>
    </w:pPr>
    <w:rPr>
      <w:rFonts w:ascii="Cambria" w:hAnsi="Cambria"/>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before="60" w:after="60" w:line="312" w:lineRule="atLeast"/>
      <w:ind w:firstLine="420"/>
      <w:textAlignment w:val="baseline"/>
    </w:pPr>
    <w:rPr>
      <w:kern w:val="0"/>
      <w:sz w:val="24"/>
      <w:szCs w:val="20"/>
    </w:rPr>
  </w:style>
  <w:style w:type="paragraph" w:styleId="4">
    <w:name w:val="Body Text"/>
    <w:basedOn w:val="1"/>
    <w:qFormat/>
    <w:uiPriority w:val="0"/>
    <w:pPr>
      <w:spacing w:after="120"/>
    </w:pPr>
    <w:rPr>
      <w:kern w:val="0"/>
      <w:sz w:val="24"/>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4" w:space="1"/>
      </w:pBdr>
      <w:tabs>
        <w:tab w:val="center" w:pos="4153"/>
        <w:tab w:val="right" w:pos="8306"/>
      </w:tabs>
      <w:snapToGrid w:val="0"/>
      <w:jc w:val="center"/>
    </w:pPr>
    <w:rPr>
      <w:sz w:val="18"/>
      <w:szCs w:val="20"/>
    </w:rPr>
  </w:style>
  <w:style w:type="paragraph" w:styleId="7">
    <w:name w:val="toc 1"/>
    <w:basedOn w:val="1"/>
    <w:next w:val="1"/>
    <w:qFormat/>
    <w:uiPriority w:val="39"/>
    <w:pPr>
      <w:spacing w:before="120" w:after="120"/>
      <w:jc w:val="left"/>
    </w:pPr>
    <w:rPr>
      <w:rFonts w:ascii="Calibri" w:hAnsi="Calibri" w:cs="Calibri"/>
      <w:b/>
      <w:bCs/>
      <w:caps/>
      <w:sz w:val="20"/>
      <w:szCs w:val="20"/>
    </w:rPr>
  </w:style>
  <w:style w:type="paragraph" w:styleId="8">
    <w:name w:val="toc 2"/>
    <w:basedOn w:val="1"/>
    <w:next w:val="1"/>
    <w:qFormat/>
    <w:uiPriority w:val="39"/>
    <w:pPr>
      <w:ind w:left="210"/>
      <w:jc w:val="left"/>
    </w:pPr>
    <w:rPr>
      <w:rFonts w:ascii="Calibri" w:hAnsi="Calibri" w:cs="Calibri"/>
      <w:smallCaps/>
      <w:sz w:val="20"/>
      <w:szCs w:val="20"/>
    </w:rPr>
  </w:style>
  <w:style w:type="paragraph" w:styleId="9">
    <w:name w:val="Title"/>
    <w:basedOn w:val="1"/>
    <w:next w:val="1"/>
    <w:qFormat/>
    <w:uiPriority w:val="0"/>
    <w:pPr>
      <w:spacing w:before="240" w:after="60"/>
      <w:jc w:val="center"/>
      <w:outlineLvl w:val="0"/>
    </w:pPr>
    <w:rPr>
      <w:rFonts w:ascii="Cambria" w:hAnsi="Cambria"/>
      <w:b/>
      <w:bCs/>
      <w:kern w:val="0"/>
      <w:sz w:val="32"/>
      <w:szCs w:val="32"/>
    </w:rPr>
  </w:style>
  <w:style w:type="character" w:styleId="12">
    <w:name w:val="Hyperlink"/>
    <w:basedOn w:val="11"/>
    <w:qFormat/>
    <w:uiPriority w:val="99"/>
    <w:rPr>
      <w:rFonts w:cs="Times New Roman"/>
      <w:color w:val="0000FF"/>
      <w:u w:val="single"/>
    </w:rPr>
  </w:style>
  <w:style w:type="paragraph" w:customStyle="1" w:styleId="13">
    <w:name w:val="无间隔1"/>
    <w:qFormat/>
    <w:uiPriority w:val="1"/>
    <w:pPr>
      <w:ind w:firstLine="210" w:firstLineChars="210"/>
    </w:pPr>
    <w:rPr>
      <w:rFonts w:ascii="Calibri" w:hAnsi="Calibri" w:eastAsia="仿宋" w:cs="Times New Roman"/>
      <w:kern w:val="2"/>
      <w:sz w:val="28"/>
      <w:szCs w:val="22"/>
      <w:lang w:val="en-US" w:eastAsia="zh-CN" w:bidi="ar-SA"/>
    </w:rPr>
  </w:style>
  <w:style w:type="character" w:customStyle="1" w:styleId="14">
    <w:name w:val="font11"/>
    <w:basedOn w:val="11"/>
    <w:qFormat/>
    <w:uiPriority w:val="0"/>
    <w:rPr>
      <w:rFonts w:hint="default" w:ascii="Times New Roman" w:hAnsi="Times New Roman" w:cs="Times New Roman"/>
      <w:color w:val="000000"/>
      <w:sz w:val="21"/>
      <w:szCs w:val="21"/>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font01"/>
    <w:basedOn w:val="11"/>
    <w:qFormat/>
    <w:uiPriority w:val="0"/>
    <w:rPr>
      <w:rFonts w:hint="default" w:ascii="Times New Roman" w:hAnsi="Times New Roman" w:cs="Times New Roman"/>
      <w:b/>
      <w:bCs/>
      <w:color w:val="000000"/>
      <w:sz w:val="24"/>
      <w:szCs w:val="24"/>
      <w:u w:val="none"/>
    </w:rPr>
  </w:style>
  <w:style w:type="character" w:customStyle="1" w:styleId="17">
    <w:name w:val="font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11283</Words>
  <Characters>11754</Characters>
  <Lines>0</Lines>
  <Paragraphs>0</Paragraphs>
  <TotalTime>6</TotalTime>
  <ScaleCrop>false</ScaleCrop>
  <LinksUpToDate>false</LinksUpToDate>
  <CharactersWithSpaces>12161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2022-07-22T08:33:00Z</dcterms:created>
  <dc:creator>Administrator</dc:creator>
  <cp:lastModifiedBy>零落的尘</cp:lastModifiedBy>
  <cp:lastPrinted>2022-07-29T06:41:00Z</cp:lastPrinted>
  <dcterms:modified xsi:type="dcterms:W3CDTF">2024-11-19T01:00:21Z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3B8B12F5FE384AD48415C0333EBCE101</vt:lpwstr>
  </property>
</Properties>
</file>