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宋体" w:hAnsi="宋体" w:eastAsia="宋体" w:cs="宋体"/>
          <w:b/>
          <w:bCs/>
          <w:spacing w:val="-6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6"/>
          <w:sz w:val="40"/>
          <w:szCs w:val="40"/>
        </w:rPr>
        <w:t>2023 年度</w:t>
      </w:r>
      <w:r>
        <w:rPr>
          <w:rFonts w:hint="eastAsia" w:ascii="宋体" w:hAnsi="宋体" w:eastAsia="宋体" w:cs="宋体"/>
          <w:b/>
          <w:bCs/>
          <w:spacing w:val="-6"/>
          <w:sz w:val="40"/>
          <w:szCs w:val="40"/>
          <w:lang w:eastAsia="zh-CN"/>
        </w:rPr>
        <w:t>巩固拓展脱贫攻坚成果</w:t>
      </w:r>
      <w:r>
        <w:rPr>
          <w:rFonts w:hint="eastAsia" w:ascii="宋体" w:hAnsi="宋体" w:eastAsia="宋体" w:cs="宋体"/>
          <w:b/>
          <w:bCs/>
          <w:spacing w:val="-6"/>
          <w:sz w:val="40"/>
          <w:szCs w:val="40"/>
        </w:rPr>
        <w:t>同乡村振兴有效衔接规划项目兴龙村委会</w:t>
      </w:r>
    </w:p>
    <w:p>
      <w:pPr>
        <w:jc w:val="center"/>
        <w:rPr>
          <w:rFonts w:hint="eastAsia" w:ascii="方正小标宋简体" w:hAnsi="宋体" w:eastAsia="方正小标宋简体"/>
          <w:color w:val="000000" w:themeColor="text1"/>
          <w:spacing w:val="6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pacing w:val="6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绩效评价报告</w:t>
      </w:r>
    </w:p>
    <w:p>
      <w:pPr>
        <w:spacing w:line="590" w:lineRule="exact"/>
        <w:jc w:val="center"/>
        <w:rPr>
          <w:rFonts w:ascii="方正小标宋简体" w:hAnsi="Arial Narrow" w:eastAsia="方正小标宋简体"/>
          <w:spacing w:val="6"/>
          <w:kern w:val="0"/>
          <w:sz w:val="40"/>
          <w:szCs w:val="40"/>
        </w:rPr>
      </w:pPr>
    </w:p>
    <w:p>
      <w:pPr>
        <w:spacing w:line="590" w:lineRule="exact"/>
        <w:jc w:val="center"/>
        <w:rPr>
          <w:rFonts w:ascii="方正小标宋简体" w:hAnsi="Arial Narrow" w:eastAsia="方正小标宋简体"/>
          <w:spacing w:val="6"/>
          <w:kern w:val="0"/>
          <w:sz w:val="40"/>
          <w:szCs w:val="40"/>
        </w:rPr>
      </w:pP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pacing w:val="6"/>
          <w:kern w:val="0"/>
          <w:sz w:val="36"/>
          <w:szCs w:val="36"/>
        </w:rPr>
      </w:pP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pacing w:val="6"/>
          <w:kern w:val="0"/>
          <w:sz w:val="36"/>
          <w:szCs w:val="36"/>
        </w:rPr>
      </w:pP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pacing w:val="6"/>
          <w:kern w:val="0"/>
          <w:sz w:val="36"/>
          <w:szCs w:val="36"/>
        </w:rPr>
      </w:pP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pacing w:val="6"/>
          <w:kern w:val="0"/>
          <w:sz w:val="36"/>
          <w:szCs w:val="36"/>
        </w:rPr>
      </w:pPr>
    </w:p>
    <w:p>
      <w:pPr>
        <w:spacing w:line="590" w:lineRule="exact"/>
        <w:jc w:val="both"/>
        <w:rPr>
          <w:rFonts w:hint="default" w:ascii="方正小标宋简体" w:hAnsi="方正小标宋简体" w:eastAsia="黑体" w:cs="方正小标宋简体"/>
          <w:spacing w:val="6"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县级主管</w:t>
      </w: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麒麟区乡村振兴局</w:t>
      </w:r>
    </w:p>
    <w:p>
      <w:pPr>
        <w:adjustRightInd w:val="0"/>
        <w:spacing w:line="590" w:lineRule="exact"/>
        <w:rPr>
          <w:rFonts w:hint="default" w:ascii="黑体" w:hAnsi="宋体" w:eastAsia="黑体"/>
          <w:color w:val="000000" w:themeColor="text1"/>
          <w:spacing w:val="6"/>
          <w:sz w:val="30"/>
          <w:szCs w:val="3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项目主管</w:t>
      </w: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三宝街道办事处</w:t>
      </w:r>
    </w:p>
    <w:p>
      <w:pPr>
        <w:spacing w:before="130" w:line="237" w:lineRule="auto"/>
        <w:ind w:right="116"/>
        <w:jc w:val="left"/>
        <w:rPr>
          <w:rFonts w:hint="default" w:ascii="黑体" w:hAnsi="宋体" w:eastAsia="黑体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项 目 </w:t>
      </w: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14:textFill>
            <w14:solidFill>
              <w14:schemeClr w14:val="tx1"/>
            </w14:solidFill>
          </w14:textFill>
        </w:rPr>
        <w:t>称：</w:t>
      </w: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兴龙村委会张官营村小组道路硬化项目</w:t>
      </w:r>
    </w:p>
    <w:p>
      <w:pPr>
        <w:autoSpaceDE w:val="0"/>
        <w:autoSpaceDN w:val="0"/>
        <w:adjustRightInd w:val="0"/>
        <w:spacing w:line="590" w:lineRule="exact"/>
        <w:rPr>
          <w:rFonts w:hint="default" w:ascii="黑体" w:hAnsi="宋体" w:eastAsia="黑体"/>
          <w:color w:val="0000FF"/>
          <w:spacing w:val="6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开工至完工</w:t>
      </w: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2023年7月至2023年9月</w:t>
      </w:r>
    </w:p>
    <w:p>
      <w:pPr>
        <w:autoSpaceDE w:val="0"/>
        <w:autoSpaceDN w:val="0"/>
        <w:adjustRightInd w:val="0"/>
        <w:spacing w:line="590" w:lineRule="exact"/>
        <w:rPr>
          <w:rFonts w:hint="default" w:ascii="黑体" w:hAnsi="宋体" w:eastAsia="黑体"/>
          <w:color w:val="0000FF"/>
          <w:spacing w:val="6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绩效自评</w:t>
      </w: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14:textFill>
            <w14:solidFill>
              <w14:schemeClr w14:val="tx1"/>
            </w14:solidFill>
          </w14:textFill>
        </w:rPr>
        <w:t>报告出具时间：</w:t>
      </w:r>
      <w:r>
        <w:rPr>
          <w:rFonts w:hint="eastAsia" w:ascii="黑体" w:hAnsi="宋体" w:eastAsia="黑体"/>
          <w:color w:val="000000" w:themeColor="text1"/>
          <w:spacing w:val="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2023年11月14日</w:t>
      </w:r>
    </w:p>
    <w:p>
      <w:pPr>
        <w:pStyle w:val="2"/>
        <w:rPr>
          <w:rFonts w:ascii="宋体" w:hAnsi="宋体" w:eastAsia="宋体" w:cs="宋体"/>
          <w:b/>
          <w:bCs/>
          <w:spacing w:val="-6"/>
          <w:sz w:val="40"/>
          <w:szCs w:val="40"/>
        </w:rPr>
      </w:pPr>
    </w:p>
    <w:p>
      <w:pPr>
        <w:rPr>
          <w:rFonts w:hint="default" w:eastAsia="宋体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pacing w:val="-6"/>
          <w:sz w:val="40"/>
          <w:szCs w:val="40"/>
          <w:lang w:val="en-US" w:eastAsia="zh-CN"/>
        </w:rPr>
        <w:t>编制人：张行彬              审核人：顾朝孔</w:t>
      </w:r>
    </w:p>
    <w:p>
      <w:pPr>
        <w:spacing w:before="130" w:line="237" w:lineRule="auto"/>
        <w:ind w:left="70" w:right="116" w:firstLine="470"/>
        <w:jc w:val="center"/>
        <w:rPr>
          <w:rFonts w:hint="eastAsia" w:ascii="宋体" w:hAnsi="宋体" w:eastAsia="宋体" w:cs="宋体"/>
          <w:b/>
          <w:bCs/>
          <w:spacing w:val="-6"/>
          <w:sz w:val="40"/>
          <w:szCs w:val="40"/>
        </w:rPr>
      </w:pPr>
    </w:p>
    <w:p>
      <w:pPr>
        <w:spacing w:before="130" w:line="237" w:lineRule="auto"/>
        <w:ind w:left="70" w:right="116" w:firstLine="470"/>
        <w:jc w:val="center"/>
        <w:rPr>
          <w:rFonts w:hint="eastAsia" w:ascii="宋体" w:hAnsi="宋体" w:eastAsia="宋体" w:cs="宋体"/>
          <w:b/>
          <w:bCs/>
          <w:spacing w:val="-6"/>
          <w:sz w:val="40"/>
          <w:szCs w:val="40"/>
        </w:rPr>
      </w:pPr>
    </w:p>
    <w:p>
      <w:pPr>
        <w:spacing w:before="130" w:line="237" w:lineRule="auto"/>
        <w:ind w:left="70" w:right="116" w:firstLine="470"/>
        <w:jc w:val="center"/>
        <w:rPr>
          <w:rFonts w:hint="eastAsia" w:ascii="宋体" w:hAnsi="宋体" w:eastAsia="宋体" w:cs="宋体"/>
          <w:b/>
          <w:bCs/>
          <w:spacing w:val="-6"/>
          <w:sz w:val="40"/>
          <w:szCs w:val="40"/>
        </w:rPr>
      </w:pPr>
    </w:p>
    <w:p>
      <w:pPr>
        <w:spacing w:before="130" w:line="237" w:lineRule="auto"/>
        <w:ind w:left="70" w:right="116" w:firstLine="470"/>
        <w:jc w:val="center"/>
        <w:rPr>
          <w:rFonts w:hint="eastAsia" w:ascii="宋体" w:hAnsi="宋体" w:eastAsia="宋体" w:cs="宋体"/>
          <w:b/>
          <w:bCs/>
          <w:spacing w:val="-6"/>
          <w:sz w:val="40"/>
          <w:szCs w:val="40"/>
        </w:rPr>
      </w:pP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  <w:t>2023 年度巩固拓展脱贫攻坚成果同乡村振兴有效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  <w:t>衔接规划项目兴龙村委会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  <w:t>绩效评价报告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为全面做好 2023 年度衔接资金绩效评价工作的相关文件要求，积极开展我村组织实施的农村生产生活道路建设工程绩效评价工作，现将相关情况报告如下：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40" w:firstLineChars="200"/>
        <w:textAlignment w:val="baseline"/>
        <w:rPr>
          <w:rFonts w:hint="default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一、项目基本情况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321" w:firstLineChars="1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（一）项目概况</w:t>
      </w:r>
    </w:p>
    <w:p>
      <w:pPr>
        <w:pStyle w:val="2"/>
        <w:keepNext/>
        <w:keepLines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firstLine="643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项目总体情况及资金到位情况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5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三宝街道兴龙村委会张官营村小组道路硬化项目，路面为厚20cmC25混凝土+10cm 级配碎石垫层，道路长915.2米，硬化面积4904.07 m。项目受益群众485户1875 人，其中脱贫户7户26人。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5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该项目预算总投资 600818.66 元，资金包括:其中争取中央财政衔接推进乡村振兴补助资金 10 万元，其余 50 万元由村组及群众自筹。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5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该项目已按要求完工，项目实施前及完工后，充分利用乡镇(街道)、村、组三务公开栏、村小组活动室公开栏等方式进行公示公告。具体实施内容包括:三宝街道兴龙村委会张官营村小组道路建设项目: 本建设项目为三宝街到兴龙委会张官营村小组道路硬化项目:厚20cmC25混凝土+10m 级配碎石垫层，道路长915.2米，硬化面积4904.07 m。</w:t>
      </w:r>
    </w:p>
    <w:p>
      <w:pPr>
        <w:pStyle w:val="2"/>
        <w:keepNext/>
        <w:keepLines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firstLine="643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项目资金支出情况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5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截至目前，项目统筹整合财政涉农资金10万元，项目审定金额600818.66元(财政资金10万元，自筹60 万元)，报账资金10万元，项目资金支出率为100%，(项目资金的3%作为质量保证金)。</w:t>
      </w:r>
    </w:p>
    <w:p>
      <w:pPr>
        <w:pStyle w:val="2"/>
        <w:keepNext/>
        <w:keepLines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="0" w:leftChars="0" w:firstLine="643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组织及管理情况。包括项目组织情况、项目实施流程、资金拨付流程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该工程于2023年7月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在云南益投项目有限公司进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行招投标工作，2023年7月3日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在云南益投项目有限公司采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用低价中标招标形式，确定云南晟桓建筑有限公司为中标候选人，7月7日经公示无异议发放中标通知书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，2023年7月10日签订施工合同 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2023年8月30日竣工。于2023年9月7日完成验收。项目资金严格按照乡镇报账制，严格执行村、镇、财政所三级审批拨付程序</w:t>
      </w:r>
      <w:r>
        <w:rPr>
          <w:rFonts w:hint="eastAsia"/>
          <w:lang w:val="en-US" w:eastAsia="zh-CN"/>
        </w:rPr>
        <w:t>。</w:t>
      </w:r>
    </w:p>
    <w:p>
      <w:pPr>
        <w:pStyle w:val="3"/>
        <w:bidi w:val="0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(二)绩效目标</w:t>
      </w:r>
    </w:p>
    <w:p>
      <w:pPr>
        <w:keepNext w:val="0"/>
        <w:keepLines w:val="0"/>
        <w:pageBreakBefore w:val="0"/>
        <w:widowControl/>
        <w:tabs>
          <w:tab w:val="left" w:pos="67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1.总目标</w:t>
      </w:r>
    </w:p>
    <w:p>
      <w:pPr>
        <w:keepNext w:val="0"/>
        <w:keepLines w:val="0"/>
        <w:pageBreakBefore w:val="0"/>
        <w:widowControl/>
        <w:tabs>
          <w:tab w:val="left" w:pos="67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2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完成兴龙村委会张官营村小组道路硬化：路面为厚20cmC25 混凝土+10cm 级配碎石垫层，道路长920米，硬化面积 4255 m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2.年度目标包括产出目标、效果目标。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7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(1)数量指标。</w:t>
      </w:r>
    </w:p>
    <w:p>
      <w:pPr>
        <w:keepNext w:val="0"/>
        <w:keepLines w:val="0"/>
        <w:pageBreakBefore w:val="0"/>
        <w:widowControl/>
        <w:tabs>
          <w:tab w:val="left" w:pos="77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①硬化道路里程≥920米</w:t>
      </w:r>
    </w:p>
    <w:p>
      <w:pPr>
        <w:keepNext w:val="0"/>
        <w:keepLines w:val="0"/>
        <w:pageBreakBefore w:val="0"/>
        <w:widowControl/>
        <w:tabs>
          <w:tab w:val="left" w:pos="8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②硬化面积≥4255平方米</w:t>
      </w:r>
    </w:p>
    <w:p>
      <w:pPr>
        <w:keepNext w:val="0"/>
        <w:keepLines w:val="0"/>
        <w:pageBreakBefore w:val="0"/>
        <w:widowControl/>
        <w:tabs>
          <w:tab w:val="left" w:pos="64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（2）质量指标</w:t>
      </w:r>
    </w:p>
    <w:p>
      <w:pPr>
        <w:keepNext w:val="0"/>
        <w:keepLines w:val="0"/>
        <w:pageBreakBefore w:val="0"/>
        <w:widowControl/>
        <w:tabs>
          <w:tab w:val="left" w:pos="77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①项目工程验收合格率≥100%</w:t>
      </w:r>
    </w:p>
    <w:p>
      <w:pPr>
        <w:keepNext w:val="0"/>
        <w:keepLines w:val="0"/>
        <w:pageBreakBefore w:val="0"/>
        <w:widowControl/>
        <w:tabs>
          <w:tab w:val="left" w:pos="71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（3）时效指标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项目开工时间2023年7月</w:t>
      </w:r>
    </w:p>
    <w:p>
      <w:pPr>
        <w:keepNext w:val="0"/>
        <w:keepLines w:val="0"/>
        <w:pageBreakBefore w:val="0"/>
        <w:widowControl/>
        <w:tabs>
          <w:tab w:val="left" w:pos="79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②项目竣工时间2023年9月</w:t>
      </w:r>
    </w:p>
    <w:p>
      <w:pPr>
        <w:keepNext w:val="0"/>
        <w:keepLines w:val="0"/>
        <w:pageBreakBefore w:val="0"/>
        <w:widowControl/>
        <w:tabs>
          <w:tab w:val="left" w:pos="79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项目竣工时间2023年9月</w:t>
      </w:r>
    </w:p>
    <w:p>
      <w:pPr>
        <w:keepNext w:val="0"/>
        <w:keepLines w:val="0"/>
        <w:pageBreakBefore w:val="0"/>
        <w:widowControl/>
        <w:tabs>
          <w:tab w:val="left" w:pos="88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（4）成本指标</w:t>
      </w:r>
    </w:p>
    <w:p>
      <w:pPr>
        <w:keepNext w:val="0"/>
        <w:keepLines w:val="0"/>
        <w:pageBreakBefore w:val="0"/>
        <w:widowControl/>
        <w:tabs>
          <w:tab w:val="left" w:pos="102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①混凝土路面硬化≤140元/平方米</w:t>
      </w:r>
    </w:p>
    <w:p>
      <w:pPr>
        <w:keepNext w:val="0"/>
        <w:keepLines w:val="0"/>
        <w:pageBreakBefore w:val="0"/>
        <w:widowControl/>
        <w:tabs>
          <w:tab w:val="left" w:pos="72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(5)社会效益指标</w:t>
      </w:r>
    </w:p>
    <w:p>
      <w:pPr>
        <w:keepNext w:val="0"/>
        <w:keepLines w:val="0"/>
        <w:pageBreakBefore w:val="0"/>
        <w:widowControl/>
        <w:tabs>
          <w:tab w:val="left" w:pos="79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①受益脱贫户及监测户人数26人。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（6）可持续影响指标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工程的使用年限≥10年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（7）服务对象满意度指标</w:t>
      </w:r>
    </w:p>
    <w:p>
      <w:pPr>
        <w:keepNext w:val="0"/>
        <w:keepLines w:val="0"/>
        <w:pageBreakBefore w:val="0"/>
        <w:widowControl/>
        <w:tabs>
          <w:tab w:val="left" w:pos="81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①受益群众满意度≥96%</w:t>
      </w:r>
    </w:p>
    <w:p>
      <w:pPr>
        <w:keepNext w:val="0"/>
        <w:keepLines w:val="0"/>
        <w:pageBreakBefore w:val="0"/>
        <w:widowControl/>
        <w:tabs>
          <w:tab w:val="left" w:pos="81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②受益脱贫户及监测户满意度≥96%</w:t>
      </w:r>
    </w:p>
    <w:p>
      <w:pPr>
        <w:tabs>
          <w:tab w:val="left" w:pos="1087"/>
        </w:tabs>
        <w:bidi w:val="0"/>
        <w:ind w:firstLine="640" w:firstLineChars="20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二、绩效评价工作</w:t>
      </w:r>
    </w:p>
    <w:p>
      <w:pPr>
        <w:keepNext w:val="0"/>
        <w:keepLines w:val="0"/>
        <w:pageBreakBefore w:val="0"/>
        <w:widowControl/>
        <w:tabs>
          <w:tab w:val="left" w:pos="73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(一)绩效评价目的</w:t>
      </w:r>
    </w:p>
    <w:p>
      <w:pPr>
        <w:keepNext w:val="0"/>
        <w:keepLines w:val="0"/>
        <w:pageBreakBefore w:val="0"/>
        <w:widowControl/>
        <w:tabs>
          <w:tab w:val="left" w:pos="73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Arial" w:hAnsi="Arial" w:eastAsia="Arial" w:cs="Arial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>
      <w:pPr>
        <w:keepNext w:val="0"/>
        <w:keepLines w:val="0"/>
        <w:pageBreakBefore w:val="0"/>
        <w:widowControl/>
        <w:tabs>
          <w:tab w:val="left" w:pos="73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（二）绩效评价工作方案制定过程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9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1.前期调研。2023年7月，经过村级召开会议，提出项目建设申请书并立项审批，麒麟区乡村振兴局，街道乡村振兴办组织技术人员实地查看，经过村综合分析，一致同意张官营村小组道路硬化项目。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研究文件。根据曲靖市麒麟区财政部、曲靖市麒麟区委组织部、曲靖市麒麟区乡村振兴局、曲靖市麒麟区农业农村局下达的关于2023年中央财政推进乡村振兴补助资金（巩固拓展脱贫攻坚成果和乡村振兴任务）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麒财农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[2023]86号)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3.绩效评价指标体系及工作方案的设计。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ab/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(1)自评主体。按照“谁申请资金、谁填报目标、谁开展自评”的原则，资金使用单位是扶贫项目资金绩效目标填报、自评主体。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8" w:firstLineChars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(2)自评范围。纳入财政扶贫资金动态监控平台监控用于扶贫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8" w:firstLineChars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(三)绩效评价原则、评价方法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8" w:firstLineChars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1.绩效评价原则。包括科学规范、公开公正、绩效相关等原则。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8" w:firstLineChars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2.绩效评价方法。包括指标评价、数据采集和社会调查中所采用的方法。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8" w:firstLineChars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(四)绩效评价实施过程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8" w:firstLineChars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1.数据填报和采集。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8" w:firstLineChars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2.社会调查。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8" w:firstLineChars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3.数据分析和撰写报告。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8" w:firstLineChars="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(五)本次绩效评价的局限性。</w:t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三、评价结论和绩效分析</w:t>
      </w:r>
    </w:p>
    <w:p>
      <w:pPr>
        <w:keepNext w:val="0"/>
        <w:keepLines w:val="0"/>
        <w:pageBreakBefore w:val="0"/>
        <w:widowControl/>
        <w:tabs>
          <w:tab w:val="left" w:pos="73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(一)评价结论。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1.评价结果。评价结果为“良好”，得分90分。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2.主要绩效。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jc w:val="left"/>
        <w:textAlignment w:val="baseline"/>
        <w:rPr>
          <w:rFonts w:hint="eastAsia" w:ascii="Arial" w:hAnsi="Arial" w:eastAsia="Arial" w:cs="Arial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/>
          <w:color w:val="auto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(1)数量指标。</w:t>
      </w:r>
    </w:p>
    <w:p>
      <w:pPr>
        <w:keepNext w:val="0"/>
        <w:keepLines w:val="0"/>
        <w:pageBreakBefore w:val="0"/>
        <w:widowControl w:val="0"/>
        <w:tabs>
          <w:tab w:val="left" w:pos="77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①硬化道路里程≥920米</w:t>
      </w:r>
    </w:p>
    <w:p>
      <w:pPr>
        <w:keepNext w:val="0"/>
        <w:keepLines w:val="0"/>
        <w:pageBreakBefore w:val="0"/>
        <w:widowControl w:val="0"/>
        <w:tabs>
          <w:tab w:val="left" w:pos="8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Arial" w:hAnsi="Arial" w:eastAsia="Arial" w:cs="Arial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②硬化面积≥4255平方米</w:t>
      </w:r>
    </w:p>
    <w:p>
      <w:pPr>
        <w:keepNext w:val="0"/>
        <w:keepLines w:val="0"/>
        <w:pageBreakBefore w:val="0"/>
        <w:widowControl w:val="0"/>
        <w:tabs>
          <w:tab w:val="left" w:pos="77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color w:val="5B9BD5" w:themeColor="accent1"/>
          <w:sz w:val="32"/>
          <w:szCs w:val="32"/>
          <w:highlight w:val="yellow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根据施工合同按照工程量完成，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自评得分20分</w:t>
      </w:r>
      <w:r>
        <w:rPr>
          <w:rFonts w:hint="eastAsia" w:ascii="仿宋_GB2312" w:hAnsi="仿宋_GB2312" w:eastAsia="仿宋_GB2312" w:cs="仿宋_GB2312"/>
          <w:color w:val="5B9BD5" w:themeColor="accent1"/>
          <w:sz w:val="32"/>
          <w:szCs w:val="32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4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Arial" w:hAnsi="Arial" w:eastAsia="Arial" w:cs="Arial"/>
          <w:snapToGrid w:val="0"/>
          <w:color w:val="5B9BD5" w:themeColor="accent1"/>
          <w:kern w:val="0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（2）质量指标</w:t>
      </w:r>
    </w:p>
    <w:p>
      <w:pPr>
        <w:keepNext w:val="0"/>
        <w:keepLines w:val="0"/>
        <w:pageBreakBefore w:val="0"/>
        <w:widowControl w:val="0"/>
        <w:tabs>
          <w:tab w:val="left" w:pos="77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①项目工程验收合格率100%，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2023年9月7日通过验收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，自评得分10分。</w:t>
      </w:r>
    </w:p>
    <w:p>
      <w:pPr>
        <w:keepNext w:val="0"/>
        <w:keepLines w:val="0"/>
        <w:pageBreakBefore w:val="0"/>
        <w:widowControl w:val="0"/>
        <w:tabs>
          <w:tab w:val="left" w:pos="71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9BD5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（3）时效指标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项目开工时间2023年7月21日，已根据施工合同内的实施期限开工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，自评得分10分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9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②项目竣工时间2023年8月30日，该工程已按照合同工期内完成建设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，自评得分10分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9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项目验收时间2023年9月7日，已按施工合同要求完成项目验收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，自评得分10分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8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Arial" w:hAnsi="Arial" w:eastAsia="Arial" w:cs="Arial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（4）成本指标</w:t>
      </w:r>
    </w:p>
    <w:p>
      <w:pPr>
        <w:keepNext w:val="0"/>
        <w:keepLines w:val="0"/>
        <w:pageBreakBefore w:val="0"/>
        <w:widowControl w:val="0"/>
        <w:tabs>
          <w:tab w:val="left" w:pos="102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①混凝土路面硬化≤140元/平方米，其中包含人工费及机械平整费用，自评得分10分。</w:t>
      </w:r>
    </w:p>
    <w:p>
      <w:pPr>
        <w:keepNext w:val="0"/>
        <w:keepLines w:val="0"/>
        <w:pageBreakBefore w:val="0"/>
        <w:widowControl/>
        <w:tabs>
          <w:tab w:val="left" w:pos="72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(5)社会效益指标</w:t>
      </w:r>
    </w:p>
    <w:p>
      <w:pPr>
        <w:keepNext w:val="0"/>
        <w:keepLines w:val="0"/>
        <w:pageBreakBefore w:val="0"/>
        <w:widowControl/>
        <w:tabs>
          <w:tab w:val="left" w:pos="79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①受益脱贫户及监测户人数26人，带动劳动力薄弱群体就近就业增收，自评得分10分。</w:t>
      </w:r>
    </w:p>
    <w:p>
      <w:pPr>
        <w:keepNext w:val="0"/>
        <w:keepLines w:val="0"/>
        <w:pageBreakBefore w:val="0"/>
        <w:widowControl/>
        <w:tabs>
          <w:tab w:val="left" w:pos="90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（6）可持续影响指标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工程的使用年限预计10年，按质按量完成项目，并通过验收，于9月投入使用，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自评得分0分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7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（7）服务对象满意度指标</w:t>
      </w:r>
    </w:p>
    <w:p>
      <w:pPr>
        <w:keepNext w:val="0"/>
        <w:keepLines w:val="0"/>
        <w:pageBreakBefore w:val="0"/>
        <w:widowControl/>
        <w:tabs>
          <w:tab w:val="left" w:pos="81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通过发放10份问卷调查表，调查出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受益群众满意度达96%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自评得分5分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81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Arial" w:hAnsi="Arial" w:eastAsia="Arial" w:cs="Arial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通过发放10份问卷调查表，调查出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受益脱贫户及监测户满意度达96%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自评得分5分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ageBreakBefore w:val="0"/>
        <w:widowControl/>
        <w:numPr>
          <w:ilvl w:val="0"/>
          <w:numId w:val="0"/>
        </w:numPr>
        <w:tabs>
          <w:tab w:val="left" w:pos="6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(二)具体绩效分析。对照绩效评价指标体系逐项进行分析、评价并打分。</w:t>
      </w:r>
    </w:p>
    <w:p>
      <w:pPr>
        <w:pageBreakBefore w:val="0"/>
        <w:widowControl/>
        <w:numPr>
          <w:ilvl w:val="0"/>
          <w:numId w:val="0"/>
        </w:numPr>
        <w:tabs>
          <w:tab w:val="left" w:pos="6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四、成本效益分析</w:t>
      </w:r>
    </w:p>
    <w:p>
      <w:pPr>
        <w:pageBreakBefore w:val="0"/>
        <w:widowControl/>
        <w:numPr>
          <w:ilvl w:val="0"/>
          <w:numId w:val="0"/>
        </w:numPr>
        <w:tabs>
          <w:tab w:val="left" w:pos="6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Arial" w:hAnsi="Arial" w:eastAsia="Arial" w:cs="Arial"/>
          <w:snapToGrid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对资金使用方向、资金收入和支出结构;项目和资金管理情况;资金的节约性、资金使用效果;变化趋势进行分析评价。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55" w:firstLineChars="200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(一)经济效益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5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通过实施三宝兴龙村委会张官营村小组道路硬化项目，进一步深入整合经济发展优势，统筹发展重点，聚集要素资源，三宝街道的经济社会实现跨越发展。围绕产业发展有主体、有基地、有加工、有品牌、有展示、有文化的要求，推动村(社区)特色产业由分散向庄园集聚，通过品牌化打造、市场化运作的产业体系加快涉农经济增长，大幅提高农民收入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55" w:firstLineChars="200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(二)社会效益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5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通过实施三宝兴龙村委会张官营村小组道路硬化项目，可以极大优化兴龙村委会的资源配置，改善区域内基础设施，提高村民的生活水平和生活质量，优化农村的生态环境，改善农民的生产、生活条件、促进农村经济社会全面、协调、可持续发展，为全面建成村庄秀美、环境优美、生活甜美、社会和美的社会主义小康社会奠定坚实基础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55" w:firstLineChars="200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(三)生态效益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5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通过实施三宝兴龙村委会张官营村小组道路硬化项目，将使张官营村小的生态环境明显改善，人民生产生活环境得到整治和净化。垃圾清理得到全面规范、改厕、改厩将使村卫生状况进一步优化。随着新农村建设的不断推进和周边生态资源的有效保护，让广大农民拥有一个更加优美的生产生活环境，为农业产业发展提供有力支撑。</w:t>
      </w:r>
    </w:p>
    <w:p>
      <w:pPr>
        <w:pageBreakBefore w:val="0"/>
        <w:widowControl/>
        <w:numPr>
          <w:ilvl w:val="0"/>
          <w:numId w:val="0"/>
        </w:numPr>
        <w:tabs>
          <w:tab w:val="left" w:pos="6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五、总体评价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52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该项目立项依据充分、程序规范，预算编制科学合理，绩效指标编制做到细化合理，绩效自评从项目规划设计、施工内在质量、外观工艺、完成数量、合格率、满意度等方面完成评价相对较好。</w:t>
      </w:r>
    </w:p>
    <w:p>
      <w:pPr>
        <w:keepNext w:val="0"/>
        <w:keepLines w:val="0"/>
        <w:pageBreakBefore w:val="0"/>
        <w:widowControl/>
        <w:tabs>
          <w:tab w:val="left" w:pos="69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ab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六、主要经验及做法、存在的问题和建议</w:t>
      </w:r>
    </w:p>
    <w:p>
      <w:pPr>
        <w:keepNext w:val="0"/>
        <w:keepLines w:val="0"/>
        <w:pageBreakBefore w:val="0"/>
        <w:widowControl w:val="0"/>
        <w:tabs>
          <w:tab w:val="left" w:pos="69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(一)主要经验及做法。严格控制项目招投标过程，严把项目工程质量关，按照时间节点完成项目进度，确保项目投入使用率。</w:t>
      </w:r>
    </w:p>
    <w:p>
      <w:pPr>
        <w:keepNext w:val="0"/>
        <w:keepLines w:val="0"/>
        <w:pageBreakBefore w:val="0"/>
        <w:widowControl w:val="0"/>
        <w:tabs>
          <w:tab w:val="left" w:pos="69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(二)存在的问题。项目实施过程中隐蔽工程量时有变更，增加工程造价。</w:t>
      </w:r>
    </w:p>
    <w:p>
      <w:pPr>
        <w:keepNext w:val="0"/>
        <w:keepLines w:val="0"/>
        <w:pageBreakBefore w:val="0"/>
        <w:widowControl w:val="0"/>
        <w:tabs>
          <w:tab w:val="left" w:pos="69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(三)建议和改进措施。提高项目设计质量，减少实施过程项目内容变更</w:t>
      </w:r>
      <w:r>
        <w:rPr>
          <w:rFonts w:hint="eastAsia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Arial" w:hAnsi="Arial" w:eastAsia="Arial" w:cs="Arial"/>
          <w:snapToGrid w:val="0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97" w:lineRule="exact"/>
        <w:ind w:left="0" w:right="45" w:firstLine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  1：项目支出绩效自评表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97" w:lineRule="exact"/>
        <w:ind w:left="0" w:right="45" w:firstLine="960" w:firstLineChars="3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2：问卷调查表10份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97" w:lineRule="exact"/>
        <w:ind w:left="0" w:right="45" w:firstLine="0"/>
        <w:jc w:val="both"/>
        <w:textAlignment w:val="baseline"/>
        <w:rPr>
          <w:rFonts w:hint="eastAsia" w:ascii="仿宋_GB2312" w:hAnsi="仿宋_GB2312" w:eastAsia="仿宋_GB2312" w:cs="仿宋_GB2312"/>
          <w:color w:val="5B9BD5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tabs>
          <w:tab w:val="left" w:pos="4951"/>
        </w:tabs>
        <w:bidi w:val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兴龙村民委员会（盖章）</w:t>
      </w:r>
    </w:p>
    <w:p>
      <w:pPr>
        <w:bidi w:val="0"/>
        <w:rPr>
          <w:rFonts w:hint="eastAsia" w:ascii="仿宋_GB2312" w:hAnsi="仿宋_GB2312" w:eastAsia="仿宋_GB2312" w:cs="仿宋_GB2312"/>
          <w:color w:val="5B9BD5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keepNext w:val="0"/>
        <w:keepLines w:val="0"/>
        <w:pageBreakBefore w:val="0"/>
        <w:widowControl/>
        <w:tabs>
          <w:tab w:val="left" w:pos="88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5B9BD5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5B9BD5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7" w:firstLineChars="217"/>
        <w:jc w:val="left"/>
        <w:textAlignment w:val="baseline"/>
        <w:rPr>
          <w:rFonts w:hint="eastAsia" w:ascii="仿宋_GB2312" w:hAnsi="仿宋_GB2312" w:eastAsia="仿宋_GB2312" w:cs="仿宋_GB2312"/>
          <w:color w:val="5B9BD5" w:themeColor="accent1"/>
          <w:spacing w:val="3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tabs>
          <w:tab w:val="left" w:pos="5047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ab/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23B6E"/>
    <w:multiLevelType w:val="singleLevel"/>
    <w:tmpl w:val="86F23B6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EA22C7E"/>
    <w:rsid w:val="00F83F3A"/>
    <w:rsid w:val="03FA2BF1"/>
    <w:rsid w:val="04137B95"/>
    <w:rsid w:val="04380CF3"/>
    <w:rsid w:val="043923C0"/>
    <w:rsid w:val="0465074E"/>
    <w:rsid w:val="0939042A"/>
    <w:rsid w:val="0DA84AD3"/>
    <w:rsid w:val="0EBC3F64"/>
    <w:rsid w:val="10363490"/>
    <w:rsid w:val="11B13D7F"/>
    <w:rsid w:val="12C3552D"/>
    <w:rsid w:val="14126383"/>
    <w:rsid w:val="169F55A1"/>
    <w:rsid w:val="178B0696"/>
    <w:rsid w:val="186E391F"/>
    <w:rsid w:val="1ABB51A3"/>
    <w:rsid w:val="20574E03"/>
    <w:rsid w:val="21654E66"/>
    <w:rsid w:val="22330628"/>
    <w:rsid w:val="231D5D4E"/>
    <w:rsid w:val="25663CDF"/>
    <w:rsid w:val="2E275D2C"/>
    <w:rsid w:val="30DA4461"/>
    <w:rsid w:val="32400A30"/>
    <w:rsid w:val="3C16655A"/>
    <w:rsid w:val="3E5C7779"/>
    <w:rsid w:val="42DD7991"/>
    <w:rsid w:val="440F1B8E"/>
    <w:rsid w:val="45844D6B"/>
    <w:rsid w:val="48C00A1C"/>
    <w:rsid w:val="48CB1749"/>
    <w:rsid w:val="48D91BC8"/>
    <w:rsid w:val="4CAF6BA2"/>
    <w:rsid w:val="4DCE729B"/>
    <w:rsid w:val="4E690D9C"/>
    <w:rsid w:val="4E902E9B"/>
    <w:rsid w:val="53A37E50"/>
    <w:rsid w:val="569A4723"/>
    <w:rsid w:val="5D5765E9"/>
    <w:rsid w:val="5EA22C7E"/>
    <w:rsid w:val="61045363"/>
    <w:rsid w:val="62F47023"/>
    <w:rsid w:val="635D4385"/>
    <w:rsid w:val="69BD455C"/>
    <w:rsid w:val="6C3613EC"/>
    <w:rsid w:val="6CB80F0B"/>
    <w:rsid w:val="70DE1D36"/>
    <w:rsid w:val="78971A0D"/>
    <w:rsid w:val="7BB91D04"/>
    <w:rsid w:val="7BEF3013"/>
    <w:rsid w:val="7D3746FC"/>
    <w:rsid w:val="7E2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hAnsi="Courier New"/>
      <w:kern w:val="0"/>
      <w:sz w:val="20"/>
      <w:szCs w:val="21"/>
      <w:lang w:val="zh-C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9</Pages>
  <Words>2981</Words>
  <Characters>3208</Characters>
  <Lines>0</Lines>
  <Paragraphs>0</Paragraphs>
  <TotalTime>61</TotalTime>
  <ScaleCrop>false</ScaleCrop>
  <LinksUpToDate>false</LinksUpToDate>
  <CharactersWithSpaces>3264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2023-10-11T06:35:00Z</dcterms:created>
  <dc:creator>Administrator</dc:creator>
  <cp:lastModifiedBy>WPS_1577147775</cp:lastModifiedBy>
  <dcterms:modified xsi:type="dcterms:W3CDTF">2024-11-27T07:56:48Z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917B55392D854643A8344B616CF0DC31_13</vt:lpwstr>
  </property>
</Properties>
</file>