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002B6">
      <w:pPr>
        <w:spacing w:before="104" w:line="224" w:lineRule="auto"/>
        <w:rPr>
          <w:rFonts w:ascii="方正小标宋简体" w:eastAsia="方正小标宋简体"/>
          <w:b/>
          <w:bCs/>
          <w:sz w:val="44"/>
          <w:szCs w:val="44"/>
        </w:rPr>
      </w:pPr>
      <w:r>
        <w:rPr>
          <w:rFonts w:hint="eastAsia" w:ascii="黑体" w:hAnsi="黑体" w:eastAsia="黑体" w:cs="黑体"/>
          <w:spacing w:val="8"/>
          <w:sz w:val="32"/>
          <w:szCs w:val="32"/>
        </w:rPr>
        <w:t>附件4</w:t>
      </w:r>
    </w:p>
    <w:p w14:paraId="15670E13">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lang w:eastAsia="zh-CN"/>
        </w:rPr>
        <w:t>曲靖市麒麟区</w:t>
      </w:r>
      <w:r>
        <w:rPr>
          <w:rFonts w:hint="eastAsia" w:ascii="方正小标宋简体" w:eastAsia="方正小标宋简体"/>
          <w:sz w:val="44"/>
          <w:szCs w:val="44"/>
          <w:lang w:val="en-US" w:eastAsia="zh-CN"/>
        </w:rPr>
        <w:t>、经开区</w:t>
      </w:r>
      <w:r>
        <w:rPr>
          <w:rFonts w:hint="eastAsia" w:ascii="方正小标宋简体" w:eastAsia="方正小标宋简体"/>
          <w:sz w:val="44"/>
          <w:szCs w:val="44"/>
        </w:rPr>
        <w:t>烟草制品零售点合理布局规划数动态调整管理制度</w:t>
      </w:r>
    </w:p>
    <w:p w14:paraId="5F4E1C64">
      <w:pPr>
        <w:numPr>
          <w:ilvl w:val="2"/>
          <w:numId w:val="1"/>
        </w:numPr>
        <w:adjustRightInd w:val="0"/>
        <w:snapToGrid w:val="0"/>
        <w:spacing w:line="336" w:lineRule="auto"/>
        <w:ind w:firstLine="680"/>
        <w:jc w:val="left"/>
        <w:rPr>
          <w:rFonts w:ascii="仿宋_GB2312" w:hAnsi="仿宋_GB2312" w:eastAsia="仿宋_GB2312" w:cs="仿宋_GB2312"/>
          <w:kern w:val="28"/>
          <w:sz w:val="32"/>
          <w:szCs w:val="32"/>
        </w:rPr>
      </w:pPr>
      <w:r>
        <w:rPr>
          <w:rFonts w:hint="eastAsia" w:ascii="仿宋_GB2312" w:hAnsi="仿宋_GB2312" w:eastAsia="仿宋_GB2312" w:cs="仿宋_GB2312"/>
          <w:sz w:val="32"/>
          <w:szCs w:val="32"/>
        </w:rPr>
        <w:t>为建立合理布局规划管理动态调整机制，做好规范性文件的动态管理，保证《</w:t>
      </w:r>
      <w:r>
        <w:rPr>
          <w:rFonts w:hint="eastAsia" w:ascii="仿宋_GB2312" w:hAnsi="仿宋_GB2312" w:eastAsia="仿宋_GB2312" w:cs="仿宋_GB2312"/>
          <w:sz w:val="32"/>
          <w:szCs w:val="32"/>
          <w:lang w:eastAsia="zh-CN"/>
        </w:rPr>
        <w:t>曲靖市麒麟区</w:t>
      </w:r>
      <w:r>
        <w:rPr>
          <w:rFonts w:hint="eastAsia" w:ascii="仿宋_GB2312" w:hAnsi="仿宋_GB2312" w:eastAsia="仿宋_GB2312" w:cs="仿宋_GB2312"/>
          <w:sz w:val="32"/>
          <w:szCs w:val="32"/>
          <w:lang w:val="en-US" w:eastAsia="zh-CN"/>
        </w:rPr>
        <w:t>、经开区</w:t>
      </w:r>
      <w:r>
        <w:rPr>
          <w:rFonts w:hint="eastAsia" w:ascii="仿宋_GB2312" w:hAnsi="仿宋_GB2312" w:eastAsia="仿宋_GB2312" w:cs="仿宋_GB2312"/>
          <w:sz w:val="32"/>
          <w:szCs w:val="32"/>
        </w:rPr>
        <w:t>烟草制品零售点合理布局规划》的科学性、合理性、前瞻性，依据《中华人民共和国行政许可法》《中华人民共和国未成年人保护法》《中华人民共和国烟草专卖法》《中华人民共和国烟草专卖法实施条例》《烟草专卖许可证管理办法》《烟草专卖许可证管理</w:t>
      </w:r>
      <w:r>
        <w:rPr>
          <w:rFonts w:hint="eastAsia" w:ascii="仿宋_GB2312" w:hAnsi="仿宋_GB2312" w:eastAsia="仿宋_GB2312" w:cs="仿宋_GB2312"/>
          <w:kern w:val="28"/>
          <w:sz w:val="32"/>
          <w:szCs w:val="32"/>
        </w:rPr>
        <w:t>办法实施细则》等法律法规规章和规范性文件的规定，特制定本制度。</w:t>
      </w:r>
    </w:p>
    <w:p w14:paraId="0FDEB66C">
      <w:pPr>
        <w:numPr>
          <w:ilvl w:val="2"/>
          <w:numId w:val="1"/>
        </w:numPr>
        <w:adjustRightInd w:val="0"/>
        <w:snapToGrid w:val="0"/>
        <w:spacing w:line="336" w:lineRule="auto"/>
        <w:ind w:firstLine="680"/>
        <w:jc w:val="both"/>
        <w:rPr>
          <w:rFonts w:ascii="楷体_GB2312" w:hAnsi="仿宋_GB2312" w:eastAsia="楷体_GB2312" w:cs="仿宋_GB2312"/>
          <w:sz w:val="32"/>
          <w:szCs w:val="32"/>
        </w:rPr>
      </w:pPr>
      <w:r>
        <w:rPr>
          <w:rFonts w:hint="eastAsia" w:ascii="仿宋_GB2312" w:hAnsi="仿宋_GB2312" w:eastAsia="仿宋_GB2312" w:cs="仿宋_GB2312"/>
          <w:kern w:val="28"/>
          <w:sz w:val="32"/>
          <w:szCs w:val="32"/>
        </w:rPr>
        <w:t>根据《</w:t>
      </w:r>
      <w:r>
        <w:rPr>
          <w:rFonts w:hint="eastAsia" w:ascii="仿宋_GB2312" w:hAnsi="仿宋_GB2312" w:eastAsia="仿宋_GB2312" w:cs="仿宋_GB2312"/>
          <w:kern w:val="28"/>
          <w:sz w:val="32"/>
          <w:szCs w:val="32"/>
          <w:lang w:eastAsia="zh-CN"/>
        </w:rPr>
        <w:t>曲靖市麒麟区</w:t>
      </w:r>
      <w:r>
        <w:rPr>
          <w:rFonts w:hint="eastAsia" w:ascii="仿宋_GB2312" w:hAnsi="仿宋_GB2312" w:eastAsia="仿宋_GB2312" w:cs="仿宋_GB2312"/>
          <w:sz w:val="32"/>
          <w:szCs w:val="32"/>
          <w:lang w:val="en-US" w:eastAsia="zh-CN"/>
        </w:rPr>
        <w:t>、经开区</w:t>
      </w:r>
      <w:r>
        <w:rPr>
          <w:rFonts w:hint="eastAsia" w:ascii="仿宋_GB2312" w:hAnsi="仿宋_GB2312" w:eastAsia="仿宋_GB2312" w:cs="仿宋_GB2312"/>
          <w:kern w:val="28"/>
          <w:sz w:val="32"/>
          <w:szCs w:val="32"/>
        </w:rPr>
        <w:t>烟草制品零售点合理布局规划》，</w:t>
      </w:r>
      <w:r>
        <w:rPr>
          <w:rFonts w:hint="eastAsia" w:ascii="仿宋_GB2312" w:hAnsi="仿宋_GB2312" w:eastAsia="仿宋_GB2312" w:cs="仿宋_GB2312"/>
          <w:kern w:val="28"/>
          <w:sz w:val="32"/>
          <w:szCs w:val="32"/>
          <w:lang w:eastAsia="zh-CN"/>
        </w:rPr>
        <w:t>曲靖市麒麟区</w:t>
      </w:r>
      <w:r>
        <w:rPr>
          <w:rFonts w:hint="eastAsia" w:ascii="仿宋_GB2312" w:hAnsi="仿宋_GB2312" w:eastAsia="仿宋_GB2312" w:cs="仿宋_GB2312"/>
          <w:sz w:val="32"/>
          <w:szCs w:val="32"/>
        </w:rPr>
        <w:t>烟草专卖局每季度根据本地</w:t>
      </w:r>
      <w:r>
        <w:rPr>
          <w:rFonts w:eastAsia="仿宋_GB2312"/>
          <w:sz w:val="32"/>
          <w:szCs w:val="32"/>
        </w:rPr>
        <w:t>人口数量、交通状况、经济发展水平、居民消费能力、消费购买习惯</w:t>
      </w:r>
      <w:r>
        <w:rPr>
          <w:rFonts w:hint="eastAsia" w:ascii="仿宋_GB2312" w:hAnsi="仿宋_GB2312" w:eastAsia="仿宋_GB2312" w:cs="仿宋_GB2312"/>
          <w:sz w:val="32"/>
          <w:szCs w:val="32"/>
        </w:rPr>
        <w:t>等变化情况，对辖区单元网格零售点合理布局规划数进行动态调整。</w:t>
      </w:r>
    </w:p>
    <w:p w14:paraId="662AF0FC">
      <w:pPr>
        <w:numPr>
          <w:ilvl w:val="2"/>
          <w:numId w:val="1"/>
        </w:numPr>
        <w:adjustRightInd w:val="0"/>
        <w:snapToGrid w:val="0"/>
        <w:spacing w:line="336" w:lineRule="auto"/>
        <w:ind w:firstLine="68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零售点合理布局规划数动态调整情况应提交</w:t>
      </w:r>
      <w:r>
        <w:rPr>
          <w:rFonts w:hint="eastAsia" w:ascii="仿宋_GB2312" w:hAnsi="仿宋_GB2312" w:eastAsia="仿宋_GB2312" w:cs="仿宋_GB2312"/>
          <w:sz w:val="32"/>
          <w:szCs w:val="32"/>
          <w:lang w:eastAsia="zh-CN"/>
        </w:rPr>
        <w:t>曲靖市麒麟区</w:t>
      </w:r>
      <w:r>
        <w:rPr>
          <w:rFonts w:hint="eastAsia" w:ascii="仿宋_GB2312" w:eastAsia="仿宋_GB2312"/>
          <w:sz w:val="32"/>
          <w:szCs w:val="32"/>
        </w:rPr>
        <w:t>烟草专卖局领导班子集体讨论决定。讨论通过的，应在</w:t>
      </w:r>
      <w:r>
        <w:rPr>
          <w:rFonts w:hint="eastAsia" w:ascii="仿宋_GB2312" w:hAnsi="仿宋_GB2312" w:eastAsia="仿宋_GB2312" w:cs="仿宋_GB2312"/>
          <w:sz w:val="32"/>
          <w:szCs w:val="32"/>
        </w:rPr>
        <w:t>五日内通过政府网站、行业网站及政务服务大厅等平台公示《</w:t>
      </w:r>
      <w:r>
        <w:rPr>
          <w:rFonts w:hint="eastAsia" w:ascii="仿宋_GB2312" w:hAnsi="仿宋_GB2312" w:eastAsia="仿宋_GB2312" w:cs="仿宋_GB2312"/>
          <w:sz w:val="32"/>
          <w:szCs w:val="32"/>
          <w:lang w:eastAsia="zh-CN"/>
        </w:rPr>
        <w:t>曲靖市麒麟区</w:t>
      </w:r>
      <w:r>
        <w:rPr>
          <w:rFonts w:hint="eastAsia" w:ascii="仿宋_GB2312" w:hAnsi="仿宋_GB2312" w:eastAsia="仿宋_GB2312" w:cs="仿宋_GB2312"/>
          <w:sz w:val="32"/>
          <w:szCs w:val="32"/>
          <w:lang w:val="en-US" w:eastAsia="zh-CN"/>
        </w:rPr>
        <w:t>、经开区</w:t>
      </w:r>
      <w:r>
        <w:rPr>
          <w:rFonts w:hint="eastAsia" w:ascii="仿宋_GB2312" w:hAnsi="仿宋_GB2312" w:eastAsia="仿宋_GB2312" w:cs="仿宋_GB2312"/>
          <w:sz w:val="32"/>
          <w:szCs w:val="32"/>
        </w:rPr>
        <w:t>烟草制品零售点合理布局公示表》，同时报上一级烟草专卖局备案。</w:t>
      </w:r>
    </w:p>
    <w:p w14:paraId="2B46F244">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零售点合理布局规划数动态调整情况</w:t>
      </w:r>
      <w:r>
        <w:rPr>
          <w:rFonts w:hint="eastAsia" w:ascii="仿宋_GB2312" w:hAnsi="仿宋_GB2312" w:eastAsia="仿宋_GB2312" w:cs="仿宋_GB2312"/>
          <w:kern w:val="28"/>
          <w:sz w:val="32"/>
          <w:szCs w:val="32"/>
        </w:rPr>
        <w:t>于公示之日起三日后开始实施</w:t>
      </w:r>
      <w:r>
        <w:rPr>
          <w:rFonts w:hint="eastAsia" w:ascii="仿宋_GB2312" w:hAnsi="仿宋_GB2312" w:eastAsia="仿宋_GB2312" w:cs="仿宋_GB2312"/>
          <w:sz w:val="32"/>
          <w:szCs w:val="32"/>
        </w:rPr>
        <w:t>。</w:t>
      </w:r>
    </w:p>
    <w:p w14:paraId="06F042E3">
      <w:pPr>
        <w:numPr>
          <w:ilvl w:val="2"/>
          <w:numId w:val="1"/>
        </w:numPr>
        <w:adjustRightInd w:val="0"/>
        <w:snapToGrid w:val="0"/>
        <w:spacing w:line="336" w:lineRule="auto"/>
        <w:ind w:firstLine="680"/>
        <w:jc w:val="left"/>
        <w:rPr>
          <w:rFonts w:ascii="楷体" w:hAnsi="楷体" w:eastAsia="楷体" w:cs="楷体"/>
          <w:sz w:val="32"/>
          <w:szCs w:val="32"/>
        </w:rPr>
      </w:pPr>
      <w:r>
        <w:rPr>
          <w:rFonts w:hint="eastAsia" w:ascii="仿宋_GB2312" w:hAnsi="仿宋_GB2312" w:eastAsia="仿宋_GB2312" w:cs="仿宋_GB2312"/>
          <w:sz w:val="32"/>
          <w:szCs w:val="32"/>
          <w:lang w:eastAsia="zh-CN"/>
        </w:rPr>
        <w:t>曲靖市麒麟区</w:t>
      </w:r>
      <w:r>
        <w:rPr>
          <w:rFonts w:hint="eastAsia" w:ascii="仿宋_GB2312" w:hAnsi="仿宋_GB2312" w:eastAsia="仿宋_GB2312" w:cs="仿宋_GB2312"/>
          <w:sz w:val="32"/>
          <w:szCs w:val="32"/>
        </w:rPr>
        <w:t>烟草专卖局每年年底向上一级烟草专卖局报告本年度烟草制品零售点合理布局规划数动态调整工作执行情况。</w:t>
      </w:r>
    </w:p>
    <w:p w14:paraId="07FEBF99">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14:paraId="2339CA36">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本制度由</w:t>
      </w:r>
      <w:r>
        <w:rPr>
          <w:rFonts w:hint="eastAsia" w:ascii="仿宋_GB2312" w:hAnsi="仿宋_GB2312" w:eastAsia="仿宋_GB2312" w:cs="仿宋_GB2312"/>
          <w:sz w:val="32"/>
          <w:szCs w:val="32"/>
          <w:lang w:eastAsia="zh-CN"/>
        </w:rPr>
        <w:t>曲靖市麒麟区</w:t>
      </w:r>
      <w:r>
        <w:rPr>
          <w:rFonts w:hint="eastAsia" w:ascii="仿宋_GB2312" w:hAnsi="仿宋_GB2312" w:eastAsia="仿宋_GB2312" w:cs="仿宋_GB2312"/>
          <w:sz w:val="32"/>
          <w:szCs w:val="32"/>
        </w:rPr>
        <w:t>烟草专卖局负责解释。</w:t>
      </w:r>
    </w:p>
    <w:p w14:paraId="3FB428B1">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本制度自《</w:t>
      </w:r>
      <w:r>
        <w:rPr>
          <w:rFonts w:hint="eastAsia" w:ascii="仿宋_GB2312" w:hAnsi="仿宋_GB2312" w:eastAsia="仿宋_GB2312" w:cs="仿宋_GB2312"/>
          <w:sz w:val="32"/>
          <w:szCs w:val="32"/>
          <w:lang w:eastAsia="zh-CN"/>
        </w:rPr>
        <w:t>曲靖市麒麟区</w:t>
      </w:r>
      <w:r>
        <w:rPr>
          <w:rFonts w:hint="eastAsia" w:ascii="仿宋_GB2312" w:hAnsi="仿宋_GB2312" w:eastAsia="仿宋_GB2312" w:cs="仿宋_GB2312"/>
          <w:sz w:val="32"/>
          <w:szCs w:val="32"/>
          <w:lang w:val="en-US" w:eastAsia="zh-CN"/>
        </w:rPr>
        <w:t>、经开区</w:t>
      </w:r>
      <w:r>
        <w:rPr>
          <w:rFonts w:hint="eastAsia" w:ascii="仿宋_GB2312" w:hAnsi="仿宋_GB2312" w:eastAsia="仿宋_GB2312" w:cs="仿宋_GB2312"/>
          <w:sz w:val="32"/>
          <w:szCs w:val="32"/>
        </w:rPr>
        <w:t>烟草制品零售点合理布局规划》实施之日起同时施行。</w:t>
      </w:r>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558E7">
    <w:pPr>
      <w:pStyle w:val="4"/>
    </w:pPr>
    <w:r>
      <mc:AlternateContent>
        <mc:Choice Requires="wps">
          <w:drawing>
            <wp:anchor distT="0" distB="0" distL="114300" distR="114300" simplePos="0" relativeHeight="251659264" behindDoc="0" locked="0" layoutInCell="1" allowOverlap="1">
              <wp:simplePos x="0" y="0"/>
              <wp:positionH relativeFrom="margin">
                <wp:posOffset>4654550</wp:posOffset>
              </wp:positionH>
              <wp:positionV relativeFrom="paragraph">
                <wp:posOffset>-68580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3DE41">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66.5pt;margin-top:-5.4pt;height:144pt;width:144pt;mso-position-horizontal-relative:margin;mso-wrap-style:none;z-index:251659264;mso-width-relative:page;mso-height-relative:page;" filled="f" stroked="f" coordsize="21600,21600" o:gfxdata="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NhHb42AAAAAw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14:paraId="05C3DE41">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FE1B0">
    <w:pPr>
      <w:pStyle w:val="4"/>
    </w:pPr>
    <w:r>
      <mc:AlternateContent>
        <mc:Choice Requires="wps">
          <w:drawing>
            <wp:anchor distT="0" distB="0" distL="114300" distR="114300" simplePos="0" relativeHeight="251660288" behindDoc="0" locked="0" layoutInCell="1" allowOverlap="1">
              <wp:simplePos x="0" y="0"/>
              <wp:positionH relativeFrom="margin">
                <wp:posOffset>6350</wp:posOffset>
              </wp:positionH>
              <wp:positionV relativeFrom="paragraph">
                <wp:posOffset>-83820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7C73C8">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5pt;margin-top:-6.6pt;height:144pt;width:144pt;mso-position-horizontal-relative:margin;mso-wrap-style:none;z-index:251660288;mso-width-relative:page;mso-height-relative:page;" filled="f" stroked="f" coordsize="21600,21600" o:gfxdata="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JzdXPWAAAACQ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14:paraId="197C73C8">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MTU4YjUzNjNmYzk3ZDI0ZWM1ZmFjMmQwMGMxMDUifQ=="/>
  </w:docVars>
  <w:rsids>
    <w:rsidRoot w:val="5567B6FB"/>
    <w:rsid w:val="00003B39"/>
    <w:rsid w:val="00033FC9"/>
    <w:rsid w:val="0003539C"/>
    <w:rsid w:val="00051080"/>
    <w:rsid w:val="00057877"/>
    <w:rsid w:val="00064A27"/>
    <w:rsid w:val="000A2F3E"/>
    <w:rsid w:val="000B7848"/>
    <w:rsid w:val="000D541E"/>
    <w:rsid w:val="00106258"/>
    <w:rsid w:val="00122108"/>
    <w:rsid w:val="00131E23"/>
    <w:rsid w:val="001404B2"/>
    <w:rsid w:val="00183DD2"/>
    <w:rsid w:val="00187C8E"/>
    <w:rsid w:val="001B2AAD"/>
    <w:rsid w:val="001D2909"/>
    <w:rsid w:val="00236E69"/>
    <w:rsid w:val="00293E36"/>
    <w:rsid w:val="002B37BD"/>
    <w:rsid w:val="002D0B11"/>
    <w:rsid w:val="00307CC1"/>
    <w:rsid w:val="00316270"/>
    <w:rsid w:val="0032118A"/>
    <w:rsid w:val="00336809"/>
    <w:rsid w:val="00384068"/>
    <w:rsid w:val="003A64AA"/>
    <w:rsid w:val="003E6E95"/>
    <w:rsid w:val="003F087E"/>
    <w:rsid w:val="004019DC"/>
    <w:rsid w:val="0043037F"/>
    <w:rsid w:val="0043247B"/>
    <w:rsid w:val="00451110"/>
    <w:rsid w:val="004646ED"/>
    <w:rsid w:val="004666F9"/>
    <w:rsid w:val="004672A8"/>
    <w:rsid w:val="00474FAD"/>
    <w:rsid w:val="00485331"/>
    <w:rsid w:val="004A2B10"/>
    <w:rsid w:val="004A40EC"/>
    <w:rsid w:val="004A4B3E"/>
    <w:rsid w:val="004E1B4B"/>
    <w:rsid w:val="004F2BDA"/>
    <w:rsid w:val="00521FFB"/>
    <w:rsid w:val="00524533"/>
    <w:rsid w:val="0053651F"/>
    <w:rsid w:val="005520B9"/>
    <w:rsid w:val="00567D65"/>
    <w:rsid w:val="0057052D"/>
    <w:rsid w:val="00570583"/>
    <w:rsid w:val="005B5284"/>
    <w:rsid w:val="005F28D5"/>
    <w:rsid w:val="00602C71"/>
    <w:rsid w:val="00617C2A"/>
    <w:rsid w:val="00635099"/>
    <w:rsid w:val="00690581"/>
    <w:rsid w:val="006B5837"/>
    <w:rsid w:val="006B6EB3"/>
    <w:rsid w:val="006E05B4"/>
    <w:rsid w:val="006E1A36"/>
    <w:rsid w:val="006F12FB"/>
    <w:rsid w:val="00707B05"/>
    <w:rsid w:val="007716E0"/>
    <w:rsid w:val="0079031E"/>
    <w:rsid w:val="007D10BC"/>
    <w:rsid w:val="008157F0"/>
    <w:rsid w:val="0083260B"/>
    <w:rsid w:val="0083283E"/>
    <w:rsid w:val="0083772F"/>
    <w:rsid w:val="00850BD4"/>
    <w:rsid w:val="008536B0"/>
    <w:rsid w:val="008A78A9"/>
    <w:rsid w:val="008C0209"/>
    <w:rsid w:val="008C635A"/>
    <w:rsid w:val="0090161B"/>
    <w:rsid w:val="00916CA8"/>
    <w:rsid w:val="00927FF6"/>
    <w:rsid w:val="00932706"/>
    <w:rsid w:val="00940EF6"/>
    <w:rsid w:val="0098538C"/>
    <w:rsid w:val="009968EE"/>
    <w:rsid w:val="00996BCA"/>
    <w:rsid w:val="0099741B"/>
    <w:rsid w:val="009A77A8"/>
    <w:rsid w:val="009C2CE6"/>
    <w:rsid w:val="009C7B06"/>
    <w:rsid w:val="009D4AF4"/>
    <w:rsid w:val="009F23F9"/>
    <w:rsid w:val="00A12D1C"/>
    <w:rsid w:val="00A32468"/>
    <w:rsid w:val="00A417DB"/>
    <w:rsid w:val="00A55C60"/>
    <w:rsid w:val="00A63A07"/>
    <w:rsid w:val="00A8727B"/>
    <w:rsid w:val="00A90D2A"/>
    <w:rsid w:val="00AC2519"/>
    <w:rsid w:val="00AD2C14"/>
    <w:rsid w:val="00B07EC1"/>
    <w:rsid w:val="00B13829"/>
    <w:rsid w:val="00B302EB"/>
    <w:rsid w:val="00B36DF3"/>
    <w:rsid w:val="00B74BAE"/>
    <w:rsid w:val="00B81F90"/>
    <w:rsid w:val="00BC3B9B"/>
    <w:rsid w:val="00BF6A6F"/>
    <w:rsid w:val="00C242DE"/>
    <w:rsid w:val="00C30EF2"/>
    <w:rsid w:val="00C364CB"/>
    <w:rsid w:val="00C53D6C"/>
    <w:rsid w:val="00C6334D"/>
    <w:rsid w:val="00C636D0"/>
    <w:rsid w:val="00C66709"/>
    <w:rsid w:val="00C76736"/>
    <w:rsid w:val="00CA4AE3"/>
    <w:rsid w:val="00CB51C0"/>
    <w:rsid w:val="00CF1FF8"/>
    <w:rsid w:val="00CF38FD"/>
    <w:rsid w:val="00D000AB"/>
    <w:rsid w:val="00D0236B"/>
    <w:rsid w:val="00D414AF"/>
    <w:rsid w:val="00D57A19"/>
    <w:rsid w:val="00D60D04"/>
    <w:rsid w:val="00D72434"/>
    <w:rsid w:val="00DB073A"/>
    <w:rsid w:val="00DB1334"/>
    <w:rsid w:val="00DB1369"/>
    <w:rsid w:val="00DD30D4"/>
    <w:rsid w:val="00DF58F4"/>
    <w:rsid w:val="00E20733"/>
    <w:rsid w:val="00E326DF"/>
    <w:rsid w:val="00E46341"/>
    <w:rsid w:val="00E94DF3"/>
    <w:rsid w:val="00ED1359"/>
    <w:rsid w:val="00ED48AC"/>
    <w:rsid w:val="00ED74DE"/>
    <w:rsid w:val="00F4403D"/>
    <w:rsid w:val="00F611EF"/>
    <w:rsid w:val="00F67824"/>
    <w:rsid w:val="00F916B6"/>
    <w:rsid w:val="075060EB"/>
    <w:rsid w:val="079744B6"/>
    <w:rsid w:val="0D3E717A"/>
    <w:rsid w:val="12291EA1"/>
    <w:rsid w:val="19B90735"/>
    <w:rsid w:val="20857532"/>
    <w:rsid w:val="257539DE"/>
    <w:rsid w:val="27B76E38"/>
    <w:rsid w:val="2DDD71A4"/>
    <w:rsid w:val="2FCD67FF"/>
    <w:rsid w:val="3FA136A4"/>
    <w:rsid w:val="42FA74B4"/>
    <w:rsid w:val="47D72BF6"/>
    <w:rsid w:val="4CB66CE5"/>
    <w:rsid w:val="50F55F61"/>
    <w:rsid w:val="5567B6FB"/>
    <w:rsid w:val="59E75162"/>
    <w:rsid w:val="5AD84163"/>
    <w:rsid w:val="5C577036"/>
    <w:rsid w:val="5F77A049"/>
    <w:rsid w:val="611063C8"/>
    <w:rsid w:val="65FB7383"/>
    <w:rsid w:val="6EDBA522"/>
    <w:rsid w:val="6FA36659"/>
    <w:rsid w:val="74C36D94"/>
    <w:rsid w:val="76DE89DC"/>
    <w:rsid w:val="795F2E3C"/>
    <w:rsid w:val="7FDCFDE9"/>
    <w:rsid w:val="BB9DA536"/>
    <w:rsid w:val="BBBC87D8"/>
    <w:rsid w:val="BFD5B949"/>
    <w:rsid w:val="DFBA1439"/>
    <w:rsid w:val="DFFEF499"/>
    <w:rsid w:val="EEFB10A9"/>
    <w:rsid w:val="EFA2DB1A"/>
    <w:rsid w:val="F77F429F"/>
    <w:rsid w:val="F7E832FE"/>
    <w:rsid w:val="F7E92626"/>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autoRedefine/>
    <w:semiHidden/>
    <w:unhideWhenUsed/>
    <w:qFormat/>
    <w:uiPriority w:val="0"/>
    <w:pPr>
      <w:keepNext/>
      <w:keepLines/>
      <w:spacing w:before="260" w:after="260" w:line="413" w:lineRule="auto"/>
      <w:outlineLvl w:val="1"/>
    </w:pPr>
    <w:rPr>
      <w:rFonts w:ascii="Arial" w:hAnsi="Arial" w:eastAsia="黑体"/>
      <w:sz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Subtitle"/>
    <w:basedOn w:val="1"/>
    <w:next w:val="1"/>
    <w:autoRedefine/>
    <w:qFormat/>
    <w:uiPriority w:val="11"/>
    <w:pPr>
      <w:spacing w:before="240" w:after="240" w:line="312" w:lineRule="auto"/>
      <w:jc w:val="center"/>
      <w:outlineLvl w:val="1"/>
    </w:pPr>
    <w:rPr>
      <w:rFonts w:ascii="等线" w:hAnsi="等线" w:eastAsia="等线"/>
      <w:kern w:val="28"/>
      <w:sz w:val="40"/>
      <w:szCs w:val="40"/>
    </w:rPr>
  </w:style>
  <w:style w:type="character" w:styleId="9">
    <w:name w:val="Strong"/>
    <w:basedOn w:val="8"/>
    <w:autoRedefine/>
    <w:qFormat/>
    <w:uiPriority w:val="0"/>
    <w:rPr>
      <w:b/>
    </w:rPr>
  </w:style>
  <w:style w:type="paragraph" w:customStyle="1" w:styleId="10">
    <w:name w:val="正文二级标题"/>
    <w:basedOn w:val="1"/>
    <w:autoRedefine/>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autoRedefine/>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autoRedefine/>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autoRedefine/>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autoRedefine/>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autoRedefine/>
    <w:qFormat/>
    <w:uiPriority w:val="0"/>
    <w:rPr>
      <w:rFonts w:hint="eastAsia" w:ascii="黑体" w:hAnsi="黑体" w:eastAsia="宋体" w:cs="宋体"/>
      <w:kern w:val="0"/>
      <w:sz w:val="24"/>
      <w:szCs w:val="28"/>
      <w:lang w:eastAsia="zh-Hans"/>
    </w:rPr>
  </w:style>
  <w:style w:type="paragraph" w:customStyle="1" w:styleId="16">
    <w:name w:val="摘要"/>
    <w:basedOn w:val="1"/>
    <w:autoRedefine/>
    <w:qFormat/>
    <w:uiPriority w:val="0"/>
    <w:pPr>
      <w:spacing w:before="480" w:after="360"/>
      <w:jc w:val="center"/>
      <w:outlineLvl w:val="0"/>
    </w:pPr>
    <w:rPr>
      <w:rFonts w:hint="eastAsia" w:ascii="黑体" w:hAnsi="黑体" w:eastAsia="黑体"/>
      <w:b/>
      <w:bCs/>
      <w:sz w:val="36"/>
      <w:szCs w:val="36"/>
    </w:rPr>
  </w:style>
  <w:style w:type="paragraph" w:styleId="1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620</Words>
  <Characters>620</Characters>
  <Lines>5</Lines>
  <Paragraphs>1</Paragraphs>
  <TotalTime>0</TotalTime>
  <ScaleCrop>false</ScaleCrop>
  <LinksUpToDate>false</LinksUpToDate>
  <CharactersWithSpaces>620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2023-12-27T19:15:00Z</dcterms:created>
  <dc:creator>孙溧梁</dc:creator>
  <cp:lastModifiedBy>    </cp:lastModifiedBy>
  <dcterms:modified xsi:type="dcterms:W3CDTF">2024-11-11T08:08:45Z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2803E76DCC462C29CDB58A65125D716F_41</vt:lpwstr>
  </property>
</Properties>
</file>