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A766DA">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bookmarkStart w:id="2" w:name="_GoBack"/>
      <w:bookmarkEnd w:id="2"/>
    </w:p>
    <w:p w14:paraId="6B348D3E">
      <w:pPr>
        <w:snapToGrid w:val="0"/>
        <w:spacing w:line="317" w:lineRule="auto"/>
        <w:jc w:val="center"/>
        <w:rPr>
          <w:rFonts w:hint="eastAsia" w:ascii="方正小标宋简体" w:eastAsia="方正小标宋简体"/>
          <w:sz w:val="44"/>
          <w:szCs w:val="44"/>
        </w:rPr>
      </w:pPr>
      <w:r>
        <w:rPr>
          <w:rFonts w:hint="eastAsia" w:ascii="方正小标宋简体" w:eastAsia="方正小标宋简体"/>
          <w:sz w:val="44"/>
          <w:szCs w:val="44"/>
          <w:lang w:eastAsia="zh-CN"/>
        </w:rPr>
        <w:t>曲靖市麒麟区、经开区</w:t>
      </w:r>
      <w:r>
        <w:rPr>
          <w:rFonts w:hint="eastAsia" w:ascii="方正小标宋简体" w:eastAsia="方正小标宋简体"/>
          <w:sz w:val="44"/>
          <w:szCs w:val="44"/>
        </w:rPr>
        <w:t>烟草制品零售点间距</w:t>
      </w:r>
    </w:p>
    <w:p w14:paraId="3469FAE6">
      <w:pPr>
        <w:snapToGrid w:val="0"/>
        <w:spacing w:line="317" w:lineRule="auto"/>
        <w:jc w:val="center"/>
        <w:rPr>
          <w:rFonts w:ascii="方正小标宋简体" w:hAnsi="方正小标宋简体" w:eastAsia="方正小标宋简体" w:cs="方正小标宋简体"/>
          <w:sz w:val="44"/>
          <w:szCs w:val="44"/>
          <w:lang w:eastAsia="zh-CN"/>
        </w:rPr>
      </w:pPr>
      <w:r>
        <w:rPr>
          <w:rFonts w:hint="eastAsia" w:ascii="方正小标宋简体" w:eastAsia="方正小标宋简体"/>
          <w:sz w:val="44"/>
          <w:szCs w:val="44"/>
        </w:rPr>
        <w:t>测量规则及标准</w:t>
      </w:r>
    </w:p>
    <w:p w14:paraId="0A195ECC"/>
    <w:p w14:paraId="18929DC5">
      <w:pPr>
        <w:ind w:firstLine="640" w:firstLineChars="200"/>
        <w:rPr>
          <w:rFonts w:ascii="仿宋_GB2312" w:hAnsi="仿宋_GB2312" w:eastAsia="仿宋_GB2312" w:cs="仿宋_GB2312"/>
          <w:spacing w:val="10"/>
          <w:sz w:val="32"/>
          <w:szCs w:val="32"/>
        </w:rPr>
      </w:pPr>
      <w:r>
        <w:rPr>
          <w:rFonts w:hint="eastAsia" w:ascii="Times New Roman" w:hAnsi="Times New Roman" w:eastAsia="仿宋_GB2312" w:cs="Times New Roman"/>
          <w:sz w:val="32"/>
          <w:szCs w:val="32"/>
        </w:rPr>
        <w:t>根据</w:t>
      </w:r>
      <w:r>
        <w:rPr>
          <w:rFonts w:hint="eastAsia" w:ascii="仿宋_GB2312" w:hAnsi="仿宋_GB2312" w:eastAsia="仿宋_GB2312" w:cs="仿宋_GB2312"/>
          <w:spacing w:val="10"/>
          <w:sz w:val="32"/>
          <w:szCs w:val="32"/>
          <w:lang w:eastAsia="zh-CN"/>
        </w:rPr>
        <w:t>曲靖市麒麟区、经开区</w:t>
      </w:r>
      <w:r>
        <w:rPr>
          <w:rFonts w:hint="eastAsia" w:ascii="仿宋_GB2312" w:hAnsi="仿宋_GB2312" w:eastAsia="仿宋_GB2312" w:cs="仿宋_GB2312"/>
          <w:spacing w:val="10"/>
          <w:sz w:val="32"/>
          <w:szCs w:val="32"/>
        </w:rPr>
        <w:t>辖区实际情况，现明确《</w:t>
      </w:r>
      <w:r>
        <w:rPr>
          <w:rFonts w:hint="eastAsia" w:ascii="仿宋_GB2312" w:hAnsi="仿宋_GB2312" w:eastAsia="仿宋_GB2312" w:cs="仿宋_GB2312"/>
          <w:spacing w:val="10"/>
          <w:sz w:val="32"/>
          <w:szCs w:val="32"/>
          <w:lang w:eastAsia="zh-CN"/>
        </w:rPr>
        <w:t>曲靖市麒麟区、经开区</w:t>
      </w:r>
      <w:r>
        <w:rPr>
          <w:rFonts w:hint="eastAsia" w:ascii="仿宋_GB2312" w:hAnsi="仿宋_GB2312" w:eastAsia="仿宋_GB2312" w:cs="仿宋_GB2312"/>
          <w:spacing w:val="10"/>
          <w:sz w:val="32"/>
          <w:szCs w:val="32"/>
        </w:rPr>
        <w:t>烟草制品零售点合理布局规划》第七条中有关的“零售点间距”测量规则及标准如下：</w:t>
      </w:r>
    </w:p>
    <w:p w14:paraId="6E35A3CD">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14:paraId="43B7F753">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（一）现场核查零售点间距的测量以“可安全步行最短距离”为总体原则，其他未穷尽列举的情形均参照本原则测量。</w:t>
      </w:r>
    </w:p>
    <w:p w14:paraId="1C7EBF7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（二）应当使用符合国家距离测量标准的测量工具。</w:t>
      </w:r>
    </w:p>
    <w:p w14:paraId="45A36FB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（三）“零售点间距”是指申请点与参照零售点（周边已设最近的零售点）之间按“门边到门边”原则进行测量。测量数据精确到小数点后一位，如“30.0米”或“100.0米”。</w:t>
      </w:r>
    </w:p>
    <w:p w14:paraId="108BB72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676AAB4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14:paraId="14E67D7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（六）政府有关部门在街道或道路中设置的行人隔离带（栏）、绿化带等视为障碍物，测量时应当按道路交通规则绕行。</w:t>
      </w:r>
    </w:p>
    <w:p w14:paraId="39E5AC6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（七）不视为障碍物的情形：在通行道路上临时设置的安全设施；临时放置的建筑材料、物品、车辆等；擅自设立、建造的建筑物、构筑物或其他物体等；以及因施工影响通行的围挡设施。</w:t>
      </w:r>
    </w:p>
    <w:p w14:paraId="54ECBE2A">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14:paraId="683D471C">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（一）店面同一侧无障碍物距离测量示意图，申请点与参照零售点间距。（如图1）</w:t>
      </w:r>
    </w:p>
    <w:p w14:paraId="44E59197">
      <w:pPr>
        <w:pStyle w:val="3"/>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7"/>
                    <a:stretch>
                      <a:fillRect/>
                    </a:stretch>
                  </pic:blipFill>
                  <pic:spPr>
                    <a:xfrm>
                      <a:off x="0" y="0"/>
                      <a:ext cx="3970020" cy="1748155"/>
                    </a:xfrm>
                    <a:prstGeom prst="rect">
                      <a:avLst/>
                    </a:prstGeom>
                  </pic:spPr>
                </pic:pic>
              </a:graphicData>
            </a:graphic>
          </wp:inline>
        </w:drawing>
      </w:r>
    </w:p>
    <w:p w14:paraId="27EBF178">
      <w:pPr>
        <w:pStyle w:val="3"/>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14:paraId="7035A87C">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（二）店面同一侧有障碍物距离测量示意图，申请点与参照零售点间距=a+b+c+d+e。（如图2）</w:t>
      </w:r>
    </w:p>
    <w:p w14:paraId="40FD8062">
      <w:pPr>
        <w:pStyle w:val="3"/>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8"/>
                    <a:stretch>
                      <a:fillRect/>
                    </a:stretch>
                  </pic:blipFill>
                  <pic:spPr>
                    <a:xfrm>
                      <a:off x="0" y="0"/>
                      <a:ext cx="5240217" cy="1887838"/>
                    </a:xfrm>
                    <a:prstGeom prst="rect">
                      <a:avLst/>
                    </a:prstGeom>
                  </pic:spPr>
                </pic:pic>
              </a:graphicData>
            </a:graphic>
          </wp:inline>
        </w:drawing>
      </w:r>
    </w:p>
    <w:p w14:paraId="7B935F14">
      <w:pPr>
        <w:pStyle w:val="3"/>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14:paraId="21D6708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（三）申请点与参照零售点异侧无障碍物，且道路无隔离带（包括无任何禁止通行交通标志的路段或有可通行的单虚线）和斑马线情形，可安全步行的。</w:t>
      </w:r>
    </w:p>
    <w:p w14:paraId="366EA323">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1.申请点与参照零售点对称的，间距=a（如图3.1）</w:t>
      </w:r>
    </w:p>
    <w:p w14:paraId="44F52090">
      <w:pPr>
        <w:pStyle w:val="3"/>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9"/>
                    <a:stretch>
                      <a:fillRect/>
                    </a:stretch>
                  </pic:blipFill>
                  <pic:spPr>
                    <a:xfrm>
                      <a:off x="0" y="0"/>
                      <a:ext cx="4934585" cy="2446020"/>
                    </a:xfrm>
                    <a:prstGeom prst="rect">
                      <a:avLst/>
                    </a:prstGeom>
                  </pic:spPr>
                </pic:pic>
              </a:graphicData>
            </a:graphic>
          </wp:inline>
        </w:drawing>
      </w:r>
    </w:p>
    <w:p w14:paraId="41657F70">
      <w:pPr>
        <w:pStyle w:val="3"/>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14:paraId="1CCCCCBC">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2.申请点与参照零售点不对称的，间距=b（如图3.2）</w:t>
      </w:r>
    </w:p>
    <w:p w14:paraId="4395DD03">
      <w:pPr>
        <w:pStyle w:val="3"/>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10"/>
                    <a:stretch>
                      <a:fillRect/>
                    </a:stretch>
                  </pic:blipFill>
                  <pic:spPr>
                    <a:xfrm>
                      <a:off x="0" y="0"/>
                      <a:ext cx="5015865" cy="2638425"/>
                    </a:xfrm>
                    <a:prstGeom prst="rect">
                      <a:avLst/>
                    </a:prstGeom>
                  </pic:spPr>
                </pic:pic>
              </a:graphicData>
            </a:graphic>
          </wp:inline>
        </w:drawing>
      </w:r>
    </w:p>
    <w:p w14:paraId="4D9F9663">
      <w:pPr>
        <w:pStyle w:val="3"/>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14:paraId="6D3CC1D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（四）申请点与参照零售点异侧存在障碍物的，测量按直角分段绕过障碍物测量，分段距离之和即为申请人的经营场所与最近零售点的经营场所间的距离。间距=a+b+c（如图4）</w:t>
      </w:r>
    </w:p>
    <w:p w14:paraId="3410CA3A">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11"/>
                    <a:stretch>
                      <a:fillRect/>
                    </a:stretch>
                  </pic:blipFill>
                  <pic:spPr>
                    <a:xfrm>
                      <a:off x="0" y="0"/>
                      <a:ext cx="5194300" cy="2531745"/>
                    </a:xfrm>
                    <a:prstGeom prst="rect">
                      <a:avLst/>
                    </a:prstGeom>
                  </pic:spPr>
                </pic:pic>
              </a:graphicData>
            </a:graphic>
          </wp:inline>
        </w:drawing>
      </w:r>
    </w:p>
    <w:p w14:paraId="095AD2C5">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14:paraId="64C3190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（五）店面背靠背距离测量示意图，申请点与参照零售点间距=a+b+c。（如图5）</w:t>
      </w:r>
    </w:p>
    <w:p w14:paraId="52AD2487">
      <w:pPr>
        <w:pStyle w:val="3"/>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5CC93FFF">
      <w:pPr>
        <w:pStyle w:val="3"/>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14:paraId="138F5A5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（六）店面隔着街道转角的，分别计算沿街店面的两边距离再相加，申请点与参照零售点间距=a+b。（如图6）</w:t>
      </w:r>
    </w:p>
    <w:p w14:paraId="01171808">
      <w:pPr>
        <w:pStyle w:val="3"/>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3"/>
                    <a:srcRect t="17596"/>
                    <a:stretch>
                      <a:fillRect/>
                    </a:stretch>
                  </pic:blipFill>
                  <pic:spPr>
                    <a:xfrm>
                      <a:off x="0" y="0"/>
                      <a:ext cx="4768850" cy="2709545"/>
                    </a:xfrm>
                    <a:prstGeom prst="rect">
                      <a:avLst/>
                    </a:prstGeom>
                  </pic:spPr>
                </pic:pic>
              </a:graphicData>
            </a:graphic>
          </wp:inline>
        </w:drawing>
      </w:r>
    </w:p>
    <w:p w14:paraId="7785EFB2">
      <w:pPr>
        <w:pStyle w:val="3"/>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14:paraId="5A43D30C">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（七）十字路口</w:t>
      </w:r>
    </w:p>
    <w:p w14:paraId="594B1A3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申请点与参照零售点在十字路口中轴线同一半侧的道路对侧的，可参照道路对侧情况进行测量，按申请点门边至零售点门边可安全步行最短距离测量。具体测量办法视有无交通信号灯、人行横道或过街设施的路段以及障碍物情况而定。（如图7.1）</w:t>
      </w:r>
    </w:p>
    <w:p w14:paraId="275DB379">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4"/>
                    <a:stretch>
                      <a:fillRect/>
                    </a:stretch>
                  </pic:blipFill>
                  <pic:spPr>
                    <a:xfrm>
                      <a:off x="0" y="0"/>
                      <a:ext cx="3064510" cy="2741930"/>
                    </a:xfrm>
                    <a:prstGeom prst="rect">
                      <a:avLst/>
                    </a:prstGeom>
                  </pic:spPr>
                </pic:pic>
              </a:graphicData>
            </a:graphic>
          </wp:inline>
        </w:drawing>
      </w:r>
    </w:p>
    <w:p w14:paraId="6100BEB4">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14:paraId="1B1AE28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2.十字路口对角（有交通信号灯、人行横道或过街设施）</w:t>
      </w:r>
    </w:p>
    <w:p w14:paraId="565FCE5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请点与参照零售点位于十字路口对角位置的，且路口中间设有交通信号灯、人行横道或过街设施的，应按照交通规则，通过人行横道或过街设施，按申请点门边至零售点门边可安全步行最短距离测量。（如图7.2中存在a、b两条线路，取其中一条可安全步行最短距离线路测量）</w:t>
      </w:r>
    </w:p>
    <w:p w14:paraId="2457B029">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5"/>
                    <a:stretch>
                      <a:fillRect/>
                    </a:stretch>
                  </pic:blipFill>
                  <pic:spPr>
                    <a:xfrm>
                      <a:off x="0" y="0"/>
                      <a:ext cx="2782892" cy="2481288"/>
                    </a:xfrm>
                    <a:prstGeom prst="rect">
                      <a:avLst/>
                    </a:prstGeom>
                  </pic:spPr>
                </pic:pic>
              </a:graphicData>
            </a:graphic>
          </wp:inline>
        </w:drawing>
      </w:r>
    </w:p>
    <w:p w14:paraId="0BC0B00F">
      <w:pPr>
        <w:pStyle w:val="3"/>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14:paraId="49A5355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3.十字路口对角（无交通信号灯、人行横道或过街设施）</w:t>
      </w:r>
    </w:p>
    <w:p w14:paraId="076B74D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申请点与参照零售点位于十字路口对角位置的，且路口中间未设有交通信号灯、人行横道或过街设施的，按申请点门边至零售点门边可安全步行最短距离测量。（图7.3）</w:t>
      </w:r>
    </w:p>
    <w:p w14:paraId="0BB5DBCB">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6"/>
                    <a:stretch>
                      <a:fillRect/>
                    </a:stretch>
                  </pic:blipFill>
                  <pic:spPr>
                    <a:xfrm>
                      <a:off x="0" y="0"/>
                      <a:ext cx="2703830" cy="2475865"/>
                    </a:xfrm>
                    <a:prstGeom prst="rect">
                      <a:avLst/>
                    </a:prstGeom>
                  </pic:spPr>
                </pic:pic>
              </a:graphicData>
            </a:graphic>
          </wp:inline>
        </w:drawing>
      </w:r>
    </w:p>
    <w:p w14:paraId="3416C183">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14:paraId="55707E7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（八）中小学校、幼儿园的测量起始点为学校正常出入的校门口。有多个进出通道口的，选择距离零售点最短的进出通道口的门边，作为测量起始点。</w:t>
      </w:r>
    </w:p>
    <w:p w14:paraId="51DFD28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申请点与中小学校、幼儿园通道口之间距离测量示意图。（如图8）</w:t>
      </w:r>
    </w:p>
    <w:p w14:paraId="2C78053B">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0"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7"/>
                    <a:stretch>
                      <a:fillRect/>
                    </a:stretch>
                  </pic:blipFill>
                  <pic:spPr>
                    <a:xfrm>
                      <a:off x="0" y="0"/>
                      <a:ext cx="2844973" cy="2145560"/>
                    </a:xfrm>
                    <a:prstGeom prst="rect">
                      <a:avLst/>
                    </a:prstGeom>
                  </pic:spPr>
                </pic:pic>
              </a:graphicData>
            </a:graphic>
          </wp:inline>
        </w:drawing>
      </w:r>
    </w:p>
    <w:p w14:paraId="55B7AC03">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14:paraId="632D469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（九）申请点与参照零售点之间有道路隔离情形的：</w:t>
      </w:r>
    </w:p>
    <w:p w14:paraId="198F600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主干道上有禁止行人行走隔离带的（包括禁止通行的双实线、单实线等交通标志），测量从隔离带最近开口处过斑马线、天桥等行人可安全步行通道，以直线距离为测量标准，申请点与参照零售点间距=a+b+c。（如图9.1）</w:t>
      </w:r>
    </w:p>
    <w:p w14:paraId="7030A8A5">
      <w:pPr>
        <w:pStyle w:val="3"/>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8">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4CB296E3">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14:paraId="4B5A179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2.无隔离带（包括无任何禁止通行交通标志的路段或有可通行的单虚线），但两个零售点之间有斑马线的，按照“边对边”过斑马线垂直距离为测量标准。申请点与参照零售点间距=a+b+c。（如图9.2）</w:t>
      </w:r>
    </w:p>
    <w:p w14:paraId="1C6C5FEB">
      <w:pPr>
        <w:pStyle w:val="3"/>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0" b="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9"/>
                    <a:srcRect t="11409"/>
                    <a:stretch>
                      <a:fillRect/>
                    </a:stretch>
                  </pic:blipFill>
                  <pic:spPr>
                    <a:xfrm>
                      <a:off x="0" y="0"/>
                      <a:ext cx="3316677" cy="1922333"/>
                    </a:xfrm>
                    <a:prstGeom prst="rect">
                      <a:avLst/>
                    </a:prstGeom>
                  </pic:spPr>
                </pic:pic>
              </a:graphicData>
            </a:graphic>
          </wp:inline>
        </w:drawing>
      </w:r>
      <w:bookmarkStart w:id="0" w:name="attache_title"/>
      <w:bookmarkEnd w:id="0"/>
      <w:bookmarkStart w:id="1" w:name="Fuzhu"/>
      <w:bookmarkEnd w:id="1"/>
    </w:p>
    <w:p w14:paraId="666AC7FB">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14:paraId="156196C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（十）各类综合性商品批发市场、专业市场、集贸市场内部距离测量示意图，申请点与参照零售点间距=a+b+c。（如图10）</w:t>
      </w:r>
    </w:p>
    <w:p w14:paraId="148AAE02">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20"/>
                    <a:stretch>
                      <a:fillRect/>
                    </a:stretch>
                  </pic:blipFill>
                  <pic:spPr>
                    <a:xfrm>
                      <a:off x="0" y="0"/>
                      <a:ext cx="3851275" cy="2245360"/>
                    </a:xfrm>
                    <a:prstGeom prst="rect">
                      <a:avLst/>
                    </a:prstGeom>
                  </pic:spPr>
                </pic:pic>
              </a:graphicData>
            </a:graphic>
          </wp:inline>
        </w:drawing>
      </w:r>
    </w:p>
    <w:p w14:paraId="0285590D">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14:paraId="21283B7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（十一）申请点与参照零售点的经营场所之间有台阶、楼梯的，以其平面坡长进行测量；有电梯的，以层高进行测量；楼梯与电梯并存的，以最短距离的为准。（如图11）</w:t>
      </w:r>
    </w:p>
    <w:p w14:paraId="732085B0">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21"/>
                    <a:stretch>
                      <a:fillRect/>
                    </a:stretch>
                  </pic:blipFill>
                  <pic:spPr>
                    <a:xfrm>
                      <a:off x="0" y="0"/>
                      <a:ext cx="5163185" cy="2213610"/>
                    </a:xfrm>
                    <a:prstGeom prst="rect">
                      <a:avLst/>
                    </a:prstGeom>
                  </pic:spPr>
                </pic:pic>
              </a:graphicData>
            </a:graphic>
          </wp:inline>
        </w:drawing>
      </w:r>
    </w:p>
    <w:p w14:paraId="52ACD1A6">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14:paraId="206360B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（十二）申请点或零售点多门情况</w:t>
      </w:r>
    </w:p>
    <w:p w14:paraId="38D3A9E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申请人经营场所门面多面（多间）贯通且多面经营的，测量起始点的选取规则是：申请人与参照零售点之间距离最近的门面为起始点测量。</w:t>
      </w:r>
    </w:p>
    <w:p w14:paraId="3F993FF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1.道路同侧情况</w:t>
      </w:r>
    </w:p>
    <w:p w14:paraId="66251E6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申请点出入口较多，取与最近零售点经营场所最短的出入口进行测量。（如图12.1）</w:t>
      </w:r>
    </w:p>
    <w:p w14:paraId="564B2AAF">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2159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2"/>
                    <a:stretch>
                      <a:fillRect/>
                    </a:stretch>
                  </pic:blipFill>
                  <pic:spPr>
                    <a:xfrm rot="10800000" flipH="1" flipV="1">
                      <a:off x="0" y="0"/>
                      <a:ext cx="4333875" cy="2213610"/>
                    </a:xfrm>
                    <a:prstGeom prst="rect">
                      <a:avLst/>
                    </a:prstGeom>
                  </pic:spPr>
                </pic:pic>
              </a:graphicData>
            </a:graphic>
          </wp:inline>
        </w:drawing>
      </w:r>
    </w:p>
    <w:p w14:paraId="273BFF9A">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14:paraId="6177FD6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2.十字路口情况</w:t>
      </w:r>
    </w:p>
    <w:p w14:paraId="6BA2C45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申请点与参照零售点在十字路口中轴线同一半侧的道路对侧的，取申请点至零售点最近一侧的门边，测量可安全步行的最短距离。具体测量办法视有无交通信号灯、人行横道或过街设施的路段以及障碍物情况而定。（如图12.2）</w:t>
      </w:r>
    </w:p>
    <w:p w14:paraId="559FAC47">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14:paraId="23CF1B02">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14:paraId="126BD61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申请点与参照零售点位于十字路口对角位置的，且路口中间设有交通信号灯、人行横道或过街设施的，应按照交通规则，通过人行横道或过街设施，按申请点最近一侧门边至零售点最近一侧门边可安全步行最短距离。（如图12.3存在多条线路取其中可安全步行最短距离线路测量）</w:t>
      </w:r>
    </w:p>
    <w:p w14:paraId="322C8345">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4"/>
                    <a:stretch>
                      <a:fillRect/>
                    </a:stretch>
                  </pic:blipFill>
                  <pic:spPr>
                    <a:xfrm>
                      <a:off x="0" y="0"/>
                      <a:ext cx="3131185" cy="2522855"/>
                    </a:xfrm>
                    <a:prstGeom prst="rect">
                      <a:avLst/>
                    </a:prstGeom>
                  </pic:spPr>
                </pic:pic>
              </a:graphicData>
            </a:graphic>
          </wp:inline>
        </w:drawing>
      </w:r>
    </w:p>
    <w:p w14:paraId="3C6CAF4F">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14:paraId="2D1E05F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申请点与参照零售点位于十字路口对角位置，且路口中间未设有交通信号灯、人行横道或过街设施的，按申请点至零售点最近一侧的门边，测量可安全步行最短距离。（如图12.4存在多条线路，取其中一条可安全步行最短距离线路测量）</w:t>
      </w:r>
    </w:p>
    <w:p w14:paraId="672136E5">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5"/>
                    <a:stretch>
                      <a:fillRect/>
                    </a:stretch>
                  </pic:blipFill>
                  <pic:spPr>
                    <a:xfrm>
                      <a:off x="0" y="0"/>
                      <a:ext cx="3330575" cy="2741930"/>
                    </a:xfrm>
                    <a:prstGeom prst="rect">
                      <a:avLst/>
                    </a:prstGeom>
                  </pic:spPr>
                </pic:pic>
              </a:graphicData>
            </a:graphic>
          </wp:inline>
        </w:drawing>
      </w:r>
    </w:p>
    <w:p w14:paraId="44948EEE">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14:paraId="54F164A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（十三）封闭式小区内部、广场等区域零售点的间距测量方法均以原设计道路、人行通道正常安全步行的最短距离进行测量。</w:t>
      </w:r>
    </w:p>
    <w:p w14:paraId="13D7F9EC">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（十四）特殊地形测量：因地形、地貌或设计等原因导致道路、通道成不规则形态，通过前述方法无法测量的，以可安全步行最短距离进行测量。</w:t>
      </w:r>
    </w:p>
    <w:p w14:paraId="7699E49D">
      <w:pPr>
        <w:ind w:firstLine="640" w:firstLineChars="200"/>
        <w:rPr>
          <w:rFonts w:hint="eastAsia" w:ascii="Times New Roman" w:hAnsi="Times New Roman" w:eastAsia="仿宋_GB2312" w:cs="Times New Roman"/>
          <w:sz w:val="32"/>
          <w:szCs w:val="32"/>
        </w:rPr>
      </w:pPr>
    </w:p>
    <w:p w14:paraId="20A34B00">
      <w:pPr>
        <w:ind w:firstLine="640" w:firstLineChars="200"/>
        <w:rPr>
          <w:rFonts w:hint="eastAsia" w:ascii="Times New Roman" w:hAnsi="Times New Roman" w:eastAsia="仿宋_GB2312" w:cs="Times New Roman"/>
          <w:sz w:val="32"/>
          <w:szCs w:val="32"/>
        </w:rPr>
      </w:pPr>
    </w:p>
    <w:sectPr>
      <w:headerReference r:id="rId3" w:type="default"/>
      <w:footerReference r:id="rId4" w:type="default"/>
      <w:footerReference r:id="rId5" w:type="even"/>
      <w:pgSz w:w="11906" w:h="16838"/>
      <w:pgMar w:top="2098" w:right="1474"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09F9922-88B4-4866-81C9-FDAFF56D75E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embedRegular r:id="rId2" w:fontKey="{9544477F-8747-4C5D-8605-E28CF72143EB}"/>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C215D723-8ED5-4EEB-AF18-0D02BAAA03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EC976">
    <w:pPr>
      <w:pStyle w:val="4"/>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904B66">
                          <w:pPr>
                            <w:pStyle w:val="4"/>
                            <w:rPr>
                              <w:rFonts w:ascii="宋体" w:hAnsi="宋体" w:cs="宋体"/>
                              <w:b/>
                              <w:bCs/>
                              <w:sz w:val="28"/>
                              <w:szCs w:val="28"/>
                            </w:rPr>
                          </w:pP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- 1 -</w:t>
                          </w:r>
                          <w:r>
                            <w:rPr>
                              <w:rFonts w:hint="eastAsia" w:ascii="宋体" w:hAnsi="宋体" w:cs="宋体"/>
                              <w:b/>
                              <w:bCs/>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7904B66">
                    <w:pPr>
                      <w:pStyle w:val="4"/>
                      <w:rPr>
                        <w:rFonts w:ascii="宋体" w:hAnsi="宋体" w:cs="宋体"/>
                        <w:b/>
                        <w:bCs/>
                        <w:sz w:val="28"/>
                        <w:szCs w:val="28"/>
                      </w:rPr>
                    </w:pP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- 1 -</w:t>
                    </w:r>
                    <w:r>
                      <w:rPr>
                        <w:rFonts w:hint="eastAsia" w:ascii="宋体" w:hAnsi="宋体" w:cs="宋体"/>
                        <w:b/>
                        <w:bCs/>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FA06B">
    <w:pPr>
      <w:pStyle w:val="4"/>
      <w:rPr>
        <w:b/>
        <w:bCs/>
        <w:sz w:val="28"/>
        <w:szCs w:val="28"/>
      </w:rPr>
    </w:pPr>
    <w:r>
      <w:rPr>
        <w:rFonts w:hint="eastAsia" w:ascii="宋体" w:hAnsi="宋体" w:cs="宋体"/>
        <w:b/>
        <w:bCs/>
        <w:sz w:val="28"/>
        <w:szCs w:val="28"/>
      </w:rPr>
      <w:fldChar w:fldCharType="begin"/>
    </w:r>
    <w:r>
      <w:rPr>
        <w:rFonts w:hint="eastAsia" w:ascii="宋体" w:hAnsi="宋体" w:cs="宋体"/>
        <w:b/>
        <w:bCs/>
        <w:sz w:val="28"/>
        <w:szCs w:val="28"/>
      </w:rPr>
      <w:instrText xml:space="preserve"> PAGE  \* MERGEFORMAT </w:instrText>
    </w:r>
    <w:r>
      <w:rPr>
        <w:rFonts w:hint="eastAsia" w:ascii="宋体" w:hAnsi="宋体" w:cs="宋体"/>
        <w:b/>
        <w:bCs/>
        <w:sz w:val="28"/>
        <w:szCs w:val="28"/>
      </w:rPr>
      <w:fldChar w:fldCharType="separate"/>
    </w:r>
    <w:r>
      <w:rPr>
        <w:rFonts w:ascii="宋体" w:hAnsi="宋体" w:cs="宋体"/>
        <w:b/>
        <w:bCs/>
        <w:sz w:val="28"/>
        <w:szCs w:val="28"/>
      </w:rPr>
      <w:t>- 1 -</w:t>
    </w:r>
    <w:r>
      <w:rPr>
        <w:rFonts w:hint="eastAsia" w:ascii="宋体" w:hAnsi="宋体" w:cs="宋体"/>
        <w:b/>
        <w:bCs/>
        <w:sz w:val="28"/>
        <w:szCs w:val="2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D817C">
    <w:pPr>
      <w:pStyle w:val="5"/>
      <w:pBdr>
        <w:bottom w:val="none" w:color="auto" w:sz="0" w:space="1"/>
      </w:pBdr>
      <w:tabs>
        <w:tab w:val="left" w:pos="3731"/>
        <w:tab w:val="clear" w:pos="4153"/>
      </w:tabs>
      <w:jc w:val="both"/>
      <w:rPr>
        <w:rFonts w:hint="eastAsia" w:eastAsia="宋体"/>
        <w:lang w:eastAsia="zh-CN"/>
      </w:rPr>
    </w:pPr>
    <w:r>
      <w:rPr>
        <w:rFonts w:hint="eastAsia"/>
        <w:lang w:eastAsia="zh-CN"/>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evenAndOddHeaders w:val="1"/>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RjMTU4YjUzNjNmYzk3ZDI0ZWM1ZmFjMmQwMGMxMDUifQ=="/>
  </w:docVars>
  <w:rsids>
    <w:rsidRoot w:val="0CE14AE9"/>
    <w:rsid w:val="00065631"/>
    <w:rsid w:val="00072860"/>
    <w:rsid w:val="00091159"/>
    <w:rsid w:val="000972D0"/>
    <w:rsid w:val="000A6366"/>
    <w:rsid w:val="00120A19"/>
    <w:rsid w:val="00152391"/>
    <w:rsid w:val="00156326"/>
    <w:rsid w:val="001C337B"/>
    <w:rsid w:val="002048CF"/>
    <w:rsid w:val="00214809"/>
    <w:rsid w:val="00227820"/>
    <w:rsid w:val="002B2BA1"/>
    <w:rsid w:val="002C1A21"/>
    <w:rsid w:val="002E27FB"/>
    <w:rsid w:val="00307A95"/>
    <w:rsid w:val="00307EB0"/>
    <w:rsid w:val="00325A98"/>
    <w:rsid w:val="00332D12"/>
    <w:rsid w:val="0033514A"/>
    <w:rsid w:val="00364144"/>
    <w:rsid w:val="00397B97"/>
    <w:rsid w:val="003E2BB2"/>
    <w:rsid w:val="004904BE"/>
    <w:rsid w:val="004C5AE1"/>
    <w:rsid w:val="004E0FD9"/>
    <w:rsid w:val="00501EE6"/>
    <w:rsid w:val="00520897"/>
    <w:rsid w:val="0052516C"/>
    <w:rsid w:val="00554B9A"/>
    <w:rsid w:val="00575AA6"/>
    <w:rsid w:val="005E32BD"/>
    <w:rsid w:val="00617CE0"/>
    <w:rsid w:val="00647CF2"/>
    <w:rsid w:val="006B4AE6"/>
    <w:rsid w:val="007738FF"/>
    <w:rsid w:val="0079626F"/>
    <w:rsid w:val="007D37F7"/>
    <w:rsid w:val="007E139D"/>
    <w:rsid w:val="00854119"/>
    <w:rsid w:val="00864651"/>
    <w:rsid w:val="00867D0F"/>
    <w:rsid w:val="008B067E"/>
    <w:rsid w:val="008D1DCA"/>
    <w:rsid w:val="008F4AE1"/>
    <w:rsid w:val="00920D5B"/>
    <w:rsid w:val="00943A43"/>
    <w:rsid w:val="00951D0E"/>
    <w:rsid w:val="00962524"/>
    <w:rsid w:val="00A37F5E"/>
    <w:rsid w:val="00A744B2"/>
    <w:rsid w:val="00AD5C72"/>
    <w:rsid w:val="00B024B1"/>
    <w:rsid w:val="00B058E1"/>
    <w:rsid w:val="00B559E6"/>
    <w:rsid w:val="00B62E80"/>
    <w:rsid w:val="00B73C7E"/>
    <w:rsid w:val="00B8146C"/>
    <w:rsid w:val="00B82231"/>
    <w:rsid w:val="00B912EC"/>
    <w:rsid w:val="00BF6464"/>
    <w:rsid w:val="00C34E35"/>
    <w:rsid w:val="00C638F2"/>
    <w:rsid w:val="00E02AED"/>
    <w:rsid w:val="00E06AEC"/>
    <w:rsid w:val="00E56650"/>
    <w:rsid w:val="00E9114A"/>
    <w:rsid w:val="00EC24AF"/>
    <w:rsid w:val="00EC3A35"/>
    <w:rsid w:val="00ED00B4"/>
    <w:rsid w:val="00F03F5C"/>
    <w:rsid w:val="00F37965"/>
    <w:rsid w:val="00F81E5D"/>
    <w:rsid w:val="00FA6926"/>
    <w:rsid w:val="012B68C7"/>
    <w:rsid w:val="0196601E"/>
    <w:rsid w:val="01B14C06"/>
    <w:rsid w:val="02A35876"/>
    <w:rsid w:val="03B66504"/>
    <w:rsid w:val="045126D0"/>
    <w:rsid w:val="04C80BE4"/>
    <w:rsid w:val="05065269"/>
    <w:rsid w:val="05810E3E"/>
    <w:rsid w:val="066C00DC"/>
    <w:rsid w:val="084C7436"/>
    <w:rsid w:val="08912FDE"/>
    <w:rsid w:val="08FB6939"/>
    <w:rsid w:val="095119BA"/>
    <w:rsid w:val="096B7D90"/>
    <w:rsid w:val="098114A1"/>
    <w:rsid w:val="0A041F36"/>
    <w:rsid w:val="0AAF4780"/>
    <w:rsid w:val="0AC459AA"/>
    <w:rsid w:val="0B097A9F"/>
    <w:rsid w:val="0C1977CA"/>
    <w:rsid w:val="0CE14AE9"/>
    <w:rsid w:val="0CF32810"/>
    <w:rsid w:val="0D8B0A01"/>
    <w:rsid w:val="0DB8556E"/>
    <w:rsid w:val="0DCF4D92"/>
    <w:rsid w:val="0DFF319D"/>
    <w:rsid w:val="0E83705F"/>
    <w:rsid w:val="0EDB32C2"/>
    <w:rsid w:val="0EF36D83"/>
    <w:rsid w:val="0F384BB8"/>
    <w:rsid w:val="0F515481"/>
    <w:rsid w:val="104B4477"/>
    <w:rsid w:val="106A2B50"/>
    <w:rsid w:val="1088747A"/>
    <w:rsid w:val="1151658F"/>
    <w:rsid w:val="12247EEE"/>
    <w:rsid w:val="12A670A0"/>
    <w:rsid w:val="12C97CF4"/>
    <w:rsid w:val="13BA5B9C"/>
    <w:rsid w:val="14DC1959"/>
    <w:rsid w:val="1554671D"/>
    <w:rsid w:val="16610551"/>
    <w:rsid w:val="1682483D"/>
    <w:rsid w:val="17027C18"/>
    <w:rsid w:val="175434DB"/>
    <w:rsid w:val="17740758"/>
    <w:rsid w:val="17C074F9"/>
    <w:rsid w:val="184323A2"/>
    <w:rsid w:val="187A1D9E"/>
    <w:rsid w:val="19A21ADA"/>
    <w:rsid w:val="19AC242B"/>
    <w:rsid w:val="1A0D279E"/>
    <w:rsid w:val="1A174234"/>
    <w:rsid w:val="1A312E6E"/>
    <w:rsid w:val="1AC35C7E"/>
    <w:rsid w:val="1B37398D"/>
    <w:rsid w:val="1B417C20"/>
    <w:rsid w:val="1BC872C4"/>
    <w:rsid w:val="1BF777BF"/>
    <w:rsid w:val="1D670577"/>
    <w:rsid w:val="1D840AB4"/>
    <w:rsid w:val="1E0A0871"/>
    <w:rsid w:val="1E562965"/>
    <w:rsid w:val="1F334A54"/>
    <w:rsid w:val="1F63002C"/>
    <w:rsid w:val="1F6637FD"/>
    <w:rsid w:val="1FB47B48"/>
    <w:rsid w:val="209669C5"/>
    <w:rsid w:val="210963B5"/>
    <w:rsid w:val="21D90C4B"/>
    <w:rsid w:val="22B57588"/>
    <w:rsid w:val="22CC58EC"/>
    <w:rsid w:val="232E02C0"/>
    <w:rsid w:val="23403BE4"/>
    <w:rsid w:val="235C20D3"/>
    <w:rsid w:val="23AD1279"/>
    <w:rsid w:val="245711E5"/>
    <w:rsid w:val="24D8668B"/>
    <w:rsid w:val="254148C2"/>
    <w:rsid w:val="25E66CC5"/>
    <w:rsid w:val="264D464E"/>
    <w:rsid w:val="26695200"/>
    <w:rsid w:val="26AF3988"/>
    <w:rsid w:val="272555CB"/>
    <w:rsid w:val="280E2D78"/>
    <w:rsid w:val="28130CBB"/>
    <w:rsid w:val="287B3E4C"/>
    <w:rsid w:val="289C18BC"/>
    <w:rsid w:val="29450C10"/>
    <w:rsid w:val="2ACA0963"/>
    <w:rsid w:val="2B9D1BD3"/>
    <w:rsid w:val="2BFD175E"/>
    <w:rsid w:val="2C81312E"/>
    <w:rsid w:val="2E051CB2"/>
    <w:rsid w:val="2F55454E"/>
    <w:rsid w:val="2FAC4ADB"/>
    <w:rsid w:val="2FEF37D6"/>
    <w:rsid w:val="301A2346"/>
    <w:rsid w:val="307E5E5A"/>
    <w:rsid w:val="31232B7B"/>
    <w:rsid w:val="312B1A2F"/>
    <w:rsid w:val="312B3E67"/>
    <w:rsid w:val="3216623C"/>
    <w:rsid w:val="329F4483"/>
    <w:rsid w:val="32D0288E"/>
    <w:rsid w:val="34160775"/>
    <w:rsid w:val="341E0F18"/>
    <w:rsid w:val="3482405C"/>
    <w:rsid w:val="34A42225"/>
    <w:rsid w:val="352168DB"/>
    <w:rsid w:val="364F61C0"/>
    <w:rsid w:val="388E7705"/>
    <w:rsid w:val="38F85F83"/>
    <w:rsid w:val="391F00CC"/>
    <w:rsid w:val="3A0948D8"/>
    <w:rsid w:val="3A39340F"/>
    <w:rsid w:val="3AA7481D"/>
    <w:rsid w:val="3B310502"/>
    <w:rsid w:val="3B9B7648"/>
    <w:rsid w:val="3B9D0B1E"/>
    <w:rsid w:val="3BC33D3B"/>
    <w:rsid w:val="3BE60F73"/>
    <w:rsid w:val="3BF16211"/>
    <w:rsid w:val="3C0A2369"/>
    <w:rsid w:val="3C2B6D87"/>
    <w:rsid w:val="3CB530E9"/>
    <w:rsid w:val="3D65451B"/>
    <w:rsid w:val="3DD11BB1"/>
    <w:rsid w:val="3DDB5C3E"/>
    <w:rsid w:val="3E80785E"/>
    <w:rsid w:val="3F373C95"/>
    <w:rsid w:val="3F6F15E7"/>
    <w:rsid w:val="401D10DD"/>
    <w:rsid w:val="408D0FB0"/>
    <w:rsid w:val="40E514C7"/>
    <w:rsid w:val="413466DE"/>
    <w:rsid w:val="413F7AA0"/>
    <w:rsid w:val="415C331A"/>
    <w:rsid w:val="41984A97"/>
    <w:rsid w:val="419E1DAA"/>
    <w:rsid w:val="41D50910"/>
    <w:rsid w:val="41F66BBF"/>
    <w:rsid w:val="42B6714C"/>
    <w:rsid w:val="430B26E7"/>
    <w:rsid w:val="434075BC"/>
    <w:rsid w:val="43D9356D"/>
    <w:rsid w:val="43F9776B"/>
    <w:rsid w:val="442E38B9"/>
    <w:rsid w:val="44E0180C"/>
    <w:rsid w:val="44FE772F"/>
    <w:rsid w:val="45471A31"/>
    <w:rsid w:val="45D24718"/>
    <w:rsid w:val="478107F7"/>
    <w:rsid w:val="47D82119"/>
    <w:rsid w:val="480C2163"/>
    <w:rsid w:val="48BD345D"/>
    <w:rsid w:val="49751537"/>
    <w:rsid w:val="49BC54C3"/>
    <w:rsid w:val="4A1672C9"/>
    <w:rsid w:val="4A2731F0"/>
    <w:rsid w:val="4A600544"/>
    <w:rsid w:val="4A767D68"/>
    <w:rsid w:val="4A7D4746"/>
    <w:rsid w:val="4A8A3813"/>
    <w:rsid w:val="4C800A2A"/>
    <w:rsid w:val="4D4B1038"/>
    <w:rsid w:val="4DA223BC"/>
    <w:rsid w:val="4DD3168B"/>
    <w:rsid w:val="4DED6593"/>
    <w:rsid w:val="4E1A5D98"/>
    <w:rsid w:val="4E813FBD"/>
    <w:rsid w:val="4E8A7EF1"/>
    <w:rsid w:val="4E9E163B"/>
    <w:rsid w:val="4EFD1038"/>
    <w:rsid w:val="4FBA06F6"/>
    <w:rsid w:val="505045CF"/>
    <w:rsid w:val="507A1C33"/>
    <w:rsid w:val="50854B05"/>
    <w:rsid w:val="516528E4"/>
    <w:rsid w:val="52974D1F"/>
    <w:rsid w:val="52E63C2F"/>
    <w:rsid w:val="546649A9"/>
    <w:rsid w:val="54F123D6"/>
    <w:rsid w:val="556752C9"/>
    <w:rsid w:val="55C17B58"/>
    <w:rsid w:val="55FB55C5"/>
    <w:rsid w:val="561346BC"/>
    <w:rsid w:val="563F3769"/>
    <w:rsid w:val="56665134"/>
    <w:rsid w:val="57A001D2"/>
    <w:rsid w:val="5816571C"/>
    <w:rsid w:val="588653B2"/>
    <w:rsid w:val="58F10BED"/>
    <w:rsid w:val="58FF660A"/>
    <w:rsid w:val="59A56833"/>
    <w:rsid w:val="59DF76D7"/>
    <w:rsid w:val="5A533C21"/>
    <w:rsid w:val="5A946B2A"/>
    <w:rsid w:val="5AB50438"/>
    <w:rsid w:val="5ADD173D"/>
    <w:rsid w:val="5AE66844"/>
    <w:rsid w:val="5B500161"/>
    <w:rsid w:val="5B973A7B"/>
    <w:rsid w:val="5BD45F40"/>
    <w:rsid w:val="5C3830CF"/>
    <w:rsid w:val="5C70230F"/>
    <w:rsid w:val="5C875959"/>
    <w:rsid w:val="5CA802EC"/>
    <w:rsid w:val="5CD172D6"/>
    <w:rsid w:val="5D5B1CA2"/>
    <w:rsid w:val="5D7C523D"/>
    <w:rsid w:val="5DD72473"/>
    <w:rsid w:val="5E076966"/>
    <w:rsid w:val="5E8F0FA0"/>
    <w:rsid w:val="5EB86749"/>
    <w:rsid w:val="5EF01A3F"/>
    <w:rsid w:val="5F5C0E82"/>
    <w:rsid w:val="5F9F5213"/>
    <w:rsid w:val="603B14CB"/>
    <w:rsid w:val="61111041"/>
    <w:rsid w:val="611834CF"/>
    <w:rsid w:val="61881DC3"/>
    <w:rsid w:val="627666FF"/>
    <w:rsid w:val="62F31AFE"/>
    <w:rsid w:val="6393508F"/>
    <w:rsid w:val="64153CF6"/>
    <w:rsid w:val="642108EC"/>
    <w:rsid w:val="64CF4144"/>
    <w:rsid w:val="65006BB0"/>
    <w:rsid w:val="674C7A2E"/>
    <w:rsid w:val="67554111"/>
    <w:rsid w:val="681349F0"/>
    <w:rsid w:val="683360D4"/>
    <w:rsid w:val="683A3D2B"/>
    <w:rsid w:val="6953779A"/>
    <w:rsid w:val="69912070"/>
    <w:rsid w:val="6A4D243B"/>
    <w:rsid w:val="6B0F5943"/>
    <w:rsid w:val="6B690BC8"/>
    <w:rsid w:val="6BEA5A68"/>
    <w:rsid w:val="6C28360B"/>
    <w:rsid w:val="6C3311BD"/>
    <w:rsid w:val="6C6132BE"/>
    <w:rsid w:val="6C71128E"/>
    <w:rsid w:val="6CB10D5A"/>
    <w:rsid w:val="6D821C9F"/>
    <w:rsid w:val="6DFA1AA7"/>
    <w:rsid w:val="6ECD5598"/>
    <w:rsid w:val="6F1F1ECC"/>
    <w:rsid w:val="6F3239AE"/>
    <w:rsid w:val="6F394D3C"/>
    <w:rsid w:val="719C3CEC"/>
    <w:rsid w:val="72D9782C"/>
    <w:rsid w:val="732A502D"/>
    <w:rsid w:val="733028FA"/>
    <w:rsid w:val="73AA7753"/>
    <w:rsid w:val="7590179A"/>
    <w:rsid w:val="75E308CD"/>
    <w:rsid w:val="76764AC8"/>
    <w:rsid w:val="768D24F5"/>
    <w:rsid w:val="76FA1255"/>
    <w:rsid w:val="770A5210"/>
    <w:rsid w:val="77D53A70"/>
    <w:rsid w:val="77DF4340"/>
    <w:rsid w:val="783C294D"/>
    <w:rsid w:val="785126AD"/>
    <w:rsid w:val="78BF3F4F"/>
    <w:rsid w:val="78C167FC"/>
    <w:rsid w:val="79094DAE"/>
    <w:rsid w:val="790A1A19"/>
    <w:rsid w:val="79F0693F"/>
    <w:rsid w:val="7AA72953"/>
    <w:rsid w:val="7B551150"/>
    <w:rsid w:val="7BA06143"/>
    <w:rsid w:val="7BFE4205"/>
    <w:rsid w:val="7C333D17"/>
    <w:rsid w:val="7CF92AA5"/>
    <w:rsid w:val="7D1A0699"/>
    <w:rsid w:val="7D83313F"/>
    <w:rsid w:val="7E617E0B"/>
    <w:rsid w:val="7E6F1870"/>
    <w:rsid w:val="7EFF26CC"/>
    <w:rsid w:val="7F8551CC"/>
    <w:rsid w:val="7FB126CD"/>
    <w:rsid w:val="93D34688"/>
    <w:rsid w:val="FAEFB9DD"/>
    <w:rsid w:val="FF7774A0"/>
    <w:rsid w:val="FFCE6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Body Text"/>
    <w:basedOn w:val="1"/>
    <w:autoRedefine/>
    <w:unhideWhenUsed/>
    <w:qFormat/>
    <w:uiPriority w:val="0"/>
    <w:pPr>
      <w:spacing w:after="120"/>
    </w:pPr>
  </w:style>
  <w:style w:type="paragraph" w:styleId="4">
    <w:name w:val="footer"/>
    <w:basedOn w:val="1"/>
    <w:autoRedefine/>
    <w:qFormat/>
    <w:uiPriority w:val="99"/>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Title"/>
    <w:basedOn w:val="1"/>
    <w:next w:val="1"/>
    <w:autoRedefine/>
    <w:qFormat/>
    <w:uiPriority w:val="10"/>
    <w:pPr>
      <w:spacing w:before="120" w:after="120"/>
      <w:jc w:val="center"/>
      <w:outlineLvl w:val="0"/>
    </w:pPr>
    <w:rPr>
      <w:rFonts w:ascii="方正小标宋简体" w:hAnsi="等线 Light" w:eastAsia="方正小标宋简体"/>
      <w:sz w:val="44"/>
      <w:szCs w:val="44"/>
    </w:rPr>
  </w:style>
  <w:style w:type="character" w:styleId="9">
    <w:name w:val="page number"/>
    <w:basedOn w:val="8"/>
    <w:autoRedefine/>
    <w:qFormat/>
    <w:uiPriority w:val="0"/>
  </w:style>
  <w:style w:type="character" w:styleId="10">
    <w:name w:val="Emphasis"/>
    <w:basedOn w:val="8"/>
    <w:autoRedefine/>
    <w:qFormat/>
    <w:uiPriority w:val="0"/>
    <w:rPr>
      <w:i/>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2406</Words>
  <Characters>2517</Characters>
  <Lines>18</Lines>
  <Paragraphs>5</Paragraphs>
  <TotalTime>1</TotalTime>
  <ScaleCrop>false</ScaleCrop>
  <LinksUpToDate>false</LinksUpToDate>
  <CharactersWithSpaces>2518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2023-12-12T17:21:00Z</dcterms:created>
  <dc:creator>R</dc:creator>
  <cp:lastModifiedBy>    </cp:lastModifiedBy>
  <dcterms:modified xsi:type="dcterms:W3CDTF">2024-11-11T07:43:44Z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F2B3D484C5B74A80901CBF8DED896298_13</vt:lpwstr>
  </property>
</Properties>
</file>