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3" w:name="_GoBack"/>
      <w:bookmarkEnd w:id="3"/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74664313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《曲靖中心城区QL-14、QL-15、QL-28单元国土空间详细规划》编制过程说明</w:t>
      </w:r>
    </w:p>
    <w:bookmarkEnd w:id="0"/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《曲靖中心城区QL-14、QL-15、QL-28单元国土空间详细规划》编制自2023年7月启动前期研究工作以来，历时18个月，编制过程中经历了与各部门详细对接等过程，2023年9月进入成果审查程序，主要编制过程说明如下。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一、规划启动工作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2023年7月1日，云南麒麟产业园区管理委员会组织竞争性谈判，并确定曲靖市靖和规划技术服务中心中标并承担主要编制任务，负责本项目编制工作，并同步开展相关前期研究工作。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二、规划方案研究阶段</w:t>
      </w:r>
    </w:p>
    <w:p>
      <w:pPr>
        <w:pStyle w:val="16"/>
        <w:spacing w:line="52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招标选定编制单位后，编制单位对现场进行多次踏勘，并与交通、林业、水务、住建等各部门充分对接。方案编制研究阶段，面临基础地形图老旧，土地权属、出让条件、审批情况等内容未形成一张底图，现状水文资料部分缺失的实际困难。2023年7月，多次至麒麟区规划分局对接土地基础情况，并组织规划范围的水文资料补测和基础资料校正，为编制科学可实施的规划成果奠定了基础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初步规划方案形成后，多次与市自然资源和规划局相关科室、麒麟区规划分局相关科室进行汇报沟通。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2020年8月6日，麒麟区自然资源局组织召开详规方案对接会，规划方案征求区级主要领导、相关部门的意见。规划编制单位对本项目进行了进一步修改完善。同时，面临地形地貌崎岖、水系现状情况复杂的实际困难，编制单位再次对现场进行补充调研，理清现状地形地貌，为编制科学可实施的规划成果奠定了基础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三、成果阶段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2023年9月7日，详规成果通过市级专家评审会，专家组一致同意详规修改后通过评审并在功能定位、用地布局、城市设计、基础设施等方面提出优化建议，结合专家评审、市自然资源和规划局意见，进一步修改完善成果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2023年11月根据云南省自然资源厅印发《云南省国土空间详细规划编制导则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（试行）》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的通知中关于组织编制、审批与调整的要求。要求详细规划单元内城镇开发边界内用地需全部进行编制。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2023年11月至12月，本项目形成规划草案并进行公示，征求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及社会各界的反馈意见，对意见收集情况进行归纳整理，并结合反馈意见对规划方案进行进一步调整。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2024年4月曲靖市自然资源和规划局重新划定了中心城区单元名称及范围线，本次规划编制工作需重新根据最新单元名称及范围线进行编制，于2024年6月18日与曲靖市靖和规划技术服务中心签订补充合同协议书，于8月21日完成规划编制成果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2024年10月18日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根据市、区自然资源和规划部门对文本进行指导，提出进一步修改意见，并结合市国土空间规划要求，对方案进行进一步优化，重新进行草案成果公示。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《规划编制过程详细记录表》如下：</w:t>
      </w:r>
    </w:p>
    <w:tbl>
      <w:tblPr>
        <w:tblStyle w:val="9"/>
        <w:tblW w:w="94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300"/>
        <w:gridCol w:w="6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89" w:type="dxa"/>
            <w:gridSpan w:val="3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sz w:val="24"/>
                <w:szCs w:val="24"/>
              </w:rPr>
              <w:t>规划编制过程详细记录表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序号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时间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2023年7月1日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组织竞争性谈判招标，曲靖市靖和规划技术服务中心负责项目编制工作。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2023年7月中旬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启动前期研究，包括现场踏勘及与各部门资料对接。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2023年8月6日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麒麟区自然资源局组织召开详规方案对接会，规划方案征求区级主要领导、相关部门的意见，并提出修改意见。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2023年9月7日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详规成果通过市级专家评审会，专家组一致同意详规修改后通过评审并在功能定位、用地布局、城市设计、基础设施等方面提出优化建议，结合专家评审、市自然资源和规划局意见，进一步修改完善成果。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2023年11月24日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规划成果形成规划草案并进行公示，征求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各部门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及社会各界的反馈意见，对意见收集情况进行归纳整理，并结合反馈意见对规划方案进行进一步调整。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2024年4月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曲靖市自然资源和规划局重新划定了中心城区单元名称及范围线，本次规划编制工作需重新根据最新单元名称及范围线进行编制，于2024年6月18日与曲靖市靖和规划技术服务中心签订补充合同协议书，于8月21日完成规划编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2024年10月18日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024年10月18日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根据市、区自然资源和规划部门对文本进行指导，提出进一步修改意见，并结合市国土空间规划要求，对方案进行进一步优化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重新进行草案成果公示。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63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至今</w:t>
            </w:r>
          </w:p>
        </w:tc>
        <w:tc>
          <w:tcPr>
            <w:tcW w:w="6326" w:type="dxa"/>
          </w:tcPr>
          <w:p>
            <w:pPr>
              <w:spacing w:line="52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成果更新</w:t>
            </w:r>
          </w:p>
        </w:tc>
      </w:tr>
    </w:tbl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附件2 </w:t>
      </w:r>
      <w:bookmarkStart w:id="1" w:name="_Hlk73527128"/>
    </w:p>
    <w:bookmarkEnd w:id="1"/>
    <w:p>
      <w:pPr>
        <w:spacing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bookmarkStart w:id="2" w:name="_Hlk74664344"/>
      <w:r>
        <w:rPr>
          <w:rFonts w:hint="eastAsia" w:ascii="黑体" w:hAnsi="黑体" w:eastAsia="黑体" w:cs="Times New Roman"/>
          <w:sz w:val="44"/>
          <w:szCs w:val="44"/>
        </w:rPr>
        <w:t>《曲靖中心城区QL-14、QL-15、QL-28单元国土空间详细规划》成果目录</w:t>
      </w:r>
      <w:bookmarkEnd w:id="2"/>
    </w:p>
    <w:p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一、《曲靖中心城区QL-14、QL-15、QL-28单元国土空间详细规划》文本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834" w:type="dxa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4181475" cy="6286500"/>
                  <wp:effectExtent l="0" t="0" r="952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628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10050" cy="6972300"/>
                  <wp:effectExtent l="0" t="0" r="0" b="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697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086225" cy="7019925"/>
                  <wp:effectExtent l="0" t="0" r="9525" b="952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70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486275" cy="2971800"/>
                  <wp:effectExtent l="0" t="0" r="9525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二、《曲靖中心城区QL-14、QL-15、QL-28单元国土空间详细规划》图则部分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（一）总图则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1、区位图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2、现状高程分析图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3、土地利用现状图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4、道路交通现状图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5、现状建筑高度图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6、现状建筑质量图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7、三区三线核查图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8、工业红线范围图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9、上位规划分析图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10、单元划分图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11、用地布局规划图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12、功能分区规划图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13、综合交通规划图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14、绿地系统规划图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15、给水工程规划图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16、污水工程规划图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17、雨水工程规划图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18、供电工程规划图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19、通信设施规划图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20、燃气系统规划图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21、管线综合横断面图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22、管线综合平面图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23、竖向工程规划图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24、综合防灾规划图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25、城市四线规划图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26、开敞空间系统引导图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27、建筑高度控制图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28、开发强度控制图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29、绿地率规划图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30、地块划分图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31、单元管控图则（一）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32、单元管控图则（二）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（二）地块细则图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1、QL-14-04地块细则图 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2、QL-14-07地块1细则图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3、QL-14-07地块2细则图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4、QL-14-08地块细则图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5、QL-15-06地块细则图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6、QL-28-01地块细则图</w:t>
      </w:r>
    </w:p>
    <w:p>
      <w:pPr>
        <w:widowControl/>
        <w:spacing w:line="52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spacing w:line="52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三、《曲靖市中心城市经开区01单元控制性详细规划》说明书</w:t>
      </w:r>
    </w:p>
    <w:p>
      <w:pPr>
        <w:rPr>
          <w:rFonts w:hint="eastAsia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4810125" cy="6200775"/>
                  <wp:effectExtent l="0" t="0" r="9525" b="952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620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848225" cy="5505450"/>
                  <wp:effectExtent l="0" t="0" r="9525" b="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50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98910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tabs>
            <w:tab w:val="left" w:pos="8080"/>
          </w:tabs>
          <w:ind w:right="360" w:firstLine="7110" w:firstLineChars="395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73546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ind w:firstLine="707" w:firstLineChars="39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B5163"/>
    <w:multiLevelType w:val="multilevel"/>
    <w:tmpl w:val="1E4B5163"/>
    <w:lvl w:ilvl="0" w:tentative="0">
      <w:start w:val="1"/>
      <w:numFmt w:val="decimal"/>
      <w:lvlText w:val="第%1条"/>
      <w:lvlJc w:val="left"/>
      <w:pPr>
        <w:tabs>
          <w:tab w:val="left" w:pos="720"/>
        </w:tabs>
        <w:ind w:left="432" w:hanging="432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chineseCountingThousand"/>
      <w:pStyle w:val="3"/>
      <w:lvlText w:val="第%2章"/>
      <w:lvlJc w:val="left"/>
      <w:pPr>
        <w:tabs>
          <w:tab w:val="left" w:pos="3921"/>
        </w:tabs>
        <w:ind w:left="3777" w:hanging="576"/>
      </w:pPr>
      <w:rPr>
        <w:rFonts w:hint="eastAsia"/>
      </w:rPr>
    </w:lvl>
    <w:lvl w:ilvl="2" w:tentative="0">
      <w:start w:val="1"/>
      <w:numFmt w:val="chineseCountingThousand"/>
      <w:lvlText w:val="第%3节"/>
      <w:lvlJc w:val="left"/>
      <w:pPr>
        <w:tabs>
          <w:tab w:val="left" w:pos="720"/>
        </w:tabs>
        <w:ind w:left="720" w:hanging="720"/>
      </w:pPr>
      <w:rPr>
        <w:rFonts w:hint="eastAsia" w:ascii="宋体" w:eastAsia="宋体"/>
        <w:b/>
        <w:i w:val="0"/>
        <w:sz w:val="24"/>
      </w:rPr>
    </w:lvl>
    <w:lvl w:ilvl="3" w:tentative="0">
      <w:start w:val="1"/>
      <w:numFmt w:val="decimal"/>
      <w:lvlRestart w:val="0"/>
      <w:lvlText w:val="第%4条"/>
      <w:lvlJc w:val="left"/>
      <w:pPr>
        <w:tabs>
          <w:tab w:val="left" w:pos="3005"/>
        </w:tabs>
        <w:ind w:left="3005" w:hanging="3005"/>
      </w:pPr>
      <w:rPr>
        <w:rFonts w:hint="eastAsia" w:ascii="宋体" w:eastAsia="宋体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02623E"/>
    <w:rsid w:val="00000DFB"/>
    <w:rsid w:val="000055A0"/>
    <w:rsid w:val="000065DA"/>
    <w:rsid w:val="0001151E"/>
    <w:rsid w:val="000126E0"/>
    <w:rsid w:val="00021A27"/>
    <w:rsid w:val="0002623E"/>
    <w:rsid w:val="00036B9C"/>
    <w:rsid w:val="00036E4D"/>
    <w:rsid w:val="000420E5"/>
    <w:rsid w:val="000427AC"/>
    <w:rsid w:val="00056C1A"/>
    <w:rsid w:val="000757BB"/>
    <w:rsid w:val="0007645A"/>
    <w:rsid w:val="0008217A"/>
    <w:rsid w:val="00085A80"/>
    <w:rsid w:val="00092FAE"/>
    <w:rsid w:val="00093A61"/>
    <w:rsid w:val="00097EAD"/>
    <w:rsid w:val="000E538E"/>
    <w:rsid w:val="000E6E60"/>
    <w:rsid w:val="00103857"/>
    <w:rsid w:val="001158EE"/>
    <w:rsid w:val="00117150"/>
    <w:rsid w:val="00120465"/>
    <w:rsid w:val="00124E11"/>
    <w:rsid w:val="001416A9"/>
    <w:rsid w:val="001536B0"/>
    <w:rsid w:val="00157E43"/>
    <w:rsid w:val="0016294C"/>
    <w:rsid w:val="00172CB6"/>
    <w:rsid w:val="00175FC2"/>
    <w:rsid w:val="0018425A"/>
    <w:rsid w:val="0018592B"/>
    <w:rsid w:val="001A1B6A"/>
    <w:rsid w:val="001B1253"/>
    <w:rsid w:val="001B2119"/>
    <w:rsid w:val="001B3274"/>
    <w:rsid w:val="001B47A0"/>
    <w:rsid w:val="001C2A8E"/>
    <w:rsid w:val="001E11AF"/>
    <w:rsid w:val="001E36C9"/>
    <w:rsid w:val="001F314D"/>
    <w:rsid w:val="002222E7"/>
    <w:rsid w:val="00222CE3"/>
    <w:rsid w:val="00225CF3"/>
    <w:rsid w:val="002324A4"/>
    <w:rsid w:val="002364AF"/>
    <w:rsid w:val="00240C29"/>
    <w:rsid w:val="0025574A"/>
    <w:rsid w:val="00263B87"/>
    <w:rsid w:val="00267849"/>
    <w:rsid w:val="00267A06"/>
    <w:rsid w:val="00274EC0"/>
    <w:rsid w:val="00275477"/>
    <w:rsid w:val="00282122"/>
    <w:rsid w:val="002826BA"/>
    <w:rsid w:val="00282A42"/>
    <w:rsid w:val="002837E8"/>
    <w:rsid w:val="00287753"/>
    <w:rsid w:val="002912D4"/>
    <w:rsid w:val="002A2ECB"/>
    <w:rsid w:val="002A3364"/>
    <w:rsid w:val="002A5A45"/>
    <w:rsid w:val="002B0E3F"/>
    <w:rsid w:val="002D343D"/>
    <w:rsid w:val="002D671E"/>
    <w:rsid w:val="002F0789"/>
    <w:rsid w:val="002F1E00"/>
    <w:rsid w:val="00300530"/>
    <w:rsid w:val="00301689"/>
    <w:rsid w:val="00306A06"/>
    <w:rsid w:val="00333725"/>
    <w:rsid w:val="00345080"/>
    <w:rsid w:val="0034781F"/>
    <w:rsid w:val="003535C2"/>
    <w:rsid w:val="00354FC7"/>
    <w:rsid w:val="003600C2"/>
    <w:rsid w:val="003639D0"/>
    <w:rsid w:val="0039023C"/>
    <w:rsid w:val="003A01F1"/>
    <w:rsid w:val="003A6BFB"/>
    <w:rsid w:val="003B0FD3"/>
    <w:rsid w:val="003B3C19"/>
    <w:rsid w:val="003B5305"/>
    <w:rsid w:val="003C37D2"/>
    <w:rsid w:val="003D36DE"/>
    <w:rsid w:val="003D7AF0"/>
    <w:rsid w:val="003E3E47"/>
    <w:rsid w:val="003E5A42"/>
    <w:rsid w:val="003E7785"/>
    <w:rsid w:val="003F2B69"/>
    <w:rsid w:val="003F3DAB"/>
    <w:rsid w:val="00403D72"/>
    <w:rsid w:val="00405F17"/>
    <w:rsid w:val="00412417"/>
    <w:rsid w:val="004124FE"/>
    <w:rsid w:val="00416F49"/>
    <w:rsid w:val="00421B6D"/>
    <w:rsid w:val="00440056"/>
    <w:rsid w:val="00452AC6"/>
    <w:rsid w:val="00453B7C"/>
    <w:rsid w:val="00491819"/>
    <w:rsid w:val="004918DD"/>
    <w:rsid w:val="004B274E"/>
    <w:rsid w:val="004B54BA"/>
    <w:rsid w:val="004C39D2"/>
    <w:rsid w:val="004C7C7E"/>
    <w:rsid w:val="00503E28"/>
    <w:rsid w:val="00504F93"/>
    <w:rsid w:val="00520337"/>
    <w:rsid w:val="00522AED"/>
    <w:rsid w:val="0053575B"/>
    <w:rsid w:val="005372C5"/>
    <w:rsid w:val="00543FF1"/>
    <w:rsid w:val="00557A6D"/>
    <w:rsid w:val="0056125B"/>
    <w:rsid w:val="00564DEA"/>
    <w:rsid w:val="00567189"/>
    <w:rsid w:val="005703FA"/>
    <w:rsid w:val="00573165"/>
    <w:rsid w:val="005806C0"/>
    <w:rsid w:val="00581543"/>
    <w:rsid w:val="00597726"/>
    <w:rsid w:val="005A33F2"/>
    <w:rsid w:val="005B2109"/>
    <w:rsid w:val="005C64A3"/>
    <w:rsid w:val="005E1F72"/>
    <w:rsid w:val="005E64AF"/>
    <w:rsid w:val="005F1889"/>
    <w:rsid w:val="005F22E5"/>
    <w:rsid w:val="0060308F"/>
    <w:rsid w:val="00620EA1"/>
    <w:rsid w:val="0062506D"/>
    <w:rsid w:val="0062599B"/>
    <w:rsid w:val="006433A6"/>
    <w:rsid w:val="006750FD"/>
    <w:rsid w:val="0068269A"/>
    <w:rsid w:val="006E310B"/>
    <w:rsid w:val="006E7F35"/>
    <w:rsid w:val="006F36BB"/>
    <w:rsid w:val="007110ED"/>
    <w:rsid w:val="007172C7"/>
    <w:rsid w:val="00730270"/>
    <w:rsid w:val="007315A3"/>
    <w:rsid w:val="007336FE"/>
    <w:rsid w:val="007467F3"/>
    <w:rsid w:val="00752B2A"/>
    <w:rsid w:val="0078123A"/>
    <w:rsid w:val="00785695"/>
    <w:rsid w:val="007C06E4"/>
    <w:rsid w:val="007D056C"/>
    <w:rsid w:val="007D2014"/>
    <w:rsid w:val="007E0047"/>
    <w:rsid w:val="0081074E"/>
    <w:rsid w:val="00825521"/>
    <w:rsid w:val="00847803"/>
    <w:rsid w:val="00862E85"/>
    <w:rsid w:val="00870F37"/>
    <w:rsid w:val="008726AC"/>
    <w:rsid w:val="0087655C"/>
    <w:rsid w:val="008C080C"/>
    <w:rsid w:val="008D5DED"/>
    <w:rsid w:val="008D60AE"/>
    <w:rsid w:val="008D734A"/>
    <w:rsid w:val="00901238"/>
    <w:rsid w:val="009120E9"/>
    <w:rsid w:val="00924397"/>
    <w:rsid w:val="009574EE"/>
    <w:rsid w:val="00972D1D"/>
    <w:rsid w:val="00983EB1"/>
    <w:rsid w:val="009858ED"/>
    <w:rsid w:val="0099718A"/>
    <w:rsid w:val="009B70D5"/>
    <w:rsid w:val="00A0290C"/>
    <w:rsid w:val="00A21645"/>
    <w:rsid w:val="00A35818"/>
    <w:rsid w:val="00A42D87"/>
    <w:rsid w:val="00A51979"/>
    <w:rsid w:val="00A902F8"/>
    <w:rsid w:val="00AB2474"/>
    <w:rsid w:val="00AB5786"/>
    <w:rsid w:val="00AC6605"/>
    <w:rsid w:val="00AD21A8"/>
    <w:rsid w:val="00AD664E"/>
    <w:rsid w:val="00AE003E"/>
    <w:rsid w:val="00AE5552"/>
    <w:rsid w:val="00AF0D4F"/>
    <w:rsid w:val="00AF1BE4"/>
    <w:rsid w:val="00AF4F07"/>
    <w:rsid w:val="00B049FF"/>
    <w:rsid w:val="00B26C64"/>
    <w:rsid w:val="00B511C3"/>
    <w:rsid w:val="00B512BF"/>
    <w:rsid w:val="00B54D23"/>
    <w:rsid w:val="00B559FB"/>
    <w:rsid w:val="00B71ED2"/>
    <w:rsid w:val="00B737BA"/>
    <w:rsid w:val="00B752C9"/>
    <w:rsid w:val="00B85CA1"/>
    <w:rsid w:val="00BA1C37"/>
    <w:rsid w:val="00BA2F12"/>
    <w:rsid w:val="00BA6896"/>
    <w:rsid w:val="00BD0C0F"/>
    <w:rsid w:val="00BE5973"/>
    <w:rsid w:val="00BE71AB"/>
    <w:rsid w:val="00BF41F8"/>
    <w:rsid w:val="00C07D59"/>
    <w:rsid w:val="00C47F4F"/>
    <w:rsid w:val="00C70C94"/>
    <w:rsid w:val="00C736B1"/>
    <w:rsid w:val="00C86E49"/>
    <w:rsid w:val="00C93E2D"/>
    <w:rsid w:val="00CB0B42"/>
    <w:rsid w:val="00CC1776"/>
    <w:rsid w:val="00CD053A"/>
    <w:rsid w:val="00CD71FF"/>
    <w:rsid w:val="00D16790"/>
    <w:rsid w:val="00D218DF"/>
    <w:rsid w:val="00D30FC0"/>
    <w:rsid w:val="00D3672F"/>
    <w:rsid w:val="00D428BD"/>
    <w:rsid w:val="00D51B47"/>
    <w:rsid w:val="00D52923"/>
    <w:rsid w:val="00D53A86"/>
    <w:rsid w:val="00D61A83"/>
    <w:rsid w:val="00D66FC2"/>
    <w:rsid w:val="00D71231"/>
    <w:rsid w:val="00D74F2E"/>
    <w:rsid w:val="00D777F4"/>
    <w:rsid w:val="00D95B3E"/>
    <w:rsid w:val="00DC38A2"/>
    <w:rsid w:val="00DE5C6F"/>
    <w:rsid w:val="00DF0DAA"/>
    <w:rsid w:val="00E21173"/>
    <w:rsid w:val="00E2425B"/>
    <w:rsid w:val="00E306A2"/>
    <w:rsid w:val="00E30D3C"/>
    <w:rsid w:val="00E42480"/>
    <w:rsid w:val="00E452B9"/>
    <w:rsid w:val="00E51C7A"/>
    <w:rsid w:val="00E62CE2"/>
    <w:rsid w:val="00E6636F"/>
    <w:rsid w:val="00E85C55"/>
    <w:rsid w:val="00E949D9"/>
    <w:rsid w:val="00E94C46"/>
    <w:rsid w:val="00EB1283"/>
    <w:rsid w:val="00ED2B15"/>
    <w:rsid w:val="00EE0462"/>
    <w:rsid w:val="00EF76CD"/>
    <w:rsid w:val="00F0625F"/>
    <w:rsid w:val="00F23492"/>
    <w:rsid w:val="00F309BE"/>
    <w:rsid w:val="00F531B8"/>
    <w:rsid w:val="00F6176A"/>
    <w:rsid w:val="00F70515"/>
    <w:rsid w:val="00F779DA"/>
    <w:rsid w:val="00F77E67"/>
    <w:rsid w:val="00F825C9"/>
    <w:rsid w:val="00F87102"/>
    <w:rsid w:val="00F91C4F"/>
    <w:rsid w:val="00FA285A"/>
    <w:rsid w:val="00FA487C"/>
    <w:rsid w:val="00FB073D"/>
    <w:rsid w:val="00FB49FA"/>
    <w:rsid w:val="00FB761E"/>
    <w:rsid w:val="00FD0519"/>
    <w:rsid w:val="00FD3626"/>
    <w:rsid w:val="01345AE3"/>
    <w:rsid w:val="105F7F23"/>
    <w:rsid w:val="10817E99"/>
    <w:rsid w:val="10A602D8"/>
    <w:rsid w:val="11D54941"/>
    <w:rsid w:val="13FA68E0"/>
    <w:rsid w:val="14A30D26"/>
    <w:rsid w:val="166D15EC"/>
    <w:rsid w:val="16F45869"/>
    <w:rsid w:val="1B0B48DC"/>
    <w:rsid w:val="21324237"/>
    <w:rsid w:val="23127C10"/>
    <w:rsid w:val="232474D6"/>
    <w:rsid w:val="23CD36CA"/>
    <w:rsid w:val="25D03773"/>
    <w:rsid w:val="26C36607"/>
    <w:rsid w:val="278C564A"/>
    <w:rsid w:val="28BE7A85"/>
    <w:rsid w:val="2DC518B5"/>
    <w:rsid w:val="30B005FB"/>
    <w:rsid w:val="348A2CD0"/>
    <w:rsid w:val="34F262C6"/>
    <w:rsid w:val="353115DE"/>
    <w:rsid w:val="37265173"/>
    <w:rsid w:val="3B844B5E"/>
    <w:rsid w:val="3BA23236"/>
    <w:rsid w:val="3F7638D6"/>
    <w:rsid w:val="401F7FA5"/>
    <w:rsid w:val="4771702F"/>
    <w:rsid w:val="47870E4C"/>
    <w:rsid w:val="491B2DEE"/>
    <w:rsid w:val="4AC76815"/>
    <w:rsid w:val="4E2875CB"/>
    <w:rsid w:val="4E2F379F"/>
    <w:rsid w:val="52C35B14"/>
    <w:rsid w:val="55D75D57"/>
    <w:rsid w:val="573214BA"/>
    <w:rsid w:val="60025813"/>
    <w:rsid w:val="64F46001"/>
    <w:rsid w:val="65573599"/>
    <w:rsid w:val="65AC627D"/>
    <w:rsid w:val="660A3D40"/>
    <w:rsid w:val="661E1587"/>
    <w:rsid w:val="696A458A"/>
    <w:rsid w:val="6E3E606D"/>
    <w:rsid w:val="70E7165F"/>
    <w:rsid w:val="755573EA"/>
    <w:rsid w:val="77DA371C"/>
    <w:rsid w:val="797572B9"/>
    <w:rsid w:val="7AD1051F"/>
    <w:rsid w:val="7C765821"/>
    <w:rsid w:val="FFFBA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numPr>
        <w:ilvl w:val="1"/>
        <w:numId w:val="1"/>
      </w:numPr>
      <w:adjustRightInd w:val="0"/>
      <w:snapToGrid w:val="0"/>
      <w:spacing w:before="240" w:after="240"/>
      <w:jc w:val="center"/>
      <w:textAlignment w:val="baseline"/>
      <w:outlineLvl w:val="1"/>
    </w:pPr>
    <w:rPr>
      <w:rFonts w:ascii="Times New Roman" w:hAnsi="Times New Roman" w:eastAsia="黑体" w:cs="Times New Roman"/>
      <w:b/>
      <w:kern w:val="0"/>
      <w:sz w:val="30"/>
      <w:szCs w:val="20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10"/>
    <w:link w:val="3"/>
    <w:qFormat/>
    <w:uiPriority w:val="0"/>
    <w:rPr>
      <w:rFonts w:ascii="Times New Roman" w:hAnsi="Times New Roman" w:eastAsia="黑体" w:cs="Times New Roman"/>
      <w:b/>
      <w:kern w:val="0"/>
      <w:sz w:val="30"/>
      <w:szCs w:val="20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3 字符"/>
    <w:basedOn w:val="10"/>
    <w:link w:val="4"/>
    <w:qFormat/>
    <w:uiPriority w:val="9"/>
    <w:rPr>
      <w:b/>
      <w:bCs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2004</Words>
  <Characters>2206</Characters>
  <Lines>16</Lines>
  <Paragraphs>4</Paragraphs>
  <TotalTime>0</TotalTime>
  <ScaleCrop>false</ScaleCrop>
  <LinksUpToDate>false</LinksUpToDate>
  <CharactersWithSpaces>2208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2024-12-05T07:33:00Z</dcterms:created>
  <dc:creator>Pipi</dc:creator>
  <cp:lastModifiedBy>WPS_1577147775</cp:lastModifiedBy>
  <cp:lastPrinted>2021-06-17T14:52:00Z</cp:lastPrinted>
  <dcterms:modified xsi:type="dcterms:W3CDTF">2024-12-05T09:12:13Z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D730A14C6DC74D8495917194811F1EAC_13</vt:lpwstr>
  </property>
</Properties>
</file>