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A32E15">
      <w:pPr>
        <w:spacing w:line="440" w:lineRule="exact"/>
        <w:jc w:val="center"/>
        <w:rPr>
          <w:rFonts w:hint="eastAsia" w:ascii="方正小标宋_GBK" w:hAnsi="方正小标宋_GBK" w:eastAsia="方正小标宋_GBK" w:cs="方正小标宋_GBK"/>
          <w:b w:val="0"/>
          <w:bCs w:val="0"/>
          <w:color w:val="auto"/>
          <w:sz w:val="44"/>
          <w:szCs w:val="44"/>
          <w:lang w:val="en-US" w:eastAsia="zh-CN"/>
        </w:rPr>
      </w:pPr>
      <w:bookmarkStart w:id="0" w:name="_GoBack"/>
      <w:bookmarkEnd w:id="0"/>
      <w:r>
        <w:rPr>
          <w:rFonts w:hint="eastAsia" w:ascii="方正小标宋_GBK" w:hAnsi="方正小标宋_GBK" w:eastAsia="方正小标宋_GBK" w:cs="方正小标宋_GBK"/>
          <w:b w:val="0"/>
          <w:bCs w:val="0"/>
          <w:sz w:val="44"/>
          <w:szCs w:val="44"/>
          <w:lang w:val="en-US" w:eastAsia="zh-CN"/>
        </w:rPr>
        <w:t>曲靖市中碧瑞房地产开发有限公司云鼎映象苑项目</w:t>
      </w:r>
      <w:r>
        <w:rPr>
          <w:rFonts w:hint="eastAsia" w:ascii="方正小标宋_GBK" w:hAnsi="方正小标宋_GBK" w:eastAsia="方正小标宋_GBK" w:cs="方正小标宋_GBK"/>
          <w:b w:val="0"/>
          <w:bCs w:val="0"/>
          <w:sz w:val="44"/>
          <w:szCs w:val="44"/>
        </w:rPr>
        <w:t>建设工程设计方案</w:t>
      </w:r>
      <w:r>
        <w:rPr>
          <w:rFonts w:hint="eastAsia" w:ascii="方正小标宋_GBK" w:hAnsi="方正小标宋_GBK" w:eastAsia="方正小标宋_GBK" w:cs="方正小标宋_GBK"/>
          <w:b w:val="0"/>
          <w:bCs w:val="0"/>
          <w:sz w:val="44"/>
          <w:szCs w:val="44"/>
          <w:lang w:val="en-US" w:eastAsia="zh-CN"/>
        </w:rPr>
        <w:t>调整及分期实施方案</w:t>
      </w:r>
      <w:r>
        <w:rPr>
          <w:rFonts w:hint="eastAsia" w:ascii="方正小标宋_GBK" w:hAnsi="方正小标宋_GBK" w:eastAsia="方正小标宋_GBK" w:cs="方正小标宋_GBK"/>
          <w:b w:val="0"/>
          <w:bCs w:val="0"/>
          <w:color w:val="auto"/>
          <w:sz w:val="44"/>
          <w:szCs w:val="44"/>
          <w:lang w:val="en-US" w:eastAsia="zh-CN"/>
        </w:rPr>
        <w:t>批前公示</w:t>
      </w:r>
    </w:p>
    <w:p w14:paraId="1699B86A">
      <w:pPr>
        <w:keepNext w:val="0"/>
        <w:keepLines w:val="0"/>
        <w:pageBreakBefore w:val="0"/>
        <w:widowControl w:val="0"/>
        <w:kinsoku/>
        <w:wordWrap/>
        <w:overflowPunct/>
        <w:topLinePunct w:val="0"/>
        <w:autoSpaceDE/>
        <w:autoSpaceDN/>
        <w:bidi w:val="0"/>
        <w:adjustRightInd/>
        <w:snapToGrid/>
        <w:spacing w:line="440" w:lineRule="exact"/>
        <w:ind w:firstLine="643" w:firstLineChars="200"/>
        <w:jc w:val="both"/>
        <w:textAlignment w:val="auto"/>
        <w:rPr>
          <w:rFonts w:hint="eastAsia" w:ascii="仿宋" w:hAnsi="仿宋" w:eastAsia="仿宋" w:cs="宋体"/>
          <w:b/>
          <w:color w:val="000000"/>
          <w:kern w:val="0"/>
          <w:sz w:val="32"/>
          <w:szCs w:val="32"/>
          <w:u w:val="single"/>
          <w:lang w:val="en-US" w:eastAsia="zh-CN"/>
        </w:rPr>
      </w:pPr>
    </w:p>
    <w:p w14:paraId="7029A507">
      <w:pPr>
        <w:keepNext w:val="0"/>
        <w:keepLines w:val="0"/>
        <w:pageBreakBefore w:val="0"/>
        <w:widowControl w:val="0"/>
        <w:kinsoku/>
        <w:wordWrap/>
        <w:overflowPunct/>
        <w:topLinePunct w:val="0"/>
        <w:autoSpaceDE/>
        <w:autoSpaceDN/>
        <w:bidi w:val="0"/>
        <w:adjustRightInd/>
        <w:snapToGrid/>
        <w:spacing w:line="440" w:lineRule="exact"/>
        <w:ind w:firstLine="643" w:firstLineChars="200"/>
        <w:jc w:val="both"/>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b/>
          <w:color w:val="000000"/>
          <w:kern w:val="0"/>
          <w:sz w:val="32"/>
          <w:szCs w:val="32"/>
          <w:u w:val="single"/>
          <w:lang w:val="en-US" w:eastAsia="zh-CN"/>
        </w:rPr>
        <w:t>曲靖市中碧瑞房地产开发有限公司云鼎映象苑项目建设工程设计方案调整及分期实施方案</w:t>
      </w:r>
      <w:r>
        <w:rPr>
          <w:rFonts w:hint="eastAsia" w:ascii="仿宋" w:hAnsi="仿宋" w:eastAsia="仿宋" w:cs="宋体"/>
          <w:color w:val="000000"/>
          <w:kern w:val="0"/>
          <w:sz w:val="32"/>
          <w:szCs w:val="32"/>
          <w:lang w:val="en-US" w:eastAsia="zh-CN"/>
        </w:rPr>
        <w:t>已经属地自然资源部门审查，符合当地规划技术指标要求，经曲靖</w:t>
      </w:r>
      <w:r>
        <w:rPr>
          <w:rFonts w:hint="default" w:ascii="仿宋" w:hAnsi="仿宋" w:eastAsia="仿宋" w:cs="宋体"/>
          <w:color w:val="000000"/>
          <w:kern w:val="0"/>
          <w:sz w:val="32"/>
          <w:szCs w:val="32"/>
          <w:lang w:val="en-US" w:eastAsia="zh-CN"/>
        </w:rPr>
        <w:t>市国土空间规划和土地储备委员会2024年第二次会议</w:t>
      </w:r>
      <w:r>
        <w:rPr>
          <w:rFonts w:hint="eastAsia" w:ascii="仿宋" w:hAnsi="仿宋" w:eastAsia="仿宋" w:cs="宋体"/>
          <w:color w:val="000000"/>
          <w:kern w:val="0"/>
          <w:sz w:val="32"/>
          <w:szCs w:val="32"/>
          <w:lang w:val="en-US" w:eastAsia="zh-CN"/>
        </w:rPr>
        <w:t>审议，拟同意该项目办理规划手续，按照有关规定，现将该项目规划予以批前公示。</w:t>
      </w:r>
    </w:p>
    <w:p w14:paraId="78CE9884">
      <w:pPr>
        <w:keepNext w:val="0"/>
        <w:keepLines w:val="0"/>
        <w:pageBreakBefore w:val="0"/>
        <w:kinsoku/>
        <w:wordWrap/>
        <w:overflowPunct/>
        <w:topLinePunct w:val="0"/>
        <w:autoSpaceDE/>
        <w:autoSpaceDN/>
        <w:bidi w:val="0"/>
        <w:adjustRightInd/>
        <w:snapToGrid/>
        <w:spacing w:line="440" w:lineRule="exact"/>
        <w:ind w:left="2244" w:leftChars="304" w:hanging="1606" w:hangingChars="500"/>
        <w:jc w:val="both"/>
        <w:textAlignment w:val="auto"/>
        <w:rPr>
          <w:rFonts w:hint="eastAsia" w:ascii="仿宋" w:hAnsi="仿宋" w:eastAsia="仿宋" w:cs="宋体"/>
          <w:b/>
          <w:color w:val="000000"/>
          <w:kern w:val="0"/>
          <w:sz w:val="32"/>
          <w:szCs w:val="32"/>
          <w:u w:val="single"/>
          <w:lang w:val="en-US" w:eastAsia="zh-CN"/>
        </w:rPr>
      </w:pPr>
      <w:r>
        <w:rPr>
          <w:rFonts w:hint="eastAsia" w:ascii="仿宋" w:hAnsi="仿宋" w:eastAsia="仿宋" w:cs="宋体"/>
          <w:b/>
          <w:bCs/>
          <w:color w:val="000000"/>
          <w:kern w:val="0"/>
          <w:sz w:val="32"/>
          <w:szCs w:val="32"/>
          <w:lang w:val="en-US" w:eastAsia="zh-CN"/>
        </w:rPr>
        <w:t>项目名称：</w:t>
      </w:r>
      <w:r>
        <w:rPr>
          <w:rFonts w:hint="eastAsia" w:ascii="仿宋" w:hAnsi="仿宋" w:eastAsia="仿宋" w:cs="宋体"/>
          <w:b/>
          <w:color w:val="000000"/>
          <w:kern w:val="0"/>
          <w:sz w:val="32"/>
          <w:szCs w:val="32"/>
          <w:u w:val="single"/>
          <w:lang w:val="en-US" w:eastAsia="zh-CN"/>
        </w:rPr>
        <w:t>曲靖市中碧瑞房地产开发有限公司云鼎映象苑项目建设工程设计方案调整及分期实施方案</w:t>
      </w:r>
    </w:p>
    <w:p w14:paraId="6F4E0AEB">
      <w:pPr>
        <w:keepNext w:val="0"/>
        <w:keepLines w:val="0"/>
        <w:pageBreakBefore w:val="0"/>
        <w:kinsoku/>
        <w:wordWrap/>
        <w:overflowPunct/>
        <w:topLinePunct w:val="0"/>
        <w:autoSpaceDE/>
        <w:autoSpaceDN/>
        <w:bidi w:val="0"/>
        <w:adjustRightInd/>
        <w:snapToGrid/>
        <w:spacing w:line="440" w:lineRule="exact"/>
        <w:ind w:left="2244" w:leftChars="304" w:hanging="1606" w:hangingChars="500"/>
        <w:jc w:val="left"/>
        <w:textAlignment w:val="auto"/>
        <w:rPr>
          <w:rFonts w:hint="default" w:ascii="仿宋" w:hAnsi="仿宋" w:eastAsia="仿宋" w:cs="宋体"/>
          <w:b/>
          <w:bCs/>
          <w:color w:val="000000"/>
          <w:kern w:val="0"/>
          <w:sz w:val="32"/>
          <w:szCs w:val="32"/>
          <w:u w:val="single"/>
          <w:lang w:val="en-US" w:eastAsia="zh-CN"/>
        </w:rPr>
      </w:pPr>
      <w:r>
        <w:rPr>
          <w:rFonts w:hint="eastAsia" w:ascii="仿宋" w:hAnsi="仿宋" w:eastAsia="仿宋" w:cs="宋体"/>
          <w:b/>
          <w:bCs/>
          <w:color w:val="000000"/>
          <w:kern w:val="0"/>
          <w:sz w:val="32"/>
          <w:szCs w:val="32"/>
          <w:u w:val="none"/>
          <w:lang w:val="en-US" w:eastAsia="zh-CN"/>
        </w:rPr>
        <w:t>建设单位：</w:t>
      </w:r>
      <w:r>
        <w:rPr>
          <w:rFonts w:hint="eastAsia" w:ascii="仿宋" w:hAnsi="仿宋" w:eastAsia="仿宋" w:cs="宋体"/>
          <w:b/>
          <w:color w:val="000000"/>
          <w:kern w:val="0"/>
          <w:sz w:val="32"/>
          <w:szCs w:val="32"/>
          <w:u w:val="single"/>
          <w:lang w:val="en-US" w:eastAsia="zh-CN"/>
        </w:rPr>
        <w:t>曲靖市中碧瑞房地产开发有限公司</w:t>
      </w:r>
    </w:p>
    <w:p w14:paraId="16829A85">
      <w:pPr>
        <w:keepNext w:val="0"/>
        <w:keepLines w:val="0"/>
        <w:pageBreakBefore w:val="0"/>
        <w:kinsoku/>
        <w:wordWrap/>
        <w:overflowPunct/>
        <w:topLinePunct w:val="0"/>
        <w:autoSpaceDE/>
        <w:autoSpaceDN/>
        <w:bidi w:val="0"/>
        <w:adjustRightInd/>
        <w:snapToGrid/>
        <w:spacing w:line="440" w:lineRule="exact"/>
        <w:ind w:left="2244" w:leftChars="304" w:hanging="1606" w:hangingChars="500"/>
        <w:jc w:val="left"/>
        <w:textAlignment w:val="auto"/>
        <w:rPr>
          <w:rFonts w:hint="default" w:ascii="仿宋" w:hAnsi="仿宋" w:eastAsia="仿宋" w:cs="宋体"/>
          <w:b/>
          <w:color w:val="000000"/>
          <w:kern w:val="0"/>
          <w:sz w:val="32"/>
          <w:szCs w:val="32"/>
          <w:u w:val="single"/>
          <w:lang w:val="en-US" w:eastAsia="zh-CN"/>
        </w:rPr>
      </w:pPr>
      <w:r>
        <w:rPr>
          <w:rFonts w:hint="eastAsia" w:ascii="仿宋" w:hAnsi="仿宋" w:eastAsia="仿宋" w:cs="宋体"/>
          <w:b/>
          <w:color w:val="000000"/>
          <w:kern w:val="0"/>
          <w:sz w:val="32"/>
          <w:szCs w:val="32"/>
          <w:u w:val="none"/>
          <w:lang w:val="en-US" w:eastAsia="zh-CN"/>
        </w:rPr>
        <w:t>项目位置：</w:t>
      </w:r>
      <w:r>
        <w:rPr>
          <w:rFonts w:hint="default" w:ascii="仿宋" w:hAnsi="仿宋" w:eastAsia="仿宋" w:cs="宋体"/>
          <w:b/>
          <w:color w:val="000000"/>
          <w:kern w:val="0"/>
          <w:sz w:val="32"/>
          <w:szCs w:val="32"/>
          <w:u w:val="single"/>
          <w:lang w:val="en-US" w:eastAsia="zh-CN"/>
        </w:rPr>
        <w:t>三江大道南侧，麒麟北路西侧，交通路东侧</w:t>
      </w:r>
    </w:p>
    <w:p w14:paraId="6D163CBA">
      <w:pPr>
        <w:keepNext w:val="0"/>
        <w:keepLines w:val="0"/>
        <w:pageBreakBefore w:val="0"/>
        <w:kinsoku/>
        <w:wordWrap/>
        <w:overflowPunct/>
        <w:topLinePunct w:val="0"/>
        <w:autoSpaceDE/>
        <w:autoSpaceDN/>
        <w:bidi w:val="0"/>
        <w:adjustRightInd/>
        <w:snapToGrid/>
        <w:spacing w:line="440" w:lineRule="exact"/>
        <w:ind w:firstLine="643" w:firstLineChars="200"/>
        <w:jc w:val="both"/>
        <w:textAlignment w:val="auto"/>
        <w:rPr>
          <w:rFonts w:hint="eastAsia" w:ascii="仿宋" w:hAnsi="仿宋" w:eastAsia="仿宋" w:cs="宋体"/>
          <w:color w:val="000000"/>
          <w:kern w:val="0"/>
          <w:sz w:val="32"/>
          <w:szCs w:val="32"/>
          <w:highlight w:val="none"/>
          <w:lang w:val="en-US" w:eastAsia="zh-CN"/>
        </w:rPr>
      </w:pPr>
      <w:r>
        <w:rPr>
          <w:rFonts w:hint="eastAsia" w:ascii="仿宋" w:hAnsi="仿宋" w:eastAsia="仿宋" w:cs="宋体"/>
          <w:b/>
          <w:bCs/>
          <w:color w:val="000000"/>
          <w:kern w:val="0"/>
          <w:sz w:val="32"/>
          <w:szCs w:val="32"/>
          <w:lang w:val="en-US" w:eastAsia="zh-CN"/>
        </w:rPr>
        <w:t>项目建设内容及规模：</w:t>
      </w:r>
      <w:r>
        <w:rPr>
          <w:rFonts w:hint="eastAsia" w:ascii="仿宋" w:hAnsi="仿宋" w:eastAsia="仿宋" w:cs="宋体"/>
          <w:color w:val="000000"/>
          <w:kern w:val="0"/>
          <w:sz w:val="32"/>
          <w:szCs w:val="32"/>
          <w:lang w:val="en-US" w:eastAsia="zh-CN"/>
        </w:rPr>
        <w:br w:type="textWrapping"/>
      </w:r>
      <w:r>
        <w:rPr>
          <w:rFonts w:hint="eastAsia" w:ascii="仿宋" w:hAnsi="仿宋" w:eastAsia="仿宋" w:cs="宋体"/>
          <w:color w:val="000000"/>
          <w:kern w:val="0"/>
          <w:sz w:val="32"/>
          <w:szCs w:val="32"/>
          <w:lang w:val="en-US" w:eastAsia="zh-CN"/>
        </w:rPr>
        <w:t>　　</w:t>
      </w:r>
      <w:r>
        <w:rPr>
          <w:rFonts w:hint="eastAsia" w:ascii="仿宋" w:hAnsi="仿宋" w:eastAsia="仿宋" w:cs="宋体"/>
          <w:color w:val="000000"/>
          <w:spacing w:val="0"/>
          <w:kern w:val="0"/>
          <w:sz w:val="32"/>
          <w:szCs w:val="32"/>
          <w:lang w:val="en-US" w:eastAsia="zh-CN"/>
        </w:rPr>
        <w:t>总建筑面积由987632.92㎡调整为651587.68㎡，计容建筑面积由770443.3㎡调整为500903.42㎡，容积率由4.10调整为3.20（B2地块留白），建筑密度由32.71%调整为32.44%，绿地率由25.26%调整为21.97%，户数由1961户调整为1906户，机动车位由6056个调整为3900个，非机动车位由16438个调整为6708个。现调整方案较原审批方案，总建筑面积减少336045.24㎡，计容建筑面积减少269539.88㎡，不计容建筑面积减少67542.33㎡。容积率减少0.9，建筑密度减少0.27%，户数减少55户，机动车位减少2156个，非机动车位减少9730个。</w:t>
      </w:r>
    </w:p>
    <w:p w14:paraId="2F6ED837">
      <w:pPr>
        <w:keepNext w:val="0"/>
        <w:keepLines w:val="0"/>
        <w:pageBreakBefore w:val="0"/>
        <w:kinsoku/>
        <w:wordWrap/>
        <w:overflowPunct/>
        <w:topLinePunct w:val="0"/>
        <w:autoSpaceDE/>
        <w:autoSpaceDN/>
        <w:bidi w:val="0"/>
        <w:adjustRightInd/>
        <w:snapToGrid/>
        <w:spacing w:line="440" w:lineRule="exact"/>
        <w:ind w:firstLine="623" w:firstLineChars="200"/>
        <w:jc w:val="both"/>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b/>
          <w:bCs/>
          <w:color w:val="000000"/>
          <w:w w:val="97"/>
          <w:kern w:val="0"/>
          <w:sz w:val="32"/>
          <w:szCs w:val="32"/>
          <w:lang w:val="en-US" w:eastAsia="zh-CN"/>
        </w:rPr>
        <w:t>公示时间</w:t>
      </w:r>
      <w:r>
        <w:rPr>
          <w:rFonts w:hint="eastAsia" w:ascii="仿宋" w:hAnsi="仿宋" w:eastAsia="仿宋" w:cs="宋体"/>
          <w:color w:val="000000"/>
          <w:w w:val="97"/>
          <w:kern w:val="0"/>
          <w:sz w:val="32"/>
          <w:szCs w:val="32"/>
          <w:lang w:val="en-US" w:eastAsia="zh-CN"/>
        </w:rPr>
        <w:t>：2024年12月13日至12月23日（7个工作日）。</w:t>
      </w:r>
      <w:r>
        <w:rPr>
          <w:rFonts w:hint="eastAsia" w:ascii="仿宋" w:hAnsi="仿宋" w:eastAsia="仿宋" w:cs="宋体"/>
          <w:color w:val="000000"/>
          <w:kern w:val="0"/>
          <w:sz w:val="32"/>
          <w:szCs w:val="32"/>
          <w:lang w:val="en-US" w:eastAsia="zh-CN"/>
        </w:rPr>
        <w:br w:type="textWrapping"/>
      </w:r>
      <w:r>
        <w:rPr>
          <w:rFonts w:hint="eastAsia" w:ascii="仿宋" w:hAnsi="仿宋" w:eastAsia="仿宋" w:cs="宋体"/>
          <w:color w:val="000000"/>
          <w:kern w:val="0"/>
          <w:sz w:val="32"/>
          <w:szCs w:val="32"/>
          <w:lang w:val="en-US" w:eastAsia="zh-CN"/>
        </w:rPr>
        <w:t>　　任何单位和个人如对该公示有异议，请在公示期内向曲靖市麒麟区自然资源局反映。反映的情况应实事求是，并附具体内容。以单位名义反映情况的应加盖公章，以个人名义反映情况的应署真实姓名和联系电话。</w:t>
      </w:r>
      <w:r>
        <w:rPr>
          <w:rFonts w:hint="eastAsia" w:ascii="仿宋" w:hAnsi="仿宋" w:eastAsia="仿宋" w:cs="宋体"/>
          <w:color w:val="000000"/>
          <w:kern w:val="0"/>
          <w:sz w:val="32"/>
          <w:szCs w:val="32"/>
          <w:lang w:val="en-US" w:eastAsia="zh-CN"/>
        </w:rPr>
        <w:br w:type="textWrapping"/>
      </w:r>
      <w:r>
        <w:rPr>
          <w:rFonts w:hint="eastAsia" w:ascii="仿宋" w:hAnsi="仿宋" w:eastAsia="仿宋" w:cs="宋体"/>
          <w:color w:val="000000"/>
          <w:kern w:val="0"/>
          <w:sz w:val="32"/>
          <w:szCs w:val="32"/>
          <w:lang w:val="en-US" w:eastAsia="zh-CN"/>
        </w:rPr>
        <w:t>　　投诉举报电话：0874—3298664（法规科）</w:t>
      </w:r>
      <w:r>
        <w:rPr>
          <w:rFonts w:hint="eastAsia" w:ascii="仿宋" w:hAnsi="仿宋" w:eastAsia="仿宋" w:cs="宋体"/>
          <w:color w:val="000000"/>
          <w:kern w:val="0"/>
          <w:sz w:val="32"/>
          <w:szCs w:val="32"/>
          <w:lang w:val="en-US" w:eastAsia="zh-CN"/>
        </w:rPr>
        <w:br w:type="textWrapping"/>
      </w:r>
      <w:r>
        <w:rPr>
          <w:rFonts w:hint="eastAsia" w:ascii="仿宋" w:hAnsi="仿宋" w:eastAsia="仿宋" w:cs="宋体"/>
          <w:color w:val="000000"/>
          <w:kern w:val="0"/>
          <w:sz w:val="32"/>
          <w:szCs w:val="32"/>
          <w:lang w:val="en-US" w:eastAsia="zh-CN"/>
        </w:rPr>
        <w:t>　　咨询联系电话：0874—3187819（技术科）</w:t>
      </w:r>
      <w:r>
        <w:rPr>
          <w:rFonts w:hint="eastAsia" w:ascii="仿宋" w:hAnsi="仿宋" w:eastAsia="仿宋" w:cs="宋体"/>
          <w:color w:val="000000"/>
          <w:kern w:val="0"/>
          <w:sz w:val="32"/>
          <w:szCs w:val="32"/>
          <w:lang w:val="en-US" w:eastAsia="zh-CN"/>
        </w:rPr>
        <w:br w:type="textWrapping"/>
      </w:r>
    </w:p>
    <w:p w14:paraId="4CDF73E1">
      <w:pPr>
        <w:keepNext w:val="0"/>
        <w:keepLines w:val="0"/>
        <w:pageBreakBefore w:val="0"/>
        <w:kinsoku/>
        <w:wordWrap/>
        <w:overflowPunct/>
        <w:topLinePunct w:val="0"/>
        <w:autoSpaceDE/>
        <w:autoSpaceDN/>
        <w:bidi w:val="0"/>
        <w:adjustRightInd/>
        <w:snapToGrid/>
        <w:spacing w:line="440" w:lineRule="exact"/>
        <w:ind w:firstLine="640" w:firstLineChars="200"/>
        <w:jc w:val="both"/>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附件：1.原规划总平面图对比</w:t>
      </w:r>
    </w:p>
    <w:p w14:paraId="4442D761">
      <w:pPr>
        <w:keepNext w:val="0"/>
        <w:keepLines w:val="0"/>
        <w:pageBreakBefore w:val="0"/>
        <w:kinsoku/>
        <w:wordWrap/>
        <w:overflowPunct/>
        <w:topLinePunct w:val="0"/>
        <w:autoSpaceDE/>
        <w:autoSpaceDN/>
        <w:bidi w:val="0"/>
        <w:adjustRightInd/>
        <w:snapToGrid/>
        <w:spacing w:line="440" w:lineRule="exact"/>
        <w:jc w:val="both"/>
        <w:textAlignment w:val="auto"/>
        <w:rPr>
          <w:rFonts w:hint="eastAsia" w:ascii="仿宋" w:hAnsi="仿宋" w:eastAsia="仿宋" w:cs="宋体"/>
          <w:color w:val="000000"/>
          <w:kern w:val="0"/>
          <w:sz w:val="32"/>
          <w:szCs w:val="32"/>
          <w:lang w:val="en-US" w:eastAsia="zh-CN"/>
        </w:rPr>
      </w:pPr>
      <w:r>
        <w:rPr>
          <w:rFonts w:hint="eastAsia" w:ascii="微软雅黑" w:hAnsi="微软雅黑" w:eastAsia="微软雅黑" w:cs="微软雅黑"/>
          <w:i w:val="0"/>
          <w:caps w:val="0"/>
          <w:color w:val="333333"/>
          <w:spacing w:val="0"/>
          <w:kern w:val="0"/>
          <w:sz w:val="32"/>
          <w:szCs w:val="32"/>
          <w:shd w:val="clear" w:fill="FFFFFF"/>
          <w:lang w:val="en-US" w:eastAsia="zh-CN" w:bidi="ar"/>
        </w:rPr>
        <w:t xml:space="preserve">　　　    </w:t>
      </w:r>
      <w:r>
        <w:rPr>
          <w:rFonts w:hint="eastAsia" w:ascii="仿宋" w:hAnsi="仿宋" w:eastAsia="仿宋" w:cs="宋体"/>
          <w:color w:val="000000"/>
          <w:kern w:val="0"/>
          <w:sz w:val="32"/>
          <w:szCs w:val="32"/>
          <w:lang w:val="en-US" w:eastAsia="zh-CN"/>
        </w:rPr>
        <w:t>2.经济技术指标表对比</w:t>
      </w:r>
    </w:p>
    <w:p w14:paraId="6E655FAD">
      <w:pPr>
        <w:keepNext w:val="0"/>
        <w:keepLines w:val="0"/>
        <w:pageBreakBefore w:val="0"/>
        <w:kinsoku/>
        <w:wordWrap/>
        <w:overflowPunct/>
        <w:topLinePunct w:val="0"/>
        <w:autoSpaceDE/>
        <w:autoSpaceDN/>
        <w:bidi w:val="0"/>
        <w:adjustRightInd/>
        <w:snapToGrid/>
        <w:spacing w:line="440" w:lineRule="exact"/>
        <w:jc w:val="both"/>
        <w:textAlignment w:val="auto"/>
        <w:rPr>
          <w:rFonts w:hint="default" w:ascii="仿宋" w:hAnsi="仿宋" w:eastAsia="仿宋" w:cs="宋体"/>
          <w:kern w:val="0"/>
          <w:sz w:val="32"/>
          <w:szCs w:val="32"/>
          <w:lang w:val="en-US" w:eastAsia="zh-CN"/>
        </w:rPr>
      </w:pPr>
      <w:r>
        <w:rPr>
          <w:rFonts w:hint="eastAsia" w:ascii="微软雅黑" w:hAnsi="微软雅黑" w:eastAsia="微软雅黑" w:cs="微软雅黑"/>
          <w:i w:val="0"/>
          <w:caps w:val="0"/>
          <w:color w:val="333333"/>
          <w:spacing w:val="0"/>
          <w:kern w:val="0"/>
          <w:sz w:val="32"/>
          <w:szCs w:val="32"/>
          <w:shd w:val="clear" w:fill="FFFFFF"/>
          <w:lang w:val="en-US" w:eastAsia="zh-CN" w:bidi="ar"/>
        </w:rPr>
        <w:t xml:space="preserve">　　　    </w:t>
      </w:r>
      <w:r>
        <w:rPr>
          <w:rFonts w:hint="eastAsia" w:ascii="仿宋" w:hAnsi="仿宋" w:eastAsia="仿宋" w:cs="宋体"/>
          <w:color w:val="000000"/>
          <w:kern w:val="0"/>
          <w:sz w:val="32"/>
          <w:szCs w:val="32"/>
          <w:lang w:val="en-US" w:eastAsia="zh-CN"/>
        </w:rPr>
        <w:t>3.</w:t>
      </w:r>
      <w:r>
        <w:rPr>
          <w:rFonts w:hint="eastAsia" w:ascii="仿宋" w:hAnsi="仿宋" w:eastAsia="仿宋" w:cs="宋体"/>
          <w:kern w:val="0"/>
          <w:sz w:val="32"/>
          <w:szCs w:val="32"/>
          <w:lang w:val="en-US" w:eastAsia="zh-CN"/>
        </w:rPr>
        <w:t>效果图对比</w:t>
      </w:r>
    </w:p>
    <w:p w14:paraId="1F661B18">
      <w:pPr>
        <w:keepNext w:val="0"/>
        <w:keepLines w:val="0"/>
        <w:pageBreakBefore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i w:val="0"/>
          <w:caps w:val="0"/>
          <w:color w:val="333333"/>
          <w:spacing w:val="0"/>
          <w:kern w:val="0"/>
          <w:sz w:val="28"/>
          <w:szCs w:val="28"/>
          <w:shd w:val="clear"/>
          <w:lang w:val="en-US" w:eastAsia="zh-CN" w:bidi="ar"/>
        </w:rPr>
      </w:pPr>
      <w:r>
        <w:rPr>
          <w:rFonts w:hint="eastAsia" w:ascii="微软雅黑" w:hAnsi="微软雅黑" w:eastAsia="微软雅黑" w:cs="微软雅黑"/>
          <w:i w:val="0"/>
          <w:caps w:val="0"/>
          <w:color w:val="333333"/>
          <w:spacing w:val="0"/>
          <w:kern w:val="0"/>
          <w:sz w:val="32"/>
          <w:szCs w:val="32"/>
          <w:shd w:val="clear" w:fill="FFFFFF"/>
          <w:lang w:val="en-US" w:eastAsia="zh-CN" w:bidi="ar"/>
        </w:rPr>
        <w:t xml:space="preserve">　　　    </w:t>
      </w:r>
      <w:r>
        <w:rPr>
          <w:rFonts w:hint="eastAsia" w:ascii="仿宋" w:hAnsi="仿宋" w:eastAsia="仿宋" w:cs="宋体"/>
          <w:color w:val="000000"/>
          <w:kern w:val="0"/>
          <w:sz w:val="32"/>
          <w:szCs w:val="32"/>
          <w:lang w:val="en-US" w:eastAsia="zh-CN"/>
        </w:rPr>
        <w:t>4.分期图对比</w:t>
      </w:r>
      <w:r>
        <w:rPr>
          <w:rFonts w:hint="eastAsia" w:ascii="微软雅黑" w:hAnsi="微软雅黑" w:eastAsia="微软雅黑" w:cs="微软雅黑"/>
          <w:i w:val="0"/>
          <w:caps w:val="0"/>
          <w:color w:val="333333"/>
          <w:spacing w:val="0"/>
          <w:kern w:val="0"/>
          <w:sz w:val="28"/>
          <w:szCs w:val="28"/>
          <w:shd w:val="clear"/>
          <w:lang w:val="en-US" w:eastAsia="zh-CN" w:bidi="ar"/>
        </w:rPr>
        <w:br w:type="textWrapping"/>
      </w:r>
      <w:r>
        <w:rPr>
          <w:rFonts w:hint="eastAsia" w:ascii="微软雅黑" w:hAnsi="微软雅黑" w:eastAsia="微软雅黑" w:cs="微软雅黑"/>
          <w:i w:val="0"/>
          <w:caps w:val="0"/>
          <w:color w:val="333333"/>
          <w:spacing w:val="0"/>
          <w:kern w:val="0"/>
          <w:sz w:val="28"/>
          <w:szCs w:val="28"/>
          <w:shd w:val="clear"/>
          <w:lang w:val="en-US" w:eastAsia="zh-CN" w:bidi="ar"/>
        </w:rPr>
        <w:t xml:space="preserve">                                         </w:t>
      </w:r>
    </w:p>
    <w:p w14:paraId="6F0B36C9">
      <w:pPr>
        <w:keepNext w:val="0"/>
        <w:keepLines w:val="0"/>
        <w:pageBreakBefore w:val="0"/>
        <w:kinsoku/>
        <w:wordWrap/>
        <w:overflowPunct/>
        <w:topLinePunct w:val="0"/>
        <w:autoSpaceDE/>
        <w:autoSpaceDN/>
        <w:bidi w:val="0"/>
        <w:adjustRightInd/>
        <w:snapToGrid/>
        <w:spacing w:line="440" w:lineRule="exact"/>
        <w:jc w:val="right"/>
        <w:textAlignment w:val="auto"/>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曲靖市麒麟区自然资源局</w:t>
      </w:r>
    </w:p>
    <w:p w14:paraId="1342D862">
      <w:pPr>
        <w:keepNext w:val="0"/>
        <w:keepLines w:val="0"/>
        <w:pageBreakBefore w:val="0"/>
        <w:kinsoku/>
        <w:wordWrap/>
        <w:overflowPunct/>
        <w:topLinePunct w:val="0"/>
        <w:autoSpaceDE/>
        <w:autoSpaceDN/>
        <w:bidi w:val="0"/>
        <w:adjustRightInd/>
        <w:snapToGrid/>
        <w:spacing w:line="440" w:lineRule="exact"/>
        <w:jc w:val="center"/>
        <w:textAlignment w:val="auto"/>
        <w:rPr>
          <w:rFonts w:hint="default" w:ascii="仿宋" w:hAnsi="仿宋" w:eastAsia="仿宋" w:cs="宋体"/>
          <w:color w:val="000000"/>
          <w:kern w:val="0"/>
          <w:sz w:val="28"/>
          <w:szCs w:val="28"/>
          <w:lang w:val="en-US" w:eastAsia="zh-CN"/>
        </w:rPr>
      </w:pPr>
      <w:r>
        <w:rPr>
          <w:rFonts w:hint="eastAsia" w:ascii="仿宋" w:hAnsi="仿宋" w:eastAsia="仿宋" w:cs="宋体"/>
          <w:color w:val="000000"/>
          <w:kern w:val="0"/>
          <w:sz w:val="32"/>
          <w:szCs w:val="32"/>
          <w:lang w:val="en-US" w:eastAsia="zh-CN"/>
        </w:rPr>
        <w:t xml:space="preserve">                              2024年12月13日</w:t>
      </w:r>
    </w:p>
    <w:p w14:paraId="25D30AFA">
      <w:pPr>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br w:type="page"/>
      </w:r>
    </w:p>
    <w:p w14:paraId="215EA733">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附件1</w:t>
      </w:r>
    </w:p>
    <w:p w14:paraId="3B4CB07A">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center"/>
        <w:rPr>
          <w:rFonts w:hint="default"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原审批方案</w:t>
      </w:r>
    </w:p>
    <w:p w14:paraId="461F2F3B">
      <w:pPr>
        <w:shd w:val="clear"/>
        <w:jc w:val="center"/>
      </w:pPr>
      <w:r>
        <w:drawing>
          <wp:inline distT="0" distB="0" distL="114300" distR="114300">
            <wp:extent cx="3239770" cy="3665855"/>
            <wp:effectExtent l="0" t="0" r="17780" b="1079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4"/>
                    <a:stretch>
                      <a:fillRect/>
                    </a:stretch>
                  </pic:blipFill>
                  <pic:spPr>
                    <a:xfrm>
                      <a:off x="0" y="0"/>
                      <a:ext cx="3239770" cy="3665855"/>
                    </a:xfrm>
                    <a:prstGeom prst="rect">
                      <a:avLst/>
                    </a:prstGeom>
                    <a:noFill/>
                    <a:ln>
                      <a:noFill/>
                    </a:ln>
                  </pic:spPr>
                </pic:pic>
              </a:graphicData>
            </a:graphic>
          </wp:inline>
        </w:drawing>
      </w:r>
    </w:p>
    <w:p w14:paraId="4AC148C2">
      <w:pPr>
        <w:jc w:val="center"/>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现调整方案</w:t>
      </w:r>
    </w:p>
    <w:p w14:paraId="38C52423">
      <w:pPr>
        <w:jc w:val="center"/>
        <w:rPr>
          <w:rFonts w:hint="eastAsia" w:ascii="仿宋" w:hAnsi="仿宋" w:eastAsia="仿宋" w:cs="宋体"/>
          <w:color w:val="000000"/>
          <w:kern w:val="0"/>
          <w:sz w:val="32"/>
          <w:szCs w:val="32"/>
          <w:lang w:val="en-US" w:eastAsia="zh-CN"/>
        </w:rPr>
      </w:pPr>
      <w:r>
        <w:drawing>
          <wp:inline distT="0" distB="0" distL="114300" distR="114300">
            <wp:extent cx="3239770" cy="3679825"/>
            <wp:effectExtent l="0" t="0" r="17780" b="1587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5"/>
                    <a:stretch>
                      <a:fillRect/>
                    </a:stretch>
                  </pic:blipFill>
                  <pic:spPr>
                    <a:xfrm>
                      <a:off x="0" y="0"/>
                      <a:ext cx="3239770" cy="3679825"/>
                    </a:xfrm>
                    <a:prstGeom prst="rect">
                      <a:avLst/>
                    </a:prstGeom>
                    <a:noFill/>
                    <a:ln>
                      <a:noFill/>
                    </a:ln>
                  </pic:spPr>
                </pic:pic>
              </a:graphicData>
            </a:graphic>
          </wp:inline>
        </w:drawing>
      </w:r>
    </w:p>
    <w:p w14:paraId="7AF26F9F">
      <w:r>
        <w:rPr>
          <w:rFonts w:hint="eastAsia" w:eastAsiaTheme="minorEastAsia"/>
          <w:lang w:eastAsia="zh-CN"/>
        </w:rPr>
        <w:br w:type="page"/>
      </w:r>
    </w:p>
    <w:p w14:paraId="0D977C91">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both"/>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附件2</w:t>
      </w:r>
    </w:p>
    <w:p w14:paraId="317F06E5">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center"/>
        <w:rPr>
          <w:rFonts w:hint="default" w:eastAsiaTheme="minorEastAsia"/>
          <w:lang w:val="en-US" w:eastAsia="zh-CN"/>
        </w:rPr>
      </w:pPr>
      <w:r>
        <w:rPr>
          <w:rFonts w:hint="eastAsia" w:ascii="仿宋" w:hAnsi="仿宋" w:eastAsia="仿宋" w:cs="宋体"/>
          <w:color w:val="000000"/>
          <w:kern w:val="0"/>
          <w:sz w:val="32"/>
          <w:szCs w:val="32"/>
          <w:lang w:val="en-US" w:eastAsia="zh-CN"/>
        </w:rPr>
        <w:t>原审批方案指标表</w:t>
      </w:r>
    </w:p>
    <w:p w14:paraId="56E8426A">
      <w:pPr>
        <w:jc w:val="center"/>
      </w:pPr>
      <w:r>
        <w:drawing>
          <wp:inline distT="0" distB="0" distL="114300" distR="114300">
            <wp:extent cx="4636135" cy="7200265"/>
            <wp:effectExtent l="0" t="0" r="12065" b="63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6"/>
                    <a:stretch>
                      <a:fillRect/>
                    </a:stretch>
                  </pic:blipFill>
                  <pic:spPr>
                    <a:xfrm>
                      <a:off x="0" y="0"/>
                      <a:ext cx="4636135" cy="7200265"/>
                    </a:xfrm>
                    <a:prstGeom prst="rect">
                      <a:avLst/>
                    </a:prstGeom>
                    <a:noFill/>
                    <a:ln>
                      <a:noFill/>
                    </a:ln>
                  </pic:spPr>
                </pic:pic>
              </a:graphicData>
            </a:graphic>
          </wp:inline>
        </w:drawing>
      </w:r>
    </w:p>
    <w:p w14:paraId="3BB4ED52">
      <w:pPr>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br w:type="page"/>
      </w:r>
    </w:p>
    <w:p w14:paraId="6AA4181E">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640" w:lineRule="atLeast"/>
        <w:ind w:left="0" w:right="0" w:firstLine="0"/>
        <w:jc w:val="center"/>
        <w:rPr>
          <w:highlight w:val="red"/>
        </w:rPr>
      </w:pPr>
      <w:r>
        <w:rPr>
          <w:rFonts w:hint="eastAsia" w:ascii="仿宋" w:hAnsi="仿宋" w:eastAsia="仿宋" w:cs="宋体"/>
          <w:color w:val="000000"/>
          <w:kern w:val="0"/>
          <w:sz w:val="32"/>
          <w:szCs w:val="32"/>
          <w:lang w:val="en-US" w:eastAsia="zh-CN"/>
        </w:rPr>
        <w:t>现调整方案指标表</w:t>
      </w:r>
    </w:p>
    <w:p w14:paraId="1B916257">
      <w:pPr>
        <w:jc w:val="center"/>
        <w:rPr>
          <w:rFonts w:hint="eastAsia" w:eastAsiaTheme="minorEastAsia"/>
          <w:lang w:eastAsia="zh-CN"/>
        </w:rPr>
      </w:pPr>
      <w:r>
        <w:rPr>
          <w:rFonts w:hint="eastAsia" w:eastAsiaTheme="minorEastAsia"/>
          <w:lang w:eastAsia="zh-CN"/>
        </w:rPr>
        <w:drawing>
          <wp:inline distT="0" distB="0" distL="114300" distR="114300">
            <wp:extent cx="5272405" cy="8315960"/>
            <wp:effectExtent l="0" t="0" r="635" b="5080"/>
            <wp:docPr id="3" name="图片 3" descr="b229faf8a7d99f9aa3198c29f861b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229faf8a7d99f9aa3198c29f861b81"/>
                    <pic:cNvPicPr>
                      <a:picLocks noChangeAspect="1"/>
                    </pic:cNvPicPr>
                  </pic:nvPicPr>
                  <pic:blipFill>
                    <a:blip r:embed="rId7"/>
                    <a:stretch>
                      <a:fillRect/>
                    </a:stretch>
                  </pic:blipFill>
                  <pic:spPr>
                    <a:xfrm>
                      <a:off x="0" y="0"/>
                      <a:ext cx="5272405" cy="8315960"/>
                    </a:xfrm>
                    <a:prstGeom prst="rect">
                      <a:avLst/>
                    </a:prstGeom>
                  </pic:spPr>
                </pic:pic>
              </a:graphicData>
            </a:graphic>
          </wp:inline>
        </w:drawing>
      </w:r>
    </w:p>
    <w:p w14:paraId="24AE9326">
      <w:pPr>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br w:type="page"/>
      </w:r>
    </w:p>
    <w:p w14:paraId="4F1C6864">
      <w:pPr>
        <w:shd w:val="clear"/>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附件3</w:t>
      </w:r>
    </w:p>
    <w:p w14:paraId="3D30E095">
      <w:pPr>
        <w:shd w:val="clear"/>
        <w:jc w:val="center"/>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原审批方案</w:t>
      </w:r>
    </w:p>
    <w:p w14:paraId="11F99DDC">
      <w:pPr>
        <w:shd w:val="clear"/>
        <w:jc w:val="center"/>
      </w:pPr>
      <w:r>
        <w:drawing>
          <wp:inline distT="0" distB="0" distL="114300" distR="114300">
            <wp:extent cx="4364990" cy="3672205"/>
            <wp:effectExtent l="0" t="0" r="16510"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cstate="screen"/>
                    <a:srcRect l="1" r="867"/>
                    <a:stretch>
                      <a:fillRect/>
                    </a:stretch>
                  </pic:blipFill>
                  <pic:spPr>
                    <a:xfrm>
                      <a:off x="0" y="0"/>
                      <a:ext cx="4364990" cy="3672205"/>
                    </a:xfrm>
                    <a:prstGeom prst="rect">
                      <a:avLst/>
                    </a:prstGeom>
                  </pic:spPr>
                </pic:pic>
              </a:graphicData>
            </a:graphic>
          </wp:inline>
        </w:drawing>
      </w:r>
    </w:p>
    <w:p w14:paraId="43ED80ED">
      <w:pPr>
        <w:shd w:val="clear"/>
        <w:jc w:val="center"/>
      </w:pPr>
      <w:r>
        <w:rPr>
          <w:rFonts w:hint="eastAsia" w:ascii="仿宋" w:hAnsi="仿宋" w:eastAsia="仿宋" w:cs="宋体"/>
          <w:color w:val="000000"/>
          <w:kern w:val="0"/>
          <w:sz w:val="32"/>
          <w:szCs w:val="32"/>
          <w:lang w:val="en-US" w:eastAsia="zh-CN"/>
        </w:rPr>
        <w:t>现调整方案</w:t>
      </w:r>
    </w:p>
    <w:p w14:paraId="138F120C">
      <w:pPr>
        <w:shd w:val="clear"/>
        <w:jc w:val="center"/>
      </w:pPr>
      <w:r>
        <w:drawing>
          <wp:inline distT="0" distB="0" distL="114300" distR="114300">
            <wp:extent cx="4309745" cy="3672205"/>
            <wp:effectExtent l="0" t="0" r="14605" b="444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rcRect l="17413" r="16580"/>
                    <a:stretch>
                      <a:fillRect/>
                    </a:stretch>
                  </pic:blipFill>
                  <pic:spPr>
                    <a:xfrm>
                      <a:off x="0" y="0"/>
                      <a:ext cx="4309745" cy="3672205"/>
                    </a:xfrm>
                    <a:prstGeom prst="rect">
                      <a:avLst/>
                    </a:prstGeom>
                  </pic:spPr>
                </pic:pic>
              </a:graphicData>
            </a:graphic>
          </wp:inline>
        </w:drawing>
      </w:r>
    </w:p>
    <w:p w14:paraId="3C36EC66">
      <w:r>
        <w:br w:type="page"/>
      </w:r>
    </w:p>
    <w:p w14:paraId="55EC8CC2">
      <w:pPr>
        <w:shd w:val="clear"/>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附件4</w:t>
      </w:r>
    </w:p>
    <w:p w14:paraId="00CF25BD">
      <w:pPr>
        <w:shd w:val="clear"/>
        <w:jc w:val="center"/>
        <w:rPr>
          <w:rFonts w:hint="eastAsia"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val="en-US" w:eastAsia="zh-CN"/>
        </w:rPr>
        <w:t>原审批分期方案</w:t>
      </w:r>
    </w:p>
    <w:p w14:paraId="319B1A24">
      <w:pPr>
        <w:shd w:val="clear"/>
        <w:jc w:val="center"/>
      </w:pPr>
      <w:r>
        <w:drawing>
          <wp:inline distT="0" distB="0" distL="114300" distR="114300">
            <wp:extent cx="3058795" cy="3599815"/>
            <wp:effectExtent l="0" t="0" r="8255" b="635"/>
            <wp:docPr id="133"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2"/>
                    <pic:cNvPicPr>
                      <a:picLocks noChangeAspect="1"/>
                    </pic:cNvPicPr>
                  </pic:nvPicPr>
                  <pic:blipFill>
                    <a:blip r:embed="rId10"/>
                    <a:stretch>
                      <a:fillRect/>
                    </a:stretch>
                  </pic:blipFill>
                  <pic:spPr>
                    <a:xfrm>
                      <a:off x="0" y="0"/>
                      <a:ext cx="3058795" cy="3599815"/>
                    </a:xfrm>
                    <a:prstGeom prst="rect">
                      <a:avLst/>
                    </a:prstGeom>
                  </pic:spPr>
                </pic:pic>
              </a:graphicData>
            </a:graphic>
          </wp:inline>
        </w:drawing>
      </w:r>
    </w:p>
    <w:p w14:paraId="0585286B">
      <w:pPr>
        <w:shd w:val="clear"/>
        <w:jc w:val="center"/>
        <w:rPr>
          <w:rFonts w:hint="eastAsia"/>
          <w:lang w:val="en-US" w:eastAsia="zh-CN"/>
        </w:rPr>
      </w:pPr>
      <w:r>
        <w:rPr>
          <w:rFonts w:hint="eastAsia" w:ascii="仿宋" w:hAnsi="仿宋" w:eastAsia="仿宋" w:cs="宋体"/>
          <w:color w:val="000000"/>
          <w:kern w:val="0"/>
          <w:sz w:val="32"/>
          <w:szCs w:val="32"/>
          <w:lang w:val="en-US" w:eastAsia="zh-CN"/>
        </w:rPr>
        <w:t>现调整分期方案</w:t>
      </w:r>
    </w:p>
    <w:p w14:paraId="0A61A6A9">
      <w:pPr>
        <w:shd w:val="clear"/>
        <w:jc w:val="center"/>
        <w:rPr>
          <w:rFonts w:hint="default"/>
          <w:lang w:val="en-US" w:eastAsia="zh-CN"/>
        </w:rPr>
      </w:pPr>
      <w:r>
        <w:drawing>
          <wp:inline distT="0" distB="0" distL="114300" distR="114300">
            <wp:extent cx="2934970" cy="3599815"/>
            <wp:effectExtent l="0" t="0" r="17780" b="63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1"/>
                    <a:stretch>
                      <a:fillRect/>
                    </a:stretch>
                  </pic:blipFill>
                  <pic:spPr>
                    <a:xfrm>
                      <a:off x="0" y="0"/>
                      <a:ext cx="2934970" cy="359981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_GBK">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I1ZGEzYjhmZDlkNGU0Y2NkMGQ2MDE5NzQ1MzJlNDAifQ=="/>
    <w:docVar w:name="KSO_WPS_MARK_KEY" w:val="b0957b1a-9431-4949-bf1e-c484317e1821"/>
  </w:docVars>
  <w:rsids>
    <w:rsidRoot w:val="689C49DC"/>
    <w:rsid w:val="003F007A"/>
    <w:rsid w:val="0097577D"/>
    <w:rsid w:val="00C44C44"/>
    <w:rsid w:val="00F82459"/>
    <w:rsid w:val="01960D43"/>
    <w:rsid w:val="01D45748"/>
    <w:rsid w:val="01F072A7"/>
    <w:rsid w:val="01F73B1B"/>
    <w:rsid w:val="02D77D9B"/>
    <w:rsid w:val="031413F0"/>
    <w:rsid w:val="052A6AD1"/>
    <w:rsid w:val="05A37860"/>
    <w:rsid w:val="06E635A4"/>
    <w:rsid w:val="071F2612"/>
    <w:rsid w:val="097C2D95"/>
    <w:rsid w:val="09CD3B43"/>
    <w:rsid w:val="0A837CCA"/>
    <w:rsid w:val="0AE0504E"/>
    <w:rsid w:val="0B375B18"/>
    <w:rsid w:val="0BCF59FE"/>
    <w:rsid w:val="0C5B7E66"/>
    <w:rsid w:val="0CC05AB7"/>
    <w:rsid w:val="0CCB51C9"/>
    <w:rsid w:val="0DE74598"/>
    <w:rsid w:val="0EC00531"/>
    <w:rsid w:val="0EC817E1"/>
    <w:rsid w:val="0F770A50"/>
    <w:rsid w:val="0FA00DEF"/>
    <w:rsid w:val="0FEF7661"/>
    <w:rsid w:val="102F1A55"/>
    <w:rsid w:val="1141273A"/>
    <w:rsid w:val="11B55F40"/>
    <w:rsid w:val="11D3306C"/>
    <w:rsid w:val="12186707"/>
    <w:rsid w:val="12D22614"/>
    <w:rsid w:val="12E176DE"/>
    <w:rsid w:val="12F5045C"/>
    <w:rsid w:val="13B24196"/>
    <w:rsid w:val="14A40083"/>
    <w:rsid w:val="15040C8C"/>
    <w:rsid w:val="151F0FBF"/>
    <w:rsid w:val="15B92EBA"/>
    <w:rsid w:val="15DF1345"/>
    <w:rsid w:val="15E7531B"/>
    <w:rsid w:val="16E573D4"/>
    <w:rsid w:val="17656988"/>
    <w:rsid w:val="178D3C98"/>
    <w:rsid w:val="18F93076"/>
    <w:rsid w:val="193B71B3"/>
    <w:rsid w:val="197A4209"/>
    <w:rsid w:val="1B2A3474"/>
    <w:rsid w:val="1BFD0C46"/>
    <w:rsid w:val="1C1C04CF"/>
    <w:rsid w:val="1C59205A"/>
    <w:rsid w:val="1D3A087F"/>
    <w:rsid w:val="1E27029E"/>
    <w:rsid w:val="1F7D79B2"/>
    <w:rsid w:val="1FB22434"/>
    <w:rsid w:val="204D1E63"/>
    <w:rsid w:val="212D0CD3"/>
    <w:rsid w:val="227C3BB4"/>
    <w:rsid w:val="22AE50CC"/>
    <w:rsid w:val="22BE6D2B"/>
    <w:rsid w:val="237D5147"/>
    <w:rsid w:val="249661B1"/>
    <w:rsid w:val="249935AC"/>
    <w:rsid w:val="24FC442D"/>
    <w:rsid w:val="25074BFD"/>
    <w:rsid w:val="259A59BE"/>
    <w:rsid w:val="26927023"/>
    <w:rsid w:val="27D8088F"/>
    <w:rsid w:val="28F55CE4"/>
    <w:rsid w:val="293E0E3F"/>
    <w:rsid w:val="29D532D8"/>
    <w:rsid w:val="2A6D15FD"/>
    <w:rsid w:val="2B637A26"/>
    <w:rsid w:val="2C9C1CC7"/>
    <w:rsid w:val="2CB06C5F"/>
    <w:rsid w:val="2CB24021"/>
    <w:rsid w:val="2CE113E7"/>
    <w:rsid w:val="2D0A5DDE"/>
    <w:rsid w:val="2E5846E0"/>
    <w:rsid w:val="2ECA5697"/>
    <w:rsid w:val="2F5C49DA"/>
    <w:rsid w:val="2F8F1226"/>
    <w:rsid w:val="2FB4573E"/>
    <w:rsid w:val="303C1F64"/>
    <w:rsid w:val="3138414C"/>
    <w:rsid w:val="3210686D"/>
    <w:rsid w:val="327D3987"/>
    <w:rsid w:val="33A516A6"/>
    <w:rsid w:val="33F67FC4"/>
    <w:rsid w:val="34413A33"/>
    <w:rsid w:val="34AA1C4B"/>
    <w:rsid w:val="35E37DFC"/>
    <w:rsid w:val="36766209"/>
    <w:rsid w:val="371328B1"/>
    <w:rsid w:val="378D3EBA"/>
    <w:rsid w:val="37EB016A"/>
    <w:rsid w:val="384E318F"/>
    <w:rsid w:val="39E62317"/>
    <w:rsid w:val="39FD6893"/>
    <w:rsid w:val="39FE36C4"/>
    <w:rsid w:val="3A773F37"/>
    <w:rsid w:val="3AD96FF8"/>
    <w:rsid w:val="3B23042C"/>
    <w:rsid w:val="3C0D42D6"/>
    <w:rsid w:val="3C795D45"/>
    <w:rsid w:val="3C8F795C"/>
    <w:rsid w:val="3D7529B0"/>
    <w:rsid w:val="3DA57E10"/>
    <w:rsid w:val="3DD60F75"/>
    <w:rsid w:val="3DE07D45"/>
    <w:rsid w:val="3E277DF2"/>
    <w:rsid w:val="3F027239"/>
    <w:rsid w:val="3F1C7FA4"/>
    <w:rsid w:val="40464190"/>
    <w:rsid w:val="413606A8"/>
    <w:rsid w:val="414508EB"/>
    <w:rsid w:val="419E1F1B"/>
    <w:rsid w:val="42ED1A66"/>
    <w:rsid w:val="43686B13"/>
    <w:rsid w:val="436F7EA2"/>
    <w:rsid w:val="43B76311"/>
    <w:rsid w:val="43E63694"/>
    <w:rsid w:val="44550EAB"/>
    <w:rsid w:val="45E350EA"/>
    <w:rsid w:val="46933926"/>
    <w:rsid w:val="47F47406"/>
    <w:rsid w:val="480D3608"/>
    <w:rsid w:val="481D1D1C"/>
    <w:rsid w:val="485C77F9"/>
    <w:rsid w:val="4970716C"/>
    <w:rsid w:val="49D863F6"/>
    <w:rsid w:val="49DC31EF"/>
    <w:rsid w:val="4CF65190"/>
    <w:rsid w:val="4D896004"/>
    <w:rsid w:val="4EDF107B"/>
    <w:rsid w:val="4F1072D9"/>
    <w:rsid w:val="4F6872B7"/>
    <w:rsid w:val="50594988"/>
    <w:rsid w:val="515D5808"/>
    <w:rsid w:val="53274B11"/>
    <w:rsid w:val="53F52FE5"/>
    <w:rsid w:val="543B7ED7"/>
    <w:rsid w:val="54770566"/>
    <w:rsid w:val="595E2AC4"/>
    <w:rsid w:val="59FB4523"/>
    <w:rsid w:val="5BF44F90"/>
    <w:rsid w:val="5C513715"/>
    <w:rsid w:val="5CD475E1"/>
    <w:rsid w:val="5D1E3978"/>
    <w:rsid w:val="5D431107"/>
    <w:rsid w:val="5E824FEC"/>
    <w:rsid w:val="5FA5225D"/>
    <w:rsid w:val="601B0D2A"/>
    <w:rsid w:val="608D1895"/>
    <w:rsid w:val="61C6560F"/>
    <w:rsid w:val="61C80AAF"/>
    <w:rsid w:val="62210161"/>
    <w:rsid w:val="62DB4C16"/>
    <w:rsid w:val="645E635E"/>
    <w:rsid w:val="6483759B"/>
    <w:rsid w:val="64D15426"/>
    <w:rsid w:val="66576847"/>
    <w:rsid w:val="66A16CEA"/>
    <w:rsid w:val="67D30150"/>
    <w:rsid w:val="680A039A"/>
    <w:rsid w:val="689C49DC"/>
    <w:rsid w:val="68C16542"/>
    <w:rsid w:val="69321FF0"/>
    <w:rsid w:val="698D2452"/>
    <w:rsid w:val="6D667FB0"/>
    <w:rsid w:val="6D9F7806"/>
    <w:rsid w:val="6E493F8C"/>
    <w:rsid w:val="6E5C3ECA"/>
    <w:rsid w:val="6F130C28"/>
    <w:rsid w:val="6FC646EE"/>
    <w:rsid w:val="708F4019"/>
    <w:rsid w:val="71256C76"/>
    <w:rsid w:val="71846A96"/>
    <w:rsid w:val="72B10E3E"/>
    <w:rsid w:val="73C75DED"/>
    <w:rsid w:val="740C459B"/>
    <w:rsid w:val="74390581"/>
    <w:rsid w:val="757D7084"/>
    <w:rsid w:val="75B3511C"/>
    <w:rsid w:val="76B26BEF"/>
    <w:rsid w:val="76F75DE3"/>
    <w:rsid w:val="77006879"/>
    <w:rsid w:val="77367365"/>
    <w:rsid w:val="77AB6956"/>
    <w:rsid w:val="79387C62"/>
    <w:rsid w:val="7A2860D9"/>
    <w:rsid w:val="7A4C7253"/>
    <w:rsid w:val="7B10284A"/>
    <w:rsid w:val="7B661868"/>
    <w:rsid w:val="7B8F6A55"/>
    <w:rsid w:val="7BF8164C"/>
    <w:rsid w:val="7C694787"/>
    <w:rsid w:val="7CC1454F"/>
    <w:rsid w:val="7CC540B3"/>
    <w:rsid w:val="7E1C1010"/>
    <w:rsid w:val="7E84452A"/>
    <w:rsid w:val="7F2A5E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5">
    <w:name w:val="Strong"/>
    <w:basedOn w:val="4"/>
    <w:qFormat/>
    <w:uiPriority w:val="0"/>
    <w:rPr>
      <w:b/>
    </w:rPr>
  </w:style>
  <w:style w:type="character" w:styleId="6">
    <w:name w:val="Hyperlink"/>
    <w:basedOn w:val="4"/>
    <w:qFormat/>
    <w:uiPriority w:val="0"/>
    <w:rPr>
      <w:color w:val="0000FF"/>
      <w:u w:val="single"/>
    </w:rPr>
  </w:style>
  <w:style w:type="paragraph" w:customStyle="1" w:styleId="7">
    <w:name w:val="UserStyle_0"/>
    <w:basedOn w:val="1"/>
    <w:next w:val="1"/>
    <w:qFormat/>
    <w:uiPriority w:val="0"/>
    <w:pPr>
      <w:spacing w:before="100" w:beforeAutospacing="1" w:after="100" w:afterAutospacing="1"/>
      <w:jc w:val="left"/>
    </w:pPr>
    <w:rPr>
      <w:rFonts w:ascii="宋体" w:hAnsi="宋体" w:eastAsia="宋体"/>
      <w:b/>
      <w:kern w:val="44"/>
      <w:sz w:val="48"/>
      <w:szCs w:val="4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曲靖市麒麟区党政机关单位</Company>
  <Pages>7</Pages>
  <Words>720</Words>
  <Characters>869</Characters>
  <Lines>0</Lines>
  <Paragraphs>0</Paragraphs>
  <TotalTime>8</TotalTime>
  <ScaleCrop>false</ScaleCrop>
  <LinksUpToDate>false</LinksUpToDate>
  <CharactersWithSpaces>965</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2021-09-08T03:02:00Z</dcterms:created>
  <dc:creator>Administrator</dc:creator>
  <cp:lastModifiedBy>包华</cp:lastModifiedBy>
  <cp:lastPrinted>2024-11-18T10:07:00Z</cp:lastPrinted>
  <dcterms:modified xsi:type="dcterms:W3CDTF">2024-12-13T02:58:33Z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0F003650ECB8464FB35CA7858A414DFE_13</vt:lpwstr>
  </property>
</Properties>
</file>