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000000" w:themeColor="text1"/>
          <w:sz w:val="84"/>
          <w:szCs w:val="84"/>
          <w:shd w:val="clear" w:color="auto" w:fill="FFFFFF"/>
          <w14:textFill>
            <w14:solidFill>
              <w14:schemeClr w14:val="tx1"/>
            </w14:solidFill>
          </w14:textFill>
        </w:rPr>
      </w:pPr>
      <w:bookmarkStart w:id="127" w:name="_GoBack"/>
      <w:bookmarkEnd w:id="127"/>
    </w:p>
    <w:p>
      <w:pPr>
        <w:rPr>
          <w:rFonts w:ascii="宋体" w:hAnsi="宋体" w:eastAsia="宋体" w:cs="宋体"/>
          <w:b/>
          <w:bCs/>
          <w:color w:val="000000" w:themeColor="text1"/>
          <w:sz w:val="84"/>
          <w:szCs w:val="84"/>
          <w:shd w:val="clear" w:color="auto" w:fill="FFFFFF"/>
          <w14:textFill>
            <w14:solidFill>
              <w14:schemeClr w14:val="tx1"/>
            </w14:solidFill>
          </w14:textFill>
        </w:rPr>
      </w:pPr>
    </w:p>
    <w:p>
      <w:pPr>
        <w:rPr>
          <w:rFonts w:ascii="宋体" w:hAnsi="宋体" w:eastAsia="宋体" w:cs="宋体"/>
          <w:b/>
          <w:bCs/>
          <w:color w:val="000000" w:themeColor="text1"/>
          <w:sz w:val="84"/>
          <w:szCs w:val="84"/>
          <w:shd w:val="clear" w:color="auto" w:fill="FFFFFF"/>
          <w14:textFill>
            <w14:solidFill>
              <w14:schemeClr w14:val="tx1"/>
            </w14:solidFill>
          </w14:textFill>
        </w:rPr>
      </w:pPr>
    </w:p>
    <w:p>
      <w:pPr>
        <w:jc w:val="center"/>
        <w:rPr>
          <w:rFonts w:ascii="宋体" w:hAnsi="宋体" w:eastAsia="宋体" w:cs="宋体"/>
          <w:b/>
          <w:bCs/>
          <w:color w:val="000000" w:themeColor="text1"/>
          <w:sz w:val="84"/>
          <w:szCs w:val="84"/>
          <w:shd w:val="clear" w:color="auto" w:fill="FFFFFF"/>
          <w14:textFill>
            <w14:solidFill>
              <w14:schemeClr w14:val="tx1"/>
            </w14:solidFill>
          </w14:textFill>
        </w:rPr>
        <w:sectPr>
          <w:headerReference r:id="rId3" w:type="default"/>
          <w:footerReference r:id="rId4" w:type="default"/>
          <w:pgSz w:w="23811" w:h="16838" w:orient="landscape"/>
          <w:pgMar w:top="1800" w:right="1440" w:bottom="1800" w:left="1440" w:header="851" w:footer="992" w:gutter="0"/>
          <w:pgNumType w:fmt="decimal"/>
          <w:cols w:space="840" w:num="2"/>
          <w:docGrid w:type="lines" w:linePitch="312" w:charSpace="0"/>
        </w:sectPr>
      </w:pPr>
    </w:p>
    <w:p>
      <w:pPr>
        <w:jc w:val="center"/>
        <w:rPr>
          <w:rFonts w:hint="eastAsia" w:ascii="宋体" w:hAnsi="宋体" w:eastAsia="宋体" w:cs="宋体"/>
          <w:b/>
          <w:bCs/>
          <w:color w:val="000000" w:themeColor="text1"/>
          <w:sz w:val="72"/>
          <w:szCs w:val="72"/>
          <w:shd w:val="clear" w:color="auto" w:fill="FFFFFF"/>
          <w:lang w:val="en-US" w:eastAsia="zh-CN"/>
          <w14:textFill>
            <w14:solidFill>
              <w14:schemeClr w14:val="tx1"/>
            </w14:solidFill>
          </w14:textFill>
        </w:rPr>
      </w:pPr>
      <w:r>
        <w:rPr>
          <w:rFonts w:hint="eastAsia" w:ascii="宋体" w:hAnsi="宋体" w:eastAsia="宋体" w:cs="宋体"/>
          <w:b/>
          <w:bCs/>
          <w:color w:val="000000" w:themeColor="text1"/>
          <w:sz w:val="72"/>
          <w:szCs w:val="72"/>
          <w:shd w:val="clear" w:color="auto" w:fill="FFFFFF"/>
          <w14:textFill>
            <w14:solidFill>
              <w14:schemeClr w14:val="tx1"/>
            </w14:solidFill>
          </w14:textFill>
        </w:rPr>
        <w:t>罗汉山产业园</w:t>
      </w:r>
      <w:r>
        <w:rPr>
          <w:rFonts w:hint="eastAsia" w:ascii="宋体" w:hAnsi="宋体" w:eastAsia="宋体" w:cs="宋体"/>
          <w:b/>
          <w:bCs/>
          <w:color w:val="000000" w:themeColor="text1"/>
          <w:sz w:val="72"/>
          <w:szCs w:val="72"/>
          <w:shd w:val="clear" w:color="auto" w:fill="FFFFFF"/>
          <w:lang w:val="en-US" w:eastAsia="zh-CN"/>
          <w14:textFill>
            <w14:solidFill>
              <w14:schemeClr w14:val="tx1"/>
            </w14:solidFill>
          </w14:textFill>
        </w:rPr>
        <w:t>区</w:t>
      </w:r>
      <w:r>
        <w:rPr>
          <w:rFonts w:hint="eastAsia" w:ascii="宋体" w:hAnsi="宋体" w:eastAsia="宋体" w:cs="宋体"/>
          <w:b/>
          <w:bCs/>
          <w:color w:val="000000" w:themeColor="text1"/>
          <w:sz w:val="72"/>
          <w:szCs w:val="72"/>
          <w:shd w:val="clear" w:color="auto" w:fill="FFFFFF"/>
          <w14:textFill>
            <w14:solidFill>
              <w14:schemeClr w14:val="tx1"/>
            </w14:solidFill>
          </w14:textFill>
        </w:rPr>
        <w:t>Q-32单元控制性详细规划</w:t>
      </w:r>
    </w:p>
    <w:p>
      <w:pPr>
        <w:jc w:val="center"/>
        <w:rPr>
          <w:rFonts w:hint="default" w:ascii="宋体" w:hAnsi="宋体" w:eastAsia="宋体" w:cs="宋体"/>
          <w:b/>
          <w:bCs/>
          <w:color w:val="000000" w:themeColor="text1"/>
          <w:sz w:val="72"/>
          <w:szCs w:val="72"/>
          <w:shd w:val="clear" w:color="auto" w:fill="FFFFFF"/>
          <w:lang w:val="en-US" w:eastAsia="zh-CN"/>
          <w14:textFill>
            <w14:solidFill>
              <w14:schemeClr w14:val="tx1"/>
            </w14:solidFill>
          </w14:textFill>
        </w:rPr>
      </w:pPr>
      <w:r>
        <w:rPr>
          <w:rFonts w:hint="eastAsia" w:ascii="宋体" w:hAnsi="宋体" w:eastAsia="宋体" w:cs="宋体"/>
          <w:b/>
          <w:bCs/>
          <w:color w:val="000000" w:themeColor="text1"/>
          <w:sz w:val="72"/>
          <w:szCs w:val="72"/>
          <w:shd w:val="clear" w:color="auto" w:fill="FFFFFF"/>
          <w:lang w:val="en-US" w:eastAsia="zh-CN"/>
          <w14:textFill>
            <w14:solidFill>
              <w14:schemeClr w14:val="tx1"/>
            </w14:solidFill>
          </w14:textFill>
        </w:rPr>
        <w:t>及Q-29-01街区控制性详细规划</w:t>
      </w:r>
    </w:p>
    <w:p>
      <w:pPr>
        <w:jc w:val="center"/>
        <w:rPr>
          <w:rFonts w:hint="eastAsia" w:ascii="宋体" w:hAnsi="宋体" w:eastAsia="宋体" w:cs="宋体"/>
          <w:b/>
          <w:bCs/>
          <w:color w:val="000000" w:themeColor="text1"/>
          <w:sz w:val="72"/>
          <w:szCs w:val="72"/>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r>
        <w:rPr>
          <w:rFonts w:hint="eastAsia" w:ascii="宋体" w:hAnsi="宋体" w:eastAsia="宋体" w:cs="宋体"/>
          <w:b/>
          <w:bCs/>
          <w:color w:val="000000" w:themeColor="text1"/>
          <w:sz w:val="44"/>
          <w:szCs w:val="44"/>
          <w:shd w:val="clear" w:color="auto" w:fill="FFFFFF"/>
          <w14:textFill>
            <w14:solidFill>
              <w14:schemeClr w14:val="tx1"/>
            </w14:solidFill>
          </w14:textFill>
        </w:rPr>
        <w:t>说明书</w:t>
      </w: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ascii="宋体" w:hAnsi="宋体" w:eastAsia="宋体" w:cs="宋体"/>
          <w:b/>
          <w:bCs/>
          <w:color w:val="000000" w:themeColor="text1"/>
          <w:sz w:val="44"/>
          <w:szCs w:val="44"/>
          <w:shd w:val="clear" w:color="auto" w:fill="FFFFFF"/>
          <w14:textFill>
            <w14:solidFill>
              <w14:schemeClr w14:val="tx1"/>
            </w14:solidFill>
          </w14:textFill>
        </w:rPr>
      </w:pPr>
    </w:p>
    <w:p>
      <w:pPr>
        <w:jc w:val="center"/>
        <w:rPr>
          <w:rFonts w:hint="default" w:ascii="宋体" w:hAnsi="宋体" w:eastAsia="宋体" w:cs="宋体"/>
          <w:b/>
          <w:bCs/>
          <w:color w:val="000000" w:themeColor="text1"/>
          <w:sz w:val="44"/>
          <w:szCs w:val="44"/>
          <w:shd w:val="clear" w:color="auto" w:fill="FFFFFF"/>
          <w:lang w:val="en-US" w:eastAsia="zh-CN"/>
          <w14:textFill>
            <w14:solidFill>
              <w14:schemeClr w14:val="tx1"/>
            </w14:solidFill>
          </w14:textFill>
        </w:rPr>
      </w:pPr>
      <w:r>
        <w:rPr>
          <w:rFonts w:hint="eastAsia" w:ascii="宋体" w:hAnsi="宋体" w:eastAsia="宋体" w:cs="宋体"/>
          <w:b/>
          <w:bCs/>
          <w:color w:val="000000" w:themeColor="text1"/>
          <w:sz w:val="44"/>
          <w:szCs w:val="44"/>
          <w:shd w:val="clear" w:color="auto" w:fill="FFFFFF"/>
          <w14:textFill>
            <w14:solidFill>
              <w14:schemeClr w14:val="tx1"/>
            </w14:solidFill>
          </w14:textFill>
        </w:rPr>
        <w:t>202</w:t>
      </w:r>
      <w:r>
        <w:rPr>
          <w:rFonts w:hint="eastAsia" w:ascii="宋体" w:hAnsi="宋体" w:eastAsia="宋体" w:cs="宋体"/>
          <w:b/>
          <w:bCs/>
          <w:color w:val="000000" w:themeColor="text1"/>
          <w:sz w:val="44"/>
          <w:szCs w:val="44"/>
          <w:shd w:val="clear" w:color="auto" w:fill="FFFFFF"/>
          <w:lang w:val="en-US" w:eastAsia="zh-CN"/>
          <w14:textFill>
            <w14:solidFill>
              <w14:schemeClr w14:val="tx1"/>
            </w14:solidFill>
          </w14:textFill>
        </w:rPr>
        <w:t>3</w:t>
      </w:r>
    </w:p>
    <w:p>
      <w:pPr>
        <w:jc w:val="center"/>
        <w:rPr>
          <w:rFonts w:ascii="宋体" w:hAnsi="宋体" w:eastAsia="宋体" w:cs="宋体"/>
          <w:b/>
          <w:bCs/>
          <w:color w:val="000000" w:themeColor="text1"/>
          <w:sz w:val="44"/>
          <w:szCs w:val="44"/>
          <w:shd w:val="clear" w:color="auto" w:fill="FFFFFF"/>
          <w14:textFill>
            <w14:solidFill>
              <w14:schemeClr w14:val="tx1"/>
            </w14:solidFill>
          </w14:textFill>
        </w:rPr>
        <w:sectPr>
          <w:footerReference r:id="rId5" w:type="default"/>
          <w:type w:val="continuous"/>
          <w:pgSz w:w="23811" w:h="16838" w:orient="landscape"/>
          <w:pgMar w:top="1800" w:right="1440" w:bottom="1800" w:left="1440" w:header="851" w:footer="992" w:gutter="0"/>
          <w:pgNumType w:fmt="decimal"/>
          <w:cols w:space="425" w:num="1"/>
          <w:docGrid w:type="lines" w:linePitch="312" w:charSpace="0"/>
        </w:sectPr>
      </w:pPr>
    </w:p>
    <w:sdt>
      <w:sdtPr>
        <w:rPr>
          <w:rFonts w:ascii="宋体" w:hAnsi="宋体" w:eastAsia="宋体"/>
          <w:b/>
          <w:bCs/>
          <w:sz w:val="32"/>
          <w:szCs w:val="32"/>
        </w:rPr>
        <w:id w:val="147483532"/>
        <w15:color w:val="DBDBDB"/>
        <w:docPartObj>
          <w:docPartGallery w:val="Table of Contents"/>
          <w:docPartUnique/>
        </w:docPartObj>
      </w:sdtPr>
      <w:sdtEndPr>
        <w:rPr>
          <w:rFonts w:ascii="宋体" w:hAnsi="宋体" w:eastAsia="宋体" w:cs="宋体"/>
          <w:b/>
          <w:bCs/>
          <w:color w:val="000000" w:themeColor="text1"/>
          <w:sz w:val="21"/>
          <w:szCs w:val="44"/>
          <w:shd w:val="clear" w:color="auto" w:fill="FFFFFF"/>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bCs/>
              <w:sz w:val="32"/>
              <w:szCs w:val="32"/>
            </w:rPr>
          </w:pPr>
          <w:r>
            <w:rPr>
              <w:rFonts w:ascii="宋体" w:hAnsi="宋体" w:eastAsia="宋体"/>
              <w:b/>
              <w:bCs/>
              <w:sz w:val="32"/>
              <w:szCs w:val="32"/>
            </w:rPr>
            <w:t>目</w:t>
          </w:r>
          <w:r>
            <w:rPr>
              <w:rFonts w:hint="eastAsia" w:ascii="宋体" w:hAnsi="宋体" w:eastAsia="宋体"/>
              <w:b/>
              <w:bCs/>
              <w:sz w:val="32"/>
              <w:szCs w:val="32"/>
            </w:rPr>
            <w:t xml:space="preserve">    </w:t>
          </w:r>
          <w:r>
            <w:rPr>
              <w:rFonts w:ascii="宋体" w:hAnsi="宋体" w:eastAsia="宋体"/>
              <w:b/>
              <w:bCs/>
              <w:sz w:val="32"/>
              <w:szCs w:val="32"/>
            </w:rPr>
            <w:t>录</w:t>
          </w:r>
        </w:p>
        <w:p>
          <w:pPr>
            <w:pStyle w:val="9"/>
            <w:tabs>
              <w:tab w:val="right" w:leader="dot" w:pos="10045"/>
            </w:tabs>
          </w:pPr>
          <w:r>
            <w:rPr>
              <w:rFonts w:ascii="宋体" w:hAnsi="宋体" w:eastAsia="宋体" w:cs="宋体"/>
              <w:b/>
              <w:bCs/>
              <w:color w:val="000000" w:themeColor="text1"/>
              <w:sz w:val="44"/>
              <w:szCs w:val="44"/>
              <w:shd w:val="clear" w:color="auto" w:fill="FFFFFF"/>
              <w14:textFill>
                <w14:solidFill>
                  <w14:schemeClr w14:val="tx1"/>
                </w14:solidFill>
              </w14:textFill>
            </w:rPr>
            <w:fldChar w:fldCharType="begin"/>
          </w:r>
          <w:r>
            <w:rPr>
              <w:rFonts w:ascii="宋体" w:hAnsi="宋体" w:eastAsia="宋体" w:cs="宋体"/>
              <w:b/>
              <w:bCs/>
              <w:color w:val="000000" w:themeColor="text1"/>
              <w:sz w:val="44"/>
              <w:szCs w:val="44"/>
              <w:shd w:val="clear" w:color="auto" w:fill="FFFFFF"/>
              <w14:textFill>
                <w14:solidFill>
                  <w14:schemeClr w14:val="tx1"/>
                </w14:solidFill>
              </w14:textFill>
            </w:rPr>
            <w:instrText xml:space="preserve">TOC \o "1-2" \h \u </w:instrText>
          </w:r>
          <w:r>
            <w:rPr>
              <w:rFonts w:ascii="宋体" w:hAnsi="宋体" w:eastAsia="宋体" w:cs="宋体"/>
              <w:b/>
              <w:bCs/>
              <w:color w:val="000000" w:themeColor="text1"/>
              <w:sz w:val="44"/>
              <w:szCs w:val="44"/>
              <w:shd w:val="clear" w:color="auto" w:fill="FFFFFF"/>
              <w14:textFill>
                <w14:solidFill>
                  <w14:schemeClr w14:val="tx1"/>
                </w14:solidFill>
              </w14:textFill>
            </w:rPr>
            <w:fldChar w:fldCharType="separate"/>
          </w: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_Toc25152 </w:instrText>
          </w:r>
          <w:r>
            <w:rPr>
              <w:rFonts w:ascii="宋体" w:hAnsi="宋体" w:eastAsia="宋体" w:cs="宋体"/>
              <w:bCs/>
              <w:szCs w:val="44"/>
              <w:shd w:val="clear" w:color="auto" w:fill="FFFFFF"/>
            </w:rPr>
            <w:fldChar w:fldCharType="separate"/>
          </w:r>
          <w:r>
            <w:rPr>
              <w:rFonts w:hint="eastAsia"/>
            </w:rPr>
            <w:t>第一章 总则</w:t>
          </w:r>
          <w:r>
            <w:tab/>
          </w:r>
          <w:r>
            <w:fldChar w:fldCharType="begin"/>
          </w:r>
          <w:r>
            <w:instrText xml:space="preserve"> PAGEREF _Toc25152 \h </w:instrText>
          </w:r>
          <w:r>
            <w:fldChar w:fldCharType="separate"/>
          </w:r>
          <w:r>
            <w:t>1</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_Toc1182 </w:instrText>
          </w:r>
          <w:r>
            <w:rPr>
              <w:rFonts w:ascii="宋体" w:hAnsi="宋体" w:eastAsia="宋体" w:cs="宋体"/>
              <w:bCs/>
              <w:szCs w:val="44"/>
              <w:shd w:val="clear" w:color="auto" w:fill="FFFFFF"/>
            </w:rPr>
            <w:fldChar w:fldCharType="separate"/>
          </w:r>
          <w:r>
            <w:rPr>
              <w:rFonts w:hint="eastAsia"/>
            </w:rPr>
            <w:t>一、 规划背景</w:t>
          </w:r>
          <w:r>
            <w:tab/>
          </w:r>
          <w:r>
            <w:fldChar w:fldCharType="begin"/>
          </w:r>
          <w:r>
            <w:instrText xml:space="preserve"> PAGEREF _Toc1182 \h </w:instrText>
          </w:r>
          <w:r>
            <w:fldChar w:fldCharType="separate"/>
          </w:r>
          <w:r>
            <w:t>1</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_Toc15064 </w:instrText>
          </w:r>
          <w:r>
            <w:rPr>
              <w:rFonts w:ascii="宋体" w:hAnsi="宋体" w:eastAsia="宋体" w:cs="宋体"/>
              <w:bCs/>
              <w:szCs w:val="44"/>
              <w:shd w:val="clear" w:color="auto" w:fill="FFFFFF"/>
            </w:rPr>
            <w:fldChar w:fldCharType="separate"/>
          </w:r>
          <w:r>
            <w:rPr>
              <w:rFonts w:hint="eastAsia"/>
            </w:rPr>
            <w:t>二、 规划依据</w:t>
          </w:r>
          <w:r>
            <w:tab/>
          </w:r>
          <w:r>
            <w:fldChar w:fldCharType="begin"/>
          </w:r>
          <w:r>
            <w:instrText xml:space="preserve"> PAGEREF _Toc15064 \h </w:instrText>
          </w:r>
          <w:r>
            <w:fldChar w:fldCharType="separate"/>
          </w:r>
          <w:r>
            <w:t>1</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_Toc31579 </w:instrText>
          </w:r>
          <w:r>
            <w:rPr>
              <w:rFonts w:ascii="宋体" w:hAnsi="宋体" w:eastAsia="宋体" w:cs="宋体"/>
              <w:bCs/>
              <w:szCs w:val="44"/>
              <w:shd w:val="clear" w:color="auto" w:fill="FFFFFF"/>
            </w:rPr>
            <w:fldChar w:fldCharType="separate"/>
          </w:r>
          <w:r>
            <w:rPr>
              <w:rFonts w:hint="eastAsia"/>
            </w:rPr>
            <w:t>三、 规划范围</w:t>
          </w:r>
          <w:r>
            <w:tab/>
          </w:r>
          <w:r>
            <w:fldChar w:fldCharType="begin"/>
          </w:r>
          <w:r>
            <w:instrText xml:space="preserve"> PAGEREF _Toc31579 \h </w:instrText>
          </w:r>
          <w:r>
            <w:fldChar w:fldCharType="separate"/>
          </w:r>
          <w:r>
            <w:t>2</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_Toc7856 </w:instrText>
          </w:r>
          <w:r>
            <w:rPr>
              <w:rFonts w:ascii="宋体" w:hAnsi="宋体" w:eastAsia="宋体" w:cs="宋体"/>
              <w:bCs/>
              <w:szCs w:val="44"/>
              <w:shd w:val="clear" w:color="auto" w:fill="FFFFFF"/>
            </w:rPr>
            <w:fldChar w:fldCharType="separate"/>
          </w:r>
          <w:r>
            <w:rPr>
              <w:rFonts w:hint="eastAsia"/>
            </w:rPr>
            <w:t>四、 编制原则</w:t>
          </w:r>
          <w:r>
            <w:tab/>
          </w:r>
          <w:r>
            <w:fldChar w:fldCharType="begin"/>
          </w:r>
          <w:r>
            <w:instrText xml:space="preserve"> PAGEREF _Toc7856 \h </w:instrText>
          </w:r>
          <w:r>
            <w:fldChar w:fldCharType="separate"/>
          </w:r>
          <w:r>
            <w:t>2</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_Toc6857 </w:instrText>
          </w:r>
          <w:r>
            <w:rPr>
              <w:rFonts w:ascii="宋体" w:hAnsi="宋体" w:eastAsia="宋体" w:cs="宋体"/>
              <w:bCs/>
              <w:szCs w:val="44"/>
              <w:shd w:val="clear" w:color="auto" w:fill="FFFFFF"/>
            </w:rPr>
            <w:fldChar w:fldCharType="separate"/>
          </w:r>
          <w:r>
            <w:rPr>
              <w:rFonts w:hint="eastAsia"/>
            </w:rPr>
            <w:t>第二章 发展条件分析</w:t>
          </w:r>
          <w:r>
            <w:tab/>
          </w:r>
          <w:r>
            <w:fldChar w:fldCharType="begin"/>
          </w:r>
          <w:r>
            <w:instrText xml:space="preserve"> PAGEREF _Toc6857 \h </w:instrText>
          </w:r>
          <w:r>
            <w:fldChar w:fldCharType="separate"/>
          </w:r>
          <w:r>
            <w:t>3</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_Toc30246 </w:instrText>
          </w:r>
          <w:r>
            <w:rPr>
              <w:rFonts w:ascii="宋体" w:hAnsi="宋体" w:eastAsia="宋体" w:cs="宋体"/>
              <w:bCs/>
              <w:szCs w:val="44"/>
              <w:shd w:val="clear" w:color="auto" w:fill="FFFFFF"/>
            </w:rPr>
            <w:fldChar w:fldCharType="separate"/>
          </w:r>
          <w:r>
            <w:rPr>
              <w:rFonts w:hint="eastAsia"/>
            </w:rPr>
            <w:t>一、 土地利用现状分析</w:t>
          </w:r>
          <w:r>
            <w:tab/>
          </w:r>
          <w:r>
            <w:fldChar w:fldCharType="begin"/>
          </w:r>
          <w:r>
            <w:instrText xml:space="preserve"> PAGEREF _Toc30246 \h </w:instrText>
          </w:r>
          <w:r>
            <w:fldChar w:fldCharType="separate"/>
          </w:r>
          <w:r>
            <w:t>3</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_Toc12101 </w:instrText>
          </w:r>
          <w:r>
            <w:rPr>
              <w:rFonts w:ascii="宋体" w:hAnsi="宋体" w:eastAsia="宋体" w:cs="宋体"/>
              <w:bCs/>
              <w:szCs w:val="44"/>
              <w:shd w:val="clear" w:color="auto" w:fill="FFFFFF"/>
            </w:rPr>
            <w:fldChar w:fldCharType="separate"/>
          </w:r>
          <w:r>
            <w:rPr>
              <w:rFonts w:hint="eastAsia"/>
            </w:rPr>
            <w:t>二、 现状发展综合评价</w:t>
          </w:r>
          <w:r>
            <w:tab/>
          </w:r>
          <w:r>
            <w:fldChar w:fldCharType="begin"/>
          </w:r>
          <w:r>
            <w:instrText xml:space="preserve"> PAGEREF _Toc12101 \h </w:instrText>
          </w:r>
          <w:r>
            <w:fldChar w:fldCharType="separate"/>
          </w:r>
          <w:r>
            <w:t>7</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_Toc13238 </w:instrText>
          </w:r>
          <w:r>
            <w:rPr>
              <w:rFonts w:ascii="宋体" w:hAnsi="宋体" w:eastAsia="宋体" w:cs="宋体"/>
              <w:bCs/>
              <w:szCs w:val="44"/>
              <w:shd w:val="clear" w:color="auto" w:fill="FFFFFF"/>
            </w:rPr>
            <w:fldChar w:fldCharType="separate"/>
          </w:r>
          <w:r>
            <w:rPr>
              <w:rFonts w:hint="eastAsia"/>
            </w:rPr>
            <w:t>第三章 相关规划衔接</w:t>
          </w:r>
          <w:r>
            <w:tab/>
          </w:r>
          <w:r>
            <w:fldChar w:fldCharType="begin"/>
          </w:r>
          <w:r>
            <w:instrText xml:space="preserve"> PAGEREF _Toc13238 \h </w:instrText>
          </w:r>
          <w:r>
            <w:fldChar w:fldCharType="separate"/>
          </w:r>
          <w:r>
            <w:t>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_Toc8870 </w:instrText>
          </w:r>
          <w:r>
            <w:rPr>
              <w:rFonts w:ascii="宋体" w:hAnsi="宋体" w:eastAsia="宋体" w:cs="宋体"/>
              <w:bCs/>
              <w:szCs w:val="44"/>
              <w:shd w:val="clear" w:color="auto" w:fill="FFFFFF"/>
            </w:rPr>
            <w:fldChar w:fldCharType="separate"/>
          </w:r>
          <w:r>
            <w:rPr>
              <w:rFonts w:hint="eastAsia"/>
            </w:rPr>
            <w:t>一、 曲靖市国土空间总体规划（</w:t>
          </w:r>
          <w:r>
            <w:rPr>
              <w:rFonts w:hint="eastAsia"/>
              <w:lang w:val="en-US" w:eastAsia="zh-CN"/>
            </w:rPr>
            <w:t>2021-2035</w:t>
          </w:r>
          <w:r>
            <w:rPr>
              <w:rFonts w:hint="eastAsia"/>
            </w:rPr>
            <w:t>）</w:t>
          </w:r>
          <w:r>
            <w:rPr>
              <w:rFonts w:hint="eastAsia"/>
              <w:lang w:val="en-US" w:eastAsia="zh-CN"/>
            </w:rPr>
            <w:t>在编</w:t>
          </w:r>
          <w:r>
            <w:tab/>
          </w:r>
          <w:r>
            <w:fldChar w:fldCharType="begin"/>
          </w:r>
          <w:r>
            <w:instrText xml:space="preserve"> PAGEREF _Toc8870 \h </w:instrText>
          </w:r>
          <w:r>
            <w:fldChar w:fldCharType="separate"/>
          </w:r>
          <w:r>
            <w:t>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_Toc32255 </w:instrText>
          </w:r>
          <w:r>
            <w:rPr>
              <w:rFonts w:ascii="宋体" w:hAnsi="宋体" w:eastAsia="宋体" w:cs="宋体"/>
              <w:bCs/>
              <w:szCs w:val="44"/>
              <w:shd w:val="clear" w:color="auto" w:fill="FFFFFF"/>
            </w:rPr>
            <w:fldChar w:fldCharType="separate"/>
          </w:r>
          <w:r>
            <w:rPr>
              <w:rFonts w:hint="eastAsia"/>
            </w:rPr>
            <w:t xml:space="preserve">二、 </w:t>
          </w:r>
          <w:r>
            <w:rPr>
              <w:rFonts w:hint="eastAsia"/>
              <w:lang w:val="en-US" w:eastAsia="zh-CN"/>
            </w:rPr>
            <w:t>土地利用总体规划</w:t>
          </w:r>
          <w:r>
            <w:rPr>
              <w:rFonts w:hint="eastAsia"/>
            </w:rPr>
            <w:t>总体规划</w:t>
          </w:r>
          <w:r>
            <w:tab/>
          </w:r>
          <w:r>
            <w:fldChar w:fldCharType="begin"/>
          </w:r>
          <w:r>
            <w:instrText xml:space="preserve"> PAGEREF _Toc32255 \h </w:instrText>
          </w:r>
          <w:r>
            <w:fldChar w:fldCharType="separate"/>
          </w:r>
          <w:r>
            <w:t>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_Toc23723 </w:instrText>
          </w:r>
          <w:r>
            <w:rPr>
              <w:rFonts w:ascii="宋体" w:hAnsi="宋体" w:eastAsia="宋体" w:cs="宋体"/>
              <w:bCs/>
              <w:szCs w:val="44"/>
              <w:shd w:val="clear" w:color="auto" w:fill="FFFFFF"/>
            </w:rPr>
            <w:fldChar w:fldCharType="separate"/>
          </w:r>
          <w:r>
            <w:rPr>
              <w:rFonts w:hint="eastAsia"/>
            </w:rPr>
            <w:t xml:space="preserve">三、 </w:t>
          </w:r>
          <w:r>
            <w:rPr>
              <w:rFonts w:hint="eastAsia"/>
              <w:lang w:val="en-US" w:eastAsia="zh-CN"/>
            </w:rPr>
            <w:t>专项规划</w:t>
          </w:r>
          <w:r>
            <w:tab/>
          </w:r>
          <w:r>
            <w:fldChar w:fldCharType="begin"/>
          </w:r>
          <w:r>
            <w:instrText xml:space="preserve"> PAGEREF _Toc23723 \h </w:instrText>
          </w:r>
          <w:r>
            <w:fldChar w:fldCharType="separate"/>
          </w:r>
          <w:r>
            <w:t>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_Toc29427 </w:instrText>
          </w:r>
          <w:r>
            <w:rPr>
              <w:rFonts w:ascii="宋体" w:hAnsi="宋体" w:eastAsia="宋体" w:cs="宋体"/>
              <w:bCs/>
              <w:szCs w:val="44"/>
              <w:shd w:val="clear" w:color="auto" w:fill="FFFFFF"/>
            </w:rPr>
            <w:fldChar w:fldCharType="separate"/>
          </w:r>
          <w:r>
            <w:rPr>
              <w:rFonts w:hint="eastAsia"/>
            </w:rPr>
            <w:t>四、 小结</w:t>
          </w:r>
          <w:r>
            <w:tab/>
          </w:r>
          <w:r>
            <w:fldChar w:fldCharType="begin"/>
          </w:r>
          <w:r>
            <w:instrText xml:space="preserve"> PAGEREF _Toc29427 \h </w:instrText>
          </w:r>
          <w:r>
            <w:fldChar w:fldCharType="separate"/>
          </w:r>
          <w:r>
            <w:t>9</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_Toc19429 </w:instrText>
          </w:r>
          <w:r>
            <w:rPr>
              <w:rFonts w:ascii="宋体" w:hAnsi="宋体" w:eastAsia="宋体" w:cs="宋体"/>
              <w:bCs/>
              <w:szCs w:val="44"/>
              <w:shd w:val="clear" w:color="auto" w:fill="FFFFFF"/>
            </w:rPr>
            <w:fldChar w:fldCharType="separate"/>
          </w:r>
          <w:r>
            <w:rPr>
              <w:rFonts w:hint="eastAsia"/>
            </w:rPr>
            <w:t>第四章  规划</w:t>
          </w:r>
          <w:r>
            <w:rPr>
              <w:rFonts w:hint="eastAsia"/>
              <w:lang w:val="en-US" w:eastAsia="zh-CN"/>
            </w:rPr>
            <w:t>指导思想</w:t>
          </w:r>
          <w:r>
            <w:rPr>
              <w:rFonts w:hint="eastAsia"/>
              <w:lang w:eastAsia="zh-CN"/>
            </w:rPr>
            <w:t>、</w:t>
          </w:r>
          <w:r>
            <w:rPr>
              <w:rFonts w:hint="eastAsia"/>
              <w:lang w:val="en-US" w:eastAsia="zh-CN"/>
            </w:rPr>
            <w:t>原则、目标及定位</w:t>
          </w:r>
          <w:r>
            <w:tab/>
          </w:r>
          <w:r>
            <w:fldChar w:fldCharType="begin"/>
          </w:r>
          <w:r>
            <w:instrText xml:space="preserve"> PAGEREF _Toc19429 \h </w:instrText>
          </w:r>
          <w:r>
            <w:fldChar w:fldCharType="separate"/>
          </w:r>
          <w:r>
            <w:t>9</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_Toc5538 </w:instrText>
          </w:r>
          <w:r>
            <w:rPr>
              <w:rFonts w:ascii="宋体" w:hAnsi="宋体" w:eastAsia="宋体" w:cs="宋体"/>
              <w:bCs/>
              <w:szCs w:val="44"/>
              <w:shd w:val="clear" w:color="auto" w:fill="FFFFFF"/>
            </w:rPr>
            <w:fldChar w:fldCharType="separate"/>
          </w:r>
          <w:r>
            <w:rPr>
              <w:rFonts w:hint="eastAsia"/>
            </w:rPr>
            <w:t>一、 规划</w:t>
          </w:r>
          <w:r>
            <w:rPr>
              <w:rFonts w:hint="eastAsia"/>
              <w:lang w:val="en-US" w:eastAsia="zh-CN"/>
            </w:rPr>
            <w:t>指导思想</w:t>
          </w:r>
          <w:r>
            <w:tab/>
          </w:r>
          <w:r>
            <w:fldChar w:fldCharType="begin"/>
          </w:r>
          <w:r>
            <w:instrText xml:space="preserve"> PAGEREF _Toc5538 \h </w:instrText>
          </w:r>
          <w:r>
            <w:fldChar w:fldCharType="separate"/>
          </w:r>
          <w:r>
            <w:t>9</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_Toc735 </w:instrText>
          </w:r>
          <w:r>
            <w:rPr>
              <w:rFonts w:ascii="宋体" w:hAnsi="宋体" w:eastAsia="宋体" w:cs="宋体"/>
              <w:bCs/>
              <w:szCs w:val="44"/>
              <w:shd w:val="clear" w:color="auto" w:fill="FFFFFF"/>
            </w:rPr>
            <w:fldChar w:fldCharType="separate"/>
          </w:r>
          <w:r>
            <w:rPr>
              <w:rFonts w:hint="eastAsia"/>
            </w:rPr>
            <w:t>二、 规划</w:t>
          </w:r>
          <w:r>
            <w:rPr>
              <w:rFonts w:hint="eastAsia"/>
              <w:lang w:val="en-US" w:eastAsia="zh-CN"/>
            </w:rPr>
            <w:t>原则</w:t>
          </w:r>
          <w:r>
            <w:tab/>
          </w:r>
          <w:r>
            <w:fldChar w:fldCharType="begin"/>
          </w:r>
          <w:r>
            <w:instrText xml:space="preserve"> PAGEREF _Toc735 \h </w:instrText>
          </w:r>
          <w:r>
            <w:fldChar w:fldCharType="separate"/>
          </w:r>
          <w:r>
            <w:t>9</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_Toc17213 </w:instrText>
          </w:r>
          <w:r>
            <w:rPr>
              <w:rFonts w:ascii="宋体" w:hAnsi="宋体" w:eastAsia="宋体" w:cs="宋体"/>
              <w:bCs/>
              <w:szCs w:val="44"/>
              <w:shd w:val="clear" w:color="auto" w:fill="FFFFFF"/>
            </w:rPr>
            <w:fldChar w:fldCharType="separate"/>
          </w:r>
          <w:r>
            <w:rPr>
              <w:rFonts w:hint="eastAsia"/>
            </w:rPr>
            <w:t>三、 规划</w:t>
          </w:r>
          <w:r>
            <w:rPr>
              <w:rFonts w:hint="eastAsia"/>
              <w:lang w:val="en-US" w:eastAsia="zh-CN"/>
            </w:rPr>
            <w:t>目标</w:t>
          </w:r>
          <w:r>
            <w:tab/>
          </w:r>
          <w:r>
            <w:fldChar w:fldCharType="begin"/>
          </w:r>
          <w:r>
            <w:instrText xml:space="preserve"> PAGEREF _Toc17213 \h </w:instrText>
          </w:r>
          <w:r>
            <w:fldChar w:fldCharType="separate"/>
          </w:r>
          <w:r>
            <w:t>10</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_Toc29585 </w:instrText>
          </w:r>
          <w:r>
            <w:rPr>
              <w:rFonts w:ascii="宋体" w:hAnsi="宋体" w:eastAsia="宋体" w:cs="宋体"/>
              <w:bCs/>
              <w:szCs w:val="44"/>
              <w:shd w:val="clear" w:color="auto" w:fill="FFFFFF"/>
            </w:rPr>
            <w:fldChar w:fldCharType="separate"/>
          </w:r>
          <w:r>
            <w:rPr>
              <w:rFonts w:hint="eastAsia"/>
            </w:rPr>
            <w:t xml:space="preserve">四、 </w:t>
          </w:r>
          <w:r>
            <w:rPr>
              <w:rFonts w:hint="eastAsia"/>
              <w:lang w:val="en-US" w:eastAsia="zh-CN"/>
            </w:rPr>
            <w:t>功能定位</w:t>
          </w:r>
          <w:r>
            <w:tab/>
          </w:r>
          <w:r>
            <w:fldChar w:fldCharType="begin"/>
          </w:r>
          <w:r>
            <w:instrText xml:space="preserve"> PAGEREF _Toc29585 \h </w:instrText>
          </w:r>
          <w:r>
            <w:fldChar w:fldCharType="separate"/>
          </w:r>
          <w:r>
            <w:t>10</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_Toc12607 </w:instrText>
          </w:r>
          <w:r>
            <w:rPr>
              <w:rFonts w:ascii="宋体" w:hAnsi="宋体" w:eastAsia="宋体" w:cs="宋体"/>
              <w:bCs/>
              <w:szCs w:val="44"/>
              <w:shd w:val="clear" w:color="auto" w:fill="FFFFFF"/>
            </w:rPr>
            <w:fldChar w:fldCharType="separate"/>
          </w:r>
          <w:r>
            <w:rPr>
              <w:rFonts w:hint="eastAsia"/>
              <w:lang w:val="en-US" w:eastAsia="zh-CN"/>
            </w:rPr>
            <w:t>五、 发展思路</w:t>
          </w:r>
          <w:r>
            <w:tab/>
          </w:r>
          <w:r>
            <w:fldChar w:fldCharType="begin"/>
          </w:r>
          <w:r>
            <w:instrText xml:space="preserve"> PAGEREF _Toc12607 \h </w:instrText>
          </w:r>
          <w:r>
            <w:fldChar w:fldCharType="separate"/>
          </w:r>
          <w:r>
            <w:t>10</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_Toc25442 </w:instrText>
          </w:r>
          <w:r>
            <w:rPr>
              <w:rFonts w:ascii="宋体" w:hAnsi="宋体" w:eastAsia="宋体" w:cs="宋体"/>
              <w:bCs/>
              <w:szCs w:val="44"/>
              <w:shd w:val="clear" w:color="auto" w:fill="FFFFFF"/>
            </w:rPr>
            <w:fldChar w:fldCharType="separate"/>
          </w:r>
          <w:r>
            <w:rPr>
              <w:rFonts w:hint="eastAsia"/>
              <w:lang w:val="en-US" w:eastAsia="zh-CN"/>
            </w:rPr>
            <w:t>六、 发展规模</w:t>
          </w:r>
          <w:r>
            <w:tab/>
          </w:r>
          <w:r>
            <w:fldChar w:fldCharType="begin"/>
          </w:r>
          <w:r>
            <w:instrText xml:space="preserve"> PAGEREF _Toc25442 \h </w:instrText>
          </w:r>
          <w:r>
            <w:fldChar w:fldCharType="separate"/>
          </w:r>
          <w:r>
            <w:t>11</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_Toc17894 </w:instrText>
          </w:r>
          <w:r>
            <w:rPr>
              <w:rFonts w:ascii="宋体" w:hAnsi="宋体" w:eastAsia="宋体" w:cs="宋体"/>
              <w:bCs/>
              <w:szCs w:val="44"/>
              <w:shd w:val="clear" w:color="auto" w:fill="FFFFFF"/>
            </w:rPr>
            <w:fldChar w:fldCharType="separate"/>
          </w:r>
          <w:r>
            <w:rPr>
              <w:rFonts w:hint="eastAsia"/>
            </w:rPr>
            <w:t>第五章 用地布局规划</w:t>
          </w:r>
          <w:r>
            <w:tab/>
          </w:r>
          <w:r>
            <w:fldChar w:fldCharType="begin"/>
          </w:r>
          <w:r>
            <w:instrText xml:space="preserve"> PAGEREF _Toc17894 \h </w:instrText>
          </w:r>
          <w:r>
            <w:fldChar w:fldCharType="separate"/>
          </w:r>
          <w:r>
            <w:t>12</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_Toc17475 </w:instrText>
          </w:r>
          <w:r>
            <w:rPr>
              <w:rFonts w:ascii="宋体" w:hAnsi="宋体" w:eastAsia="宋体" w:cs="宋体"/>
              <w:bCs/>
              <w:szCs w:val="44"/>
              <w:shd w:val="clear" w:color="auto" w:fill="FFFFFF"/>
            </w:rPr>
            <w:fldChar w:fldCharType="separate"/>
          </w:r>
          <w:r>
            <w:rPr>
              <w:rFonts w:hint="eastAsia"/>
            </w:rPr>
            <w:t>一、 布局原则</w:t>
          </w:r>
          <w:r>
            <w:tab/>
          </w:r>
          <w:r>
            <w:fldChar w:fldCharType="begin"/>
          </w:r>
          <w:r>
            <w:instrText xml:space="preserve"> PAGEREF _Toc17475 \h </w:instrText>
          </w:r>
          <w:r>
            <w:fldChar w:fldCharType="separate"/>
          </w:r>
          <w:r>
            <w:t>12</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_Toc25948 </w:instrText>
          </w:r>
          <w:r>
            <w:rPr>
              <w:rFonts w:ascii="宋体" w:hAnsi="宋体" w:eastAsia="宋体" w:cs="宋体"/>
              <w:bCs/>
              <w:szCs w:val="44"/>
              <w:shd w:val="clear" w:color="auto" w:fill="FFFFFF"/>
            </w:rPr>
            <w:fldChar w:fldCharType="separate"/>
          </w:r>
          <w:r>
            <w:rPr>
              <w:rFonts w:hint="eastAsia"/>
              <w:lang w:val="en-US" w:eastAsia="zh-CN"/>
            </w:rPr>
            <w:t xml:space="preserve">二、 </w:t>
          </w:r>
          <w:r>
            <w:rPr>
              <w:rFonts w:hint="eastAsia"/>
            </w:rPr>
            <w:t>用地布局规划</w:t>
          </w:r>
          <w:r>
            <w:tab/>
          </w:r>
          <w:r>
            <w:fldChar w:fldCharType="begin"/>
          </w:r>
          <w:r>
            <w:instrText xml:space="preserve"> PAGEREF _Toc25948 \h </w:instrText>
          </w:r>
          <w:r>
            <w:fldChar w:fldCharType="separate"/>
          </w:r>
          <w:r>
            <w:t>12</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_Toc17329 </w:instrText>
          </w:r>
          <w:r>
            <w:rPr>
              <w:rFonts w:ascii="宋体" w:hAnsi="宋体" w:eastAsia="宋体" w:cs="宋体"/>
              <w:bCs/>
              <w:szCs w:val="44"/>
              <w:shd w:val="clear" w:color="auto" w:fill="FFFFFF"/>
            </w:rPr>
            <w:fldChar w:fldCharType="separate"/>
          </w:r>
          <w:r>
            <w:rPr>
              <w:rFonts w:hint="eastAsia"/>
            </w:rPr>
            <w:t>第六章 专项设施规划</w:t>
          </w:r>
          <w:r>
            <w:tab/>
          </w:r>
          <w:r>
            <w:fldChar w:fldCharType="begin"/>
          </w:r>
          <w:r>
            <w:instrText xml:space="preserve"> PAGEREF _Toc17329 \h </w:instrText>
          </w:r>
          <w:r>
            <w:fldChar w:fldCharType="separate"/>
          </w:r>
          <w:r>
            <w:t>14</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_Toc24897 </w:instrText>
          </w:r>
          <w:r>
            <w:rPr>
              <w:rFonts w:ascii="宋体" w:hAnsi="宋体" w:eastAsia="宋体" w:cs="宋体"/>
              <w:bCs/>
              <w:szCs w:val="44"/>
              <w:shd w:val="clear" w:color="auto" w:fill="FFFFFF"/>
            </w:rPr>
            <w:fldChar w:fldCharType="separate"/>
          </w:r>
          <w:r>
            <w:rPr>
              <w:rFonts w:hint="eastAsia"/>
            </w:rPr>
            <w:t>一、 道路交通规划</w:t>
          </w:r>
          <w:r>
            <w:tab/>
          </w:r>
          <w:r>
            <w:fldChar w:fldCharType="begin"/>
          </w:r>
          <w:r>
            <w:instrText xml:space="preserve"> PAGEREF _Toc24897 \h </w:instrText>
          </w:r>
          <w:r>
            <w:fldChar w:fldCharType="separate"/>
          </w:r>
          <w:r>
            <w:t>14</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_Toc9878 </w:instrText>
          </w:r>
          <w:r>
            <w:rPr>
              <w:rFonts w:ascii="宋体" w:hAnsi="宋体" w:eastAsia="宋体" w:cs="宋体"/>
              <w:bCs/>
              <w:szCs w:val="44"/>
              <w:shd w:val="clear" w:color="auto" w:fill="FFFFFF"/>
            </w:rPr>
            <w:fldChar w:fldCharType="separate"/>
          </w:r>
          <w:r>
            <w:rPr>
              <w:rFonts w:hint="eastAsia"/>
            </w:rPr>
            <w:t>二、 绿地系统规划与生态保护规划</w:t>
          </w:r>
          <w:r>
            <w:tab/>
          </w:r>
          <w:r>
            <w:fldChar w:fldCharType="begin"/>
          </w:r>
          <w:r>
            <w:instrText xml:space="preserve"> PAGEREF _Toc9878 \h </w:instrText>
          </w:r>
          <w:r>
            <w:fldChar w:fldCharType="separate"/>
          </w:r>
          <w:r>
            <w:t>18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_Toc25977 </w:instrText>
          </w:r>
          <w:r>
            <w:rPr>
              <w:rFonts w:ascii="宋体" w:hAnsi="宋体" w:eastAsia="宋体" w:cs="宋体"/>
              <w:bCs/>
              <w:szCs w:val="44"/>
              <w:shd w:val="clear" w:color="auto" w:fill="FFFFFF"/>
            </w:rPr>
            <w:fldChar w:fldCharType="separate"/>
          </w:r>
          <w:r>
            <w:rPr>
              <w:rFonts w:hint="eastAsia"/>
            </w:rPr>
            <w:t>三、 市政工程规划</w:t>
          </w:r>
          <w:r>
            <w:tab/>
          </w:r>
          <w:r>
            <w:fldChar w:fldCharType="begin"/>
          </w:r>
          <w:r>
            <w:instrText xml:space="preserve"> PAGEREF _Toc25977 \h </w:instrText>
          </w:r>
          <w:r>
            <w:fldChar w:fldCharType="separate"/>
          </w:r>
          <w:r>
            <w:t>20</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_Toc353 </w:instrText>
          </w:r>
          <w:r>
            <w:rPr>
              <w:rFonts w:ascii="宋体" w:hAnsi="宋体" w:eastAsia="宋体" w:cs="宋体"/>
              <w:bCs/>
              <w:szCs w:val="44"/>
              <w:shd w:val="clear" w:color="auto" w:fill="FFFFFF"/>
            </w:rPr>
            <w:fldChar w:fldCharType="separate"/>
          </w:r>
          <w:r>
            <w:rPr>
              <w:rFonts w:hint="eastAsia"/>
            </w:rPr>
            <w:t>第七章 地块指标控制</w:t>
          </w:r>
          <w:r>
            <w:tab/>
          </w:r>
          <w:r>
            <w:fldChar w:fldCharType="begin"/>
          </w:r>
          <w:r>
            <w:instrText xml:space="preserve"> PAGEREF _Toc353 \h </w:instrText>
          </w:r>
          <w:r>
            <w:fldChar w:fldCharType="separate"/>
          </w:r>
          <w:r>
            <w:t>38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rPr>
              <w:rFonts w:ascii="宋体" w:hAnsi="宋体" w:eastAsia="宋体" w:cs="宋体"/>
              <w:bCs/>
              <w:color w:val="000000" w:themeColor="text1"/>
              <w:szCs w:val="44"/>
              <w:shd w:val="clear" w:color="auto" w:fill="FFFFFF"/>
              <w14:textFill>
                <w14:solidFill>
                  <w14:schemeClr w14:val="tx1"/>
                </w14:solidFill>
              </w14:textFill>
            </w:rPr>
          </w:pP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_Toc21603 </w:instrText>
          </w:r>
          <w:r>
            <w:rPr>
              <w:rFonts w:ascii="宋体" w:hAnsi="宋体" w:eastAsia="宋体" w:cs="宋体"/>
              <w:bCs/>
              <w:szCs w:val="44"/>
              <w:shd w:val="clear" w:color="auto" w:fill="FFFFFF"/>
            </w:rPr>
            <w:fldChar w:fldCharType="separate"/>
          </w:r>
          <w:r>
            <w:rPr>
              <w:rFonts w:hint="eastAsia"/>
              <w:lang w:val="en-US" w:eastAsia="zh-CN"/>
            </w:rPr>
            <w:t>一、</w:t>
          </w:r>
          <w:r>
            <w:rPr>
              <w:rFonts w:hint="eastAsia"/>
            </w:rPr>
            <w:t>单元地块划分与编码</w:t>
          </w:r>
          <w:r>
            <w:tab/>
          </w:r>
          <w:r>
            <w:fldChar w:fldCharType="begin"/>
          </w:r>
          <w:r>
            <w:instrText xml:space="preserve"> PAGEREF _Toc21603 \h </w:instrText>
          </w:r>
          <w:r>
            <w:fldChar w:fldCharType="separate"/>
          </w:r>
          <w:r>
            <w:t>38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_Toc5594 </w:instrText>
          </w:r>
          <w:r>
            <w:rPr>
              <w:rFonts w:ascii="宋体" w:hAnsi="宋体" w:eastAsia="宋体" w:cs="宋体"/>
              <w:bCs/>
              <w:szCs w:val="44"/>
              <w:shd w:val="clear" w:color="auto" w:fill="FFFFFF"/>
            </w:rPr>
            <w:fldChar w:fldCharType="separate"/>
          </w:r>
          <w:r>
            <w:rPr>
              <w:rFonts w:hint="eastAsia"/>
              <w:lang w:val="en-US" w:eastAsia="zh-CN"/>
            </w:rPr>
            <w:t>二、</w:t>
          </w:r>
          <w:r>
            <w:rPr>
              <w:rFonts w:hint="eastAsia"/>
            </w:rPr>
            <w:t xml:space="preserve"> 单元控制</w:t>
          </w:r>
          <w:r>
            <w:tab/>
          </w:r>
          <w:r>
            <w:fldChar w:fldCharType="begin"/>
          </w:r>
          <w:r>
            <w:instrText xml:space="preserve"> PAGEREF _Toc5594 \h </w:instrText>
          </w:r>
          <w:r>
            <w:fldChar w:fldCharType="separate"/>
          </w:r>
          <w:r>
            <w:t>38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_Toc21999 </w:instrText>
          </w:r>
          <w:r>
            <w:rPr>
              <w:rFonts w:ascii="宋体" w:hAnsi="宋体" w:eastAsia="宋体" w:cs="宋体"/>
              <w:bCs/>
              <w:szCs w:val="44"/>
              <w:shd w:val="clear" w:color="auto" w:fill="FFFFFF"/>
            </w:rPr>
            <w:fldChar w:fldCharType="separate"/>
          </w:r>
          <w:r>
            <w:rPr>
              <w:rFonts w:hint="eastAsia"/>
              <w:lang w:val="en-US" w:eastAsia="zh-CN"/>
            </w:rPr>
            <w:t>三、</w:t>
          </w:r>
          <w:r>
            <w:rPr>
              <w:rFonts w:hint="eastAsia"/>
            </w:rPr>
            <w:t>地块用地性质</w:t>
          </w:r>
          <w:r>
            <w:tab/>
          </w:r>
          <w:r>
            <w:fldChar w:fldCharType="begin"/>
          </w:r>
          <w:r>
            <w:instrText xml:space="preserve"> PAGEREF _Toc21999 \h </w:instrText>
          </w:r>
          <w:r>
            <w:fldChar w:fldCharType="separate"/>
          </w:r>
          <w:r>
            <w:t>39</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_Toc11374 </w:instrText>
          </w:r>
          <w:r>
            <w:rPr>
              <w:rFonts w:ascii="宋体" w:hAnsi="宋体" w:eastAsia="宋体" w:cs="宋体"/>
              <w:bCs/>
              <w:szCs w:val="44"/>
              <w:shd w:val="clear" w:color="auto" w:fill="FFFFFF"/>
            </w:rPr>
            <w:fldChar w:fldCharType="separate"/>
          </w:r>
          <w:r>
            <w:rPr>
              <w:rFonts w:hint="eastAsia"/>
              <w:lang w:val="en-US" w:eastAsia="zh-CN"/>
            </w:rPr>
            <w:t>四、</w:t>
          </w:r>
          <w:r>
            <w:rPr>
              <w:rFonts w:hint="eastAsia"/>
            </w:rPr>
            <w:t>建筑规划管理</w:t>
          </w:r>
          <w:r>
            <w:tab/>
          </w:r>
          <w:r>
            <w:fldChar w:fldCharType="begin"/>
          </w:r>
          <w:r>
            <w:instrText xml:space="preserve"> PAGEREF _Toc11374 \h </w:instrText>
          </w:r>
          <w:r>
            <w:fldChar w:fldCharType="separate"/>
          </w:r>
          <w:r>
            <w:t>39</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_Toc14375 </w:instrText>
          </w:r>
          <w:r>
            <w:rPr>
              <w:rFonts w:ascii="宋体" w:hAnsi="宋体" w:eastAsia="宋体" w:cs="宋体"/>
              <w:bCs/>
              <w:szCs w:val="44"/>
              <w:shd w:val="clear" w:color="auto" w:fill="FFFFFF"/>
            </w:rPr>
            <w:fldChar w:fldCharType="separate"/>
          </w:r>
          <w:r>
            <w:rPr>
              <w:rFonts w:hint="eastAsia"/>
              <w:lang w:val="en-US" w:eastAsia="zh-CN"/>
            </w:rPr>
            <w:t>五、</w:t>
          </w:r>
          <w:r>
            <w:rPr>
              <w:rFonts w:hint="eastAsia"/>
              <w:lang w:val="zh-CN"/>
            </w:rPr>
            <w:t>四线规划控制</w:t>
          </w:r>
          <w:r>
            <w:tab/>
          </w:r>
          <w:r>
            <w:fldChar w:fldCharType="begin"/>
          </w:r>
          <w:r>
            <w:instrText xml:space="preserve"> PAGEREF _Toc14375 \h </w:instrText>
          </w:r>
          <w:r>
            <w:fldChar w:fldCharType="separate"/>
          </w:r>
          <w:r>
            <w:t>41</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_Toc11533 </w:instrText>
          </w:r>
          <w:r>
            <w:rPr>
              <w:rFonts w:ascii="宋体" w:hAnsi="宋体" w:eastAsia="宋体" w:cs="宋体"/>
              <w:bCs/>
              <w:szCs w:val="44"/>
              <w:shd w:val="clear" w:color="auto" w:fill="FFFFFF"/>
            </w:rPr>
            <w:fldChar w:fldCharType="separate"/>
          </w:r>
          <w:r>
            <w:rPr>
              <w:rFonts w:hint="eastAsia"/>
            </w:rPr>
            <w:t>第八章 城市设计引导</w:t>
          </w:r>
          <w:r>
            <w:tab/>
          </w:r>
          <w:r>
            <w:fldChar w:fldCharType="begin"/>
          </w:r>
          <w:r>
            <w:instrText xml:space="preserve"> PAGEREF _Toc11533 \h </w:instrText>
          </w:r>
          <w:r>
            <w:fldChar w:fldCharType="separate"/>
          </w:r>
          <w:r>
            <w:t>43</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_Toc29982 </w:instrText>
          </w:r>
          <w:r>
            <w:rPr>
              <w:rFonts w:ascii="宋体" w:hAnsi="宋体" w:eastAsia="宋体" w:cs="宋体"/>
              <w:bCs/>
              <w:szCs w:val="44"/>
              <w:shd w:val="clear" w:color="auto" w:fill="FFFFFF"/>
            </w:rPr>
            <w:fldChar w:fldCharType="separate"/>
          </w:r>
          <w:r>
            <w:rPr>
              <w:rFonts w:hint="eastAsia"/>
              <w:lang w:val="en-US" w:eastAsia="zh-CN"/>
            </w:rPr>
            <w:t>一、</w:t>
          </w:r>
          <w:r>
            <w:rPr>
              <w:rFonts w:hint="eastAsia"/>
              <w:lang w:val="zh-CN"/>
            </w:rPr>
            <w:t>规划目标与总体形象控制</w:t>
          </w:r>
          <w:r>
            <w:tab/>
          </w:r>
          <w:r>
            <w:fldChar w:fldCharType="begin"/>
          </w:r>
          <w:r>
            <w:instrText xml:space="preserve"> PAGEREF _Toc29982 \h </w:instrText>
          </w:r>
          <w:r>
            <w:fldChar w:fldCharType="separate"/>
          </w:r>
          <w:r>
            <w:t>43</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_Toc7121 </w:instrText>
          </w:r>
          <w:r>
            <w:rPr>
              <w:rFonts w:ascii="宋体" w:hAnsi="宋体" w:eastAsia="宋体" w:cs="宋体"/>
              <w:bCs/>
              <w:szCs w:val="44"/>
              <w:shd w:val="clear" w:color="auto" w:fill="FFFFFF"/>
            </w:rPr>
            <w:fldChar w:fldCharType="separate"/>
          </w:r>
          <w:r>
            <w:rPr>
              <w:rFonts w:hint="eastAsia"/>
              <w:lang w:val="en-US" w:eastAsia="zh-CN"/>
            </w:rPr>
            <w:t>二、</w:t>
          </w:r>
          <w:r>
            <w:rPr>
              <w:rFonts w:hint="eastAsia"/>
              <w:lang w:val="zh-CN"/>
            </w:rPr>
            <w:t>规划原则</w:t>
          </w:r>
          <w:r>
            <w:tab/>
          </w:r>
          <w:r>
            <w:fldChar w:fldCharType="begin"/>
          </w:r>
          <w:r>
            <w:instrText xml:space="preserve"> PAGEREF _Toc7121 \h </w:instrText>
          </w:r>
          <w:r>
            <w:fldChar w:fldCharType="separate"/>
          </w:r>
          <w:r>
            <w:t>43</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_Toc4469 </w:instrText>
          </w:r>
          <w:r>
            <w:rPr>
              <w:rFonts w:ascii="宋体" w:hAnsi="宋体" w:eastAsia="宋体" w:cs="宋体"/>
              <w:bCs/>
              <w:szCs w:val="44"/>
              <w:shd w:val="clear" w:color="auto" w:fill="FFFFFF"/>
            </w:rPr>
            <w:fldChar w:fldCharType="separate"/>
          </w:r>
          <w:r>
            <w:rPr>
              <w:rFonts w:hint="eastAsia"/>
              <w:lang w:val="en-US" w:eastAsia="zh-CN"/>
            </w:rPr>
            <w:t>三、</w:t>
          </w:r>
          <w:r>
            <w:rPr>
              <w:rFonts w:hint="eastAsia"/>
              <w:lang w:val="zh-CN"/>
            </w:rPr>
            <w:t>控制要素</w:t>
          </w:r>
          <w:r>
            <w:tab/>
          </w:r>
          <w:r>
            <w:fldChar w:fldCharType="begin"/>
          </w:r>
          <w:r>
            <w:instrText xml:space="preserve"> PAGEREF _Toc4469 \h </w:instrText>
          </w:r>
          <w:r>
            <w:fldChar w:fldCharType="separate"/>
          </w:r>
          <w:r>
            <w:t>43</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_Toc7 </w:instrText>
          </w:r>
          <w:r>
            <w:rPr>
              <w:rFonts w:ascii="宋体" w:hAnsi="宋体" w:eastAsia="宋体" w:cs="宋体"/>
              <w:bCs/>
              <w:szCs w:val="44"/>
              <w:shd w:val="clear" w:color="auto" w:fill="FFFFFF"/>
            </w:rPr>
            <w:fldChar w:fldCharType="separate"/>
          </w:r>
          <w:r>
            <w:rPr>
              <w:rFonts w:hint="eastAsia"/>
              <w:lang w:val="en-US" w:eastAsia="zh-CN"/>
            </w:rPr>
            <w:t>四、</w:t>
          </w:r>
          <w:r>
            <w:rPr>
              <w:rFonts w:hint="eastAsia"/>
              <w:lang w:val="zh-CN"/>
            </w:rPr>
            <w:t>公共空间设计</w:t>
          </w:r>
          <w:r>
            <w:tab/>
          </w:r>
          <w:r>
            <w:fldChar w:fldCharType="begin"/>
          </w:r>
          <w:r>
            <w:instrText xml:space="preserve"> PAGEREF _Toc7 \h </w:instrText>
          </w:r>
          <w:r>
            <w:fldChar w:fldCharType="separate"/>
          </w:r>
          <w:r>
            <w:t>44</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_Toc24519 </w:instrText>
          </w:r>
          <w:r>
            <w:rPr>
              <w:rFonts w:ascii="宋体" w:hAnsi="宋体" w:eastAsia="宋体" w:cs="宋体"/>
              <w:bCs/>
              <w:szCs w:val="44"/>
              <w:shd w:val="clear" w:color="auto" w:fill="FFFFFF"/>
            </w:rPr>
            <w:fldChar w:fldCharType="separate"/>
          </w:r>
          <w:r>
            <w:rPr>
              <w:rFonts w:hint="eastAsia"/>
            </w:rPr>
            <w:t xml:space="preserve">第九章 </w:t>
          </w:r>
          <w:r>
            <w:rPr>
              <w:rFonts w:hint="eastAsia"/>
              <w:lang w:val="en-US" w:eastAsia="zh-CN"/>
            </w:rPr>
            <w:t>分期建设</w:t>
          </w:r>
          <w:r>
            <w:rPr>
              <w:rFonts w:hint="eastAsia"/>
            </w:rPr>
            <w:t>规划</w:t>
          </w:r>
          <w:r>
            <w:tab/>
          </w:r>
          <w:r>
            <w:fldChar w:fldCharType="begin"/>
          </w:r>
          <w:r>
            <w:instrText xml:space="preserve"> PAGEREF _Toc24519 \h </w:instrText>
          </w:r>
          <w:r>
            <w:fldChar w:fldCharType="separate"/>
          </w:r>
          <w:r>
            <w:t>46</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_Toc12368 </w:instrText>
          </w:r>
          <w:r>
            <w:rPr>
              <w:rFonts w:ascii="宋体" w:hAnsi="宋体" w:eastAsia="宋体" w:cs="宋体"/>
              <w:bCs/>
              <w:szCs w:val="44"/>
              <w:shd w:val="clear" w:color="auto" w:fill="FFFFFF"/>
            </w:rPr>
            <w:fldChar w:fldCharType="separate"/>
          </w:r>
          <w:r>
            <w:rPr>
              <w:rFonts w:hint="eastAsia"/>
              <w:lang w:val="en-US" w:eastAsia="zh-CN"/>
            </w:rPr>
            <w:t>一、分期建设策略</w:t>
          </w:r>
          <w:r>
            <w:tab/>
          </w:r>
          <w:r>
            <w:fldChar w:fldCharType="begin"/>
          </w:r>
          <w:r>
            <w:instrText xml:space="preserve"> PAGEREF _Toc12368 \h </w:instrText>
          </w:r>
          <w:r>
            <w:fldChar w:fldCharType="separate"/>
          </w:r>
          <w:r>
            <w:t>46</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_Toc22723 </w:instrText>
          </w:r>
          <w:r>
            <w:rPr>
              <w:rFonts w:ascii="宋体" w:hAnsi="宋体" w:eastAsia="宋体" w:cs="宋体"/>
              <w:bCs/>
              <w:szCs w:val="44"/>
              <w:shd w:val="clear" w:color="auto" w:fill="FFFFFF"/>
            </w:rPr>
            <w:fldChar w:fldCharType="separate"/>
          </w:r>
          <w:r>
            <w:rPr>
              <w:rFonts w:hint="eastAsia"/>
              <w:lang w:val="en-US" w:eastAsia="zh-CN"/>
            </w:rPr>
            <w:t>二、分期建设构想</w:t>
          </w:r>
          <w:r>
            <w:tab/>
          </w:r>
          <w:r>
            <w:fldChar w:fldCharType="begin"/>
          </w:r>
          <w:r>
            <w:instrText xml:space="preserve"> PAGEREF _Toc22723 \h </w:instrText>
          </w:r>
          <w:r>
            <w:fldChar w:fldCharType="separate"/>
          </w:r>
          <w:r>
            <w:t>46</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_Toc5364 </w:instrText>
          </w:r>
          <w:r>
            <w:rPr>
              <w:rFonts w:ascii="宋体" w:hAnsi="宋体" w:eastAsia="宋体" w:cs="宋体"/>
              <w:bCs/>
              <w:szCs w:val="44"/>
              <w:shd w:val="clear" w:color="auto" w:fill="FFFFFF"/>
            </w:rPr>
            <w:fldChar w:fldCharType="separate"/>
          </w:r>
          <w:r>
            <w:rPr>
              <w:rFonts w:hint="eastAsia"/>
            </w:rPr>
            <w:t>第十章 实施建议</w:t>
          </w:r>
          <w:r>
            <w:rPr>
              <w:rFonts w:hint="eastAsia"/>
              <w:lang w:val="en-US" w:eastAsia="zh-CN"/>
            </w:rPr>
            <w:t>与保障</w:t>
          </w:r>
          <w:r>
            <w:rPr>
              <w:rFonts w:hint="eastAsia"/>
            </w:rPr>
            <w:t>措施</w:t>
          </w:r>
          <w:r>
            <w:tab/>
          </w:r>
          <w:r>
            <w:fldChar w:fldCharType="begin"/>
          </w:r>
          <w:r>
            <w:instrText xml:space="preserve"> PAGEREF _Toc5364 \h </w:instrText>
          </w:r>
          <w:r>
            <w:fldChar w:fldCharType="separate"/>
          </w:r>
          <w:r>
            <w:t>47</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_Toc29879 </w:instrText>
          </w:r>
          <w:r>
            <w:rPr>
              <w:rFonts w:ascii="宋体" w:hAnsi="宋体" w:eastAsia="宋体" w:cs="宋体"/>
              <w:bCs/>
              <w:szCs w:val="44"/>
              <w:shd w:val="clear" w:color="auto" w:fill="FFFFFF"/>
            </w:rPr>
            <w:fldChar w:fldCharType="separate"/>
          </w:r>
          <w:r>
            <w:rPr>
              <w:rFonts w:hint="eastAsia"/>
              <w:lang w:val="en-US" w:eastAsia="zh-CN"/>
            </w:rPr>
            <w:t>一</w:t>
          </w:r>
          <w:r>
            <w:rPr>
              <w:rFonts w:hint="eastAsia"/>
              <w:lang w:val="zh-CN" w:eastAsia="zh-CN"/>
            </w:rPr>
            <w:t>、近期开发建设重点</w:t>
          </w:r>
          <w:r>
            <w:tab/>
          </w:r>
          <w:r>
            <w:fldChar w:fldCharType="begin"/>
          </w:r>
          <w:r>
            <w:instrText xml:space="preserve"> PAGEREF _Toc29879 \h </w:instrText>
          </w:r>
          <w:r>
            <w:fldChar w:fldCharType="separate"/>
          </w:r>
          <w:r>
            <w:t>47</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_Toc14746 </w:instrText>
          </w:r>
          <w:r>
            <w:rPr>
              <w:rFonts w:ascii="宋体" w:hAnsi="宋体" w:eastAsia="宋体" w:cs="宋体"/>
              <w:bCs/>
              <w:szCs w:val="44"/>
              <w:shd w:val="clear" w:color="auto" w:fill="FFFFFF"/>
            </w:rPr>
            <w:fldChar w:fldCharType="separate"/>
          </w:r>
          <w:r>
            <w:rPr>
              <w:rFonts w:hint="eastAsia"/>
              <w:lang w:val="en-US" w:eastAsia="zh-CN"/>
            </w:rPr>
            <w:t>二</w:t>
          </w:r>
          <w:r>
            <w:rPr>
              <w:rFonts w:hint="eastAsia"/>
              <w:lang w:val="zh-CN" w:eastAsia="zh-CN"/>
            </w:rPr>
            <w:t>、</w:t>
          </w:r>
          <w:r>
            <w:rPr>
              <w:rFonts w:hint="eastAsia"/>
              <w:lang w:val="en-US" w:eastAsia="zh-CN"/>
            </w:rPr>
            <w:t>规划设施建议</w:t>
          </w:r>
          <w:r>
            <w:tab/>
          </w:r>
          <w:r>
            <w:fldChar w:fldCharType="begin"/>
          </w:r>
          <w:r>
            <w:instrText xml:space="preserve"> PAGEREF _Toc14746 \h </w:instrText>
          </w:r>
          <w:r>
            <w:fldChar w:fldCharType="separate"/>
          </w:r>
          <w:r>
            <w:t>47</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10"/>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_Toc6875 </w:instrText>
          </w:r>
          <w:r>
            <w:rPr>
              <w:rFonts w:ascii="宋体" w:hAnsi="宋体" w:eastAsia="宋体" w:cs="宋体"/>
              <w:bCs/>
              <w:szCs w:val="44"/>
              <w:shd w:val="clear" w:color="auto" w:fill="FFFFFF"/>
            </w:rPr>
            <w:fldChar w:fldCharType="separate"/>
          </w:r>
          <w:r>
            <w:rPr>
              <w:rFonts w:hint="eastAsia"/>
              <w:lang w:val="en-US" w:eastAsia="zh-CN"/>
            </w:rPr>
            <w:t>三</w:t>
          </w:r>
          <w:r>
            <w:rPr>
              <w:rFonts w:hint="eastAsia"/>
              <w:lang w:val="zh-CN" w:eastAsia="zh-CN"/>
            </w:rPr>
            <w:t>、</w:t>
          </w:r>
          <w:r>
            <w:rPr>
              <w:rFonts w:hint="eastAsia"/>
              <w:lang w:val="en-US" w:eastAsia="zh-CN"/>
            </w:rPr>
            <w:t>规划保障措施</w:t>
          </w:r>
          <w:r>
            <w:tab/>
          </w:r>
          <w:r>
            <w:fldChar w:fldCharType="begin"/>
          </w:r>
          <w:r>
            <w:instrText xml:space="preserve"> PAGEREF _Toc6875 \h </w:instrText>
          </w:r>
          <w:r>
            <w:fldChar w:fldCharType="separate"/>
          </w:r>
          <w:r>
            <w:t>48</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pStyle w:val="9"/>
            <w:tabs>
              <w:tab w:val="right" w:leader="dot" w:pos="10045"/>
            </w:tabs>
          </w:pPr>
          <w:r>
            <w:rPr>
              <w:rFonts w:ascii="宋体" w:hAnsi="宋体" w:eastAsia="宋体" w:cs="宋体"/>
              <w:bCs/>
              <w:color w:val="000000" w:themeColor="text1"/>
              <w:szCs w:val="44"/>
              <w:shd w:val="clear" w:color="auto" w:fill="FFFFFF"/>
              <w14:textFill>
                <w14:solidFill>
                  <w14:schemeClr w14:val="tx1"/>
                </w14:solidFill>
              </w14:textFill>
            </w:rPr>
            <w:fldChar w:fldCharType="begin"/>
          </w:r>
          <w:r>
            <w:rPr>
              <w:rFonts w:ascii="宋体" w:hAnsi="宋体" w:eastAsia="宋体" w:cs="宋体"/>
              <w:bCs/>
              <w:szCs w:val="44"/>
              <w:shd w:val="clear" w:color="auto" w:fill="FFFFFF"/>
            </w:rPr>
            <w:instrText xml:space="preserve"> HYPERLINK \l _Toc4615 </w:instrText>
          </w:r>
          <w:r>
            <w:rPr>
              <w:rFonts w:ascii="宋体" w:hAnsi="宋体" w:eastAsia="宋体" w:cs="宋体"/>
              <w:bCs/>
              <w:szCs w:val="44"/>
              <w:shd w:val="clear" w:color="auto" w:fill="FFFFFF"/>
            </w:rPr>
            <w:fldChar w:fldCharType="separate"/>
          </w:r>
          <w:r>
            <w:rPr>
              <w:rFonts w:hint="eastAsia"/>
              <w:lang w:val="zh-CN"/>
            </w:rPr>
            <w:t>附表</w:t>
          </w:r>
          <w:r>
            <w:tab/>
          </w:r>
          <w:r>
            <w:fldChar w:fldCharType="begin"/>
          </w:r>
          <w:r>
            <w:instrText xml:space="preserve"> PAGEREF _Toc4615 \h </w:instrText>
          </w:r>
          <w:r>
            <w:fldChar w:fldCharType="separate"/>
          </w:r>
          <w:r>
            <w:t>50</w:t>
          </w:r>
          <w:r>
            <w:fldChar w:fldCharType="end"/>
          </w:r>
          <w:r>
            <w:rPr>
              <w:rFonts w:ascii="宋体" w:hAnsi="宋体" w:eastAsia="宋体" w:cs="宋体"/>
              <w:bCs/>
              <w:color w:val="000000" w:themeColor="text1"/>
              <w:szCs w:val="44"/>
              <w:shd w:val="clear" w:color="auto" w:fill="FFFFFF"/>
              <w14:textFill>
                <w14:solidFill>
                  <w14:schemeClr w14:val="tx1"/>
                </w14:solidFill>
              </w14:textFill>
            </w:rPr>
            <w:fldChar w:fldCharType="end"/>
          </w:r>
        </w:p>
        <w:p>
          <w:pPr>
            <w:jc w:val="both"/>
            <w:rPr>
              <w:rFonts w:ascii="宋体" w:hAnsi="宋体" w:eastAsia="宋体" w:cs="宋体"/>
              <w:b/>
              <w:bCs/>
              <w:color w:val="000000" w:themeColor="text1"/>
              <w:sz w:val="44"/>
              <w:szCs w:val="44"/>
              <w:shd w:val="clear" w:color="auto" w:fill="FFFFFF"/>
              <w14:textFill>
                <w14:solidFill>
                  <w14:schemeClr w14:val="tx1"/>
                </w14:solidFill>
              </w14:textFill>
            </w:rPr>
          </w:pPr>
          <w:r>
            <w:rPr>
              <w:rFonts w:ascii="宋体" w:hAnsi="宋体" w:eastAsia="宋体" w:cs="宋体"/>
              <w:bCs/>
              <w:color w:val="000000" w:themeColor="text1"/>
              <w:szCs w:val="44"/>
              <w:shd w:val="clear" w:color="auto" w:fill="FFFFFF"/>
              <w14:textFill>
                <w14:solidFill>
                  <w14:schemeClr w14:val="tx1"/>
                </w14:solidFill>
              </w14:textFill>
            </w:rPr>
            <w:fldChar w:fldCharType="end"/>
          </w:r>
        </w:p>
      </w:sdtContent>
    </w:sdt>
    <w:p>
      <w:pPr>
        <w:rPr>
          <w:rFonts w:ascii="宋体" w:hAnsi="宋体" w:eastAsia="宋体" w:cs="宋体"/>
          <w:b/>
          <w:bCs/>
          <w:color w:val="000000" w:themeColor="text1"/>
          <w:sz w:val="44"/>
          <w:szCs w:val="44"/>
          <w:shd w:val="clear" w:color="auto" w:fill="FFFFFF"/>
          <w14:textFill>
            <w14:solidFill>
              <w14:schemeClr w14:val="tx1"/>
            </w14:solidFill>
          </w14:textFill>
        </w:rPr>
      </w:pPr>
    </w:p>
    <w:p>
      <w:pPr>
        <w:rPr>
          <w:rFonts w:ascii="宋体" w:hAnsi="宋体" w:eastAsia="宋体" w:cs="宋体"/>
          <w:b/>
          <w:bCs/>
          <w:color w:val="000000" w:themeColor="text1"/>
          <w:sz w:val="44"/>
          <w:szCs w:val="44"/>
          <w:shd w:val="clear" w:color="auto" w:fill="FFFFFF"/>
          <w14:textFill>
            <w14:solidFill>
              <w14:schemeClr w14:val="tx1"/>
            </w14:solidFill>
          </w14:textFill>
        </w:rPr>
      </w:pPr>
    </w:p>
    <w:p>
      <w:pPr>
        <w:rPr>
          <w:rFonts w:ascii="宋体" w:hAnsi="宋体" w:eastAsia="宋体" w:cs="宋体"/>
          <w:b/>
          <w:bCs/>
          <w:color w:val="000000" w:themeColor="text1"/>
          <w:sz w:val="44"/>
          <w:szCs w:val="44"/>
          <w:shd w:val="clear" w:color="auto" w:fill="FFFFFF"/>
          <w14:textFill>
            <w14:solidFill>
              <w14:schemeClr w14:val="tx1"/>
            </w14:solidFill>
          </w14:textFill>
        </w:rPr>
      </w:pPr>
    </w:p>
    <w:p>
      <w:pPr>
        <w:rPr>
          <w:rFonts w:ascii="宋体" w:hAnsi="宋体" w:eastAsia="宋体" w:cs="宋体"/>
          <w:b/>
          <w:bCs/>
          <w:color w:val="000000" w:themeColor="text1"/>
          <w:sz w:val="44"/>
          <w:szCs w:val="44"/>
          <w:shd w:val="clear" w:color="auto" w:fill="FFFFFF"/>
          <w14:textFill>
            <w14:solidFill>
              <w14:schemeClr w14:val="tx1"/>
            </w14:solidFill>
          </w14:textFill>
        </w:rPr>
      </w:pPr>
    </w:p>
    <w:p>
      <w:pPr>
        <w:rPr>
          <w:rFonts w:ascii="宋体" w:hAnsi="宋体" w:eastAsia="宋体" w:cs="宋体"/>
          <w:b/>
          <w:bCs/>
          <w:color w:val="000000" w:themeColor="text1"/>
          <w:sz w:val="44"/>
          <w:szCs w:val="44"/>
          <w:shd w:val="clear" w:color="auto" w:fill="FFFFFF"/>
          <w14:textFill>
            <w14:solidFill>
              <w14:schemeClr w14:val="tx1"/>
            </w14:solidFill>
          </w14:textFill>
        </w:rPr>
      </w:pPr>
    </w:p>
    <w:p>
      <w:pPr>
        <w:rPr>
          <w:rFonts w:ascii="宋体" w:hAnsi="宋体" w:eastAsia="宋体" w:cs="宋体"/>
          <w:b/>
          <w:bCs/>
          <w:color w:val="000000" w:themeColor="text1"/>
          <w:sz w:val="44"/>
          <w:szCs w:val="44"/>
          <w:shd w:val="clear" w:color="auto" w:fill="FFFFFF"/>
          <w14:textFill>
            <w14:solidFill>
              <w14:schemeClr w14:val="tx1"/>
            </w14:solidFill>
          </w14:textFill>
        </w:rPr>
      </w:pPr>
    </w:p>
    <w:p>
      <w:pPr>
        <w:pStyle w:val="2"/>
        <w:keepNext/>
        <w:keepLines/>
        <w:pageBreakBefore w:val="0"/>
        <w:widowControl w:val="0"/>
        <w:numPr>
          <w:ilvl w:val="0"/>
          <w:numId w:val="1"/>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sectPr>
          <w:footerReference r:id="rId6" w:type="default"/>
          <w:pgSz w:w="23811" w:h="16838" w:orient="landscape"/>
          <w:pgMar w:top="1800" w:right="1440" w:bottom="1800" w:left="1440" w:header="851" w:footer="992" w:gutter="0"/>
          <w:pgNumType w:fmt="decimal" w:start="1"/>
          <w:cols w:space="840" w:num="2"/>
          <w:docGrid w:type="lines" w:linePitch="312" w:charSpace="0"/>
        </w:sectPr>
      </w:pPr>
    </w:p>
    <w:p>
      <w:pPr>
        <w:pStyle w:val="2"/>
        <w:keepNext/>
        <w:keepLines/>
        <w:pageBreakBefore w:val="0"/>
        <w:widowControl w:val="0"/>
        <w:numPr>
          <w:ilvl w:val="0"/>
          <w:numId w:val="1"/>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0" w:name="_Toc25152"/>
      <w:r>
        <w:rPr>
          <w:rFonts w:hint="eastAsia"/>
          <w:color w:val="000000" w:themeColor="text1"/>
          <w14:textFill>
            <w14:solidFill>
              <w14:schemeClr w14:val="tx1"/>
            </w14:solidFill>
          </w14:textFill>
        </w:rPr>
        <w:t>总则</w:t>
      </w:r>
      <w:bookmarkEnd w:id="0"/>
    </w:p>
    <w:p>
      <w:pPr>
        <w:pStyle w:val="3"/>
        <w:numPr>
          <w:ilvl w:val="0"/>
          <w:numId w:val="2"/>
        </w:numPr>
        <w:rPr>
          <w:color w:val="000000" w:themeColor="text1"/>
          <w14:textFill>
            <w14:solidFill>
              <w14:schemeClr w14:val="tx1"/>
            </w14:solidFill>
          </w14:textFill>
        </w:rPr>
      </w:pPr>
      <w:bookmarkStart w:id="1" w:name="_Toc1182"/>
      <w:r>
        <w:rPr>
          <w:rFonts w:hint="eastAsia"/>
          <w:color w:val="000000" w:themeColor="text1"/>
          <w14:textFill>
            <w14:solidFill>
              <w14:schemeClr w14:val="tx1"/>
            </w14:solidFill>
          </w14:textFill>
        </w:rPr>
        <w:t>规划背景</w:t>
      </w:r>
      <w:bookmarkEnd w:id="1"/>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曲靖市位于云南省东部、珠江源头，东与贵州省、广西壮族自治区毗邻，南与文山州、红河州接壤，西接昆明市，北临昭通市，素有“滇黔锁钥”、“云南咽喉”之称。是我省第二大城市和第二大经济体</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在全省发展大局中具有举足轻重的地位和作用</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全市辖3区1市5县和1个国家级经济技术开发区，常住人口661万。近年来，曲靖市经济社会发展进入了快速发展阶段，随着国家“一带一路”、“大循环、双循环”新发展格局，曲靖成为重大产业转移承接基地和产业聚集基地、沟通连接南亚东南亚的重要通道节点、西南地区交通枢纽和区域性物流中心、滇中城市经济圈跨越发展的东部增长极</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，全面提升曲靖经济社会发展新高度</w:t>
      </w:r>
      <w:r>
        <w:rPr>
          <w:rFonts w:hint="eastAsia" w:ascii="宋体" w:hAnsi="宋体" w:eastAsia="宋体" w:cs="宋体"/>
          <w:color w:val="000000" w:themeColor="text1"/>
          <w:sz w:val="28"/>
          <w:szCs w:val="28"/>
          <w:shd w:val="clear" w:color="auto" w:fill="FFFFFF"/>
          <w14:textFill>
            <w14:solidFill>
              <w14:schemeClr w14:val="tx1"/>
            </w14:solidFill>
          </w14:textFill>
        </w:rPr>
        <w:t>。</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通过</w:t>
      </w:r>
      <w:r>
        <w:rPr>
          <w:rFonts w:hint="eastAsia" w:ascii="宋体" w:hAnsi="宋体" w:eastAsia="宋体" w:cs="宋体"/>
          <w:color w:val="000000" w:themeColor="text1"/>
          <w:sz w:val="28"/>
          <w:szCs w:val="28"/>
          <w:shd w:val="clear" w:color="auto" w:fill="FFFFFF"/>
          <w14:textFill>
            <w14:solidFill>
              <w14:schemeClr w14:val="tx1"/>
            </w14:solidFill>
          </w14:textFill>
        </w:rPr>
        <w:t>构建与全省区域经济相协调的“一核、一带、多点”园区发展空间布局。曲靖市重点布局和发展绿色硅光伏、新能源电池材料、绿色食品加工、先进装备制造、化工、科研、仓储物流等产业，打造先进制造基地、高端食品基地、城乡融合发展示范区、云南副中心城市。</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为加快项目快速落地，支撑产业园区未来发展，以具体项目来带动周边经济发展；通过落实上位规划要求，结合省市级对片区规划定位，打造“高端食品基地、产业转型发展示范区”，依托高速公路优势，积极推动片区土地开发利用；通过梳理片区路网研究发展脉络和完善产业功能配套，提高麒麟区招商引资吸引力，打造产、城、人高度融合的空间脉络</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因此，编制《罗汉山产业园区Q-32单元控制性详细规划及Q-29-01街区控制性详细规划》。</w:t>
      </w:r>
    </w:p>
    <w:p>
      <w:pPr>
        <w:pStyle w:val="3"/>
        <w:numPr>
          <w:ilvl w:val="0"/>
          <w:numId w:val="2"/>
        </w:numPr>
        <w:rPr>
          <w:color w:val="000000" w:themeColor="text1"/>
          <w14:textFill>
            <w14:solidFill>
              <w14:schemeClr w14:val="tx1"/>
            </w14:solidFill>
          </w14:textFill>
        </w:rPr>
      </w:pPr>
      <w:bookmarkStart w:id="2" w:name="_Toc15064"/>
      <w:r>
        <w:rPr>
          <w:rFonts w:hint="eastAsia"/>
          <w:color w:val="000000" w:themeColor="text1"/>
          <w14:textFill>
            <w14:solidFill>
              <w14:schemeClr w14:val="tx1"/>
            </w14:solidFill>
          </w14:textFill>
        </w:rPr>
        <w:t>规划依据</w:t>
      </w:r>
      <w:bookmarkEnd w:id="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1、《中华人民共和国城乡规划法》（201</w:t>
      </w: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9</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2、《中华人民共和国土地管理法》（20</w:t>
      </w: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19</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3、</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《中华人民共和国环境保护法》（B00400-2023-5513120）；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4</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、《城市规划编制办法》（建规[2005]146号2006）；</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5</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、《城市、镇控制性详细规划编制审批办法》（2011年）；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6</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、《国土空间调查、规划、用途管制用地用海分类指南（试行）》；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7、《城市规划强制性内容暂行规定》(2002年)；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8、《城市用地分类与规划建设用地标准》(GB50137-2011)；</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9、《城市居住区规划设计标准》(GB50180-2018）；</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10、《城市综合交通体系规划标准》(GB/T 51328-2018)；</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11、《城市工程管线综合规划规范》(GB50289-2016)；</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12、《城市电力规划规范》(GB50293-2014)；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13、《城市排水工程规划规划规范》(GB50318-2017)；</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14、《城市绿地分类标准》(GJJ/T85-2017)；</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15、《防洪标准》(GB50201-2014)；</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16、《城市用地竖向规划规范》(CJJ83-2016）；</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17、</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《云南省规划管理条例》；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18、《工业项目建设用地控制指标》（2008年）；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19、</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《云南省工业园区管理办法》（云政发〔201</w:t>
      </w: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179</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号）；</w:t>
      </w: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20、</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《云南省人民政府关于印发云南省工业园区产业布局规划（2016—2025年）的通知》（云政发〔2016〕96号）；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21</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、《城市道路交通规划设计规划》；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22、</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《曲靖中心城区规划管理技术规定》（</w:t>
      </w: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2021年</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23、</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《曲靖市国土空间总体规划》（2021-2035）；</w:t>
      </w: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24、《曲靖市控制性详细规划编制指南（试行）》</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25</w:t>
      </w:r>
      <w:r>
        <w:rPr>
          <w:rFonts w:hint="eastAsia" w:ascii="宋体" w:hAnsi="宋体" w:eastAsia="宋体" w:cs="宋体"/>
          <w:i w:val="0"/>
          <w:caps w:val="0"/>
          <w:color w:val="000000" w:themeColor="text1"/>
          <w:spacing w:val="0"/>
          <w:sz w:val="28"/>
          <w:szCs w:val="28"/>
          <w:shd w:val="clear" w:fill="FFFFFF"/>
          <w:lang w:eastAsia="zh-CN"/>
          <w14:textFill>
            <w14:solidFill>
              <w14:schemeClr w14:val="tx1"/>
            </w14:solidFill>
          </w14:textFill>
        </w:rPr>
        <w:t>、国家及地方相关法律、规范、规定。</w:t>
      </w:r>
    </w:p>
    <w:p>
      <w:pPr>
        <w:pStyle w:val="3"/>
        <w:numPr>
          <w:ilvl w:val="0"/>
          <w:numId w:val="2"/>
        </w:numPr>
        <w:rPr>
          <w:rFonts w:hint="eastAsia"/>
          <w:color w:val="000000" w:themeColor="text1"/>
          <w14:textFill>
            <w14:solidFill>
              <w14:schemeClr w14:val="tx1"/>
            </w14:solidFill>
          </w14:textFill>
        </w:rPr>
      </w:pPr>
      <w:bookmarkStart w:id="3" w:name="_Toc31579"/>
      <w:r>
        <w:rPr>
          <w:rFonts w:hint="eastAsia"/>
          <w:color w:val="000000" w:themeColor="text1"/>
          <w14:textFill>
            <w14:solidFill>
              <w14:schemeClr w14:val="tx1"/>
            </w14:solidFill>
          </w14:textFill>
        </w:rPr>
        <w:t>规划范围</w:t>
      </w:r>
      <w:bookmarkEnd w:id="3"/>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本次规划区位于中心城区罗汉山绿色食品产业园区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东至曲陆高速，西至寥廓南路，南至青峰村委会，北至蓟河路</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规划面积</w:t>
      </w:r>
      <w:r>
        <w:rPr>
          <w:rFonts w:hint="eastAsia" w:ascii="宋体" w:hAnsi="宋体" w:eastAsia="宋体" w:cs="宋体"/>
          <w:sz w:val="28"/>
          <w:szCs w:val="28"/>
          <w:shd w:val="clear" w:color="auto" w:fill="FFFFFF"/>
        </w:rPr>
        <w:t>约</w:t>
      </w:r>
      <w:r>
        <w:rPr>
          <w:rFonts w:hint="eastAsia" w:ascii="宋体" w:hAnsi="宋体" w:eastAsia="宋体" w:cs="宋体"/>
          <w:sz w:val="28"/>
          <w:szCs w:val="28"/>
          <w:shd w:val="clear" w:color="auto" w:fill="FFFFFF"/>
          <w:lang w:val="en-US" w:eastAsia="zh-CN"/>
        </w:rPr>
        <w:t>322.5</w:t>
      </w:r>
      <w:r>
        <w:rPr>
          <w:rFonts w:hint="eastAsia" w:ascii="宋体" w:hAnsi="宋体" w:eastAsia="宋体" w:cs="宋体"/>
          <w:sz w:val="28"/>
          <w:szCs w:val="28"/>
          <w:shd w:val="clear" w:color="auto" w:fill="FFFFFF"/>
        </w:rPr>
        <w:t>公顷</w:t>
      </w:r>
      <w:r>
        <w:rPr>
          <w:rFonts w:hint="eastAsia" w:ascii="宋体" w:hAnsi="宋体" w:eastAsia="宋体" w:cs="宋体"/>
          <w:color w:val="000000" w:themeColor="text1"/>
          <w:sz w:val="28"/>
          <w:szCs w:val="28"/>
          <w:shd w:val="clear" w:color="auto" w:fill="FFFFFF"/>
          <w14:textFill>
            <w14:solidFill>
              <w14:schemeClr w14:val="tx1"/>
            </w14:solidFill>
          </w14:textFill>
        </w:rPr>
        <w:t>。详见图1.1 区位分析图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4" w:hRule="atLeast"/>
          <w:jc w:val="center"/>
        </w:trPr>
        <w:tc>
          <w:tcPr>
            <w:tcW w:w="7880" w:type="dxa"/>
          </w:tcPr>
          <w:p>
            <w:pPr>
              <w:spacing w:line="360" w:lineRule="auto"/>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4324985" cy="2647950"/>
                  <wp:effectExtent l="0" t="0" r="18415" b="0"/>
                  <wp:docPr id="23" name="图片 23" descr="E:\2023年\工业园区\工业园区整理资料\成果\规划图\区位分析图.jpg区位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2023年\工业园区\工业园区整理资料\成果\规划图\区位分析图.jpg区位分析图"/>
                          <pic:cNvPicPr>
                            <a:picLocks noChangeAspect="1"/>
                          </pic:cNvPicPr>
                        </pic:nvPicPr>
                        <pic:blipFill>
                          <a:blip r:embed="rId11"/>
                          <a:srcRect l="3507" t="12137" r="3441" b="7267"/>
                          <a:stretch>
                            <a:fillRect/>
                          </a:stretch>
                        </pic:blipFill>
                        <pic:spPr>
                          <a:xfrm>
                            <a:off x="0" y="0"/>
                            <a:ext cx="4324985" cy="2647950"/>
                          </a:xfrm>
                          <a:prstGeom prst="rect">
                            <a:avLst/>
                          </a:prstGeom>
                          <a:ln>
                            <a:noFill/>
                          </a:ln>
                        </pic:spPr>
                      </pic:pic>
                    </a:graphicData>
                  </a:graphic>
                </wp:inline>
              </w:drawing>
            </w:r>
          </w:p>
          <w:p>
            <w:pPr>
              <w:spacing w:line="360" w:lineRule="auto"/>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b w:val="0"/>
                <w:bCs w:val="0"/>
                <w:sz w:val="21"/>
                <w:szCs w:val="21"/>
              </w:rPr>
              <w:t>图1.1 区位分析图</w:t>
            </w:r>
          </w:p>
        </w:tc>
      </w:tr>
    </w:tbl>
    <w:p>
      <w:pPr>
        <w:pStyle w:val="3"/>
        <w:numPr>
          <w:ilvl w:val="0"/>
          <w:numId w:val="2"/>
        </w:numPr>
        <w:rPr>
          <w:color w:val="000000" w:themeColor="text1"/>
          <w14:textFill>
            <w14:solidFill>
              <w14:schemeClr w14:val="tx1"/>
            </w14:solidFill>
          </w14:textFill>
        </w:rPr>
      </w:pPr>
      <w:bookmarkStart w:id="4" w:name="_Toc7856"/>
      <w:r>
        <w:rPr>
          <w:rFonts w:hint="eastAsia"/>
          <w:color w:val="000000" w:themeColor="text1"/>
          <w14:textFill>
            <w14:solidFill>
              <w14:schemeClr w14:val="tx1"/>
            </w14:solidFill>
          </w14:textFill>
        </w:rPr>
        <w:t>编制原则</w:t>
      </w:r>
      <w:bookmarkEnd w:id="4"/>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（1）绿色发展原则 </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在城市绿色发展道路上，要让城市融入大自然，开展生态修复，让城市再现绿水青山。充分考虑资源和环境的承载能力，以及最大限度减小和避让对周边影响，注重环境保护，营造</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城市</w:t>
      </w:r>
      <w:r>
        <w:rPr>
          <w:rFonts w:hint="eastAsia" w:ascii="宋体" w:hAnsi="宋体" w:eastAsia="宋体" w:cs="宋体"/>
          <w:color w:val="000000" w:themeColor="text1"/>
          <w:sz w:val="28"/>
          <w:szCs w:val="28"/>
          <w:shd w:val="clear" w:color="auto" w:fill="FFFFFF"/>
          <w14:textFill>
            <w14:solidFill>
              <w14:schemeClr w14:val="tx1"/>
            </w14:solidFill>
          </w14:textFill>
        </w:rPr>
        <w:t>门户</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产城</w:t>
      </w:r>
      <w:r>
        <w:rPr>
          <w:rFonts w:hint="eastAsia" w:ascii="宋体" w:hAnsi="宋体" w:eastAsia="宋体" w:cs="宋体"/>
          <w:color w:val="000000" w:themeColor="text1"/>
          <w:sz w:val="28"/>
          <w:szCs w:val="28"/>
          <w:shd w:val="clear" w:color="auto" w:fill="FFFFFF"/>
          <w14:textFill>
            <w14:solidFill>
              <w14:schemeClr w14:val="tx1"/>
            </w14:solidFill>
          </w14:textFill>
        </w:rPr>
        <w:t>新区的风貌，实现产业与城市经济、与生态环境协调发展。</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产城</w:t>
      </w:r>
      <w:r>
        <w:rPr>
          <w:rFonts w:hint="eastAsia" w:ascii="宋体" w:hAnsi="宋体" w:eastAsia="宋体" w:cs="宋体"/>
          <w:color w:val="000000" w:themeColor="text1"/>
          <w:sz w:val="28"/>
          <w:szCs w:val="28"/>
          <w:shd w:val="clear" w:color="auto" w:fill="FFFFFF"/>
          <w14:textFill>
            <w14:solidFill>
              <w14:schemeClr w14:val="tx1"/>
            </w14:solidFill>
          </w14:textFill>
        </w:rPr>
        <w:t>融合发展原则</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充分考虑</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产业园区与南部片区</w:t>
      </w:r>
      <w:r>
        <w:rPr>
          <w:rFonts w:hint="eastAsia" w:ascii="宋体" w:hAnsi="宋体" w:eastAsia="宋体" w:cs="宋体"/>
          <w:color w:val="000000" w:themeColor="text1"/>
          <w:sz w:val="28"/>
          <w:szCs w:val="28"/>
          <w:shd w:val="clear" w:color="auto" w:fill="FFFFFF"/>
          <w14:textFill>
            <w14:solidFill>
              <w14:schemeClr w14:val="tx1"/>
            </w14:solidFill>
          </w14:textFill>
        </w:rPr>
        <w:t>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市</w:t>
      </w:r>
      <w:r>
        <w:rPr>
          <w:rFonts w:hint="eastAsia" w:ascii="宋体" w:hAnsi="宋体" w:eastAsia="宋体" w:cs="宋体"/>
          <w:color w:val="000000" w:themeColor="text1"/>
          <w:sz w:val="28"/>
          <w:szCs w:val="28"/>
          <w:shd w:val="clear" w:color="auto" w:fill="FFFFFF"/>
          <w14:textFill>
            <w14:solidFill>
              <w14:schemeClr w14:val="tx1"/>
            </w14:solidFill>
          </w14:textFill>
        </w:rPr>
        <w:t>建设的结合，在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现有土地</w:t>
      </w:r>
      <w:r>
        <w:rPr>
          <w:rFonts w:hint="eastAsia" w:ascii="宋体" w:hAnsi="宋体" w:eastAsia="宋体" w:cs="宋体"/>
          <w:color w:val="000000" w:themeColor="text1"/>
          <w:sz w:val="28"/>
          <w:szCs w:val="28"/>
          <w:shd w:val="clear" w:color="auto" w:fill="FFFFFF"/>
          <w14:textFill>
            <w14:solidFill>
              <w14:schemeClr w14:val="tx1"/>
            </w14:solidFill>
          </w14:textFill>
        </w:rPr>
        <w:t>基础上集约、紧凑发展，规划中注重土地开发强度、建筑风貌与周边水体等绿蓝空间的相互协调，通过补齐麒麟农产品加工短板，促进产城融合发展。</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14:textFill>
            <w14:solidFill>
              <w14:schemeClr w14:val="tx1"/>
            </w14:solidFill>
          </w14:textFill>
        </w:rPr>
        <w:t xml:space="preserve">）整体效益最优原则 </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从规划区的整体出发，全面研究社会经济发展、土地利用等问题，提出相应的综合解决措施，注重社会、经济、环境效益的统一。注重规划的合理性与可操作性有机结合，对地块进行定性、定位、定量、定界的规划设计</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实现地区社会效益、经济效益和生态效益多赢。</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14:textFill>
            <w14:solidFill>
              <w14:schemeClr w14:val="tx1"/>
            </w14:solidFill>
          </w14:textFill>
        </w:rPr>
        <w:t xml:space="preserve">）用地集约高效原则 </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科学合理确定土地开发强度，提高土地集约、节约使用效率，在规划区未利用地建设过程中促进用地集约化发展，提高片区土地整体效益。 尊重现有的地形、地貌和生态、水域环境，利用项目所在地自然条件和周边公路条件。</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14:textFill>
            <w14:solidFill>
              <w14:schemeClr w14:val="tx1"/>
            </w14:solidFill>
          </w14:textFill>
        </w:rPr>
        <w:t xml:space="preserve">）可持续发展原则 </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充分考虑规划发展过程中的不可预见因素，创建可持续发展的形态；规划应加强规划区发展保障体系的建设工作，以保障在未来的发展，基础设施建设必须先行，实现城市对外交通和城市道路系统的通畅、安全、快速和便捷；探索规划区发展最优模式，尽可能减轻工业用地规模增长对土地资源、水资源、能源资源和生态系统的压力。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 xml:space="preserve">（6）动态规划原则 </w:t>
      </w: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将规划的长远性和现实性相结合，做到“高起点、远目标、重实际、可操作”，统一规划，</w:t>
      </w:r>
      <w:r>
        <w:rPr>
          <w:rFonts w:hint="eastAsia" w:ascii="宋体" w:hAnsi="宋体" w:eastAsia="宋体" w:cs="宋体"/>
          <w:color w:val="000000" w:themeColor="text1"/>
          <w:sz w:val="28"/>
          <w:szCs w:val="28"/>
          <w:shd w:val="clear" w:color="auto" w:fill="FFFFFF"/>
          <w14:textFill>
            <w14:solidFill>
              <w14:schemeClr w14:val="tx1"/>
            </w14:solidFill>
          </w14:textFill>
        </w:rPr>
        <w:t>分期</w:t>
      </w: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建设，合理布局，协调发展；建立可操作的规划体系，在尊重规划的严肃性和稳定性的同时，提高规划的应变能力。</w:t>
      </w: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p>
    <w:p>
      <w:pPr>
        <w:spacing w:line="360" w:lineRule="auto"/>
        <w:ind w:firstLine="560" w:firstLineChars="200"/>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p>
    <w:p>
      <w:pPr>
        <w:pStyle w:val="2"/>
        <w:numPr>
          <w:ilvl w:val="0"/>
          <w:numId w:val="1"/>
        </w:numPr>
        <w:jc w:val="center"/>
        <w:rPr>
          <w:color w:val="000000" w:themeColor="text1"/>
          <w14:textFill>
            <w14:solidFill>
              <w14:schemeClr w14:val="tx1"/>
            </w14:solidFill>
          </w14:textFill>
        </w:rPr>
      </w:pPr>
      <w:bookmarkStart w:id="5" w:name="_Toc6857"/>
      <w:r>
        <w:rPr>
          <w:rFonts w:hint="eastAsia"/>
          <w:color w:val="000000" w:themeColor="text1"/>
          <w14:textFill>
            <w14:solidFill>
              <w14:schemeClr w14:val="tx1"/>
            </w14:solidFill>
          </w14:textFill>
        </w:rPr>
        <w:t>发展条件分析</w:t>
      </w:r>
      <w:bookmarkEnd w:id="5"/>
    </w:p>
    <w:p>
      <w:pPr>
        <w:pStyle w:val="3"/>
        <w:numPr>
          <w:ilvl w:val="0"/>
          <w:numId w:val="3"/>
        </w:numPr>
        <w:rPr>
          <w:color w:val="000000" w:themeColor="text1"/>
          <w14:textFill>
            <w14:solidFill>
              <w14:schemeClr w14:val="tx1"/>
            </w14:solidFill>
          </w14:textFill>
        </w:rPr>
      </w:pPr>
      <w:bookmarkStart w:id="6" w:name="_Toc30246"/>
      <w:r>
        <w:rPr>
          <w:rFonts w:hint="eastAsia"/>
          <w:color w:val="000000" w:themeColor="text1"/>
          <w14:textFill>
            <w14:solidFill>
              <w14:schemeClr w14:val="tx1"/>
            </w14:solidFill>
          </w14:textFill>
        </w:rPr>
        <w:t>土地利用现状分析</w:t>
      </w:r>
      <w:bookmarkEnd w:id="6"/>
    </w:p>
    <w:p>
      <w:pPr>
        <w:pStyle w:val="4"/>
        <w:numPr>
          <w:ilvl w:val="0"/>
          <w:numId w:val="4"/>
        </w:numPr>
        <w:rPr>
          <w:color w:val="000000" w:themeColor="text1"/>
          <w14:textFill>
            <w14:solidFill>
              <w14:schemeClr w14:val="tx1"/>
            </w14:solidFill>
          </w14:textFill>
        </w:rPr>
      </w:pPr>
      <w:r>
        <w:rPr>
          <w:rFonts w:hint="eastAsia"/>
          <w:color w:val="000000" w:themeColor="text1"/>
          <w14:textFill>
            <w14:solidFill>
              <w14:schemeClr w14:val="tx1"/>
            </w14:solidFill>
          </w14:textFill>
        </w:rPr>
        <w:t>高程分析</w:t>
      </w:r>
    </w:p>
    <w:p>
      <w:pPr>
        <w:spacing w:line="360" w:lineRule="auto"/>
        <w:ind w:firstLine="560" w:firstLineChars="200"/>
        <w:jc w:val="left"/>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规划范围位于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曲靖市</w:t>
      </w:r>
      <w:r>
        <w:rPr>
          <w:rFonts w:hint="eastAsia" w:ascii="宋体" w:hAnsi="宋体" w:eastAsia="宋体" w:cs="宋体"/>
          <w:color w:val="000000" w:themeColor="text1"/>
          <w:sz w:val="28"/>
          <w:szCs w:val="28"/>
          <w:shd w:val="clear" w:color="auto" w:fill="FFFFFF"/>
          <w14:textFill>
            <w14:solidFill>
              <w14:schemeClr w14:val="tx1"/>
            </w14:solidFill>
          </w14:textFill>
        </w:rPr>
        <w:t>麒麟区三宝街道五联社区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和青峰村委会西面山丘上，</w:t>
      </w:r>
      <w:r>
        <w:rPr>
          <w:rFonts w:hint="eastAsia" w:ascii="宋体" w:hAnsi="宋体" w:eastAsia="宋体" w:cs="宋体"/>
          <w:color w:val="000000" w:themeColor="text1"/>
          <w:sz w:val="28"/>
          <w:szCs w:val="28"/>
          <w:shd w:val="clear" w:color="auto" w:fill="FFFFFF"/>
          <w14:textFill>
            <w14:solidFill>
              <w14:schemeClr w14:val="tx1"/>
            </w14:solidFill>
          </w14:textFill>
        </w:rPr>
        <w:t>总体地势呈</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东</w:t>
      </w:r>
      <w:r>
        <w:rPr>
          <w:rFonts w:hint="eastAsia" w:ascii="宋体" w:hAnsi="宋体" w:eastAsia="宋体" w:cs="宋体"/>
          <w:color w:val="000000" w:themeColor="text1"/>
          <w:sz w:val="28"/>
          <w:szCs w:val="28"/>
          <w:shd w:val="clear" w:color="auto" w:fill="FFFFFF"/>
          <w14:textFill>
            <w14:solidFill>
              <w14:schemeClr w14:val="tx1"/>
            </w14:solidFill>
          </w14:textFill>
        </w:rPr>
        <w:t>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西</w:t>
      </w:r>
      <w:r>
        <w:rPr>
          <w:rFonts w:hint="eastAsia" w:ascii="宋体" w:hAnsi="宋体" w:eastAsia="宋体" w:cs="宋体"/>
          <w:color w:val="000000" w:themeColor="text1"/>
          <w:sz w:val="28"/>
          <w:szCs w:val="28"/>
          <w:shd w:val="clear" w:color="auto" w:fill="FFFFFF"/>
          <w14:textFill>
            <w14:solidFill>
              <w14:schemeClr w14:val="tx1"/>
            </w14:solidFill>
          </w14:textFill>
        </w:rPr>
        <w:t>高的态势，最低点高程约为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1870.00</w:t>
      </w:r>
      <w:r>
        <w:rPr>
          <w:rFonts w:hint="eastAsia" w:ascii="宋体" w:hAnsi="宋体" w:eastAsia="宋体" w:cs="宋体"/>
          <w:color w:val="000000" w:themeColor="text1"/>
          <w:sz w:val="28"/>
          <w:szCs w:val="28"/>
          <w:shd w:val="clear" w:color="auto" w:fill="FFFFFF"/>
          <w14:textFill>
            <w14:solidFill>
              <w14:schemeClr w14:val="tx1"/>
            </w14:solidFill>
          </w14:textFill>
        </w:rPr>
        <w:t>米，最高点约为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1966.89</w:t>
      </w:r>
      <w:r>
        <w:rPr>
          <w:rFonts w:hint="eastAsia" w:ascii="宋体" w:hAnsi="宋体" w:eastAsia="宋体" w:cs="宋体"/>
          <w:color w:val="000000" w:themeColor="text1"/>
          <w:sz w:val="28"/>
          <w:szCs w:val="28"/>
          <w:shd w:val="clear" w:color="auto" w:fill="FFFFFF"/>
          <w14:textFill>
            <w14:solidFill>
              <w14:schemeClr w14:val="tx1"/>
            </w14:solidFill>
          </w14:textFill>
        </w:rPr>
        <w:t>米，平均海拔19</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14:textFill>
            <w14:solidFill>
              <w14:schemeClr w14:val="tx1"/>
            </w14:solidFill>
          </w14:textFill>
        </w:rPr>
        <w:t>0米左右，整体上坡度起伏较小，地势平缓，适宜建设。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西</w:t>
      </w:r>
      <w:r>
        <w:rPr>
          <w:rFonts w:hint="eastAsia" w:ascii="宋体" w:hAnsi="宋体" w:eastAsia="宋体" w:cs="宋体"/>
          <w:color w:val="000000" w:themeColor="text1"/>
          <w:sz w:val="28"/>
          <w:szCs w:val="28"/>
          <w:shd w:val="clear" w:color="auto" w:fill="FFFFFF"/>
          <w14:textFill>
            <w14:solidFill>
              <w14:schemeClr w14:val="tx1"/>
            </w14:solidFill>
          </w14:textFill>
        </w:rPr>
        <w:t>面是海拔在19</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14:textFill>
            <w14:solidFill>
              <w14:schemeClr w14:val="tx1"/>
            </w14:solidFill>
          </w14:textFill>
        </w:rPr>
        <w:t>0-2</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14:textFill>
            <w14:solidFill>
              <w14:schemeClr w14:val="tx1"/>
            </w14:solidFill>
          </w14:textFill>
        </w:rPr>
        <w:t>00米以上的多层山峦。山麓斜坡坡度一般介于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8</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—25</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部分</w:t>
      </w:r>
      <w:r>
        <w:rPr>
          <w:rFonts w:hint="eastAsia" w:ascii="宋体" w:hAnsi="宋体" w:eastAsia="宋体" w:cs="宋体"/>
          <w:color w:val="000000" w:themeColor="text1"/>
          <w:sz w:val="28"/>
          <w:szCs w:val="28"/>
          <w:shd w:val="clear" w:color="auto" w:fill="FFFFFF"/>
          <w14:textFill>
            <w14:solidFill>
              <w14:schemeClr w14:val="tx1"/>
            </w14:solidFill>
          </w14:textFill>
        </w:rPr>
        <w:t>局部陡坎地段较陡。</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详见</w:t>
      </w:r>
      <w:r>
        <w:rPr>
          <w:rFonts w:hint="eastAsia" w:ascii="宋体" w:hAnsi="宋体" w:eastAsia="宋体" w:cs="宋体"/>
          <w:color w:val="000000" w:themeColor="text1"/>
          <w:sz w:val="28"/>
          <w:szCs w:val="28"/>
          <w:shd w:val="clear" w:color="auto" w:fill="FFFFFF"/>
          <w14:textFill>
            <w14:solidFill>
              <w14:schemeClr w14:val="tx1"/>
            </w14:solidFill>
          </w14:textFill>
        </w:rPr>
        <w:t>图2.1场地高程分析图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2" w:hRule="atLeast"/>
          <w:jc w:val="center"/>
        </w:trPr>
        <w:tc>
          <w:tcPr>
            <w:tcW w:w="9380" w:type="dxa"/>
          </w:tcPr>
          <w:p>
            <w:pPr>
              <w:spacing w:line="360" w:lineRule="auto"/>
              <w:jc w:val="center"/>
              <w:rPr>
                <w:rFonts w:ascii="宋体" w:hAnsi="宋体" w:eastAsia="宋体" w:cs="宋体"/>
                <w:b/>
                <w:bCs/>
                <w:color w:val="000000" w:themeColor="text1"/>
                <w:sz w:val="24"/>
                <w:shd w:val="clear" w:color="auto" w:fill="FFFFFF"/>
                <w14:textFill>
                  <w14:solidFill>
                    <w14:schemeClr w14:val="tx1"/>
                  </w14:solidFill>
                </w14:textFill>
              </w:rPr>
            </w:pPr>
            <w:r>
              <w:rPr>
                <w:rFonts w:ascii="宋体" w:hAnsi="宋体" w:eastAsia="宋体" w:cs="宋体"/>
                <w:b/>
                <w:bCs/>
                <w:color w:val="000000" w:themeColor="text1"/>
                <w:sz w:val="24"/>
                <w:shd w:val="clear" w:color="auto" w:fill="FFFFFF"/>
                <w14:textFill>
                  <w14:solidFill>
                    <w14:schemeClr w14:val="tx1"/>
                  </w14:solidFill>
                </w14:textFill>
              </w:rPr>
              <w:drawing>
                <wp:inline distT="0" distB="0" distL="0" distR="0">
                  <wp:extent cx="5688330" cy="3344545"/>
                  <wp:effectExtent l="0" t="0" r="7620" b="8255"/>
                  <wp:docPr id="1" name="图片 1" descr="E:\2023年\工业园区\工业园区整理资料\成果\规划图\现状高程分析图.jpg现状高程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23年\工业园区\工业园区整理资料\成果\规划图\现状高程分析图.jpg现状高程分析图"/>
                          <pic:cNvPicPr>
                            <a:picLocks noChangeAspect="1"/>
                          </pic:cNvPicPr>
                        </pic:nvPicPr>
                        <pic:blipFill>
                          <a:blip r:embed="rId12"/>
                          <a:srcRect l="1057" t="13375" r="1220" b="5304"/>
                          <a:stretch>
                            <a:fillRect/>
                          </a:stretch>
                        </pic:blipFill>
                        <pic:spPr>
                          <a:xfrm>
                            <a:off x="0" y="0"/>
                            <a:ext cx="5688330" cy="3344545"/>
                          </a:xfrm>
                          <a:prstGeom prst="rect">
                            <a:avLst/>
                          </a:prstGeom>
                          <a:ln>
                            <a:noFill/>
                          </a:ln>
                        </pic:spPr>
                      </pic:pic>
                    </a:graphicData>
                  </a:graphic>
                </wp:inline>
              </w:drawing>
            </w:r>
          </w:p>
          <w:p>
            <w:pPr>
              <w:spacing w:line="360" w:lineRule="auto"/>
              <w:ind w:firstLine="420" w:firstLineChars="200"/>
              <w:jc w:val="center"/>
              <w:rPr>
                <w:rFonts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val="0"/>
                <w:bCs w:val="0"/>
                <w:sz w:val="21"/>
                <w:szCs w:val="21"/>
                <w:shd w:val="clear" w:color="auto" w:fill="FFFFFF"/>
              </w:rPr>
              <w:t>图2.</w:t>
            </w:r>
            <w:r>
              <w:rPr>
                <w:rFonts w:hint="eastAsia" w:ascii="宋体" w:hAnsi="宋体" w:eastAsia="宋体" w:cs="宋体"/>
                <w:b w:val="0"/>
                <w:bCs w:val="0"/>
                <w:sz w:val="21"/>
                <w:szCs w:val="21"/>
                <w:shd w:val="clear" w:color="auto" w:fill="FFFFFF"/>
                <w:lang w:val="en-US" w:eastAsia="zh-CN"/>
              </w:rPr>
              <w:t>1</w:t>
            </w:r>
            <w:r>
              <w:rPr>
                <w:rFonts w:hint="eastAsia" w:ascii="宋体" w:hAnsi="宋体" w:eastAsia="宋体" w:cs="宋体"/>
                <w:b w:val="0"/>
                <w:bCs w:val="0"/>
                <w:i w:val="0"/>
                <w:caps w:val="0"/>
                <w:color w:val="000000" w:themeColor="text1"/>
                <w:spacing w:val="0"/>
                <w:sz w:val="21"/>
                <w:szCs w:val="21"/>
                <w:shd w:val="clear" w:fill="FFFFFF"/>
                <w:lang w:val="en-US" w:eastAsia="zh-CN"/>
                <w14:textFill>
                  <w14:solidFill>
                    <w14:schemeClr w14:val="tx1"/>
                  </w14:solidFill>
                </w14:textFill>
              </w:rPr>
              <w:t>场地高程分析</w:t>
            </w:r>
            <w:r>
              <w:rPr>
                <w:rFonts w:ascii="宋体" w:hAnsi="宋体" w:eastAsia="宋体" w:cs="宋体"/>
                <w:b w:val="0"/>
                <w:bCs w:val="0"/>
                <w:sz w:val="21"/>
                <w:szCs w:val="21"/>
                <w:shd w:val="clear" w:color="auto" w:fill="FFFFFF"/>
              </w:rPr>
              <w:t>图</w:t>
            </w:r>
          </w:p>
        </w:tc>
      </w:tr>
    </w:tbl>
    <w:p>
      <w:pPr>
        <w:spacing w:line="360" w:lineRule="auto"/>
        <w:ind w:firstLine="560" w:firstLineChars="200"/>
        <w:jc w:val="left"/>
        <w:rPr>
          <w:rFonts w:hint="eastAsia" w:ascii="宋体" w:hAnsi="宋体" w:eastAsia="宋体" w:cs="宋体"/>
          <w:color w:val="000000" w:themeColor="text1"/>
          <w:sz w:val="28"/>
          <w:szCs w:val="28"/>
          <w:shd w:val="clear" w:color="auto" w:fill="FFFFFF"/>
          <w14:textFill>
            <w14:solidFill>
              <w14:schemeClr w14:val="tx1"/>
            </w14:solidFill>
          </w14:textFill>
        </w:rPr>
      </w:pPr>
    </w:p>
    <w:p>
      <w:pPr>
        <w:pStyle w:val="4"/>
        <w:numPr>
          <w:ilvl w:val="0"/>
          <w:numId w:val="4"/>
        </w:numPr>
        <w:rPr>
          <w:color w:val="000000" w:themeColor="text1"/>
          <w14:textFill>
            <w14:solidFill>
              <w14:schemeClr w14:val="tx1"/>
            </w14:solidFill>
          </w14:textFill>
        </w:rPr>
      </w:pPr>
      <w:r>
        <w:rPr>
          <w:rFonts w:hint="eastAsia"/>
          <w:color w:val="000000" w:themeColor="text1"/>
          <w14:textFill>
            <w14:solidFill>
              <w14:schemeClr w14:val="tx1"/>
            </w14:solidFill>
          </w14:textFill>
        </w:rPr>
        <w:t>周边环境分析</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规划范围</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东</w:t>
      </w:r>
      <w:r>
        <w:rPr>
          <w:rFonts w:hint="eastAsia" w:ascii="宋体" w:hAnsi="宋体" w:eastAsia="宋体" w:cs="宋体"/>
          <w:color w:val="000000" w:themeColor="text1"/>
          <w:sz w:val="28"/>
          <w:szCs w:val="28"/>
          <w:shd w:val="clear" w:color="auto" w:fill="FFFFFF"/>
          <w14:textFill>
            <w14:solidFill>
              <w14:schemeClr w14:val="tx1"/>
            </w14:solidFill>
          </w14:textFill>
        </w:rPr>
        <w:t>面为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曲陆高速公路</w:t>
      </w:r>
      <w:r>
        <w:rPr>
          <w:rFonts w:hint="eastAsia" w:ascii="宋体" w:hAnsi="宋体" w:eastAsia="宋体" w:cs="宋体"/>
          <w:color w:val="000000" w:themeColor="text1"/>
          <w:sz w:val="28"/>
          <w:szCs w:val="28"/>
          <w:shd w:val="clear" w:color="auto" w:fill="FFFFFF"/>
          <w14:textFill>
            <w14:solidFill>
              <w14:schemeClr w14:val="tx1"/>
            </w14:solidFill>
          </w14:textFill>
        </w:rPr>
        <w:t>，再往南为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曲陆越州镇</w:t>
      </w:r>
      <w:r>
        <w:rPr>
          <w:rFonts w:hint="eastAsia" w:ascii="宋体" w:hAnsi="宋体" w:eastAsia="宋体" w:cs="宋体"/>
          <w:color w:val="000000" w:themeColor="text1"/>
          <w:sz w:val="28"/>
          <w:szCs w:val="28"/>
          <w:shd w:val="clear" w:color="auto" w:fill="FFFFFF"/>
          <w14:textFill>
            <w14:solidFill>
              <w14:schemeClr w14:val="tx1"/>
            </w14:solidFill>
          </w14:textFill>
        </w:rPr>
        <w:t>方向。</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西侧为五联社区居民区和山体，</w:t>
      </w:r>
      <w:r>
        <w:rPr>
          <w:rFonts w:hint="eastAsia" w:ascii="宋体" w:hAnsi="宋体" w:eastAsia="宋体" w:cs="宋体"/>
          <w:color w:val="000000" w:themeColor="text1"/>
          <w:sz w:val="28"/>
          <w:szCs w:val="28"/>
          <w:shd w:val="clear" w:color="auto" w:fill="FFFFFF"/>
          <w14:textFill>
            <w14:solidFill>
              <w14:schemeClr w14:val="tx1"/>
            </w14:solidFill>
          </w14:textFill>
        </w:rPr>
        <w:t>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侧</w:t>
      </w:r>
      <w:r>
        <w:rPr>
          <w:rFonts w:hint="eastAsia" w:ascii="宋体" w:hAnsi="宋体" w:eastAsia="宋体" w:cs="宋体"/>
          <w:color w:val="000000" w:themeColor="text1"/>
          <w:sz w:val="28"/>
          <w:szCs w:val="28"/>
          <w:shd w:val="clear" w:color="auto" w:fill="FFFFFF"/>
          <w14:textFill>
            <w14:solidFill>
              <w14:schemeClr w14:val="tx1"/>
            </w14:solidFill>
          </w14:textFill>
        </w:rPr>
        <w:t>是三宝镇何旗社区居委会徐家山居民小组。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南</w:t>
      </w:r>
      <w:r>
        <w:rPr>
          <w:rFonts w:ascii="宋体" w:hAnsi="宋体" w:eastAsia="宋体" w:cs="宋体"/>
          <w:color w:val="000000" w:themeColor="text1"/>
          <w:sz w:val="28"/>
          <w:szCs w:val="28"/>
          <w:shd w:val="clear" w:color="auto" w:fill="FFFFFF"/>
          <w14:textFill>
            <w14:solidFill>
              <w14:schemeClr w14:val="tx1"/>
            </w14:solidFill>
          </w14:textFill>
        </w:rPr>
        <w:t>侧为</w:t>
      </w:r>
      <w:r>
        <w:rPr>
          <w:rFonts w:hint="eastAsia" w:ascii="宋体" w:hAnsi="宋体" w:eastAsia="宋体" w:cs="宋体"/>
          <w:color w:val="000000" w:themeColor="text1"/>
          <w:sz w:val="28"/>
          <w:szCs w:val="28"/>
          <w:shd w:val="clear" w:color="auto" w:fill="FFFFFF"/>
          <w14:textFill>
            <w14:solidFill>
              <w14:schemeClr w14:val="tx1"/>
            </w14:solidFill>
          </w14:textFill>
        </w:rPr>
        <w:t>山体</w:t>
      </w:r>
      <w:r>
        <w:rPr>
          <w:rFonts w:ascii="宋体" w:hAnsi="宋体" w:eastAsia="宋体" w:cs="宋体"/>
          <w:color w:val="000000" w:themeColor="text1"/>
          <w:sz w:val="28"/>
          <w:szCs w:val="28"/>
          <w:shd w:val="clear" w:color="auto" w:fill="FFFFFF"/>
          <w14:textFill>
            <w14:solidFill>
              <w14:schemeClr w14:val="tx1"/>
            </w14:solidFill>
          </w14:textFill>
        </w:rPr>
        <w:t>和村庄</w:t>
      </w:r>
      <w:r>
        <w:rPr>
          <w:rFonts w:hint="eastAsia" w:ascii="宋体" w:hAnsi="宋体" w:eastAsia="宋体" w:cs="宋体"/>
          <w:color w:val="000000" w:themeColor="text1"/>
          <w:sz w:val="28"/>
          <w:szCs w:val="28"/>
          <w:shd w:val="clear" w:color="auto" w:fill="FFFFFF"/>
          <w14:textFill>
            <w14:solidFill>
              <w14:schemeClr w14:val="tx1"/>
            </w14:solidFill>
          </w14:textFill>
        </w:rPr>
        <w:t>，住宅</w:t>
      </w:r>
      <w:r>
        <w:rPr>
          <w:rFonts w:ascii="宋体" w:hAnsi="宋体" w:eastAsia="宋体" w:cs="宋体"/>
          <w:color w:val="000000" w:themeColor="text1"/>
          <w:sz w:val="28"/>
          <w:szCs w:val="28"/>
          <w:shd w:val="clear" w:color="auto" w:fill="FFFFFF"/>
          <w14:textFill>
            <w14:solidFill>
              <w14:schemeClr w14:val="tx1"/>
            </w14:solidFill>
          </w14:textFill>
        </w:rPr>
        <w:t>建筑风貌为</w:t>
      </w:r>
      <w:r>
        <w:rPr>
          <w:rFonts w:hint="eastAsia" w:ascii="宋体" w:hAnsi="宋体" w:eastAsia="宋体" w:cs="宋体"/>
          <w:color w:val="000000" w:themeColor="text1"/>
          <w:sz w:val="28"/>
          <w:szCs w:val="28"/>
          <w:shd w:val="clear" w:color="auto" w:fill="FFFFFF"/>
          <w14:textFill>
            <w14:solidFill>
              <w14:schemeClr w14:val="tx1"/>
            </w14:solidFill>
          </w14:textFill>
        </w:rPr>
        <w:t>现代风格，</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色彩较为混乱</w:t>
      </w:r>
      <w:r>
        <w:rPr>
          <w:rFonts w:hint="eastAsia" w:ascii="宋体" w:hAnsi="宋体" w:eastAsia="宋体" w:cs="宋体"/>
          <w:color w:val="000000" w:themeColor="text1"/>
          <w:sz w:val="28"/>
          <w:szCs w:val="28"/>
          <w:shd w:val="clear" w:color="auto" w:fill="FFFFFF"/>
          <w14:textFill>
            <w14:solidFill>
              <w14:schemeClr w14:val="tx1"/>
            </w14:solidFill>
          </w14:textFill>
        </w:rPr>
        <w:t>。规划范围</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内南绕城高速横穿地块中间，</w:t>
      </w:r>
      <w:r>
        <w:rPr>
          <w:rFonts w:hint="eastAsia" w:ascii="宋体" w:hAnsi="宋体" w:eastAsia="宋体" w:cs="宋体"/>
          <w:color w:val="000000" w:themeColor="text1"/>
          <w:sz w:val="28"/>
          <w:szCs w:val="28"/>
          <w:shd w:val="clear" w:color="auto" w:fill="FFFFFF"/>
          <w14:textFill>
            <w14:solidFill>
              <w14:schemeClr w14:val="tx1"/>
            </w14:solidFill>
          </w14:textFill>
        </w:rPr>
        <w:t>周边主要有曲靖城南收费站</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、三宝集镇、五联社区王家冲居民小组、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青峰村委会、温泉小镇、西冲防洪水库等</w:t>
      </w:r>
      <w:r>
        <w:rPr>
          <w:rFonts w:hint="eastAsia" w:ascii="宋体" w:hAnsi="宋体" w:eastAsia="宋体" w:cs="宋体"/>
          <w:color w:val="000000" w:themeColor="text1"/>
          <w:sz w:val="28"/>
          <w:szCs w:val="28"/>
          <w:shd w:val="clear" w:color="auto" w:fill="FFFFFF"/>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规划范围位于城市上风向，片区为未开发用地，周边部分配套设施不完善，</w:t>
      </w:r>
      <w:r>
        <w:rPr>
          <w:rFonts w:hint="eastAsia" w:ascii="宋体" w:hAnsi="宋体" w:eastAsia="宋体" w:cs="宋体"/>
          <w:color w:val="000000" w:themeColor="text1"/>
          <w:sz w:val="28"/>
          <w:szCs w:val="28"/>
          <w:shd w:val="clear" w:color="auto" w:fill="FFFFFF"/>
          <w14:textFill>
            <w14:solidFill>
              <w14:schemeClr w14:val="tx1"/>
            </w14:solidFill>
          </w14:textFill>
        </w:rPr>
        <w:t>产业园区现状、远期、远景与居民区的防护距离均满足</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相关</w:t>
      </w:r>
      <w:r>
        <w:rPr>
          <w:rFonts w:hint="eastAsia" w:ascii="宋体" w:hAnsi="宋体" w:eastAsia="宋体" w:cs="宋体"/>
          <w:color w:val="000000" w:themeColor="text1"/>
          <w:sz w:val="28"/>
          <w:szCs w:val="28"/>
          <w:shd w:val="clear" w:color="auto" w:fill="FFFFFF"/>
          <w14:textFill>
            <w14:solidFill>
              <w14:schemeClr w14:val="tx1"/>
            </w14:solidFill>
          </w14:textFill>
        </w:rPr>
        <w:t>要求</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。城市城镇开发边界（2035年）规划城市自然带状绿廊200米宽，形成天然屏障，将北侧城市居住区、拓展区与南部工业园区隔离，形成分区分明、产城融合的城市格局。</w:t>
      </w:r>
    </w:p>
    <w:p>
      <w:pPr>
        <w:pStyle w:val="4"/>
        <w:numPr>
          <w:ilvl w:val="0"/>
          <w:numId w:val="4"/>
        </w:numPr>
      </w:pPr>
      <w:r>
        <w:rPr>
          <w:rFonts w:hint="eastAsia"/>
        </w:rPr>
        <w:t>土地利用现状</w:t>
      </w:r>
    </w:p>
    <w:p>
      <w:pPr>
        <w:spacing w:line="360" w:lineRule="auto"/>
        <w:ind w:firstLine="560" w:firstLineChars="200"/>
        <w:jc w:val="left"/>
        <w:rPr>
          <w:rFonts w:ascii="宋体" w:hAnsi="宋体" w:eastAsia="宋体" w:cs="宋体"/>
          <w:b/>
          <w:bCs/>
          <w:sz w:val="24"/>
          <w:shd w:val="clear" w:color="auto" w:fill="FFFFFF"/>
        </w:rPr>
      </w:pPr>
      <w:r>
        <w:rPr>
          <w:rFonts w:hint="eastAsia" w:ascii="宋体" w:hAnsi="宋体" w:eastAsia="宋体" w:cs="宋体"/>
          <w:sz w:val="28"/>
          <w:szCs w:val="28"/>
          <w:shd w:val="clear" w:color="auto" w:fill="FFFFFF"/>
        </w:rPr>
        <w:t>规划区内现状建设用地64.70公顷</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占总用地面积的</w:t>
      </w:r>
      <w:r>
        <w:rPr>
          <w:rFonts w:hint="eastAsia" w:ascii="宋体" w:hAnsi="宋体" w:eastAsia="宋体" w:cs="宋体"/>
          <w:sz w:val="28"/>
          <w:szCs w:val="28"/>
          <w:shd w:val="clear" w:color="auto" w:fill="FFFFFF"/>
          <w:lang w:val="en-US" w:eastAsia="zh-CN"/>
        </w:rPr>
        <w:t>20.07</w:t>
      </w:r>
      <w:r>
        <w:rPr>
          <w:rFonts w:hint="eastAsia" w:ascii="宋体" w:hAnsi="宋体" w:eastAsia="宋体" w:cs="宋体"/>
          <w:sz w:val="28"/>
          <w:szCs w:val="28"/>
          <w:shd w:val="clear" w:color="auto" w:fill="FFFFFF"/>
        </w:rPr>
        <w:t>%</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果林用地60.68公顷，占总用地面积的</w:t>
      </w:r>
      <w:r>
        <w:rPr>
          <w:rFonts w:hint="eastAsia" w:ascii="宋体" w:hAnsi="宋体" w:eastAsia="宋体" w:cs="宋体"/>
          <w:sz w:val="28"/>
          <w:szCs w:val="28"/>
          <w:shd w:val="clear" w:color="auto" w:fill="FFFFFF"/>
          <w:lang w:val="en-US" w:eastAsia="zh-CN"/>
        </w:rPr>
        <w:t>18.82</w:t>
      </w:r>
      <w:r>
        <w:rPr>
          <w:rFonts w:hint="eastAsia" w:ascii="宋体" w:hAnsi="宋体" w:eastAsia="宋体" w:cs="宋体"/>
          <w:sz w:val="28"/>
          <w:szCs w:val="28"/>
          <w:shd w:val="clear" w:color="auto" w:fill="FFFFFF"/>
        </w:rPr>
        <w:t>%</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其他用地6.01公顷，占总用地面积的</w:t>
      </w:r>
      <w:r>
        <w:rPr>
          <w:rFonts w:hint="eastAsia" w:ascii="宋体" w:hAnsi="宋体" w:eastAsia="宋体" w:cs="宋体"/>
          <w:sz w:val="28"/>
          <w:szCs w:val="28"/>
          <w:shd w:val="clear" w:color="auto" w:fill="FFFFFF"/>
          <w:lang w:val="en-US" w:eastAsia="zh-CN"/>
        </w:rPr>
        <w:t>1.86</w:t>
      </w:r>
      <w:r>
        <w:rPr>
          <w:rFonts w:hint="eastAsia" w:ascii="宋体" w:hAnsi="宋体" w:eastAsia="宋体" w:cs="宋体"/>
          <w:sz w:val="28"/>
          <w:szCs w:val="28"/>
          <w:shd w:val="clear" w:color="auto" w:fill="FFFFFF"/>
        </w:rPr>
        <w:t>%</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陆地水域</w:t>
      </w:r>
      <w:r>
        <w:rPr>
          <w:rFonts w:hint="eastAsia" w:ascii="宋体" w:hAnsi="宋体" w:eastAsia="宋体" w:cs="宋体"/>
          <w:sz w:val="28"/>
          <w:szCs w:val="28"/>
          <w:shd w:val="clear" w:color="auto" w:fill="FFFFFF"/>
          <w:lang w:val="en-US" w:eastAsia="zh-CN"/>
        </w:rPr>
        <w:t>6.78</w:t>
      </w:r>
      <w:r>
        <w:rPr>
          <w:rFonts w:hint="eastAsia" w:ascii="宋体" w:hAnsi="宋体" w:eastAsia="宋体" w:cs="宋体"/>
          <w:sz w:val="28"/>
          <w:szCs w:val="28"/>
          <w:shd w:val="clear" w:color="auto" w:fill="FFFFFF"/>
        </w:rPr>
        <w:t>公顷，占总用地面积的</w:t>
      </w:r>
      <w:r>
        <w:rPr>
          <w:rFonts w:hint="eastAsia" w:ascii="宋体" w:hAnsi="宋体" w:eastAsia="宋体" w:cs="宋体"/>
          <w:sz w:val="28"/>
          <w:szCs w:val="28"/>
          <w:shd w:val="clear" w:color="auto" w:fill="FFFFFF"/>
          <w:lang w:val="en-US" w:eastAsia="zh-CN"/>
        </w:rPr>
        <w:t>2.1</w:t>
      </w:r>
      <w:r>
        <w:rPr>
          <w:rFonts w:hint="eastAsia" w:ascii="宋体" w:hAnsi="宋体" w:eastAsia="宋体" w:cs="宋体"/>
          <w:sz w:val="28"/>
          <w:szCs w:val="28"/>
          <w:shd w:val="clear" w:color="auto" w:fill="FFFFFF"/>
        </w:rPr>
        <w:t>%</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一般耕地182.96公顷</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占总用地面积的</w:t>
      </w:r>
      <w:r>
        <w:rPr>
          <w:rFonts w:hint="eastAsia" w:ascii="宋体" w:hAnsi="宋体" w:eastAsia="宋体" w:cs="宋体"/>
          <w:sz w:val="28"/>
          <w:szCs w:val="28"/>
          <w:shd w:val="clear" w:color="auto" w:fill="FFFFFF"/>
          <w:lang w:val="en-US" w:eastAsia="zh-CN"/>
        </w:rPr>
        <w:t>56.73</w:t>
      </w:r>
      <w:r>
        <w:rPr>
          <w:rFonts w:hint="eastAsia" w:ascii="宋体" w:hAnsi="宋体" w:eastAsia="宋体" w:cs="宋体"/>
          <w:sz w:val="28"/>
          <w:szCs w:val="28"/>
          <w:shd w:val="clear" w:color="auto" w:fill="FFFFFF"/>
        </w:rPr>
        <w:t>%。在规划区西冲水库周边有部分公益林分布，面积约</w:t>
      </w:r>
      <w:r>
        <w:rPr>
          <w:rFonts w:hint="eastAsia" w:ascii="宋体" w:hAnsi="宋体" w:eastAsia="宋体" w:cs="宋体"/>
          <w:sz w:val="28"/>
          <w:szCs w:val="28"/>
          <w:shd w:val="clear" w:color="auto" w:fill="FFFFFF"/>
          <w:lang w:val="en-US" w:eastAsia="zh-CN"/>
        </w:rPr>
        <w:t>45.55公顷，</w:t>
      </w:r>
      <w:r>
        <w:rPr>
          <w:rFonts w:hint="eastAsia" w:ascii="宋体" w:hAnsi="宋体" w:eastAsia="宋体" w:cs="宋体"/>
          <w:sz w:val="28"/>
          <w:szCs w:val="28"/>
          <w:shd w:val="clear" w:color="auto" w:fill="FFFFFF"/>
        </w:rPr>
        <w:t>考虑用地开发的完整性和基础设施投资的可行性，规划建议在下一步的林业规划中做调整。详见表2.1土地利用现状一览表</w:t>
      </w:r>
      <w:r>
        <w:rPr>
          <w:rFonts w:hint="eastAsia" w:ascii="宋体" w:hAnsi="宋体" w:eastAsia="宋体" w:cs="宋体"/>
          <w:sz w:val="28"/>
          <w:szCs w:val="28"/>
          <w:shd w:val="clear" w:color="auto" w:fill="FFFFFF"/>
          <w:lang w:eastAsia="zh-CN"/>
        </w:rPr>
        <w:t>、图2.</w:t>
      </w:r>
      <w:r>
        <w:rPr>
          <w:rFonts w:hint="eastAsia" w:ascii="宋体" w:hAnsi="宋体" w:eastAsia="宋体" w:cs="宋体"/>
          <w:sz w:val="28"/>
          <w:szCs w:val="28"/>
          <w:shd w:val="clear" w:color="auto" w:fill="FFFFFF"/>
          <w:lang w:val="en-US" w:eastAsia="zh-CN"/>
        </w:rPr>
        <w:t>2</w:t>
      </w:r>
      <w:r>
        <w:rPr>
          <w:rFonts w:hint="eastAsia" w:ascii="宋体" w:hAnsi="宋体" w:eastAsia="宋体" w:cs="宋体"/>
          <w:sz w:val="28"/>
          <w:szCs w:val="28"/>
          <w:shd w:val="clear" w:color="auto" w:fill="FFFFFF"/>
          <w:lang w:eastAsia="zh-CN"/>
        </w:rPr>
        <w:t>土地利用现状图</w:t>
      </w:r>
    </w:p>
    <w:p>
      <w:pPr>
        <w:spacing w:line="360" w:lineRule="auto"/>
        <w:ind w:firstLine="420" w:firstLineChars="200"/>
        <w:jc w:val="center"/>
        <w:rPr>
          <w:rFonts w:ascii="宋体" w:hAnsi="宋体" w:eastAsia="宋体" w:cs="宋体"/>
          <w:b w:val="0"/>
          <w:bCs w:val="0"/>
          <w:sz w:val="21"/>
          <w:szCs w:val="21"/>
          <w:shd w:val="clear" w:color="auto" w:fill="FFFFFF"/>
        </w:rPr>
      </w:pPr>
      <w:r>
        <w:rPr>
          <w:rFonts w:hint="eastAsia" w:ascii="宋体" w:hAnsi="宋体" w:eastAsia="宋体" w:cs="宋体"/>
          <w:b w:val="0"/>
          <w:bCs w:val="0"/>
          <w:sz w:val="21"/>
          <w:szCs w:val="21"/>
          <w:shd w:val="clear" w:color="auto" w:fill="FFFFFF"/>
        </w:rPr>
        <w:t>表2.1土地利用现状一览表</w:t>
      </w:r>
    </w:p>
    <w:tbl>
      <w:tblPr>
        <w:tblStyle w:val="12"/>
        <w:tblW w:w="9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399"/>
        <w:gridCol w:w="1398"/>
        <w:gridCol w:w="1539"/>
        <w:gridCol w:w="2099"/>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用地代码</w:t>
            </w:r>
          </w:p>
        </w:tc>
        <w:tc>
          <w:tcPr>
            <w:tcW w:w="1399" w:type="dxa"/>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用地代码</w:t>
            </w:r>
          </w:p>
        </w:tc>
        <w:tc>
          <w:tcPr>
            <w:tcW w:w="1398" w:type="dxa"/>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用地代码</w:t>
            </w:r>
          </w:p>
        </w:tc>
        <w:tc>
          <w:tcPr>
            <w:tcW w:w="1539" w:type="dxa"/>
            <w:vMerge w:val="restart"/>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用地名称</w:t>
            </w:r>
          </w:p>
        </w:tc>
        <w:tc>
          <w:tcPr>
            <w:tcW w:w="2099" w:type="dxa"/>
            <w:vMerge w:val="restart"/>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用地面积(hm²)</w:t>
            </w:r>
          </w:p>
        </w:tc>
        <w:tc>
          <w:tcPr>
            <w:tcW w:w="1728" w:type="dxa"/>
            <w:vMerge w:val="restart"/>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占城市建设用地比例(%)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一级类</w:t>
            </w:r>
          </w:p>
        </w:tc>
        <w:tc>
          <w:tcPr>
            <w:tcW w:w="1399" w:type="dxa"/>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二级类</w:t>
            </w:r>
          </w:p>
        </w:tc>
        <w:tc>
          <w:tcPr>
            <w:tcW w:w="1398" w:type="dxa"/>
            <w:shd w:val="clear" w:color="auto" w:fill="auto"/>
            <w:vAlign w:val="center"/>
          </w:tcPr>
          <w:p>
            <w:pPr>
              <w:widowControl/>
              <w:jc w:val="center"/>
              <w:rPr>
                <w:rFonts w:ascii="微软雅黑" w:hAnsi="微软雅黑" w:eastAsia="微软雅黑" w:cs="宋体"/>
                <w:b/>
                <w:bCs/>
                <w:color w:val="000000"/>
                <w:kern w:val="0"/>
                <w:sz w:val="18"/>
                <w:szCs w:val="18"/>
              </w:rPr>
            </w:pPr>
            <w:r>
              <w:rPr>
                <w:rFonts w:hint="eastAsia" w:ascii="微软雅黑" w:hAnsi="微软雅黑" w:eastAsia="微软雅黑" w:cs="宋体"/>
                <w:b/>
                <w:bCs/>
                <w:color w:val="000000"/>
                <w:kern w:val="0"/>
                <w:sz w:val="18"/>
                <w:szCs w:val="18"/>
              </w:rPr>
              <w:t>三级类</w:t>
            </w:r>
          </w:p>
        </w:tc>
        <w:tc>
          <w:tcPr>
            <w:tcW w:w="1539" w:type="dxa"/>
            <w:vMerge w:val="continue"/>
            <w:shd w:val="clear" w:color="auto" w:fill="auto"/>
            <w:vAlign w:val="center"/>
          </w:tcPr>
          <w:p>
            <w:pPr>
              <w:widowControl/>
              <w:jc w:val="left"/>
              <w:rPr>
                <w:rFonts w:ascii="微软雅黑" w:hAnsi="微软雅黑" w:eastAsia="微软雅黑" w:cs="宋体"/>
                <w:b/>
                <w:bCs/>
                <w:color w:val="000000"/>
                <w:kern w:val="0"/>
                <w:sz w:val="18"/>
                <w:szCs w:val="18"/>
              </w:rPr>
            </w:pPr>
          </w:p>
        </w:tc>
        <w:tc>
          <w:tcPr>
            <w:tcW w:w="2099" w:type="dxa"/>
            <w:vMerge w:val="continue"/>
            <w:shd w:val="clear" w:color="auto" w:fill="auto"/>
            <w:vAlign w:val="center"/>
          </w:tcPr>
          <w:p>
            <w:pPr>
              <w:widowControl/>
              <w:jc w:val="left"/>
              <w:rPr>
                <w:rFonts w:ascii="微软雅黑" w:hAnsi="微软雅黑" w:eastAsia="微软雅黑" w:cs="宋体"/>
                <w:b/>
                <w:bCs/>
                <w:color w:val="000000"/>
                <w:kern w:val="0"/>
                <w:sz w:val="18"/>
                <w:szCs w:val="18"/>
              </w:rPr>
            </w:pPr>
          </w:p>
        </w:tc>
        <w:tc>
          <w:tcPr>
            <w:tcW w:w="1728" w:type="dxa"/>
            <w:vMerge w:val="continue"/>
            <w:shd w:val="clear" w:color="auto" w:fill="auto"/>
            <w:vAlign w:val="center"/>
          </w:tcPr>
          <w:p>
            <w:pPr>
              <w:widowControl/>
              <w:jc w:val="left"/>
              <w:rPr>
                <w:rFonts w:ascii="微软雅黑" w:hAnsi="微软雅黑" w:eastAsia="微软雅黑" w:cs="宋体"/>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01</w:t>
            </w:r>
          </w:p>
        </w:tc>
        <w:tc>
          <w:tcPr>
            <w:tcW w:w="4336" w:type="dxa"/>
            <w:gridSpan w:val="3"/>
            <w:shd w:val="clear" w:color="auto" w:fill="auto"/>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lang w:val="en-US" w:eastAsia="zh-CN"/>
              </w:rPr>
              <w:t>耕</w:t>
            </w:r>
            <w:r>
              <w:rPr>
                <w:rFonts w:hint="eastAsia" w:ascii="微软雅黑" w:hAnsi="微软雅黑" w:eastAsia="微软雅黑" w:cs="宋体"/>
                <w:color w:val="000000"/>
                <w:kern w:val="0"/>
                <w:sz w:val="18"/>
                <w:szCs w:val="18"/>
              </w:rPr>
              <w:t>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182.96</w:t>
            </w:r>
          </w:p>
        </w:tc>
        <w:tc>
          <w:tcPr>
            <w:tcW w:w="1728" w:type="dxa"/>
            <w:shd w:val="clear" w:color="auto" w:fill="auto"/>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lang w:val="en-US" w:eastAsia="zh-CN"/>
              </w:rPr>
              <w:t>56.73</w:t>
            </w:r>
            <w:r>
              <w:rPr>
                <w:rFonts w:hint="eastAsia" w:ascii="微软雅黑" w:hAnsi="微软雅黑" w:eastAsia="微软雅黑" w:cs="宋体"/>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center"/>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0103</w:t>
            </w:r>
          </w:p>
        </w:tc>
        <w:tc>
          <w:tcPr>
            <w:tcW w:w="1398" w:type="dxa"/>
            <w:shd w:val="clear" w:color="auto" w:fill="auto"/>
            <w:vAlign w:val="center"/>
          </w:tcPr>
          <w:p>
            <w:pPr>
              <w:widowControl/>
              <w:jc w:val="center"/>
              <w:rPr>
                <w:rFonts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lang w:val="en-US" w:eastAsia="zh-CN"/>
              </w:rPr>
              <w:t>旱</w:t>
            </w:r>
            <w:r>
              <w:rPr>
                <w:rFonts w:hint="eastAsia" w:ascii="微软雅黑" w:hAnsi="微软雅黑" w:eastAsia="微软雅黑" w:cs="宋体"/>
                <w:color w:val="000000"/>
                <w:kern w:val="0"/>
                <w:sz w:val="18"/>
                <w:szCs w:val="18"/>
              </w:rPr>
              <w:t>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182.96</w:t>
            </w:r>
          </w:p>
        </w:tc>
        <w:tc>
          <w:tcPr>
            <w:tcW w:w="1728" w:type="dxa"/>
            <w:shd w:val="clear" w:color="auto" w:fill="auto"/>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lang w:val="en-US" w:eastAsia="zh-CN"/>
              </w:rPr>
              <w:t>56.73%</w:t>
            </w:r>
            <w:r>
              <w:rPr>
                <w:rFonts w:hint="eastAsia" w:ascii="微软雅黑" w:hAnsi="微软雅黑" w:eastAsia="微软雅黑" w:cs="宋体"/>
                <w:color w:val="000000"/>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02</w:t>
            </w:r>
          </w:p>
        </w:tc>
        <w:tc>
          <w:tcPr>
            <w:tcW w:w="4336" w:type="dxa"/>
            <w:gridSpan w:val="3"/>
            <w:shd w:val="clear" w:color="auto" w:fill="auto"/>
            <w:vAlign w:val="center"/>
          </w:tcPr>
          <w:p>
            <w:pPr>
              <w:widowControl/>
              <w:jc w:val="center"/>
              <w:rPr>
                <w:rFonts w:hint="eastAsia"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园地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14.75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center"/>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0204</w:t>
            </w:r>
          </w:p>
        </w:tc>
        <w:tc>
          <w:tcPr>
            <w:tcW w:w="1398"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其他园地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14.75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03</w:t>
            </w:r>
          </w:p>
        </w:tc>
        <w:tc>
          <w:tcPr>
            <w:tcW w:w="4336" w:type="dxa"/>
            <w:gridSpan w:val="3"/>
            <w:shd w:val="clear" w:color="auto" w:fill="auto"/>
            <w:vAlign w:val="center"/>
          </w:tcPr>
          <w:p>
            <w:pPr>
              <w:widowControl/>
              <w:jc w:val="center"/>
              <w:rPr>
                <w:rFonts w:hint="eastAsia"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林地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45.55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left"/>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0304</w:t>
            </w:r>
          </w:p>
        </w:tc>
        <w:tc>
          <w:tcPr>
            <w:tcW w:w="1398"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其他林地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45.55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06</w:t>
            </w:r>
          </w:p>
        </w:tc>
        <w:tc>
          <w:tcPr>
            <w:tcW w:w="4336" w:type="dxa"/>
            <w:gridSpan w:val="3"/>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乡村道路用地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5.5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center"/>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0601</w:t>
            </w:r>
          </w:p>
        </w:tc>
        <w:tc>
          <w:tcPr>
            <w:tcW w:w="139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060101</w:t>
            </w:r>
          </w:p>
        </w:tc>
        <w:tc>
          <w:tcPr>
            <w:tcW w:w="153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村道用地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5.5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07</w:t>
            </w:r>
          </w:p>
        </w:tc>
        <w:tc>
          <w:tcPr>
            <w:tcW w:w="1399"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398"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居住用地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38.55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center"/>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0703</w:t>
            </w:r>
          </w:p>
        </w:tc>
        <w:tc>
          <w:tcPr>
            <w:tcW w:w="1398"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农村宅基地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38.55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10</w:t>
            </w:r>
          </w:p>
        </w:tc>
        <w:tc>
          <w:tcPr>
            <w:tcW w:w="4336" w:type="dxa"/>
            <w:gridSpan w:val="3"/>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工矿用地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1.45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center"/>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1002</w:t>
            </w:r>
          </w:p>
        </w:tc>
        <w:tc>
          <w:tcPr>
            <w:tcW w:w="1398"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采矿用地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1.45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12</w:t>
            </w:r>
          </w:p>
        </w:tc>
        <w:tc>
          <w:tcPr>
            <w:tcW w:w="4336" w:type="dxa"/>
            <w:gridSpan w:val="3"/>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交通运输用地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26.15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center"/>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1202</w:t>
            </w:r>
          </w:p>
        </w:tc>
        <w:tc>
          <w:tcPr>
            <w:tcW w:w="1398"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hint="eastAsia"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lang w:val="en-US" w:eastAsia="zh-CN"/>
              </w:rPr>
              <w:t>公路用地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26.15</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17</w:t>
            </w:r>
          </w:p>
        </w:tc>
        <w:tc>
          <w:tcPr>
            <w:tcW w:w="4336" w:type="dxa"/>
            <w:gridSpan w:val="3"/>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陆地水域</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6.78</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restart"/>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23</w:t>
            </w:r>
          </w:p>
        </w:tc>
        <w:tc>
          <w:tcPr>
            <w:tcW w:w="4336" w:type="dxa"/>
            <w:gridSpan w:val="3"/>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其他土地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0.81</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254" w:type="dxa"/>
            <w:vMerge w:val="continue"/>
            <w:shd w:val="clear" w:color="auto" w:fill="auto"/>
            <w:vAlign w:val="center"/>
          </w:tcPr>
          <w:p>
            <w:pPr>
              <w:widowControl/>
              <w:jc w:val="center"/>
              <w:rPr>
                <w:rFonts w:ascii="微软雅黑" w:hAnsi="微软雅黑" w:eastAsia="微软雅黑" w:cs="宋体"/>
                <w:color w:val="000000"/>
                <w:kern w:val="0"/>
                <w:sz w:val="18"/>
                <w:szCs w:val="18"/>
              </w:rPr>
            </w:pPr>
          </w:p>
        </w:tc>
        <w:tc>
          <w:tcPr>
            <w:tcW w:w="13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2301</w:t>
            </w:r>
          </w:p>
        </w:tc>
        <w:tc>
          <w:tcPr>
            <w:tcW w:w="1398" w:type="dxa"/>
            <w:shd w:val="clear" w:color="auto" w:fill="auto"/>
            <w:vAlign w:val="center"/>
          </w:tcPr>
          <w:p>
            <w:pPr>
              <w:widowControl/>
              <w:jc w:val="center"/>
              <w:rPr>
                <w:rFonts w:hint="eastAsia" w:ascii="微软雅黑" w:hAnsi="微软雅黑" w:eastAsia="微软雅黑" w:cs="宋体"/>
                <w:color w:val="000000"/>
                <w:kern w:val="0"/>
                <w:sz w:val="18"/>
                <w:szCs w:val="18"/>
              </w:rPr>
            </w:pPr>
          </w:p>
        </w:tc>
        <w:tc>
          <w:tcPr>
            <w:tcW w:w="1539" w:type="dxa"/>
            <w:shd w:val="clear" w:color="auto" w:fill="auto"/>
            <w:vAlign w:val="center"/>
          </w:tcPr>
          <w:p>
            <w:pPr>
              <w:widowControl/>
              <w:jc w:val="center"/>
              <w:rPr>
                <w:rFonts w:hint="eastAsia"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空闲地</w:t>
            </w:r>
          </w:p>
        </w:tc>
        <w:tc>
          <w:tcPr>
            <w:tcW w:w="2099"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0.81</w:t>
            </w:r>
          </w:p>
        </w:tc>
        <w:tc>
          <w:tcPr>
            <w:tcW w:w="1728" w:type="dxa"/>
            <w:shd w:val="clear" w:color="auto" w:fill="auto"/>
            <w:vAlign w:val="center"/>
          </w:tcPr>
          <w:p>
            <w:pPr>
              <w:widowControl/>
              <w:jc w:val="center"/>
              <w:rPr>
                <w:rFonts w:hint="default" w:ascii="微软雅黑" w:hAnsi="微软雅黑" w:eastAsia="微软雅黑" w:cs="宋体"/>
                <w:color w:val="000000"/>
                <w:kern w:val="0"/>
                <w:sz w:val="18"/>
                <w:szCs w:val="18"/>
                <w:lang w:val="en-US" w:eastAsia="zh-CN"/>
              </w:rPr>
            </w:pPr>
            <w:r>
              <w:rPr>
                <w:rFonts w:hint="eastAsia" w:ascii="微软雅黑" w:hAnsi="微软雅黑" w:eastAsia="微软雅黑" w:cs="宋体"/>
                <w:color w:val="000000"/>
                <w:kern w:val="0"/>
                <w:sz w:val="18"/>
                <w:szCs w:val="18"/>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90" w:type="dxa"/>
            <w:gridSpan w:val="4"/>
            <w:shd w:val="clear" w:color="auto" w:fill="auto"/>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小计</w:t>
            </w:r>
          </w:p>
        </w:tc>
        <w:tc>
          <w:tcPr>
            <w:tcW w:w="2099" w:type="dxa"/>
            <w:shd w:val="clear" w:color="auto" w:fill="auto"/>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160.05</w:t>
            </w:r>
          </w:p>
        </w:tc>
        <w:tc>
          <w:tcPr>
            <w:tcW w:w="1728" w:type="dxa"/>
            <w:shd w:val="clear" w:color="auto" w:fill="auto"/>
            <w:vAlign w:val="center"/>
          </w:tcPr>
          <w:p>
            <w:pPr>
              <w:widowControl/>
              <w:jc w:val="center"/>
              <w:rPr>
                <w:rFonts w:ascii="微软雅黑" w:hAnsi="微软雅黑" w:eastAsia="微软雅黑" w:cs="宋体"/>
                <w:color w:val="000000"/>
                <w:kern w:val="0"/>
                <w:sz w:val="18"/>
                <w:szCs w:val="18"/>
              </w:rPr>
            </w:pPr>
            <w:r>
              <w:rPr>
                <w:rFonts w:hint="eastAsia" w:ascii="微软雅黑" w:hAnsi="微软雅黑" w:eastAsia="微软雅黑" w:cs="宋体"/>
                <w:color w:val="000000"/>
                <w:kern w:val="0"/>
                <w:sz w:val="18"/>
                <w:szCs w:val="18"/>
              </w:rPr>
              <w:t>100.00%</w:t>
            </w:r>
          </w:p>
        </w:tc>
      </w:tr>
    </w:tbl>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7" w:hRule="atLeast"/>
          <w:jc w:val="center"/>
        </w:trPr>
        <w:tc>
          <w:tcPr>
            <w:tcW w:w="9140" w:type="dxa"/>
          </w:tcPr>
          <w:p>
            <w:pPr>
              <w:spacing w:line="360" w:lineRule="auto"/>
              <w:jc w:val="center"/>
              <w:rPr>
                <w:rFonts w:ascii="宋体" w:hAnsi="宋体" w:eastAsia="宋体" w:cs="宋体"/>
                <w:b/>
                <w:bCs/>
                <w:color w:val="000000" w:themeColor="text1"/>
                <w:sz w:val="24"/>
                <w:shd w:val="clear" w:color="auto" w:fill="FFFFFF"/>
                <w14:textFill>
                  <w14:solidFill>
                    <w14:schemeClr w14:val="tx1"/>
                  </w14:solidFill>
                </w14:textFill>
              </w:rPr>
            </w:pPr>
            <w:r>
              <w:rPr>
                <w:rFonts w:ascii="宋体" w:hAnsi="宋体" w:eastAsia="宋体" w:cs="宋体"/>
                <w:b/>
                <w:bCs/>
                <w:color w:val="000000" w:themeColor="text1"/>
                <w:sz w:val="24"/>
                <w:shd w:val="clear" w:color="auto" w:fill="FFFFFF"/>
                <w14:textFill>
                  <w14:solidFill>
                    <w14:schemeClr w14:val="tx1"/>
                  </w14:solidFill>
                </w14:textFill>
              </w:rPr>
              <w:drawing>
                <wp:inline distT="0" distB="0" distL="0" distR="0">
                  <wp:extent cx="5895975" cy="3364230"/>
                  <wp:effectExtent l="0" t="0" r="0" b="0"/>
                  <wp:docPr id="28" name="图片 28" descr="E:\2023年\工业园区\工业园区最终成果\罗汉山工业园区成果\规划图\规划图纸文本说明书\现状\04土地利用现状图.jpg04土地利用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2023年\工业园区\工业园区最终成果\罗汉山工业园区成果\规划图\规划图纸文本说明书\现状\04土地利用现状图.jpg04土地利用现状图"/>
                          <pic:cNvPicPr>
                            <a:picLocks noChangeAspect="1"/>
                          </pic:cNvPicPr>
                        </pic:nvPicPr>
                        <pic:blipFill>
                          <a:blip r:embed="rId13"/>
                          <a:srcRect l="-194" t="13483" r="194" b="5754"/>
                          <a:stretch>
                            <a:fillRect/>
                          </a:stretch>
                        </pic:blipFill>
                        <pic:spPr>
                          <a:xfrm>
                            <a:off x="0" y="0"/>
                            <a:ext cx="5895975" cy="3364230"/>
                          </a:xfrm>
                          <a:prstGeom prst="rect">
                            <a:avLst/>
                          </a:prstGeom>
                          <a:ln>
                            <a:noFill/>
                          </a:ln>
                        </pic:spPr>
                      </pic:pic>
                    </a:graphicData>
                  </a:graphic>
                </wp:inline>
              </w:drawing>
            </w:r>
          </w:p>
          <w:p>
            <w:pPr>
              <w:spacing w:line="360" w:lineRule="auto"/>
              <w:ind w:firstLine="420" w:firstLineChars="200"/>
              <w:jc w:val="center"/>
              <w:rPr>
                <w:rFonts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val="0"/>
                <w:bCs w:val="0"/>
                <w:sz w:val="21"/>
                <w:szCs w:val="21"/>
                <w:shd w:val="clear" w:color="auto" w:fill="FFFFFF"/>
              </w:rPr>
              <w:t>图2</w:t>
            </w:r>
            <w:r>
              <w:rPr>
                <w:rFonts w:hint="eastAsia" w:ascii="宋体" w:hAnsi="宋体" w:eastAsia="宋体" w:cs="宋体"/>
                <w:b w:val="0"/>
                <w:bCs w:val="0"/>
                <w:sz w:val="21"/>
                <w:szCs w:val="21"/>
                <w:shd w:val="clear" w:color="auto" w:fill="FFFFFF"/>
                <w:lang w:val="en-US" w:eastAsia="zh-CN"/>
              </w:rPr>
              <w:t>.2</w:t>
            </w:r>
            <w:r>
              <w:rPr>
                <w:rFonts w:hint="eastAsia" w:ascii="宋体" w:hAnsi="宋体" w:eastAsia="宋体" w:cs="宋体"/>
                <w:b w:val="0"/>
                <w:bCs w:val="0"/>
                <w:sz w:val="21"/>
                <w:szCs w:val="21"/>
                <w:shd w:val="clear" w:color="auto" w:fill="FFFFFF"/>
              </w:rPr>
              <w:t>土地利用</w:t>
            </w:r>
            <w:r>
              <w:rPr>
                <w:rFonts w:ascii="宋体" w:hAnsi="宋体" w:eastAsia="宋体" w:cs="宋体"/>
                <w:b w:val="0"/>
                <w:bCs w:val="0"/>
                <w:sz w:val="21"/>
                <w:szCs w:val="21"/>
                <w:shd w:val="clear" w:color="auto" w:fill="FFFFFF"/>
              </w:rPr>
              <w:t>现状图</w:t>
            </w:r>
          </w:p>
        </w:tc>
      </w:tr>
    </w:tbl>
    <w:p>
      <w:pPr>
        <w:pStyle w:val="4"/>
        <w:numPr>
          <w:ilvl w:val="0"/>
          <w:numId w:val="4"/>
        </w:numPr>
      </w:pPr>
      <w:r>
        <w:rPr>
          <w:rFonts w:hint="eastAsia"/>
        </w:rPr>
        <w:t>现状用地权属概况</w:t>
      </w:r>
    </w:p>
    <w:p>
      <w:pPr>
        <w:spacing w:line="360" w:lineRule="auto"/>
        <w:ind w:firstLine="1120" w:firstLineChars="400"/>
        <w:jc w:val="left"/>
        <w:rPr>
          <w:rFonts w:hint="eastAsia" w:ascii="宋体" w:hAnsi="宋体" w:eastAsia="宋体" w:cs="宋体"/>
          <w:sz w:val="28"/>
          <w:szCs w:val="28"/>
          <w:shd w:val="clear" w:color="auto" w:fill="FFFFFF"/>
        </w:rPr>
      </w:pPr>
      <w:r>
        <w:rPr>
          <w:rFonts w:hint="eastAsia" w:ascii="宋体" w:hAnsi="宋体" w:eastAsia="宋体" w:cs="宋体"/>
          <w:color w:val="000000" w:themeColor="text1"/>
          <w:sz w:val="28"/>
          <w:szCs w:val="28"/>
          <w:shd w:val="clear" w:color="auto" w:fill="FFFFFF"/>
          <w14:textFill>
            <w14:solidFill>
              <w14:schemeClr w14:val="tx1"/>
            </w14:solidFill>
          </w14:textFill>
        </w:rPr>
        <w:t>规划区内现状用地权属较为简单，</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国有</w:t>
      </w:r>
      <w:r>
        <w:rPr>
          <w:rFonts w:hint="eastAsia" w:ascii="宋体" w:hAnsi="宋体" w:eastAsia="宋体" w:cs="宋体"/>
          <w:color w:val="000000" w:themeColor="text1"/>
          <w:sz w:val="28"/>
          <w:szCs w:val="28"/>
          <w:shd w:val="clear" w:color="auto" w:fill="FFFFFF"/>
          <w14:textFill>
            <w14:solidFill>
              <w14:schemeClr w14:val="tx1"/>
            </w14:solidFill>
          </w14:textFill>
        </w:rPr>
        <w:t>土地57.02公顷，其中部分道路属于已供地7.22公顷；</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集体</w:t>
      </w:r>
      <w:r>
        <w:rPr>
          <w:rFonts w:hint="eastAsia" w:ascii="宋体" w:hAnsi="宋体" w:eastAsia="宋体" w:cs="宋体"/>
          <w:color w:val="000000" w:themeColor="text1"/>
          <w:sz w:val="28"/>
          <w:szCs w:val="28"/>
          <w:shd w:val="clear" w:color="auto" w:fill="FFFFFF"/>
          <w14:textFill>
            <w14:solidFill>
              <w14:schemeClr w14:val="tx1"/>
            </w14:solidFill>
          </w14:textFill>
        </w:rPr>
        <w:t>土地244.43公顷，高速公路用地13.83公顷。</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大</w:t>
      </w:r>
      <w:r>
        <w:rPr>
          <w:rFonts w:hint="eastAsia" w:ascii="宋体" w:hAnsi="宋体" w:eastAsia="宋体" w:cs="宋体"/>
          <w:color w:val="000000" w:themeColor="text1"/>
          <w:sz w:val="28"/>
          <w:szCs w:val="28"/>
          <w:shd w:val="clear" w:color="auto" w:fill="FFFFFF"/>
          <w14:textFill>
            <w14:solidFill>
              <w14:schemeClr w14:val="tx1"/>
            </w14:solidFill>
          </w14:textFill>
        </w:rPr>
        <w:t>部分</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多</w:t>
      </w:r>
      <w:r>
        <w:rPr>
          <w:rFonts w:hint="eastAsia" w:ascii="宋体" w:hAnsi="宋体" w:eastAsia="宋体" w:cs="宋体"/>
          <w:color w:val="000000" w:themeColor="text1"/>
          <w:sz w:val="28"/>
          <w:szCs w:val="28"/>
          <w:shd w:val="clear" w:color="auto" w:fill="FFFFFF"/>
          <w14:textFill>
            <w14:solidFill>
              <w14:schemeClr w14:val="tx1"/>
            </w14:solidFill>
          </w14:textFill>
        </w:rPr>
        <w:t>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五联社区</w:t>
      </w:r>
      <w:r>
        <w:rPr>
          <w:rFonts w:ascii="宋体" w:hAnsi="宋体" w:eastAsia="宋体" w:cs="宋体"/>
          <w:color w:val="000000" w:themeColor="text1"/>
          <w:sz w:val="28"/>
          <w:szCs w:val="28"/>
          <w:shd w:val="clear" w:color="auto" w:fill="FFFFFF"/>
          <w14:textFill>
            <w14:solidFill>
              <w14:schemeClr w14:val="tx1"/>
            </w14:solidFill>
          </w14:textFill>
        </w:rPr>
        <w:t>居民小组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集体</w:t>
      </w:r>
      <w:r>
        <w:rPr>
          <w:rFonts w:ascii="宋体" w:hAnsi="宋体" w:eastAsia="宋体" w:cs="宋体"/>
          <w:color w:val="000000" w:themeColor="text1"/>
          <w:sz w:val="28"/>
          <w:szCs w:val="28"/>
          <w:shd w:val="clear" w:color="auto" w:fill="FFFFFF"/>
          <w14:textFill>
            <w14:solidFill>
              <w14:schemeClr w14:val="tx1"/>
            </w14:solidFill>
          </w14:textFill>
        </w:rPr>
        <w:t>用地</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sz w:val="28"/>
          <w:szCs w:val="28"/>
          <w:shd w:val="clear" w:color="auto" w:fill="FFFFFF"/>
        </w:rPr>
        <w:t>详见图2.</w:t>
      </w:r>
      <w:r>
        <w:rPr>
          <w:rFonts w:hint="eastAsia" w:ascii="宋体" w:hAnsi="宋体" w:eastAsia="宋体" w:cs="宋体"/>
          <w:sz w:val="28"/>
          <w:szCs w:val="28"/>
          <w:shd w:val="clear" w:color="auto" w:fill="FFFFFF"/>
          <w:lang w:val="en-US" w:eastAsia="zh-CN"/>
        </w:rPr>
        <w:t>3</w:t>
      </w:r>
      <w:r>
        <w:rPr>
          <w:rFonts w:hint="eastAsia" w:ascii="宋体" w:hAnsi="宋体" w:eastAsia="宋体" w:cs="宋体"/>
          <w:sz w:val="28"/>
          <w:szCs w:val="28"/>
          <w:shd w:val="clear" w:color="auto" w:fill="FFFFFF"/>
        </w:rPr>
        <w:t>用地权属现状图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7" w:hRule="atLeast"/>
          <w:jc w:val="center"/>
        </w:trPr>
        <w:tc>
          <w:tcPr>
            <w:tcW w:w="8580" w:type="dxa"/>
          </w:tcPr>
          <w:p>
            <w:pPr>
              <w:spacing w:line="360" w:lineRule="auto"/>
              <w:jc w:val="center"/>
              <w:rPr>
                <w:rFonts w:ascii="宋体" w:hAnsi="宋体" w:eastAsia="宋体" w:cs="宋体"/>
                <w:color w:val="000000" w:themeColor="text1"/>
                <w:sz w:val="28"/>
                <w:szCs w:val="28"/>
                <w:shd w:val="clear" w:color="auto" w:fill="FFFFFF"/>
                <w14:textFill>
                  <w14:solidFill>
                    <w14:schemeClr w14:val="tx1"/>
                  </w14:solidFill>
                </w14:textFill>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5357495" cy="3079750"/>
                  <wp:effectExtent l="0" t="0" r="0" b="0"/>
                  <wp:docPr id="29" name="图片 29" descr="E:\2023年\工业园区\工业园区最终成果\罗汉山工业园区成果\规划图\规划图纸文本说明书\现状\06用地权属现状图.jpg06用地权属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2023年\工业园区\工业园区最终成果\罗汉山工业园区成果\规划图\规划图纸文本说明书\现状\06用地权属现状图.jpg06用地权属现状图"/>
                          <pic:cNvPicPr>
                            <a:picLocks noChangeAspect="1"/>
                          </pic:cNvPicPr>
                        </pic:nvPicPr>
                        <pic:blipFill>
                          <a:blip r:embed="rId14"/>
                          <a:srcRect t="13207" b="5422"/>
                          <a:stretch>
                            <a:fillRect/>
                          </a:stretch>
                        </pic:blipFill>
                        <pic:spPr>
                          <a:xfrm>
                            <a:off x="0" y="0"/>
                            <a:ext cx="5357495" cy="3079750"/>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图2.</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3</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用地权属现状图</w:t>
            </w:r>
          </w:p>
        </w:tc>
      </w:tr>
    </w:tbl>
    <w:p>
      <w:pPr>
        <w:pStyle w:val="4"/>
        <w:numPr>
          <w:ilvl w:val="0"/>
          <w:numId w:val="4"/>
        </w:numPr>
      </w:pPr>
      <w:r>
        <w:rPr>
          <w:rFonts w:hint="eastAsia"/>
        </w:rPr>
        <w:t>三调数据叠加分析</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sz w:val="28"/>
          <w:szCs w:val="28"/>
          <w:shd w:val="clear" w:color="auto" w:fill="FFFFFF"/>
        </w:rPr>
        <w:t>规划区内第三次国土调查数据显示，地表用地性质</w:t>
      </w:r>
      <w:r>
        <w:rPr>
          <w:rFonts w:hint="eastAsia" w:ascii="宋体" w:hAnsi="宋体" w:eastAsia="宋体" w:cs="宋体"/>
          <w:sz w:val="28"/>
          <w:szCs w:val="28"/>
          <w:shd w:val="clear" w:color="auto" w:fill="FFFFFF"/>
          <w:lang w:val="en-US" w:eastAsia="zh-CN"/>
        </w:rPr>
        <w:t>以</w:t>
      </w:r>
      <w:r>
        <w:rPr>
          <w:rFonts w:hint="eastAsia" w:ascii="宋体" w:hAnsi="宋体" w:eastAsia="宋体" w:cs="宋体"/>
          <w:sz w:val="28"/>
          <w:szCs w:val="28"/>
          <w:shd w:val="clear" w:color="auto" w:fill="FFFFFF"/>
        </w:rPr>
        <w:t>农林用地</w:t>
      </w:r>
      <w:r>
        <w:rPr>
          <w:rFonts w:hint="eastAsia" w:ascii="宋体" w:hAnsi="宋体" w:eastAsia="宋体" w:cs="宋体"/>
          <w:sz w:val="28"/>
          <w:szCs w:val="28"/>
          <w:shd w:val="clear" w:color="auto" w:fill="FFFFFF"/>
          <w:lang w:val="en-US" w:eastAsia="zh-CN"/>
        </w:rPr>
        <w:t>为主，部分建设用地、自然保留用地等用地</w:t>
      </w:r>
      <w:r>
        <w:rPr>
          <w:rFonts w:hint="eastAsia" w:ascii="宋体" w:hAnsi="宋体" w:eastAsia="宋体" w:cs="宋体"/>
          <w:sz w:val="28"/>
          <w:szCs w:val="28"/>
          <w:shd w:val="clear" w:color="auto" w:fill="FFFFFF"/>
        </w:rPr>
        <w:t>。详见图2.</w:t>
      </w:r>
      <w:r>
        <w:rPr>
          <w:rFonts w:hint="eastAsia" w:ascii="宋体" w:hAnsi="宋体" w:eastAsia="宋体" w:cs="宋体"/>
          <w:sz w:val="28"/>
          <w:szCs w:val="28"/>
          <w:shd w:val="clear" w:color="auto" w:fill="FFFFFF"/>
          <w:lang w:val="en-US" w:eastAsia="zh-CN"/>
        </w:rPr>
        <w:t>4</w:t>
      </w:r>
      <w:r>
        <w:rPr>
          <w:rFonts w:hint="eastAsia" w:ascii="宋体" w:hAnsi="宋体" w:eastAsia="宋体" w:cs="宋体"/>
          <w:sz w:val="28"/>
          <w:szCs w:val="28"/>
          <w:shd w:val="clear" w:color="auto" w:fill="FFFFFF"/>
        </w:rPr>
        <w:t>三调数据分析图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9" w:hRule="atLeast"/>
          <w:jc w:val="center"/>
        </w:trPr>
        <w:tc>
          <w:tcPr>
            <w:tcW w:w="7903" w:type="dxa"/>
          </w:tcPr>
          <w:p>
            <w:pPr>
              <w:spacing w:line="360" w:lineRule="auto"/>
              <w:jc w:val="center"/>
              <w:rPr>
                <w:rFonts w:ascii="宋体" w:hAnsi="宋体" w:eastAsia="宋体" w:cs="宋体"/>
                <w:color w:val="000000" w:themeColor="text1"/>
                <w:sz w:val="28"/>
                <w:szCs w:val="28"/>
                <w:shd w:val="clear" w:color="auto" w:fill="FFFFFF"/>
                <w14:textFill>
                  <w14:solidFill>
                    <w14:schemeClr w14:val="tx1"/>
                  </w14:solidFill>
                </w14:textFill>
              </w:rPr>
            </w:pPr>
            <w:r>
              <w:rPr>
                <w:b/>
              </w:rPr>
              <w:drawing>
                <wp:inline distT="0" distB="0" distL="0" distR="0">
                  <wp:extent cx="4381500" cy="3095625"/>
                  <wp:effectExtent l="0" t="0" r="0" b="9525"/>
                  <wp:docPr id="35" name="图片 35" descr="E:\2023年\工业园区\工业园区整理资料\成果\规划图\jpg\三调.jpg三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023年\工业园区\工业园区整理资料\成果\规划图\jpg\三调.jpg三调"/>
                          <pic:cNvPicPr>
                            <a:picLocks noChangeAspect="1"/>
                          </pic:cNvPicPr>
                        </pic:nvPicPr>
                        <pic:blipFill>
                          <a:blip r:embed="rId15"/>
                          <a:srcRect/>
                          <a:stretch>
                            <a:fillRect/>
                          </a:stretch>
                        </pic:blipFill>
                        <pic:spPr>
                          <a:xfrm>
                            <a:off x="0" y="0"/>
                            <a:ext cx="4381500" cy="3095625"/>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图2.</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4三调数据分析</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图</w:t>
            </w:r>
          </w:p>
        </w:tc>
      </w:tr>
    </w:tbl>
    <w:p>
      <w:pPr>
        <w:pStyle w:val="4"/>
        <w:numPr>
          <w:ilvl w:val="0"/>
          <w:numId w:val="4"/>
        </w:numPr>
      </w:pPr>
      <w:r>
        <w:rPr>
          <w:rFonts w:hint="eastAsia"/>
        </w:rPr>
        <w:t>现状道路交通分析</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sz w:val="28"/>
          <w:szCs w:val="28"/>
          <w:shd w:val="clear" w:color="auto" w:fill="FFFFFF"/>
        </w:rPr>
        <w:t>规划区内道路有南绕城高速、寥廓南路在建主干路</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蓟河路</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海河路在建次干路，其余的均为村庄内部连接道，道路等级较低，整体不成系统，道路状况较差，紧邻东侧曲陆高速</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lang w:val="en-US" w:eastAsia="zh-CN"/>
        </w:rPr>
        <w:t>外部</w:t>
      </w:r>
      <w:r>
        <w:rPr>
          <w:rFonts w:hint="eastAsia" w:ascii="宋体" w:hAnsi="宋体" w:eastAsia="宋体" w:cs="宋体"/>
          <w:sz w:val="28"/>
          <w:szCs w:val="28"/>
          <w:shd w:val="clear" w:color="auto" w:fill="FFFFFF"/>
        </w:rPr>
        <w:t>交通运输便利。详见图2.</w:t>
      </w:r>
      <w:r>
        <w:rPr>
          <w:rFonts w:hint="eastAsia" w:ascii="宋体" w:hAnsi="宋体" w:eastAsia="宋体" w:cs="宋体"/>
          <w:sz w:val="28"/>
          <w:szCs w:val="28"/>
          <w:shd w:val="clear" w:color="auto" w:fill="FFFFFF"/>
          <w:lang w:val="en-US" w:eastAsia="zh-CN"/>
        </w:rPr>
        <w:t>5</w:t>
      </w:r>
      <w:r>
        <w:rPr>
          <w:rFonts w:hint="eastAsia" w:ascii="宋体" w:hAnsi="宋体" w:eastAsia="宋体" w:cs="宋体"/>
          <w:sz w:val="28"/>
          <w:szCs w:val="28"/>
          <w:shd w:val="clear" w:color="auto" w:fill="FFFFFF"/>
        </w:rPr>
        <w:t>现状道路分析图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3" w:hRule="atLeast"/>
          <w:jc w:val="center"/>
        </w:trPr>
        <w:tc>
          <w:tcPr>
            <w:tcW w:w="7660" w:type="dxa"/>
          </w:tcPr>
          <w:p>
            <w:pPr>
              <w:spacing w:line="360" w:lineRule="auto"/>
              <w:jc w:val="center"/>
              <w:rPr>
                <w:rFonts w:ascii="宋体" w:hAnsi="宋体" w:eastAsia="宋体" w:cs="宋体"/>
                <w:color w:val="000000" w:themeColor="text1"/>
                <w:sz w:val="28"/>
                <w:szCs w:val="28"/>
                <w:shd w:val="clear" w:color="auto" w:fill="FFFFFF"/>
                <w14:textFill>
                  <w14:solidFill>
                    <w14:schemeClr w14:val="tx1"/>
                  </w14:solidFill>
                </w14:textFill>
              </w:rPr>
            </w:pPr>
            <w:r>
              <w:rPr>
                <w:rFonts w:ascii="宋体" w:hAnsi="宋体" w:eastAsia="宋体" w:cs="宋体"/>
                <w:sz w:val="28"/>
                <w:szCs w:val="28"/>
                <w:shd w:val="clear" w:color="auto" w:fill="FFFFFF"/>
              </w:rPr>
              <w:drawing>
                <wp:inline distT="0" distB="0" distL="0" distR="0">
                  <wp:extent cx="4836160" cy="2770505"/>
                  <wp:effectExtent l="0" t="0" r="0" b="0"/>
                  <wp:docPr id="37" name="图片 37" descr="E:\2023年\工业园区\工业园区最终成果\罗汉山工业园区成果\规划图\规划图纸文本说明书\现状\05现状道路分析图.jpg05现状道路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023年\工业园区\工业园区最终成果\罗汉山工业园区成果\规划图\规划图纸文本说明书\现状\05现状道路分析图.jpg05现状道路分析图"/>
                          <pic:cNvPicPr>
                            <a:picLocks noChangeAspect="1"/>
                          </pic:cNvPicPr>
                        </pic:nvPicPr>
                        <pic:blipFill>
                          <a:blip r:embed="rId16"/>
                          <a:srcRect t="13211" b="5702"/>
                          <a:stretch>
                            <a:fillRect/>
                          </a:stretch>
                        </pic:blipFill>
                        <pic:spPr>
                          <a:xfrm>
                            <a:off x="0" y="0"/>
                            <a:ext cx="4836160" cy="2770505"/>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图2</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.5</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现状道路分析图</w:t>
            </w:r>
          </w:p>
        </w:tc>
      </w:tr>
    </w:tbl>
    <w:p>
      <w:pPr>
        <w:pStyle w:val="4"/>
        <w:numPr>
          <w:ilvl w:val="0"/>
          <w:numId w:val="4"/>
        </w:numPr>
      </w:pPr>
      <w:r>
        <w:rPr>
          <w:rFonts w:hint="eastAsia"/>
        </w:rPr>
        <w:t>现状建筑质量评价</w:t>
      </w:r>
    </w:p>
    <w:p>
      <w:pPr>
        <w:spacing w:line="360" w:lineRule="auto"/>
        <w:ind w:firstLine="560" w:firstLineChars="200"/>
        <w:rPr>
          <w:rFonts w:ascii="宋体" w:hAnsi="宋体" w:eastAsia="宋体" w:cs="宋体"/>
          <w:sz w:val="28"/>
          <w:szCs w:val="28"/>
          <w:shd w:val="clear" w:color="auto" w:fill="FFFFFF"/>
        </w:rPr>
      </w:pPr>
      <w:r>
        <w:rPr>
          <w:rFonts w:hint="eastAsia" w:ascii="宋体" w:hAnsi="宋体" w:eastAsia="宋体" w:cs="宋体"/>
          <w:sz w:val="28"/>
          <w:szCs w:val="28"/>
          <w:shd w:val="clear" w:color="auto" w:fill="FFFFFF"/>
        </w:rPr>
        <w:t>规划区现状主要是设五联社区（西冲居民小组和巴家山居民小组）和青峰村委会建筑，多为2000年以来新建建筑，整体上建筑质量一般，部分老旧房屋、土基房等临时建筑建筑质量较差。详见图2.6现状建筑质量图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5" w:hRule="atLeast"/>
          <w:jc w:val="center"/>
        </w:trPr>
        <w:tc>
          <w:tcPr>
            <w:tcW w:w="7080" w:type="dxa"/>
          </w:tcPr>
          <w:p>
            <w:pPr>
              <w:spacing w:line="360" w:lineRule="auto"/>
              <w:jc w:val="center"/>
              <w:rPr>
                <w:rFonts w:ascii="宋体" w:hAnsi="宋体" w:eastAsia="宋体" w:cs="宋体"/>
                <w:color w:val="000000" w:themeColor="text1"/>
                <w:sz w:val="28"/>
                <w:szCs w:val="28"/>
                <w:shd w:val="clear" w:color="auto" w:fill="FFFFFF"/>
                <w14:textFill>
                  <w14:solidFill>
                    <w14:schemeClr w14:val="tx1"/>
                  </w14:solidFill>
                </w14:textFill>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3671570" cy="2102485"/>
                  <wp:effectExtent l="0" t="0" r="0" b="0"/>
                  <wp:docPr id="49" name="图片 49" descr="E:\2023年\工业园区\工业园区最终成果\罗汉山工业园区成果\规划图\规划图纸文本说明书\现状\07建筑质量现状图.jpg07建筑质量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2023年\工业园区\工业园区最终成果\罗汉山工业园区成果\规划图\规划图纸文本说明书\现状\07建筑质量现状图.jpg07建筑质量现状图"/>
                          <pic:cNvPicPr>
                            <a:picLocks noChangeAspect="1"/>
                          </pic:cNvPicPr>
                        </pic:nvPicPr>
                        <pic:blipFill>
                          <a:blip r:embed="rId17"/>
                          <a:srcRect t="13841" b="5101"/>
                          <a:stretch>
                            <a:fillRect/>
                          </a:stretch>
                        </pic:blipFill>
                        <pic:spPr>
                          <a:xfrm>
                            <a:off x="0" y="0"/>
                            <a:ext cx="3671570" cy="2102485"/>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图2.6现状建筑质量分析图</w:t>
            </w:r>
          </w:p>
        </w:tc>
      </w:tr>
    </w:tbl>
    <w:p>
      <w:pPr>
        <w:pStyle w:val="4"/>
        <w:numPr>
          <w:ilvl w:val="0"/>
          <w:numId w:val="4"/>
        </w:numPr>
        <w:rPr>
          <w:color w:val="000000" w:themeColor="text1"/>
          <w14:textFill>
            <w14:solidFill>
              <w14:schemeClr w14:val="tx1"/>
            </w14:solidFill>
          </w14:textFill>
        </w:rPr>
      </w:pPr>
      <w:r>
        <w:rPr>
          <w:rFonts w:hint="eastAsia"/>
          <w:color w:val="000000" w:themeColor="text1"/>
          <w14:textFill>
            <w14:solidFill>
              <w14:schemeClr w14:val="tx1"/>
            </w14:solidFill>
          </w14:textFill>
        </w:rPr>
        <w:t>现状建筑高度分析</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sz w:val="28"/>
          <w:szCs w:val="28"/>
          <w:shd w:val="clear" w:color="auto" w:fill="FFFFFF"/>
        </w:rPr>
        <w:t>规划范围内已建建筑以2</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lang w:val="en-US" w:eastAsia="zh-CN"/>
        </w:rPr>
        <w:t>3</w:t>
      </w:r>
      <w:r>
        <w:rPr>
          <w:rFonts w:hint="eastAsia" w:ascii="宋体" w:hAnsi="宋体" w:eastAsia="宋体" w:cs="宋体"/>
          <w:sz w:val="28"/>
          <w:szCs w:val="28"/>
          <w:shd w:val="clear" w:color="auto" w:fill="FFFFFF"/>
        </w:rPr>
        <w:t>层为主，高度约6</w:t>
      </w:r>
      <w:r>
        <w:rPr>
          <w:rFonts w:hint="eastAsia" w:ascii="宋体" w:hAnsi="宋体" w:eastAsia="宋体" w:cs="宋体"/>
          <w:sz w:val="28"/>
          <w:szCs w:val="28"/>
          <w:shd w:val="clear" w:color="auto" w:fill="FFFFFF"/>
          <w:lang w:val="en-US" w:eastAsia="zh-CN"/>
        </w:rPr>
        <w:t>-10</w:t>
      </w:r>
      <w:r>
        <w:rPr>
          <w:rFonts w:hint="eastAsia" w:ascii="宋体" w:hAnsi="宋体" w:eastAsia="宋体" w:cs="宋体"/>
          <w:sz w:val="28"/>
          <w:szCs w:val="28"/>
          <w:shd w:val="clear" w:color="auto" w:fill="FFFFFF"/>
        </w:rPr>
        <w:t>米。详见图2.7现状建筑高度图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2" w:hRule="atLeast"/>
          <w:jc w:val="center"/>
        </w:trPr>
        <w:tc>
          <w:tcPr>
            <w:tcW w:w="6220" w:type="dxa"/>
          </w:tcPr>
          <w:p>
            <w:pPr>
              <w:spacing w:line="360" w:lineRule="auto"/>
              <w:jc w:val="center"/>
              <w:rPr>
                <w:rFonts w:ascii="宋体" w:hAnsi="宋体" w:eastAsia="宋体" w:cs="宋体"/>
                <w:color w:val="000000" w:themeColor="text1"/>
                <w:sz w:val="28"/>
                <w:szCs w:val="28"/>
                <w:shd w:val="clear" w:color="auto" w:fill="FFFFFF"/>
                <w14:textFill>
                  <w14:solidFill>
                    <w14:schemeClr w14:val="tx1"/>
                  </w14:solidFill>
                </w14:textFill>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5730240" cy="3277235"/>
                  <wp:effectExtent l="0" t="0" r="0" b="0"/>
                  <wp:docPr id="51" name="图片 51" descr="E:\2023年\工业园区\工业园区最终成果\罗汉山工业园区成果\规划图\规划图纸文本说明书\现状\08建筑高度现状图.jpg08建筑高度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2023年\工业园区\工业园区最终成果\罗汉山工业园区成果\规划图\规划图纸文本说明书\现状\08建筑高度现状图.jpg08建筑高度现状图"/>
                          <pic:cNvPicPr>
                            <a:picLocks noChangeAspect="1"/>
                          </pic:cNvPicPr>
                        </pic:nvPicPr>
                        <pic:blipFill>
                          <a:blip r:embed="rId18"/>
                          <a:srcRect l="942" t="13571" r="-942" b="5477"/>
                          <a:stretch>
                            <a:fillRect/>
                          </a:stretch>
                        </pic:blipFill>
                        <pic:spPr>
                          <a:xfrm>
                            <a:off x="0" y="0"/>
                            <a:ext cx="5730240" cy="3277235"/>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图2.7现状建筑高度分析图</w:t>
            </w:r>
          </w:p>
        </w:tc>
      </w:tr>
    </w:tbl>
    <w:p>
      <w:pPr>
        <w:pStyle w:val="4"/>
        <w:numPr>
          <w:ilvl w:val="0"/>
          <w:numId w:val="4"/>
        </w:numPr>
        <w:rPr>
          <w:color w:val="000000" w:themeColor="text1"/>
          <w14:textFill>
            <w14:solidFill>
              <w14:schemeClr w14:val="tx1"/>
            </w14:solidFill>
          </w14:textFill>
        </w:rPr>
      </w:pPr>
      <w:r>
        <w:rPr>
          <w:rFonts w:hint="eastAsia"/>
          <w:color w:val="000000" w:themeColor="text1"/>
          <w14:textFill>
            <w14:solidFill>
              <w14:schemeClr w14:val="tx1"/>
            </w14:solidFill>
          </w14:textFill>
        </w:rPr>
        <w:t>现状</w:t>
      </w:r>
      <w:r>
        <w:rPr>
          <w:rFonts w:hint="eastAsia"/>
          <w:color w:val="000000" w:themeColor="text1"/>
          <w:lang w:val="en-US" w:eastAsia="zh-CN"/>
          <w14:textFill>
            <w14:solidFill>
              <w14:schemeClr w14:val="tx1"/>
            </w14:solidFill>
          </w14:textFill>
        </w:rPr>
        <w:t>三区三线</w:t>
      </w:r>
      <w:r>
        <w:rPr>
          <w:rFonts w:hint="eastAsia"/>
          <w:color w:val="000000" w:themeColor="text1"/>
          <w14:textFill>
            <w14:solidFill>
              <w14:schemeClr w14:val="tx1"/>
            </w14:solidFill>
          </w14:textFill>
        </w:rPr>
        <w:t>分析</w:t>
      </w:r>
    </w:p>
    <w:p>
      <w:pPr>
        <w:spacing w:line="360" w:lineRule="auto"/>
        <w:ind w:firstLine="420" w:firstLineChars="200"/>
        <w:rPr>
          <w:rFonts w:hint="eastAsia" w:ascii="宋体" w:hAnsi="宋体" w:eastAsia="宋体" w:cs="宋体"/>
          <w:sz w:val="28"/>
          <w:szCs w:val="28"/>
          <w:shd w:val="clear" w:color="auto" w:fill="FFFFFF"/>
        </w:rPr>
      </w:pPr>
      <w:r>
        <w:rPr>
          <w:rFonts w:hint="eastAsia"/>
          <w:color w:val="000000" w:themeColor="text1"/>
          <w:lang w:val="en-US" w:eastAsia="zh-CN"/>
          <w14:textFill>
            <w14:solidFill>
              <w14:schemeClr w14:val="tx1"/>
            </w14:solidFill>
          </w14:textFill>
        </w:rPr>
        <w:t xml:space="preserve"> </w:t>
      </w:r>
      <w:r>
        <w:rPr>
          <w:rFonts w:hint="eastAsia" w:ascii="宋体" w:hAnsi="宋体" w:eastAsia="宋体" w:cs="宋体"/>
          <w:sz w:val="28"/>
          <w:szCs w:val="28"/>
          <w:shd w:val="clear" w:color="auto" w:fill="FFFFFF"/>
          <w:lang w:val="en-US" w:eastAsia="zh-CN"/>
        </w:rPr>
        <w:t>通过叠加“三区三线”控制线，规划范围内与生态保护红线、永久基本农田、公益林无冲突。规划范围内位于城镇开发边界内有855.29亩，其余土地3666.45亩位于城镇开发边界外。</w:t>
      </w:r>
      <w:r>
        <w:rPr>
          <w:rFonts w:hint="eastAsia" w:ascii="宋体" w:hAnsi="宋体" w:eastAsia="宋体" w:cs="宋体"/>
          <w:sz w:val="28"/>
          <w:szCs w:val="28"/>
          <w:shd w:val="clear" w:color="auto" w:fill="FFFFFF"/>
        </w:rPr>
        <w:t>详见图</w:t>
      </w:r>
      <w:r>
        <w:rPr>
          <w:rFonts w:hint="eastAsia" w:ascii="宋体" w:hAnsi="宋体" w:eastAsia="宋体" w:cs="宋体"/>
          <w:sz w:val="28"/>
          <w:szCs w:val="28"/>
          <w:shd w:val="clear" w:color="auto" w:fill="FFFFFF"/>
          <w:lang w:val="en-US" w:eastAsia="zh-CN"/>
        </w:rPr>
        <w:t>2.8三区三线</w:t>
      </w:r>
      <w:r>
        <w:rPr>
          <w:rFonts w:hint="eastAsia" w:ascii="宋体" w:hAnsi="宋体" w:eastAsia="宋体" w:cs="宋体"/>
          <w:sz w:val="28"/>
          <w:szCs w:val="28"/>
          <w:shd w:val="clear" w:color="auto" w:fill="FFFFFF"/>
        </w:rPr>
        <w:t>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0" w:hRule="atLeast"/>
          <w:jc w:val="center"/>
        </w:trPr>
        <w:tc>
          <w:tcPr>
            <w:tcW w:w="6760" w:type="dxa"/>
          </w:tcPr>
          <w:p>
            <w:pPr>
              <w:spacing w:line="360" w:lineRule="auto"/>
              <w:jc w:val="center"/>
              <w:rPr>
                <w:rFonts w:ascii="宋体" w:hAnsi="宋体" w:eastAsia="宋体" w:cs="宋体"/>
                <w:color w:val="000000" w:themeColor="text1"/>
                <w:sz w:val="28"/>
                <w:szCs w:val="28"/>
                <w:shd w:val="clear" w:color="auto" w:fill="FFFFFF"/>
                <w14:textFill>
                  <w14:solidFill>
                    <w14:schemeClr w14:val="tx1"/>
                  </w14:solidFill>
                </w14:textFill>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4066540" cy="2376805"/>
                  <wp:effectExtent l="0" t="0" r="10160" b="4445"/>
                  <wp:docPr id="19" name="图片 19" descr="E:\2023年\工业园区\工业园区整理资料\成果\规划图\三区三线.jpg三区三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2023年\工业园区\工业园区整理资料\成果\规划图\三区三线.jpg三区三线"/>
                          <pic:cNvPicPr>
                            <a:picLocks noChangeAspect="1"/>
                          </pic:cNvPicPr>
                        </pic:nvPicPr>
                        <pic:blipFill>
                          <a:blip r:embed="rId19"/>
                          <a:srcRect l="899" t="13435" r="811" b="5275"/>
                          <a:stretch>
                            <a:fillRect/>
                          </a:stretch>
                        </pic:blipFill>
                        <pic:spPr>
                          <a:xfrm>
                            <a:off x="0" y="0"/>
                            <a:ext cx="4066540" cy="2376805"/>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图2.8三区三线图</w:t>
            </w:r>
          </w:p>
        </w:tc>
      </w:tr>
    </w:tbl>
    <w:p>
      <w:pPr>
        <w:pStyle w:val="4"/>
        <w:numPr>
          <w:ilvl w:val="0"/>
          <w:numId w:val="4"/>
        </w:numP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工业红线</w:t>
      </w:r>
      <w:r>
        <w:rPr>
          <w:rFonts w:hint="eastAsia"/>
          <w:color w:val="000000" w:themeColor="text1"/>
          <w14:textFill>
            <w14:solidFill>
              <w14:schemeClr w14:val="tx1"/>
            </w14:solidFill>
          </w14:textFill>
        </w:rPr>
        <w:t>分析</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范围内全部在工业用地红线内，已建设土地441.45亩，在工业用地保障线中，可利用土地1191.6亩，在工业用地拓展线中，已建土地220.36亩，可利用土地5691.47亩。详见图2.9工业红线图</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1" w:hRule="atLeast"/>
          <w:jc w:val="center"/>
        </w:trPr>
        <w:tc>
          <w:tcPr>
            <w:tcW w:w="7260" w:type="dxa"/>
            <w:tcBorders>
              <w:top w:val="nil"/>
              <w:left w:val="nil"/>
              <w:bottom w:val="nil"/>
              <w:right w:val="nil"/>
            </w:tcBorders>
          </w:tcPr>
          <w:p>
            <w:pPr>
              <w:spacing w:line="360" w:lineRule="auto"/>
              <w:jc w:val="center"/>
              <w:rPr>
                <w:rFonts w:hint="eastAsia" w:ascii="宋体" w:hAnsi="宋体" w:eastAsia="宋体" w:cs="宋体"/>
                <w:color w:val="000000" w:themeColor="text1"/>
                <w:sz w:val="28"/>
                <w:szCs w:val="28"/>
                <w:shd w:val="clear" w:color="auto" w:fill="FFFFFF"/>
                <w:vertAlign w:val="baseline"/>
                <w:lang w:eastAsia="zh-CN"/>
                <w14:textFill>
                  <w14:solidFill>
                    <w14:schemeClr w14:val="tx1"/>
                  </w14:solidFill>
                </w14:textFill>
              </w:rPr>
            </w:pPr>
            <w:r>
              <w:drawing>
                <wp:inline distT="0" distB="0" distL="114300" distR="114300">
                  <wp:extent cx="4495165" cy="2588260"/>
                  <wp:effectExtent l="0" t="0" r="0" b="0"/>
                  <wp:docPr id="7" name="图片 7" descr="E:\2023年\工业园区\工业园区最终成果\罗汉山工业园区成果\规划图\规划图纸文本说明书\现状\10工业红线图.jpg10工业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023年\工业园区\工业园区最终成果\罗汉山工业园区成果\规划图\规划图纸文本说明书\现状\10工业红线图.jpg10工业红线图"/>
                          <pic:cNvPicPr>
                            <a:picLocks noChangeAspect="1"/>
                          </pic:cNvPicPr>
                        </pic:nvPicPr>
                        <pic:blipFill>
                          <a:blip r:embed="rId20"/>
                          <a:srcRect t="13167" b="5328"/>
                          <a:stretch>
                            <a:fillRect/>
                          </a:stretch>
                        </pic:blipFill>
                        <pic:spPr>
                          <a:xfrm>
                            <a:off x="0" y="0"/>
                            <a:ext cx="4495165" cy="2588260"/>
                          </a:xfrm>
                          <a:prstGeom prst="rect">
                            <a:avLst/>
                          </a:prstGeom>
                        </pic:spPr>
                      </pic:pic>
                    </a:graphicData>
                  </a:graphic>
                </wp:inline>
              </w:drawing>
            </w:r>
          </w:p>
          <w:p>
            <w:pPr>
              <w:spacing w:line="360" w:lineRule="auto"/>
              <w:jc w:val="center"/>
              <w:rPr>
                <w:rFonts w:hint="eastAsia" w:ascii="宋体" w:hAnsi="宋体" w:eastAsia="宋体" w:cs="宋体"/>
                <w:color w:val="000000" w:themeColor="text1"/>
                <w:sz w:val="28"/>
                <w:szCs w:val="28"/>
                <w:shd w:val="clear" w:color="auto" w:fill="FFFFFF"/>
                <w:vertAlign w:val="baseline"/>
                <w:lang w:eastAsia="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图2.9工业红线图</w:t>
            </w:r>
          </w:p>
        </w:tc>
      </w:tr>
    </w:tbl>
    <w:p>
      <w:pPr>
        <w:pStyle w:val="3"/>
        <w:numPr>
          <w:ilvl w:val="0"/>
          <w:numId w:val="3"/>
        </w:numPr>
        <w:rPr>
          <w:color w:val="000000" w:themeColor="text1"/>
          <w14:textFill>
            <w14:solidFill>
              <w14:schemeClr w14:val="tx1"/>
            </w14:solidFill>
          </w14:textFill>
        </w:rPr>
      </w:pPr>
      <w:bookmarkStart w:id="7" w:name="_Toc12101"/>
      <w:r>
        <w:rPr>
          <w:rFonts w:hint="eastAsia"/>
          <w:color w:val="000000" w:themeColor="text1"/>
          <w14:textFill>
            <w14:solidFill>
              <w14:schemeClr w14:val="tx1"/>
            </w14:solidFill>
          </w14:textFill>
        </w:rPr>
        <w:t>现状发展综合评价</w:t>
      </w:r>
      <w:bookmarkEnd w:id="7"/>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）区位</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分析</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：项目位于罗汉山物流园区，处于城市上风向位置，对中心城区有一定影响，后期在引进产业</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方面</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需要考虑环评问题。</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）配套设施分析：片区为未开发用地，给水来自三宝水厂，电力来自碧桂园30KV变电站，其余配套设施不完善，须在规划中体现。</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 xml:space="preserve">）交通分析：交通与周边道路联系少，内部道路网尚未成型；紧邻曲靖南收费站和温泉收费站，但与高速公路衔接不完善，绕行较远。   </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）村庄拆迁安置：范围内涉及部分老旧房屋、土基房等拆除安置工作，拆迁安置费用较高，初步考虑拆迁安置至三宝社区或者工业园区南边位置。涉及建筑拆迁面积27.5万平方米。</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）适宜性建设评价：位于曲靖中心城区最南边，该片区空间位置优越，开发潜力大，局部有高差，整体起伏变化不大，适宜建设。</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sectPr>
          <w:footerReference r:id="rId7" w:type="default"/>
          <w:pgSz w:w="23811" w:h="16838" w:orient="landscape"/>
          <w:pgMar w:top="1800" w:right="1440" w:bottom="1800" w:left="1440" w:header="851" w:footer="992" w:gutter="0"/>
          <w:pgNumType w:fmt="decimal" w:start="1"/>
          <w:cols w:space="840" w:num="2"/>
          <w:docGrid w:type="lines" w:linePitch="312" w:charSpace="0"/>
        </w:sect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）根据当前控规编制相关要求，控规主要针对</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城镇</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开发边界进行法定编制，其余区域为远景规划，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具体详见图则</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p>
      <w:pPr>
        <w:pStyle w:val="2"/>
        <w:numPr>
          <w:ilvl w:val="0"/>
          <w:numId w:val="1"/>
        </w:numPr>
        <w:jc w:val="center"/>
        <w:rPr>
          <w:rFonts w:hint="eastAsia"/>
          <w:color w:val="000000" w:themeColor="text1"/>
          <w14:textFill>
            <w14:solidFill>
              <w14:schemeClr w14:val="tx1"/>
            </w14:solidFill>
          </w14:textFill>
        </w:rPr>
      </w:pPr>
      <w:bookmarkStart w:id="8" w:name="_Toc13238"/>
      <w:r>
        <w:rPr>
          <w:rFonts w:hint="eastAsia"/>
          <w:color w:val="000000" w:themeColor="text1"/>
          <w14:textFill>
            <w14:solidFill>
              <w14:schemeClr w14:val="tx1"/>
            </w14:solidFill>
          </w14:textFill>
        </w:rPr>
        <w:t>相关规划衔接</w:t>
      </w:r>
      <w:bookmarkEnd w:id="8"/>
      <w:r>
        <w:rPr>
          <w:rFonts w:hint="eastAsia"/>
          <w:color w:val="000000" w:themeColor="text1"/>
          <w14:textFill>
            <w14:solidFill>
              <w14:schemeClr w14:val="tx1"/>
            </w14:solidFill>
          </w14:textFill>
        </w:rPr>
        <w:t xml:space="preserve"> </w:t>
      </w:r>
    </w:p>
    <w:p>
      <w:pPr>
        <w:pStyle w:val="3"/>
        <w:numPr>
          <w:ilvl w:val="0"/>
          <w:numId w:val="5"/>
        </w:numPr>
        <w:rPr>
          <w:rFonts w:hint="eastAsia"/>
        </w:rPr>
      </w:pPr>
      <w:bookmarkStart w:id="9" w:name="_Toc8870"/>
      <w:r>
        <w:rPr>
          <w:rFonts w:hint="eastAsia"/>
          <w:color w:val="000000" w:themeColor="text1"/>
          <w14:textFill>
            <w14:solidFill>
              <w14:schemeClr w14:val="tx1"/>
            </w14:solidFill>
          </w14:textFill>
        </w:rPr>
        <w:t>曲靖市国土空间总体规划（</w:t>
      </w:r>
      <w:r>
        <w:rPr>
          <w:rFonts w:hint="eastAsia"/>
          <w:color w:val="000000" w:themeColor="text1"/>
          <w:lang w:val="en-US" w:eastAsia="zh-CN"/>
          <w14:textFill>
            <w14:solidFill>
              <w14:schemeClr w14:val="tx1"/>
            </w14:solidFill>
          </w14:textFill>
        </w:rPr>
        <w:t>2021-2035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在编</w:t>
      </w:r>
      <w:bookmarkEnd w:id="9"/>
    </w:p>
    <w:p>
      <w:pPr>
        <w:spacing w:line="360" w:lineRule="auto"/>
        <w:ind w:firstLine="560" w:firstLineChars="200"/>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曲靖市国土空间总体规划中，规划范围内用地性质有科研用地、物流仓储用地、工业用地以及防护绿地；产业主要以科技创新、食品加工产业、现代化物流产业为主，罗汉山片区定位为绿色食品产业园区。</w:t>
      </w:r>
      <w:r>
        <w:rPr>
          <w:rFonts w:hint="eastAsia" w:ascii="宋体" w:hAnsi="宋体" w:eastAsia="宋体" w:cs="宋体"/>
          <w:color w:val="000000" w:themeColor="text1"/>
          <w:sz w:val="28"/>
          <w:szCs w:val="28"/>
          <w:shd w:val="clear" w:color="auto" w:fill="FFFFFF"/>
          <w14:textFill>
            <w14:solidFill>
              <w14:schemeClr w14:val="tx1"/>
            </w14:solidFill>
          </w14:textFill>
        </w:rPr>
        <w:t>详见图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3.1</w:t>
      </w:r>
      <w:r>
        <w:rPr>
          <w:rFonts w:hint="eastAsia" w:ascii="宋体" w:hAnsi="宋体" w:eastAsia="宋体" w:cs="宋体"/>
          <w:color w:val="000000" w:themeColor="text1"/>
          <w:sz w:val="28"/>
          <w:szCs w:val="28"/>
          <w:shd w:val="clear" w:color="auto" w:fill="FFFFFF"/>
          <w14:textFill>
            <w14:solidFill>
              <w14:schemeClr w14:val="tx1"/>
            </w14:solidFill>
          </w14:textFill>
        </w:rPr>
        <w:t>国土空间总规中心城区用地规划图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8" w:hRule="atLeast"/>
          <w:jc w:val="center"/>
        </w:trPr>
        <w:tc>
          <w:tcPr>
            <w:tcW w:w="6989" w:type="dxa"/>
          </w:tcPr>
          <w:p>
            <w:pPr>
              <w:jc w:val="center"/>
              <w:rPr>
                <w:rFonts w:hint="eastAsia" w:ascii="宋体" w:hAnsi="宋体" w:eastAsia="宋体" w:cs="宋体"/>
                <w:color w:val="FF0000"/>
                <w:sz w:val="28"/>
                <w:szCs w:val="28"/>
                <w:shd w:val="clear" w:color="auto" w:fill="FFFFFF"/>
              </w:rPr>
            </w:pPr>
            <w:r>
              <w:drawing>
                <wp:inline distT="0" distB="0" distL="114300" distR="114300">
                  <wp:extent cx="2809875" cy="3289300"/>
                  <wp:effectExtent l="0" t="0" r="9525" b="6350"/>
                  <wp:docPr id="2" name="图片 2" descr="E:\2023年\工业园区\工业园区整理资料\成果\规划图\20230509 中心城区最新用地 98-Model.jpg20230509 中心城区最新用地 98-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2023年\工业园区\工业园区整理资料\成果\规划图\20230509 中心城区最新用地 98-Model.jpg20230509 中心城区最新用地 98-Model"/>
                          <pic:cNvPicPr>
                            <a:picLocks noChangeAspect="1"/>
                          </pic:cNvPicPr>
                        </pic:nvPicPr>
                        <pic:blipFill>
                          <a:blip r:embed="rId21"/>
                          <a:srcRect/>
                          <a:stretch>
                            <a:fillRect/>
                          </a:stretch>
                        </pic:blipFill>
                        <pic:spPr>
                          <a:xfrm>
                            <a:off x="0" y="0"/>
                            <a:ext cx="2809875" cy="3289300"/>
                          </a:xfrm>
                          <a:prstGeom prst="rect">
                            <a:avLst/>
                          </a:prstGeom>
                          <a:noFill/>
                          <a:ln>
                            <a:noFill/>
                          </a:ln>
                        </pic:spPr>
                      </pic:pic>
                    </a:graphicData>
                  </a:graphic>
                </wp:inline>
              </w:drawing>
            </w:r>
          </w:p>
          <w:p>
            <w:pPr>
              <w:spacing w:line="360" w:lineRule="auto"/>
              <w:ind w:firstLine="210" w:firstLineChars="100"/>
              <w:jc w:val="center"/>
              <w:rPr>
                <w:rFonts w:hint="eastAsia" w:ascii="宋体" w:hAnsi="宋体" w:eastAsia="宋体" w:cs="宋体"/>
                <w:color w:val="FF0000"/>
                <w:sz w:val="28"/>
                <w:szCs w:val="28"/>
                <w:shd w:val="clear" w:color="auto" w:fill="FFFFFF"/>
              </w:rPr>
            </w:pPr>
            <w:r>
              <w:rPr>
                <w:rFonts w:hint="eastAsia" w:ascii="宋体" w:hAnsi="宋体" w:eastAsia="宋体" w:cs="宋体"/>
                <w:b w:val="0"/>
                <w:bCs w:val="0"/>
                <w:sz w:val="21"/>
                <w:szCs w:val="21"/>
                <w:shd w:val="clear" w:color="auto" w:fill="FFFFFF"/>
              </w:rPr>
              <w:t>图3.</w:t>
            </w:r>
            <w:r>
              <w:rPr>
                <w:rFonts w:hint="eastAsia" w:ascii="宋体" w:hAnsi="宋体" w:eastAsia="宋体" w:cs="宋体"/>
                <w:b w:val="0"/>
                <w:bCs w:val="0"/>
                <w:sz w:val="21"/>
                <w:szCs w:val="21"/>
                <w:shd w:val="clear" w:color="auto" w:fill="FFFFFF"/>
                <w:lang w:val="en-US" w:eastAsia="zh-CN"/>
              </w:rPr>
              <w:t>1</w:t>
            </w:r>
            <w:r>
              <w:rPr>
                <w:rFonts w:hint="eastAsia" w:ascii="宋体" w:hAnsi="宋体" w:eastAsia="宋体" w:cs="宋体"/>
                <w:b w:val="0"/>
                <w:bCs w:val="0"/>
                <w:sz w:val="21"/>
                <w:szCs w:val="21"/>
                <w:shd w:val="clear" w:color="auto" w:fill="FFFFFF"/>
              </w:rPr>
              <w:t>国土空间总规中心城区用地规划图</w:t>
            </w:r>
          </w:p>
        </w:tc>
      </w:tr>
    </w:tbl>
    <w:p>
      <w:pPr>
        <w:pStyle w:val="3"/>
        <w:numPr>
          <w:ilvl w:val="0"/>
          <w:numId w:val="5"/>
        </w:numPr>
        <w:rPr>
          <w:rFonts w:hint="eastAsia"/>
          <w:color w:val="000000" w:themeColor="text1"/>
          <w14:textFill>
            <w14:solidFill>
              <w14:schemeClr w14:val="tx1"/>
            </w14:solidFill>
          </w14:textFill>
        </w:rPr>
      </w:pPr>
      <w:bookmarkStart w:id="10" w:name="_Toc32255"/>
      <w:r>
        <w:rPr>
          <w:rFonts w:hint="eastAsia"/>
          <w:color w:val="000000" w:themeColor="text1"/>
          <w:lang w:val="en-US" w:eastAsia="zh-CN"/>
          <w14:textFill>
            <w14:solidFill>
              <w14:schemeClr w14:val="tx1"/>
            </w14:solidFill>
          </w14:textFill>
        </w:rPr>
        <w:t>土地利用总体规划</w:t>
      </w:r>
      <w:r>
        <w:rPr>
          <w:rFonts w:hint="eastAsia"/>
          <w:color w:val="000000" w:themeColor="text1"/>
          <w14:textFill>
            <w14:solidFill>
              <w14:schemeClr w14:val="tx1"/>
            </w14:solidFill>
          </w14:textFill>
        </w:rPr>
        <w:t>总体规划</w:t>
      </w:r>
      <w:bookmarkEnd w:id="10"/>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规划范围内旱地为主，部分城镇建设用地、园地、林地。详见图3.2土地利用总体规划用地规划图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1" w:hRule="atLeast"/>
          <w:jc w:val="center"/>
        </w:trPr>
        <w:tc>
          <w:tcPr>
            <w:tcW w:w="7360" w:type="dxa"/>
          </w:tcPr>
          <w:p>
            <w:pPr>
              <w:spacing w:line="360" w:lineRule="auto"/>
              <w:jc w:val="center"/>
              <w:rPr>
                <w:rFonts w:hint="eastAsia" w:ascii="宋体" w:hAnsi="宋体" w:eastAsia="宋体" w:cs="宋体"/>
                <w:color w:val="FF0000"/>
                <w:sz w:val="28"/>
                <w:szCs w:val="28"/>
                <w:shd w:val="clear" w:color="auto" w:fill="FFFFFF"/>
              </w:rPr>
            </w:pPr>
            <w:r>
              <w:rPr>
                <w:rFonts w:hint="eastAsia" w:ascii="宋体" w:hAnsi="宋体" w:eastAsia="宋体" w:cs="宋体"/>
                <w:color w:val="FF0000"/>
                <w:sz w:val="28"/>
                <w:szCs w:val="28"/>
                <w:shd w:val="clear" w:color="auto" w:fill="FFFFFF"/>
              </w:rPr>
              <w:drawing>
                <wp:inline distT="0" distB="0" distL="0" distR="0">
                  <wp:extent cx="3284855" cy="2320290"/>
                  <wp:effectExtent l="0" t="0" r="10795" b="3810"/>
                  <wp:docPr id="21" name="图片 21" descr="E:\2023年\工业园区\工业园区整理资料\成果\规划图\jpg\土规.jpg土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23年\工业园区\工业园区整理资料\成果\规划图\jpg\土规.jpg土规"/>
                          <pic:cNvPicPr>
                            <a:picLocks noChangeAspect="1"/>
                          </pic:cNvPicPr>
                        </pic:nvPicPr>
                        <pic:blipFill>
                          <a:blip r:embed="rId22"/>
                          <a:srcRect/>
                          <a:stretch>
                            <a:fillRect/>
                          </a:stretch>
                        </pic:blipFill>
                        <pic:spPr>
                          <a:xfrm>
                            <a:off x="0" y="0"/>
                            <a:ext cx="3284855" cy="2320290"/>
                          </a:xfrm>
                          <a:prstGeom prst="rect">
                            <a:avLst/>
                          </a:prstGeom>
                          <a:ln>
                            <a:noFill/>
                          </a:ln>
                        </pic:spPr>
                      </pic:pic>
                    </a:graphicData>
                  </a:graphic>
                </wp:inline>
              </w:drawing>
            </w:r>
          </w:p>
          <w:p>
            <w:pPr>
              <w:spacing w:line="360" w:lineRule="auto"/>
              <w:jc w:val="center"/>
              <w:rPr>
                <w:rFonts w:hint="eastAsia" w:ascii="宋体" w:hAnsi="宋体" w:eastAsia="宋体" w:cs="宋体"/>
                <w:color w:val="FF0000"/>
                <w:sz w:val="28"/>
                <w:szCs w:val="28"/>
                <w:shd w:val="clear" w:color="auto" w:fill="FFFFFF"/>
                <w:lang w:val="en-US" w:eastAsia="zh-CN"/>
              </w:rPr>
            </w:pPr>
            <w:r>
              <w:rPr>
                <w:rFonts w:hint="eastAsia" w:ascii="宋体" w:hAnsi="宋体" w:eastAsia="宋体" w:cs="宋体"/>
                <w:b w:val="0"/>
                <w:bCs w:val="0"/>
                <w:sz w:val="21"/>
                <w:szCs w:val="21"/>
                <w:shd w:val="clear" w:color="auto" w:fill="FFFFFF"/>
              </w:rPr>
              <w:t>图3.</w:t>
            </w:r>
            <w:r>
              <w:rPr>
                <w:rFonts w:hint="eastAsia" w:ascii="宋体" w:hAnsi="宋体" w:eastAsia="宋体" w:cs="宋体"/>
                <w:b w:val="0"/>
                <w:bCs w:val="0"/>
                <w:sz w:val="21"/>
                <w:szCs w:val="21"/>
                <w:shd w:val="clear" w:color="auto" w:fill="FFFFFF"/>
                <w:lang w:val="en-US" w:eastAsia="zh-CN"/>
              </w:rPr>
              <w:t>2</w:t>
            </w:r>
            <w:r>
              <w:rPr>
                <w:rFonts w:hint="eastAsia" w:ascii="宋体" w:hAnsi="宋体" w:eastAsia="宋体" w:cs="宋体"/>
                <w:b w:val="0"/>
                <w:bCs w:val="0"/>
                <w:sz w:val="21"/>
                <w:szCs w:val="21"/>
                <w:shd w:val="clear" w:color="auto" w:fill="FFFFFF"/>
              </w:rPr>
              <w:t>国土空间总规中心城区用地规划图</w:t>
            </w:r>
          </w:p>
        </w:tc>
      </w:tr>
    </w:tbl>
    <w:p>
      <w:pPr>
        <w:pStyle w:val="3"/>
        <w:numPr>
          <w:ilvl w:val="0"/>
          <w:numId w:val="5"/>
        </w:numPr>
        <w:rPr>
          <w:color w:val="000000" w:themeColor="text1"/>
          <w14:textFill>
            <w14:solidFill>
              <w14:schemeClr w14:val="tx1"/>
            </w14:solidFill>
          </w14:textFill>
        </w:rPr>
      </w:pPr>
      <w:bookmarkStart w:id="11" w:name="_Toc23723"/>
      <w:r>
        <w:rPr>
          <w:rFonts w:hint="eastAsia"/>
          <w:color w:val="000000" w:themeColor="text1"/>
          <w:lang w:val="en-US" w:eastAsia="zh-CN"/>
          <w14:textFill>
            <w14:solidFill>
              <w14:schemeClr w14:val="tx1"/>
            </w14:solidFill>
          </w14:textFill>
        </w:rPr>
        <w:t>专项规划</w:t>
      </w:r>
      <w:bookmarkEnd w:id="11"/>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中心城区绿地专项规划中在寥廓南路两侧规划5-10米宽公园绿带；高速公路两侧规划不低于50宽防护绿地带。</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中心城区公服专项规划中规划有1处幼儿园。详见图3.3绿地公服专项规划图</w:t>
      </w:r>
    </w:p>
    <w:tbl>
      <w:tblPr>
        <w:tblStyle w:val="13"/>
        <w:tblW w:w="5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2" w:hRule="atLeast"/>
          <w:jc w:val="center"/>
        </w:trPr>
        <w:tc>
          <w:tcPr>
            <w:tcW w:w="5240" w:type="dxa"/>
            <w:tcBorders>
              <w:top w:val="nil"/>
              <w:left w:val="nil"/>
              <w:bottom w:val="nil"/>
              <w:right w:val="nil"/>
            </w:tcBorders>
          </w:tcPr>
          <w:p>
            <w:pPr>
              <w:spacing w:line="360" w:lineRule="auto"/>
              <w:jc w:val="center"/>
              <w:rPr>
                <w:rFonts w:hint="eastAsia" w:ascii="宋体" w:hAnsi="宋体" w:eastAsia="宋体" w:cs="宋体"/>
                <w:color w:val="000000" w:themeColor="text1"/>
                <w:sz w:val="28"/>
                <w:szCs w:val="28"/>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vertAlign w:val="baseline"/>
                <w:lang w:val="en-US" w:eastAsia="zh-CN"/>
                <w14:textFill>
                  <w14:solidFill>
                    <w14:schemeClr w14:val="tx1"/>
                  </w14:solidFill>
                </w14:textFill>
              </w:rPr>
              <w:drawing>
                <wp:inline distT="0" distB="0" distL="114300" distR="114300">
                  <wp:extent cx="3531870" cy="2496820"/>
                  <wp:effectExtent l="0" t="0" r="11430" b="17780"/>
                  <wp:docPr id="8" name="图片 8" descr="专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专项"/>
                          <pic:cNvPicPr>
                            <a:picLocks noChangeAspect="1"/>
                          </pic:cNvPicPr>
                        </pic:nvPicPr>
                        <pic:blipFill>
                          <a:blip r:embed="rId23"/>
                          <a:stretch>
                            <a:fillRect/>
                          </a:stretch>
                        </pic:blipFill>
                        <pic:spPr>
                          <a:xfrm>
                            <a:off x="0" y="0"/>
                            <a:ext cx="3531870" cy="2496820"/>
                          </a:xfrm>
                          <a:prstGeom prst="rect">
                            <a:avLst/>
                          </a:prstGeom>
                        </pic:spPr>
                      </pic:pic>
                    </a:graphicData>
                  </a:graphic>
                </wp:inline>
              </w:drawing>
            </w:r>
          </w:p>
          <w:p>
            <w:pPr>
              <w:spacing w:line="360" w:lineRule="auto"/>
              <w:jc w:val="center"/>
              <w:rPr>
                <w:rFonts w:hint="eastAsia" w:ascii="宋体" w:hAnsi="宋体" w:eastAsia="宋体" w:cs="宋体"/>
                <w:color w:val="000000" w:themeColor="text1"/>
                <w:sz w:val="28"/>
                <w:szCs w:val="28"/>
                <w:shd w:val="clear" w:color="auto" w:fill="FFFFFF"/>
                <w:vertAlign w:val="baseline"/>
                <w:lang w:val="en-US" w:eastAsia="zh-CN"/>
                <w14:textFill>
                  <w14:solidFill>
                    <w14:schemeClr w14:val="tx1"/>
                  </w14:solidFill>
                </w14:textFill>
              </w:rPr>
            </w:pPr>
            <w:r>
              <w:rPr>
                <w:rFonts w:hint="eastAsia" w:ascii="宋体" w:hAnsi="宋体" w:eastAsia="宋体" w:cs="宋体"/>
                <w:b w:val="0"/>
                <w:bCs w:val="0"/>
                <w:sz w:val="21"/>
                <w:szCs w:val="21"/>
                <w:shd w:val="clear" w:color="auto" w:fill="FFFFFF"/>
                <w:lang w:val="en-US" w:eastAsia="zh-CN"/>
              </w:rPr>
              <w:t>图3.3绿地公服专项规划图</w:t>
            </w:r>
          </w:p>
        </w:tc>
      </w:tr>
    </w:tbl>
    <w:p>
      <w:pPr>
        <w:pStyle w:val="3"/>
        <w:numPr>
          <w:ilvl w:val="0"/>
          <w:numId w:val="5"/>
        </w:numPr>
      </w:pPr>
      <w:bookmarkStart w:id="12" w:name="_Toc29427"/>
      <w:r>
        <w:rPr>
          <w:rFonts w:hint="eastAsia"/>
          <w:color w:val="000000" w:themeColor="text1"/>
          <w14:textFill>
            <w14:solidFill>
              <w14:schemeClr w14:val="tx1"/>
            </w14:solidFill>
          </w14:textFill>
        </w:rPr>
        <w:t>小结</w:t>
      </w:r>
      <w:bookmarkEnd w:id="12"/>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规划范围位于曲靖</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南部</w:t>
      </w:r>
      <w:r>
        <w:rPr>
          <w:rFonts w:hint="eastAsia" w:ascii="宋体" w:hAnsi="宋体" w:eastAsia="宋体" w:cs="宋体"/>
          <w:color w:val="000000" w:themeColor="text1"/>
          <w:sz w:val="28"/>
          <w:szCs w:val="28"/>
          <w:shd w:val="clear" w:color="auto" w:fill="FFFFFF"/>
          <w14:textFill>
            <w14:solidFill>
              <w14:schemeClr w14:val="tx1"/>
            </w14:solidFill>
          </w14:textFill>
        </w:rPr>
        <w:t>门户区域，根据</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w:t>
      </w:r>
      <w:r>
        <w:rPr>
          <w:rFonts w:hint="eastAsia" w:ascii="宋体" w:hAnsi="宋体" w:eastAsia="宋体" w:cs="宋体"/>
          <w:color w:val="000000" w:themeColor="text1"/>
          <w:sz w:val="28"/>
          <w:szCs w:val="28"/>
          <w:shd w:val="clear" w:color="auto" w:fill="FFFFFF"/>
          <w14:textFill>
            <w14:solidFill>
              <w14:schemeClr w14:val="tx1"/>
            </w14:solidFill>
          </w14:textFill>
        </w:rPr>
        <w:t>园区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与</w:t>
      </w:r>
      <w:r>
        <w:rPr>
          <w:rFonts w:hint="eastAsia" w:ascii="宋体" w:hAnsi="宋体" w:eastAsia="宋体" w:cs="宋体"/>
          <w:color w:val="000000" w:themeColor="text1"/>
          <w:sz w:val="28"/>
          <w:szCs w:val="28"/>
          <w:shd w:val="clear" w:color="auto" w:fill="FFFFFF"/>
          <w14:textFill>
            <w14:solidFill>
              <w14:schemeClr w14:val="tx1"/>
            </w14:solidFill>
          </w14:textFill>
        </w:rPr>
        <w:t>周边区域的重要性，对编制提出高标准、高质量等要求。</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为推动项目快速落地，</w:t>
      </w:r>
      <w:r>
        <w:rPr>
          <w:rFonts w:hint="eastAsia" w:ascii="宋体" w:hAnsi="宋体" w:eastAsia="宋体" w:cs="宋体"/>
          <w:color w:val="000000" w:themeColor="text1"/>
          <w:sz w:val="28"/>
          <w:szCs w:val="28"/>
          <w:shd w:val="clear" w:color="auto" w:fill="FFFFFF"/>
          <w14:textFill>
            <w14:solidFill>
              <w14:schemeClr w14:val="tx1"/>
            </w14:solidFill>
          </w14:textFill>
        </w:rPr>
        <w:t>进一步优化片区用地布局</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塑造城市门户形象，完善片区道路、基础服务设施，为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加快</w:t>
      </w:r>
      <w:r>
        <w:rPr>
          <w:rFonts w:hint="eastAsia" w:ascii="宋体" w:hAnsi="宋体" w:eastAsia="宋体" w:cs="宋体"/>
          <w:color w:val="000000" w:themeColor="text1"/>
          <w:sz w:val="28"/>
          <w:szCs w:val="28"/>
          <w:shd w:val="clear" w:color="auto" w:fill="FFFFFF"/>
          <w14:textFill>
            <w14:solidFill>
              <w14:schemeClr w14:val="tx1"/>
            </w14:solidFill>
          </w14:textFill>
        </w:rPr>
        <w:t>发展</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ascii="宋体" w:hAnsi="宋体" w:eastAsia="宋体" w:cs="宋体"/>
          <w:color w:val="000000" w:themeColor="text1"/>
          <w:sz w:val="28"/>
          <w:szCs w:val="28"/>
          <w:shd w:val="clear" w:color="auto" w:fill="FFFFFF"/>
          <w14:textFill>
            <w14:solidFill>
              <w14:schemeClr w14:val="tx1"/>
            </w14:solidFill>
          </w14:textFill>
        </w:rPr>
        <w:t>进行</w:t>
      </w:r>
      <w:r>
        <w:rPr>
          <w:rFonts w:hint="eastAsia" w:ascii="宋体" w:hAnsi="宋体" w:eastAsia="宋体" w:cs="宋体"/>
          <w:color w:val="000000" w:themeColor="text1"/>
          <w:sz w:val="28"/>
          <w:szCs w:val="28"/>
          <w:shd w:val="clear" w:color="auto" w:fill="FFFFFF"/>
          <w14:textFill>
            <w14:solidFill>
              <w14:schemeClr w14:val="tx1"/>
            </w14:solidFill>
          </w14:textFill>
        </w:rPr>
        <w:t>有效的开发建设，需要编制出可操作性强的控制性详细规划指导下一阶段的规划管理和开发建设，以便高效利用土地资源、提高其利用率。具体表现为：</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落实上位规划管控、指导要求</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，提高麒麟区招商引资吸引力，保证项目用地得到有效落实。</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优化片区用地功能调整，确保用地功能的活力可持续发展。</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建立健全区域配套设施，推进片区项目发展，进一步激发经济活力。</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、引导片区城市风貌、景观设计，塑造高品质城市门户形象，协调</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片区山体和南干渠等</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蓝绿空间发展。</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5、园区产业</w:t>
      </w:r>
      <w:r>
        <w:rPr>
          <w:rFonts w:hint="eastAsia" w:ascii="宋体" w:hAnsi="宋体" w:eastAsia="宋体" w:cs="宋体"/>
          <w:color w:val="000000" w:themeColor="text1"/>
          <w:sz w:val="28"/>
          <w:szCs w:val="28"/>
          <w:shd w:val="clear" w:color="auto" w:fill="FFFFFF"/>
          <w14:textFill>
            <w14:solidFill>
              <w14:schemeClr w14:val="tx1"/>
            </w14:solidFill>
          </w14:textFill>
        </w:rPr>
        <w:t>空间布局规划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为</w:t>
      </w:r>
      <w:r>
        <w:rPr>
          <w:rFonts w:hint="eastAsia" w:ascii="宋体" w:hAnsi="宋体" w:eastAsia="宋体" w:cs="宋体"/>
          <w:color w:val="000000" w:themeColor="text1"/>
          <w:sz w:val="28"/>
          <w:szCs w:val="28"/>
          <w:shd w:val="clear" w:color="auto" w:fill="FFFFFF"/>
          <w14:textFill>
            <w14:solidFill>
              <w14:schemeClr w14:val="tx1"/>
            </w14:solidFill>
          </w14:textFill>
        </w:rPr>
        <w:t>绿色食品产业园区，基本符合</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曲靖市国土空间总体规划</w:t>
      </w:r>
      <w:r>
        <w:rPr>
          <w:rFonts w:hint="eastAsia" w:ascii="宋体" w:hAnsi="宋体" w:eastAsia="宋体" w:cs="宋体"/>
          <w:color w:val="000000" w:themeColor="text1"/>
          <w:sz w:val="28"/>
          <w:szCs w:val="28"/>
          <w:shd w:val="clear" w:color="auto" w:fill="FFFFFF"/>
          <w14:textFill>
            <w14:solidFill>
              <w14:schemeClr w14:val="tx1"/>
            </w14:solidFill>
          </w14:textFill>
        </w:rPr>
        <w:t>等上位规划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要求。</w:t>
      </w:r>
    </w:p>
    <w:p>
      <w:pPr>
        <w:pStyle w:val="2"/>
        <w:numPr>
          <w:ilvl w:val="0"/>
          <w:numId w:val="1"/>
        </w:numPr>
        <w:jc w:val="center"/>
        <w:rPr>
          <w:color w:val="000000" w:themeColor="text1"/>
          <w14:textFill>
            <w14:solidFill>
              <w14:schemeClr w14:val="tx1"/>
            </w14:solidFill>
          </w14:textFill>
        </w:rPr>
      </w:pPr>
      <w:bookmarkStart w:id="13" w:name="_Toc42528356"/>
      <w:bookmarkStart w:id="14" w:name="_Toc19429"/>
      <w:r>
        <w:rPr>
          <w:rFonts w:hint="eastAsia"/>
          <w:color w:val="000000" w:themeColor="text1"/>
          <w14:textFill>
            <w14:solidFill>
              <w14:schemeClr w14:val="tx1"/>
            </w14:solidFill>
          </w14:textFill>
        </w:rPr>
        <w:br w:type="column"/>
      </w:r>
      <w:r>
        <w:rPr>
          <w:rFonts w:hint="eastAsia"/>
          <w:color w:val="000000" w:themeColor="text1"/>
          <w14:textFill>
            <w14:solidFill>
              <w14:schemeClr w14:val="tx1"/>
            </w14:solidFill>
          </w14:textFill>
        </w:rPr>
        <w:t xml:space="preserve"> 规划</w:t>
      </w:r>
      <w:bookmarkEnd w:id="13"/>
      <w:r>
        <w:rPr>
          <w:rFonts w:hint="eastAsia"/>
          <w:color w:val="000000" w:themeColor="text1"/>
          <w:lang w:val="en-US" w:eastAsia="zh-CN"/>
          <w14:textFill>
            <w14:solidFill>
              <w14:schemeClr w14:val="tx1"/>
            </w14:solidFill>
          </w14:textFill>
        </w:rPr>
        <w:t>指导思想</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原则、目标及定位</w:t>
      </w:r>
      <w:bookmarkEnd w:id="14"/>
    </w:p>
    <w:p>
      <w:pPr>
        <w:pStyle w:val="3"/>
        <w:numPr>
          <w:ilvl w:val="0"/>
          <w:numId w:val="6"/>
        </w:numPr>
        <w:rPr>
          <w:color w:val="000000" w:themeColor="text1"/>
          <w14:textFill>
            <w14:solidFill>
              <w14:schemeClr w14:val="tx1"/>
            </w14:solidFill>
          </w14:textFill>
        </w:rPr>
      </w:pPr>
      <w:bookmarkStart w:id="15" w:name="_Toc42528357"/>
      <w:bookmarkStart w:id="16" w:name="_Toc5538"/>
      <w:r>
        <w:rPr>
          <w:rFonts w:hint="eastAsia"/>
          <w:color w:val="000000" w:themeColor="text1"/>
          <w14:textFill>
            <w14:solidFill>
              <w14:schemeClr w14:val="tx1"/>
            </w14:solidFill>
          </w14:textFill>
        </w:rPr>
        <w:t>规划</w:t>
      </w:r>
      <w:bookmarkEnd w:id="15"/>
      <w:r>
        <w:rPr>
          <w:rFonts w:hint="eastAsia"/>
          <w:color w:val="000000" w:themeColor="text1"/>
          <w:lang w:val="en-US" w:eastAsia="zh-CN"/>
          <w14:textFill>
            <w14:solidFill>
              <w14:schemeClr w14:val="tx1"/>
            </w14:solidFill>
          </w14:textFill>
        </w:rPr>
        <w:t>指导思想</w:t>
      </w:r>
      <w:bookmarkEnd w:id="16"/>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以科学发展观为指导，以转变经济发展方式为主线，以产业发展</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园区建设为支撑，以体制创新、机制创新、科技创新和管理创新为动力，以基础设施建设为重点，以项目建设为载体，整合物流资源，加快物流业向社会化、专业化、规模化发展，通过不同产业间的组合和补充，充分利用资源和能源，最大限度地减少污染物的产生和排放，实行全过程控制，实现环境与经济发展的“共贏”。把罗汉山</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片区</w:t>
      </w:r>
      <w:r>
        <w:rPr>
          <w:rFonts w:hint="eastAsia" w:ascii="宋体" w:hAnsi="宋体" w:eastAsia="宋体" w:cs="宋体"/>
          <w:color w:val="000000" w:themeColor="text1"/>
          <w:sz w:val="28"/>
          <w:szCs w:val="28"/>
          <w:shd w:val="clear" w:color="auto" w:fill="FFFFFF"/>
          <w14:textFill>
            <w14:solidFill>
              <w14:schemeClr w14:val="tx1"/>
            </w14:solidFill>
          </w14:textFill>
        </w:rPr>
        <w:t>产业园区打造成建设成产城融合一体化的城市新区，打造服务滇东、辐射西南的绿色食品产业园区。</w:t>
      </w:r>
    </w:p>
    <w:p>
      <w:pPr>
        <w:pStyle w:val="3"/>
        <w:numPr>
          <w:ilvl w:val="0"/>
          <w:numId w:val="6"/>
        </w:numPr>
        <w:rPr>
          <w:color w:val="000000" w:themeColor="text1"/>
          <w14:textFill>
            <w14:solidFill>
              <w14:schemeClr w14:val="tx1"/>
            </w14:solidFill>
          </w14:textFill>
        </w:rPr>
      </w:pPr>
      <w:bookmarkStart w:id="17" w:name="_Toc735"/>
      <w:r>
        <w:rPr>
          <w:rFonts w:hint="eastAsia"/>
          <w:color w:val="000000" w:themeColor="text1"/>
          <w14:textFill>
            <w14:solidFill>
              <w14:schemeClr w14:val="tx1"/>
            </w14:solidFill>
          </w14:textFill>
        </w:rPr>
        <w:t>规划</w:t>
      </w:r>
      <w:r>
        <w:rPr>
          <w:rFonts w:hint="eastAsia"/>
          <w:color w:val="000000" w:themeColor="text1"/>
          <w:lang w:val="en-US" w:eastAsia="zh-CN"/>
          <w14:textFill>
            <w14:solidFill>
              <w14:schemeClr w14:val="tx1"/>
            </w14:solidFill>
          </w14:textFill>
        </w:rPr>
        <w:t>原则</w:t>
      </w:r>
      <w:bookmarkEnd w:id="17"/>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（1）以国家及省市规划为指导，符合国家产业政策原则</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本规划以国家</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云南省</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及曲靖市</w:t>
      </w:r>
      <w:r>
        <w:rPr>
          <w:rFonts w:hint="eastAsia" w:ascii="宋体" w:hAnsi="宋体" w:eastAsia="宋体" w:cs="宋体"/>
          <w:color w:val="000000" w:themeColor="text1"/>
          <w:sz w:val="28"/>
          <w:szCs w:val="28"/>
          <w:shd w:val="clear" w:color="auto" w:fill="FFFFFF"/>
          <w14:textFill>
            <w14:solidFill>
              <w14:schemeClr w14:val="tx1"/>
            </w14:solidFill>
          </w14:textFill>
        </w:rPr>
        <w:t>产业发展规划为指导，规划的产</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业</w:t>
      </w:r>
      <w:r>
        <w:rPr>
          <w:rFonts w:hint="eastAsia" w:ascii="宋体" w:hAnsi="宋体" w:eastAsia="宋体" w:cs="宋体"/>
          <w:color w:val="000000" w:themeColor="text1"/>
          <w:sz w:val="28"/>
          <w:szCs w:val="28"/>
          <w:shd w:val="clear" w:color="auto" w:fill="FFFFFF"/>
          <w14:textFill>
            <w14:solidFill>
              <w14:schemeClr w14:val="tx1"/>
            </w14:solidFill>
          </w14:textFill>
        </w:rPr>
        <w:t>符合国家产业政策的要求。</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（2）以市场为导向原则</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项目的选择要符合“市场经济”的要求，把握国内外的发展趋势，充分体现区域内的资源优势，规划市场潜力大、发展前景好、目标市场明确、具有比较优势、市场吸引力大的产品。</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（3）发展循环经济，可持续发展原则</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本规划坚持全面贯彻落实科学发展观，大力发展循环经济，走可持续发展之路。将循环经济理念贯穿于规划的全过程，追求产业链之间的横向耦合和纵向闭合，努力实现资源利用最大化。</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（4）突出特色，发挥比较优势原则</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以发展比较优势产业为主，坚持差别化发展原则，最大限度降低区域内竞争。研究产品目标市场明确，实行差别化发展，尽量避免同质化竞争。规划项目坚持高起点、高标准、前瞻性。规划项目充分体现经济规模、先进技术、产品高附加值，项目在国内外具有竞争力。</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（5）可操作性原则</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规划目标的制定和项目的选择要综合考虑曲靖市的资源状况、产业基础和发展条件等多方面的因素，规划的项目要具有可操作性。尽可能采用先进、成熟、可靠的工艺、技术和设备，促进产业转型升级，促进招商工作的进行。</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（6）重点推进、循序渐进的原则</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支撑重点项目快速落地，加强策划研究，确定功能定位、业态构成、形象策划、特色塑造等内容，针对园区提出可落实的规划策略，规划结合实际，客观分析工业园区发展的现状和未来趋势，以“园区管理单元”为理念，</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分期分片开发建设，</w:t>
      </w:r>
      <w:r>
        <w:rPr>
          <w:rFonts w:hint="eastAsia" w:ascii="宋体" w:hAnsi="宋体" w:eastAsia="宋体" w:cs="宋体"/>
          <w:color w:val="000000" w:themeColor="text1"/>
          <w:sz w:val="28"/>
          <w:szCs w:val="28"/>
          <w:shd w:val="clear" w:color="auto" w:fill="FFFFFF"/>
          <w14:textFill>
            <w14:solidFill>
              <w14:schemeClr w14:val="tx1"/>
            </w14:solidFill>
          </w14:textFill>
        </w:rPr>
        <w:t>重点推进，循序渐进。</w:t>
      </w:r>
    </w:p>
    <w:p>
      <w:pPr>
        <w:pStyle w:val="3"/>
        <w:numPr>
          <w:ilvl w:val="0"/>
          <w:numId w:val="6"/>
        </w:numPr>
        <w:rPr>
          <w:color w:val="000000" w:themeColor="text1"/>
          <w14:textFill>
            <w14:solidFill>
              <w14:schemeClr w14:val="tx1"/>
            </w14:solidFill>
          </w14:textFill>
        </w:rPr>
      </w:pPr>
      <w:bookmarkStart w:id="18" w:name="_Toc17213"/>
      <w:r>
        <w:rPr>
          <w:rFonts w:hint="eastAsia"/>
          <w:color w:val="000000" w:themeColor="text1"/>
          <w14:textFill>
            <w14:solidFill>
              <w14:schemeClr w14:val="tx1"/>
            </w14:solidFill>
          </w14:textFill>
        </w:rPr>
        <w:t>规划</w:t>
      </w:r>
      <w:r>
        <w:rPr>
          <w:rFonts w:hint="eastAsia"/>
          <w:color w:val="000000" w:themeColor="text1"/>
          <w:lang w:val="en-US" w:eastAsia="zh-CN"/>
          <w14:textFill>
            <w14:solidFill>
              <w14:schemeClr w14:val="tx1"/>
            </w14:solidFill>
          </w14:textFill>
        </w:rPr>
        <w:t>目标</w:t>
      </w:r>
      <w:bookmarkEnd w:id="18"/>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 根据省市级对片区规划定位，依托高速公路的交通优势，构建以物流仓储为引擎，以高</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端</w:t>
      </w:r>
      <w:r>
        <w:rPr>
          <w:rFonts w:hint="eastAsia" w:ascii="宋体" w:hAnsi="宋体" w:eastAsia="宋体" w:cs="宋体"/>
          <w:color w:val="000000" w:themeColor="text1"/>
          <w:sz w:val="28"/>
          <w:szCs w:val="28"/>
          <w:shd w:val="clear" w:color="auto" w:fill="FFFFFF"/>
          <w14:textFill>
            <w14:solidFill>
              <w14:schemeClr w14:val="tx1"/>
            </w14:solidFill>
          </w14:textFill>
        </w:rPr>
        <w:t>食品加工、生物医药、仓储物流产业为主要功能，建设成产城融合一体化的城市新区，打造服务滇东、辐射西南的绿色食品产业园区。</w:t>
      </w:r>
    </w:p>
    <w:p>
      <w:pPr>
        <w:pStyle w:val="3"/>
        <w:numPr>
          <w:ilvl w:val="0"/>
          <w:numId w:val="6"/>
        </w:numPr>
        <w:rPr>
          <w:color w:val="000000" w:themeColor="text1"/>
          <w14:textFill>
            <w14:solidFill>
              <w14:schemeClr w14:val="tx1"/>
            </w14:solidFill>
          </w14:textFill>
        </w:rPr>
      </w:pPr>
      <w:bookmarkStart w:id="19" w:name="_Toc29585"/>
      <w:r>
        <w:rPr>
          <w:rFonts w:hint="eastAsia"/>
          <w:color w:val="000000" w:themeColor="text1"/>
          <w:lang w:val="en-US" w:eastAsia="zh-CN"/>
          <w14:textFill>
            <w14:solidFill>
              <w14:schemeClr w14:val="tx1"/>
            </w14:solidFill>
          </w14:textFill>
        </w:rPr>
        <w:t>功能定位</w:t>
      </w:r>
      <w:bookmarkEnd w:id="19"/>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结合全市“高端食品基地”</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产业转型示范区”发展定位，通过聚焦农产品精深加工细分领域，以生活物资配送、生产加工、生物医药、仓储物流为主要功能，用地功能划分为“高端绿色食品加工、仓储物流、生物医药”三大分区，各区下属功能细分如下：</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高端绿色食品加工产业区：高原农林加工产品（含蔬菜、水果、坚果、粮油等）、畜禽类产品（含各类肉制品加工）、饮品、乳制品、快餐原料等加工厂。</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仓储物流产业区：包含（高原食品肉类、水产、果蔬、花卉产品）物流功能、智能化物流（仓储、分拣、配送、装卸）、货物运输、存储保管、旅游商品、特色农产品等。 </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生物医药产业区：现代中药产品、天然健康产品的提取加工（蓝莓、银杏、灯盏花等）、生物医药及仿制药等。</w:t>
      </w:r>
    </w:p>
    <w:p>
      <w:pPr>
        <w:pStyle w:val="3"/>
        <w:numPr>
          <w:ilvl w:val="0"/>
          <w:numId w:val="6"/>
        </w:numPr>
        <w:rPr>
          <w:rFonts w:hint="default"/>
          <w:color w:val="000000" w:themeColor="text1"/>
          <w:lang w:val="en-US" w:eastAsia="zh-CN"/>
          <w14:textFill>
            <w14:solidFill>
              <w14:schemeClr w14:val="tx1"/>
            </w14:solidFill>
          </w14:textFill>
        </w:rPr>
      </w:pPr>
      <w:bookmarkStart w:id="20" w:name="_Toc12607"/>
      <w:r>
        <w:rPr>
          <w:rFonts w:hint="eastAsia"/>
          <w:color w:val="000000" w:themeColor="text1"/>
          <w:lang w:val="en-US" w:eastAsia="zh-CN"/>
          <w14:textFill>
            <w14:solidFill>
              <w14:schemeClr w14:val="tx1"/>
            </w14:solidFill>
          </w14:textFill>
        </w:rPr>
        <w:t>发展思路</w:t>
      </w:r>
      <w:bookmarkEnd w:id="20"/>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坚持“突出特色、精准定位、优势互补、错位发展”总体思路，</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围绕项目推动片区工业园区</w:t>
      </w:r>
      <w:r>
        <w:rPr>
          <w:rFonts w:hint="eastAsia" w:ascii="宋体" w:hAnsi="宋体" w:eastAsia="宋体" w:cs="宋体"/>
          <w:color w:val="000000" w:themeColor="text1"/>
          <w:sz w:val="28"/>
          <w:szCs w:val="28"/>
          <w:shd w:val="clear" w:color="auto" w:fill="FFFFFF"/>
          <w14:textFill>
            <w14:solidFill>
              <w14:schemeClr w14:val="tx1"/>
            </w14:solidFill>
          </w14:textFill>
        </w:rPr>
        <w:t>高质量发展，着力构建“核心区+延伸区+联动区”协同发展新格局。</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14:textFill>
            <w14:solidFill>
              <w14:schemeClr w14:val="tx1"/>
            </w14:solidFill>
          </w14:textFill>
        </w:rPr>
        <w:t>调整园区发展思路和战略</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由招商引资转向培育园区产业链发展能力</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发展思路和战略决定着发展方向、空间和资源配置，根据客观实际适时调整思路和战略是促进经济发展的必然</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w:t>
      </w:r>
      <w:r>
        <w:rPr>
          <w:rFonts w:hint="eastAsia" w:ascii="宋体" w:hAnsi="宋体" w:eastAsia="宋体" w:cs="宋体"/>
          <w:color w:val="000000" w:themeColor="text1"/>
          <w:sz w:val="28"/>
          <w:szCs w:val="28"/>
          <w:shd w:val="clear" w:color="auto" w:fill="FFFFFF"/>
          <w14:textFill>
            <w14:solidFill>
              <w14:schemeClr w14:val="tx1"/>
            </w14:solidFill>
          </w14:textFill>
        </w:rPr>
        <w:t>市各工业园区经过多年招商引资</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已经积累起雄厚的经济实力</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现在需要根据产业链的发展阶段</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转变思路和战略</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促进产业链的完善和发展能力的提高。</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14:textFill>
            <w14:solidFill>
              <w14:schemeClr w14:val="tx1"/>
            </w14:solidFill>
          </w14:textFill>
        </w:rPr>
        <w:t>根据区域比较优势</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选择区域主导工业</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为园区产业链的构建奠定产业基础</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任何区域都存在生存发展的资源禀赋，或者具有绝对优势，或者拥有相对比较优势。</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曲靖市</w:t>
      </w:r>
      <w:r>
        <w:rPr>
          <w:rFonts w:hint="eastAsia" w:ascii="宋体" w:hAnsi="宋体" w:eastAsia="宋体" w:cs="宋体"/>
          <w:color w:val="000000" w:themeColor="text1"/>
          <w:sz w:val="28"/>
          <w:szCs w:val="28"/>
          <w:shd w:val="clear" w:color="auto" w:fill="FFFFFF"/>
          <w14:textFill>
            <w14:solidFill>
              <w14:schemeClr w14:val="tx1"/>
            </w14:solidFill>
          </w14:textFill>
        </w:rPr>
        <w:t>农产品加工业、</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食品</w:t>
      </w:r>
      <w:r>
        <w:rPr>
          <w:rFonts w:hint="eastAsia" w:ascii="宋体" w:hAnsi="宋体" w:eastAsia="宋体" w:cs="宋体"/>
          <w:color w:val="000000" w:themeColor="text1"/>
          <w:sz w:val="28"/>
          <w:szCs w:val="28"/>
          <w:shd w:val="clear" w:color="auto" w:fill="FFFFFF"/>
          <w14:textFill>
            <w14:solidFill>
              <w14:schemeClr w14:val="tx1"/>
            </w14:solidFill>
          </w14:textFill>
        </w:rPr>
        <w:t>加工业、仓储物流</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生物医药</w:t>
      </w:r>
      <w:r>
        <w:rPr>
          <w:rFonts w:hint="eastAsia" w:ascii="宋体" w:hAnsi="宋体" w:eastAsia="宋体" w:cs="宋体"/>
          <w:color w:val="000000" w:themeColor="text1"/>
          <w:sz w:val="28"/>
          <w:szCs w:val="28"/>
          <w:shd w:val="clear" w:color="auto" w:fill="FFFFFF"/>
          <w14:textFill>
            <w14:solidFill>
              <w14:schemeClr w14:val="tx1"/>
            </w14:solidFill>
          </w14:textFill>
        </w:rPr>
        <w:t>等是其优势产业。应充分结合</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曲靖市</w:t>
      </w:r>
      <w:r>
        <w:rPr>
          <w:rFonts w:hint="eastAsia" w:ascii="宋体" w:hAnsi="宋体" w:eastAsia="宋体" w:cs="宋体"/>
          <w:color w:val="000000" w:themeColor="text1"/>
          <w:sz w:val="28"/>
          <w:szCs w:val="28"/>
          <w:shd w:val="clear" w:color="auto" w:fill="FFFFFF"/>
          <w14:textFill>
            <w14:solidFill>
              <w14:schemeClr w14:val="tx1"/>
            </w14:solidFill>
          </w14:textFill>
        </w:rPr>
        <w:t>商贸城的资金、技术、人才、信息、区位等方面的有利因素，通过政府、企业、社会的协同努力，逐步形成独具特色的具有核心竞争力的区域主导产业，奠定园区产业链发展的坚实基础。</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3.调整产业政策</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激励区域主导企业成长</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为园区产业链的构建塑造企业核心</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产业链归根结底是企业的一种结合方式，而结合的产生和发展深受主导企业的影响</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从而产业链的主导企业是构建园区产业链的核心。通过产业政策的积极适时调整，保障市场公平的市场竞争，推动主导企业的阶段性的技术变迁，有效提高园区主导企业的资源控制和使用能力。</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4.突出片区产业特色，加快片区产业快速发展</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通过产业集群效应的获得和释放，能够促进区域产业发展，提升区域产业竞争优势。通过政府主导，企业引进，建设特色高端绿色产业园区，发展特色产业群，是加快产业升级和提高产品竞争力的需要；致力打造服务滇东、辐射西南的高端绿色食品产业园区。</w:t>
      </w:r>
    </w:p>
    <w:p>
      <w:pPr>
        <w:pStyle w:val="3"/>
        <w:numPr>
          <w:ilvl w:val="0"/>
          <w:numId w:val="6"/>
        </w:numPr>
        <w:rPr>
          <w:rFonts w:hint="eastAsia"/>
          <w:color w:val="000000" w:themeColor="text1"/>
          <w:lang w:val="en-US" w:eastAsia="zh-CN"/>
          <w14:textFill>
            <w14:solidFill>
              <w14:schemeClr w14:val="tx1"/>
            </w14:solidFill>
          </w14:textFill>
        </w:rPr>
      </w:pPr>
      <w:bookmarkStart w:id="21" w:name="_Toc25442"/>
      <w:bookmarkStart w:id="22" w:name="_Toc42528359"/>
      <w:r>
        <w:rPr>
          <w:rFonts w:hint="eastAsia"/>
          <w:color w:val="000000" w:themeColor="text1"/>
          <w:lang w:val="en-US" w:eastAsia="zh-CN"/>
          <w14:textFill>
            <w14:solidFill>
              <w14:schemeClr w14:val="tx1"/>
            </w14:solidFill>
          </w14:textFill>
        </w:rPr>
        <w:t>发展规模</w:t>
      </w:r>
      <w:bookmarkEnd w:id="21"/>
      <w:bookmarkEnd w:id="22"/>
    </w:p>
    <w:p>
      <w:pPr>
        <w:pStyle w:val="4"/>
        <w:numPr>
          <w:ilvl w:val="0"/>
          <w:numId w:val="7"/>
        </w:numPr>
        <w:ind w:left="42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用地规模</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规划片区总用地面积</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322.</w:t>
      </w:r>
      <w:r>
        <w:rPr>
          <w:rFonts w:ascii="宋体" w:hAnsi="宋体" w:eastAsia="宋体" w:cs="宋体"/>
          <w:color w:val="000000" w:themeColor="text1"/>
          <w:sz w:val="28"/>
          <w:szCs w:val="28"/>
          <w:shd w:val="clear" w:color="auto" w:fill="FFFFFF"/>
          <w14:textFill>
            <w14:solidFill>
              <w14:schemeClr w14:val="tx1"/>
            </w14:solidFill>
          </w14:textFill>
        </w:rPr>
        <w:t>5</w:t>
      </w:r>
      <w:r>
        <w:rPr>
          <w:rFonts w:hint="eastAsia" w:ascii="宋体" w:hAnsi="宋体" w:eastAsia="宋体" w:cs="宋体"/>
          <w:color w:val="000000" w:themeColor="text1"/>
          <w:sz w:val="28"/>
          <w:szCs w:val="28"/>
          <w:shd w:val="clear" w:color="auto" w:fill="FFFFFF"/>
          <w14:textFill>
            <w14:solidFill>
              <w14:schemeClr w14:val="tx1"/>
            </w14:solidFill>
          </w14:textFill>
        </w:rPr>
        <w:t>公顷</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规划建设用地规模</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320.82</w:t>
      </w:r>
      <w:r>
        <w:rPr>
          <w:rFonts w:hint="eastAsia" w:ascii="宋体" w:hAnsi="宋体" w:eastAsia="宋体" w:cs="宋体"/>
          <w:color w:val="000000" w:themeColor="text1"/>
          <w:sz w:val="28"/>
          <w:szCs w:val="28"/>
          <w:shd w:val="clear" w:color="auto" w:fill="FFFFFF"/>
          <w14:textFill>
            <w14:solidFill>
              <w14:schemeClr w14:val="tx1"/>
            </w14:solidFill>
          </w14:textFill>
        </w:rPr>
        <w:t>公顷。</w:t>
      </w:r>
    </w:p>
    <w:p>
      <w:pPr>
        <w:pStyle w:val="4"/>
        <w:numPr>
          <w:ilvl w:val="0"/>
          <w:numId w:val="7"/>
        </w:numPr>
        <w:ind w:left="420" w:firstLine="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产城融合与就业人口预估</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城融合的核心内涵是以人为连接点，促进产和城的协调发展，即产城人融合。人口的集聚，带来生产要素和消费需求，是城市的活力系统；产业注入，推动城市经济发展，是城市发的动力系统；城市基础设施的建设，商业服务、办公、居住、休闲等功能的完善，是城市的硬件系统。</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因此，在产城融合发展过程中，本规划范围内就业与居住的绝对均衡匹配是难以做到的，由此在城市公共政策制定者应承认市场经济条件下一定程度“职住分离”的客观性和合理性，致力于减少对劳动力自由选址的硬件约束和制度性约束，通过城市交通专线与工业园区紧密联系，使就业空间和居住空间达到最大程度的衔接匹配，进而促进产城融合发展。</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根据产城融合与就业人口预估，人口采用产业用地支撑总人口方法计算。</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规划工业用地127.03公顷，按照经验数据，就业岗位取70～120人/公顷计算，则至规划期末，工业就业岗位数量即产业工人可望达到8892人～15243人之间，规划取12067人。</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商业服务业设施用地支撑的人口。</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随着商业服务设施的逐步配套，会吸引从事商业服务、金融贸易等第三产业的从业人员，规划商业设施等公共设施产业用地约为19.64公顷，按照就业岗位90～110人/公顷计算，就业岗位数量可望达到1767人～2160人之间，规划取1964人。</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物流仓储用地支撑的人口。</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规划物流仓储用地63.40公顷，按照经验数据，就业岗位取40～50人/公顷计算，则至规划期末，仓储就业岗位数量可望达到2536人～3170人，规划取2850人。</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以上三项之和为16881人，取1.68万人。</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产业园区至规划期末（2035年），产业用地支撑的总人口为1.68万人。</w:t>
      </w:r>
    </w:p>
    <w:p>
      <w:pPr>
        <w:pStyle w:val="2"/>
        <w:keepNext/>
        <w:keepLines/>
        <w:pageBreakBefore w:val="0"/>
        <w:widowControl w:val="0"/>
        <w:numPr>
          <w:ilvl w:val="0"/>
          <w:numId w:val="1"/>
        </w:numPr>
        <w:kinsoku/>
        <w:wordWrap/>
        <w:overflowPunct/>
        <w:topLinePunct w:val="0"/>
        <w:autoSpaceDE/>
        <w:autoSpaceDN/>
        <w:bidi w:val="0"/>
        <w:adjustRightInd/>
        <w:snapToGrid/>
        <w:jc w:val="center"/>
        <w:textAlignment w:val="auto"/>
        <w:rPr>
          <w:color w:val="000000" w:themeColor="text1"/>
          <w14:textFill>
            <w14:solidFill>
              <w14:schemeClr w14:val="tx1"/>
            </w14:solidFill>
          </w14:textFill>
        </w:rPr>
      </w:pPr>
      <w:bookmarkStart w:id="23" w:name="_Toc17894"/>
      <w:r>
        <w:rPr>
          <w:rFonts w:hint="eastAsia" w:ascii="宋体" w:hAnsi="宋体" w:eastAsia="宋体" w:cs="宋体"/>
          <w:b w:val="0"/>
          <w:color w:val="000000" w:themeColor="text1"/>
          <w:kern w:val="2"/>
          <w:sz w:val="28"/>
          <w:szCs w:val="28"/>
          <w:shd w:val="clear" w:color="auto" w:fill="FFFFFF"/>
          <w:lang w:val="en-US" w:eastAsia="zh-CN" w:bidi="ar-SA"/>
          <w14:textFill>
            <w14:solidFill>
              <w14:schemeClr w14:val="tx1"/>
            </w14:solidFill>
          </w14:textFill>
        </w:rPr>
        <w:br w:type="column"/>
      </w:r>
      <w:r>
        <w:rPr>
          <w:rFonts w:hint="eastAsia"/>
          <w:color w:val="000000" w:themeColor="text1"/>
          <w14:textFill>
            <w14:solidFill>
              <w14:schemeClr w14:val="tx1"/>
            </w14:solidFill>
          </w14:textFill>
        </w:rPr>
        <w:t>用地布局规划</w:t>
      </w:r>
      <w:bookmarkEnd w:id="23"/>
    </w:p>
    <w:p>
      <w:pPr>
        <w:pStyle w:val="3"/>
        <w:numPr>
          <w:ilvl w:val="0"/>
          <w:numId w:val="8"/>
        </w:numPr>
        <w:rPr>
          <w:color w:val="000000" w:themeColor="text1"/>
          <w14:textFill>
            <w14:solidFill>
              <w14:schemeClr w14:val="tx1"/>
            </w14:solidFill>
          </w14:textFill>
        </w:rPr>
      </w:pPr>
      <w:bookmarkStart w:id="24" w:name="_Toc17475"/>
      <w:r>
        <w:rPr>
          <w:rFonts w:hint="eastAsia"/>
          <w:color w:val="000000" w:themeColor="text1"/>
          <w14:textFill>
            <w14:solidFill>
              <w14:schemeClr w14:val="tx1"/>
            </w14:solidFill>
          </w14:textFill>
        </w:rPr>
        <w:t>布局原则</w:t>
      </w:r>
      <w:bookmarkEnd w:id="24"/>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品质提升原则：提升城市品质，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产城融合</w:t>
      </w:r>
      <w:r>
        <w:rPr>
          <w:rFonts w:hint="eastAsia" w:ascii="宋体" w:hAnsi="宋体" w:eastAsia="宋体" w:cs="宋体"/>
          <w:color w:val="000000" w:themeColor="text1"/>
          <w:sz w:val="28"/>
          <w:szCs w:val="28"/>
          <w:shd w:val="clear" w:color="auto" w:fill="FFFFFF"/>
          <w14:textFill>
            <w14:solidFill>
              <w14:schemeClr w14:val="tx1"/>
            </w14:solidFill>
          </w14:textFill>
        </w:rPr>
        <w:t>展示。</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绿色生态原则：推崇绿色价值，建设生态文明。</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开放共享原则：积极融入区域，资源共享共用。</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创新人本原则：完善区域配套，发展以人为本。</w:t>
      </w:r>
    </w:p>
    <w:p>
      <w:pPr>
        <w:pStyle w:val="3"/>
        <w:numPr>
          <w:ilvl w:val="0"/>
          <w:numId w:val="8"/>
        </w:numPr>
        <w:rPr>
          <w:color w:val="000000" w:themeColor="text1"/>
          <w14:textFill>
            <w14:solidFill>
              <w14:schemeClr w14:val="tx1"/>
            </w14:solidFill>
          </w14:textFill>
        </w:rPr>
      </w:pPr>
      <w:bookmarkStart w:id="25" w:name="_Toc25948"/>
      <w:r>
        <w:rPr>
          <w:rFonts w:hint="eastAsia"/>
          <w:color w:val="000000" w:themeColor="text1"/>
          <w14:textFill>
            <w14:solidFill>
              <w14:schemeClr w14:val="tx1"/>
            </w14:solidFill>
          </w14:textFill>
        </w:rPr>
        <w:t>用地布局规划</w:t>
      </w:r>
      <w:bookmarkEnd w:id="25"/>
      <w:r>
        <w:rPr>
          <w:rFonts w:hint="eastAsia"/>
          <w:color w:val="000000" w:themeColor="text1"/>
          <w:lang w:val="en-US" w:eastAsia="zh-CN"/>
          <w14:textFill>
            <w14:solidFill>
              <w14:schemeClr w14:val="tx1"/>
            </w14:solidFill>
          </w14:textFill>
        </w:rPr>
        <w:t xml:space="preserve"> </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color w:val="000000" w:themeColor="text1"/>
          <w:sz w:val="28"/>
          <w:szCs w:val="28"/>
          <w:shd w:val="clear" w:color="auto" w:fill="FFFFFF"/>
          <w14:textFill>
            <w14:solidFill>
              <w14:schemeClr w14:val="tx1"/>
            </w14:solidFill>
          </w14:textFill>
        </w:rPr>
        <w:t>规划片区总</w:t>
      </w:r>
      <w:r>
        <w:rPr>
          <w:rFonts w:hint="eastAsia" w:ascii="宋体" w:hAnsi="宋体" w:eastAsia="宋体" w:cs="宋体"/>
          <w:sz w:val="28"/>
          <w:szCs w:val="28"/>
          <w:shd w:val="clear" w:color="auto" w:fill="FFFFFF"/>
        </w:rPr>
        <w:t>用地</w:t>
      </w:r>
      <w:r>
        <w:rPr>
          <w:rFonts w:hint="eastAsia" w:ascii="宋体" w:hAnsi="宋体" w:eastAsia="宋体" w:cs="宋体"/>
          <w:sz w:val="28"/>
          <w:szCs w:val="28"/>
          <w:shd w:val="clear" w:color="auto" w:fill="FFFFFF"/>
          <w:lang w:val="en-US" w:eastAsia="zh-CN"/>
        </w:rPr>
        <w:t>322.5</w:t>
      </w:r>
      <w:r>
        <w:rPr>
          <w:rFonts w:hint="eastAsia" w:ascii="宋体" w:hAnsi="宋体" w:eastAsia="宋体" w:cs="宋体"/>
          <w:sz w:val="28"/>
          <w:szCs w:val="28"/>
          <w:shd w:val="clear" w:color="auto" w:fill="FFFFFF"/>
        </w:rPr>
        <w:t>公顷，详见图</w:t>
      </w:r>
      <w:r>
        <w:rPr>
          <w:rFonts w:hint="eastAsia" w:ascii="宋体" w:hAnsi="宋体" w:eastAsia="宋体" w:cs="宋体"/>
          <w:sz w:val="28"/>
          <w:szCs w:val="28"/>
          <w:shd w:val="clear" w:color="auto" w:fill="FFFFFF"/>
          <w:lang w:val="en-US" w:eastAsia="zh-CN"/>
        </w:rPr>
        <w:t>5</w:t>
      </w:r>
      <w:r>
        <w:rPr>
          <w:rFonts w:hint="eastAsia" w:ascii="宋体" w:hAnsi="宋体" w:eastAsia="宋体" w:cs="宋体"/>
          <w:sz w:val="28"/>
          <w:szCs w:val="28"/>
          <w:shd w:val="clear" w:color="auto" w:fill="FFFFFF"/>
        </w:rPr>
        <w:t>.1土地利用规划图、表</w:t>
      </w:r>
      <w:r>
        <w:rPr>
          <w:rFonts w:hint="eastAsia" w:ascii="宋体" w:hAnsi="宋体" w:eastAsia="宋体" w:cs="宋体"/>
          <w:sz w:val="28"/>
          <w:szCs w:val="28"/>
          <w:shd w:val="clear" w:color="auto" w:fill="FFFFFF"/>
          <w:lang w:val="en-US" w:eastAsia="zh-CN"/>
        </w:rPr>
        <w:t>5</w:t>
      </w:r>
      <w:r>
        <w:rPr>
          <w:rFonts w:hint="eastAsia" w:ascii="宋体" w:hAnsi="宋体" w:eastAsia="宋体" w:cs="宋体"/>
          <w:sz w:val="28"/>
          <w:szCs w:val="28"/>
          <w:shd w:val="clear" w:color="auto" w:fill="FFFFFF"/>
        </w:rPr>
        <w:t>.1规划用地用海分类指标一览表</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5" w:hRule="atLeast"/>
          <w:jc w:val="center"/>
        </w:trPr>
        <w:tc>
          <w:tcPr>
            <w:tcW w:w="9400" w:type="dxa"/>
          </w:tcPr>
          <w:p>
            <w:pPr>
              <w:spacing w:line="360" w:lineRule="auto"/>
              <w:jc w:val="center"/>
              <w:rPr>
                <w:rFonts w:hint="eastAsia" w:ascii="宋体" w:hAnsi="宋体" w:eastAsia="宋体" w:cs="宋体"/>
                <w:color w:val="FF0000"/>
                <w:sz w:val="28"/>
                <w:szCs w:val="28"/>
                <w:shd w:val="clear" w:color="auto" w:fill="FFFFFF"/>
                <w:lang w:eastAsia="zh-CN"/>
              </w:rPr>
            </w:pPr>
            <w:r>
              <w:rPr>
                <w:rFonts w:hint="eastAsia" w:ascii="宋体" w:hAnsi="宋体" w:eastAsia="宋体" w:cs="宋体"/>
                <w:color w:val="FF0000"/>
                <w:sz w:val="28"/>
                <w:szCs w:val="28"/>
                <w:shd w:val="clear" w:color="auto" w:fill="FFFFFF"/>
                <w:lang w:eastAsia="zh-CN"/>
              </w:rPr>
              <w:drawing>
                <wp:inline distT="0" distB="0" distL="114300" distR="114300">
                  <wp:extent cx="5812790" cy="3319145"/>
                  <wp:effectExtent l="0" t="0" r="0" b="0"/>
                  <wp:docPr id="3" name="图片 3" descr="E:\2023年\工业园区\工业园区最终成果\罗汉山工业园区成果\规划图\规划图纸文本说明书\规划\12土地利用规划图.jpg12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3年\工业园区\工业园区最终成果\罗汉山工业园区成果\规划图\规划图纸文本说明书\规划\12土地利用规划图.jpg12土地利用规划图"/>
                          <pic:cNvPicPr>
                            <a:picLocks noChangeAspect="1"/>
                          </pic:cNvPicPr>
                        </pic:nvPicPr>
                        <pic:blipFill>
                          <a:blip r:embed="rId24"/>
                          <a:srcRect t="13716" b="5459"/>
                          <a:stretch>
                            <a:fillRect/>
                          </a:stretch>
                        </pic:blipFill>
                        <pic:spPr>
                          <a:xfrm>
                            <a:off x="0" y="0"/>
                            <a:ext cx="5812790" cy="3319145"/>
                          </a:xfrm>
                          <a:prstGeom prst="rect">
                            <a:avLst/>
                          </a:prstGeom>
                        </pic:spPr>
                      </pic:pic>
                    </a:graphicData>
                  </a:graphic>
                </wp:inline>
              </w:drawing>
            </w:r>
          </w:p>
          <w:p>
            <w:pPr>
              <w:spacing w:line="360" w:lineRule="auto"/>
              <w:ind w:firstLine="210" w:firstLineChars="100"/>
              <w:jc w:val="center"/>
              <w:rPr>
                <w:rFonts w:hint="eastAsia" w:ascii="宋体" w:hAnsi="宋体" w:eastAsia="宋体" w:cs="宋体"/>
                <w:color w:val="FF0000"/>
                <w:sz w:val="28"/>
                <w:szCs w:val="28"/>
                <w:shd w:val="clear" w:color="auto" w:fill="FFFFFF"/>
              </w:rPr>
            </w:pPr>
            <w:r>
              <w:rPr>
                <w:rFonts w:hint="eastAsia" w:ascii="宋体" w:hAnsi="宋体" w:eastAsia="宋体" w:cs="宋体"/>
                <w:b w:val="0"/>
                <w:bCs w:val="0"/>
                <w:sz w:val="21"/>
                <w:szCs w:val="21"/>
                <w:shd w:val="clear" w:color="auto" w:fill="FFFFFF"/>
              </w:rPr>
              <w:t>图</w:t>
            </w:r>
            <w:r>
              <w:rPr>
                <w:rFonts w:hint="eastAsia" w:ascii="宋体" w:hAnsi="宋体" w:eastAsia="宋体" w:cs="宋体"/>
                <w:b w:val="0"/>
                <w:bCs w:val="0"/>
                <w:sz w:val="21"/>
                <w:szCs w:val="21"/>
                <w:shd w:val="clear" w:color="auto" w:fill="FFFFFF"/>
                <w:lang w:val="en-US" w:eastAsia="zh-CN"/>
              </w:rPr>
              <w:t>5.1土地利用</w:t>
            </w:r>
            <w:r>
              <w:rPr>
                <w:rFonts w:hint="eastAsia" w:ascii="宋体" w:hAnsi="宋体" w:eastAsia="宋体" w:cs="宋体"/>
                <w:b w:val="0"/>
                <w:bCs w:val="0"/>
                <w:sz w:val="21"/>
                <w:szCs w:val="21"/>
                <w:shd w:val="clear" w:color="auto" w:fill="FFFFFF"/>
              </w:rPr>
              <w:t>规划图</w:t>
            </w:r>
          </w:p>
        </w:tc>
      </w:tr>
    </w:tbl>
    <w:p>
      <w:pPr>
        <w:spacing w:line="360" w:lineRule="auto"/>
        <w:ind w:firstLine="422" w:firstLineChars="200"/>
        <w:jc w:val="center"/>
        <w:rPr>
          <w:rFonts w:ascii="宋体" w:hAnsi="宋体" w:eastAsia="宋体" w:cs="宋体"/>
          <w:b/>
          <w:bCs/>
          <w:color w:val="000000" w:themeColor="text1"/>
          <w:sz w:val="21"/>
          <w:szCs w:val="21"/>
          <w:shd w:val="clear" w:color="auto" w:fill="FFFFFF"/>
          <w14:textFill>
            <w14:solidFill>
              <w14:schemeClr w14:val="tx1"/>
            </w14:solidFill>
          </w14:textFill>
        </w:rPr>
      </w:pPr>
      <w:r>
        <w:rPr>
          <w:rFonts w:hint="eastAsia" w:ascii="宋体" w:hAnsi="宋体" w:eastAsia="宋体" w:cs="宋体"/>
          <w:b/>
          <w:bCs/>
          <w:color w:val="000000" w:themeColor="text1"/>
          <w:sz w:val="21"/>
          <w:szCs w:val="21"/>
          <w:shd w:val="clear" w:color="auto" w:fill="FFFFFF"/>
          <w14:textFill>
            <w14:solidFill>
              <w14:schemeClr w14:val="tx1"/>
            </w14:solidFill>
          </w14:textFill>
        </w:rPr>
        <w:t>表</w:t>
      </w:r>
      <w:r>
        <w:rPr>
          <w:rFonts w:hint="eastAsia" w:ascii="宋体" w:hAnsi="宋体" w:eastAsia="宋体" w:cs="宋体"/>
          <w:b/>
          <w:bCs/>
          <w:color w:val="000000" w:themeColor="text1"/>
          <w:sz w:val="21"/>
          <w:szCs w:val="21"/>
          <w:shd w:val="clear" w:color="auto" w:fill="FFFFFF"/>
          <w:lang w:val="en-US" w:eastAsia="zh-CN"/>
          <w14:textFill>
            <w14:solidFill>
              <w14:schemeClr w14:val="tx1"/>
            </w14:solidFill>
          </w14:textFill>
        </w:rPr>
        <w:t>5</w:t>
      </w:r>
      <w:r>
        <w:rPr>
          <w:rFonts w:hint="eastAsia" w:ascii="宋体" w:hAnsi="宋体" w:eastAsia="宋体" w:cs="宋体"/>
          <w:b/>
          <w:bCs/>
          <w:color w:val="000000" w:themeColor="text1"/>
          <w:sz w:val="21"/>
          <w:szCs w:val="21"/>
          <w:shd w:val="clear" w:color="auto" w:fill="FFFFFF"/>
          <w14:textFill>
            <w14:solidFill>
              <w14:schemeClr w14:val="tx1"/>
            </w14:solidFill>
          </w14:textFill>
        </w:rPr>
        <w:t>.1规划用地用海分类指标一览表</w:t>
      </w:r>
    </w:p>
    <w:tbl>
      <w:tblPr>
        <w:tblStyle w:val="12"/>
        <w:tblW w:w="9640" w:type="dxa"/>
        <w:jc w:val="center"/>
        <w:tblLayout w:type="autofit"/>
        <w:tblCellMar>
          <w:top w:w="0" w:type="dxa"/>
          <w:left w:w="108" w:type="dxa"/>
          <w:bottom w:w="0" w:type="dxa"/>
          <w:right w:w="108" w:type="dxa"/>
        </w:tblCellMar>
      </w:tblPr>
      <w:tblGrid>
        <w:gridCol w:w="1089"/>
        <w:gridCol w:w="1187"/>
        <w:gridCol w:w="1366"/>
        <w:gridCol w:w="2435"/>
        <w:gridCol w:w="1452"/>
        <w:gridCol w:w="2111"/>
      </w:tblGrid>
      <w:tr>
        <w:tblPrEx>
          <w:tblCellMar>
            <w:top w:w="0" w:type="dxa"/>
            <w:left w:w="108" w:type="dxa"/>
            <w:bottom w:w="0" w:type="dxa"/>
            <w:right w:w="108" w:type="dxa"/>
          </w:tblCellMar>
        </w:tblPrEx>
        <w:trPr>
          <w:trHeight w:val="470" w:hRule="atLeast"/>
          <w:jc w:val="center"/>
        </w:trPr>
        <w:tc>
          <w:tcPr>
            <w:tcW w:w="964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规划用地用海分类指标一览表</w:t>
            </w:r>
          </w:p>
        </w:tc>
      </w:tr>
      <w:tr>
        <w:tblPrEx>
          <w:tblCellMar>
            <w:top w:w="0" w:type="dxa"/>
            <w:left w:w="108" w:type="dxa"/>
            <w:bottom w:w="0" w:type="dxa"/>
            <w:right w:w="108" w:type="dxa"/>
          </w:tblCellMar>
        </w:tblPrEx>
        <w:trPr>
          <w:trHeight w:val="470" w:hRule="atLeast"/>
          <w:jc w:val="center"/>
        </w:trPr>
        <w:tc>
          <w:tcPr>
            <w:tcW w:w="364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用地代码</w:t>
            </w:r>
          </w:p>
        </w:tc>
        <w:tc>
          <w:tcPr>
            <w:tcW w:w="243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用地名称</w:t>
            </w:r>
          </w:p>
        </w:tc>
        <w:tc>
          <w:tcPr>
            <w:tcW w:w="14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用地面积(hm²)</w:t>
            </w:r>
          </w:p>
        </w:tc>
        <w:tc>
          <w:tcPr>
            <w:tcW w:w="211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占城市建设用地比例(%)</w:t>
            </w:r>
          </w:p>
        </w:tc>
      </w:tr>
      <w:tr>
        <w:tblPrEx>
          <w:tblCellMar>
            <w:top w:w="0" w:type="dxa"/>
            <w:left w:w="108" w:type="dxa"/>
            <w:bottom w:w="0" w:type="dxa"/>
            <w:right w:w="108" w:type="dxa"/>
          </w:tblCellMar>
        </w:tblPrEx>
        <w:trPr>
          <w:trHeight w:val="470" w:hRule="atLeast"/>
          <w:jc w:val="center"/>
        </w:trPr>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一级类</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二级类</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三级类</w:t>
            </w:r>
          </w:p>
        </w:tc>
        <w:tc>
          <w:tcPr>
            <w:tcW w:w="24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bCs/>
                <w:color w:val="000000" w:themeColor="text1"/>
                <w:kern w:val="0"/>
                <w:sz w:val="36"/>
                <w:szCs w:val="36"/>
                <w14:textFill>
                  <w14:solidFill>
                    <w14:schemeClr w14:val="tx1"/>
                  </w14:solidFill>
                </w14:textFill>
              </w:rPr>
            </w:pPr>
          </w:p>
        </w:tc>
        <w:tc>
          <w:tcPr>
            <w:tcW w:w="145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bCs/>
                <w:color w:val="000000" w:themeColor="text1"/>
                <w:kern w:val="0"/>
                <w:sz w:val="36"/>
                <w:szCs w:val="36"/>
                <w14:textFill>
                  <w14:solidFill>
                    <w14:schemeClr w14:val="tx1"/>
                  </w14:solidFill>
                </w14:textFill>
              </w:rPr>
            </w:pPr>
          </w:p>
        </w:tc>
        <w:tc>
          <w:tcPr>
            <w:tcW w:w="21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bCs/>
                <w:color w:val="000000" w:themeColor="text1"/>
                <w:kern w:val="0"/>
                <w:sz w:val="36"/>
                <w:szCs w:val="36"/>
                <w14:textFill>
                  <w14:solidFill>
                    <w14:schemeClr w14:val="tx1"/>
                  </w14:solidFill>
                </w14:textFill>
              </w:rPr>
            </w:pPr>
          </w:p>
        </w:tc>
      </w:tr>
      <w:tr>
        <w:tblPrEx>
          <w:tblCellMar>
            <w:top w:w="0" w:type="dxa"/>
            <w:left w:w="108" w:type="dxa"/>
            <w:bottom w:w="0" w:type="dxa"/>
            <w:right w:w="108" w:type="dxa"/>
          </w:tblCellMar>
        </w:tblPrEx>
        <w:trPr>
          <w:trHeight w:val="623"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08</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公共管理与公共服务用地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1.68</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0.52%</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0801</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机关团体用地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1.68</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0.52%</w:t>
            </w:r>
          </w:p>
        </w:tc>
      </w:tr>
      <w:tr>
        <w:tblPrEx>
          <w:tblCellMar>
            <w:top w:w="0" w:type="dxa"/>
            <w:left w:w="108" w:type="dxa"/>
            <w:bottom w:w="0" w:type="dxa"/>
            <w:right w:w="108" w:type="dxa"/>
          </w:tblCellMar>
        </w:tblPrEx>
        <w:trPr>
          <w:trHeight w:val="34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09</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商业服务业用地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19.64</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6.09%</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0901</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商业用地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19.64</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6.09%</w:t>
            </w:r>
          </w:p>
        </w:tc>
      </w:tr>
      <w:tr>
        <w:tblPrEx>
          <w:tblCellMar>
            <w:top w:w="0" w:type="dxa"/>
            <w:left w:w="108" w:type="dxa"/>
            <w:bottom w:w="0" w:type="dxa"/>
            <w:right w:w="108" w:type="dxa"/>
          </w:tblCellMar>
        </w:tblPrEx>
        <w:trPr>
          <w:trHeight w:val="34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10</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工矿用地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127.03</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39.39%</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1001</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100101</w:t>
            </w: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一类工业用地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76.93</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23.85%</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100102</w:t>
            </w: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二类工业用地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50.10</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15.54%</w:t>
            </w:r>
          </w:p>
        </w:tc>
      </w:tr>
      <w:tr>
        <w:tblPrEx>
          <w:tblCellMar>
            <w:top w:w="0" w:type="dxa"/>
            <w:left w:w="108" w:type="dxa"/>
            <w:bottom w:w="0" w:type="dxa"/>
            <w:right w:w="108" w:type="dxa"/>
          </w:tblCellMar>
        </w:tblPrEx>
        <w:trPr>
          <w:trHeight w:val="34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11</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仓储用地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63.40</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19.66%</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1101</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110101</w:t>
            </w: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一类物流仓储用地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63.40</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19.66%</w:t>
            </w:r>
          </w:p>
        </w:tc>
      </w:tr>
      <w:tr>
        <w:tblPrEx>
          <w:tblCellMar>
            <w:top w:w="0" w:type="dxa"/>
            <w:left w:w="108" w:type="dxa"/>
            <w:bottom w:w="0" w:type="dxa"/>
            <w:right w:w="108" w:type="dxa"/>
          </w:tblCellMar>
        </w:tblPrEx>
        <w:trPr>
          <w:trHeight w:val="34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交通运输用地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55.83</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17.31%</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1207</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城镇道路用地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50.89</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15.78%</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1208</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120803</w:t>
            </w:r>
          </w:p>
        </w:tc>
        <w:tc>
          <w:tcPr>
            <w:tcW w:w="243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社会停车场用地</w:t>
            </w:r>
          </w:p>
        </w:tc>
        <w:tc>
          <w:tcPr>
            <w:tcW w:w="14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4.94</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1.53%</w:t>
            </w:r>
          </w:p>
        </w:tc>
      </w:tr>
      <w:tr>
        <w:tblPrEx>
          <w:tblCellMar>
            <w:top w:w="0" w:type="dxa"/>
            <w:left w:w="108" w:type="dxa"/>
            <w:bottom w:w="0" w:type="dxa"/>
            <w:right w:w="108" w:type="dxa"/>
          </w:tblCellMar>
        </w:tblPrEx>
        <w:trPr>
          <w:trHeight w:val="340" w:hRule="atLeast"/>
          <w:jc w:val="center"/>
        </w:trPr>
        <w:tc>
          <w:tcPr>
            <w:tcW w:w="10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color w:val="000000" w:themeColor="text1"/>
                <w:sz w:val="24"/>
                <w:szCs w:val="24"/>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绿地与开敞空间用地</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51.41</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15.94%</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1401</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公园绿地</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16.66</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5.17%</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1402</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color w:val="000000" w:themeColor="text1"/>
                <w:sz w:val="24"/>
                <w:szCs w:val="24"/>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防护绿地</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34.75</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10.77%</w:t>
            </w:r>
          </w:p>
        </w:tc>
      </w:tr>
      <w:tr>
        <w:tblPrEx>
          <w:tblCellMar>
            <w:top w:w="0" w:type="dxa"/>
            <w:left w:w="108" w:type="dxa"/>
            <w:bottom w:w="0" w:type="dxa"/>
            <w:right w:w="108" w:type="dxa"/>
          </w:tblCellMar>
        </w:tblPrEx>
        <w:trPr>
          <w:trHeight w:val="340" w:hRule="atLeast"/>
          <w:jc w:val="center"/>
        </w:trPr>
        <w:tc>
          <w:tcPr>
            <w:tcW w:w="108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17</w:t>
            </w: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陆地水域</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3.51</w:t>
            </w:r>
          </w:p>
        </w:tc>
        <w:tc>
          <w:tcPr>
            <w:tcW w:w="21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1.09%</w:t>
            </w:r>
          </w:p>
        </w:tc>
      </w:tr>
      <w:tr>
        <w:tblPrEx>
          <w:tblCellMar>
            <w:top w:w="0" w:type="dxa"/>
            <w:left w:w="108" w:type="dxa"/>
            <w:bottom w:w="0" w:type="dxa"/>
            <w:right w:w="108" w:type="dxa"/>
          </w:tblCellMar>
        </w:tblPrEx>
        <w:trPr>
          <w:trHeight w:val="340" w:hRule="atLeast"/>
          <w:jc w:val="center"/>
        </w:trPr>
        <w:tc>
          <w:tcPr>
            <w:tcW w:w="10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1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1703</w:t>
            </w:r>
          </w:p>
        </w:tc>
        <w:tc>
          <w:tcPr>
            <w:tcW w:w="136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color w:val="000000" w:themeColor="text1"/>
                <w:sz w:val="24"/>
                <w:szCs w:val="24"/>
                <w14:textFill>
                  <w14:solidFill>
                    <w14:schemeClr w14:val="tx1"/>
                  </w14:solidFill>
                </w14:textFill>
              </w:rPr>
            </w:pPr>
          </w:p>
        </w:tc>
        <w:tc>
          <w:tcPr>
            <w:tcW w:w="243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水库水面</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3.51</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1.09%</w:t>
            </w:r>
          </w:p>
        </w:tc>
      </w:tr>
      <w:tr>
        <w:tblPrEx>
          <w:tblCellMar>
            <w:top w:w="0" w:type="dxa"/>
            <w:left w:w="108" w:type="dxa"/>
            <w:bottom w:w="0" w:type="dxa"/>
            <w:right w:w="108" w:type="dxa"/>
          </w:tblCellMar>
        </w:tblPrEx>
        <w:trPr>
          <w:trHeight w:val="340" w:hRule="atLeast"/>
          <w:jc w:val="center"/>
        </w:trPr>
        <w:tc>
          <w:tcPr>
            <w:tcW w:w="607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小计</w:t>
            </w:r>
          </w:p>
        </w:tc>
        <w:tc>
          <w:tcPr>
            <w:tcW w:w="14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322.5</w:t>
            </w:r>
          </w:p>
        </w:tc>
        <w:tc>
          <w:tcPr>
            <w:tcW w:w="211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w:t>
            </w:r>
          </w:p>
        </w:tc>
      </w:tr>
    </w:tbl>
    <w:p>
      <w:pPr>
        <w:pStyle w:val="4"/>
        <w:numPr>
          <w:ilvl w:val="0"/>
          <w:numId w:val="0"/>
        </w:numPr>
        <w:ind w:left="420" w:left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一</w:t>
      </w:r>
      <w:r>
        <w:rPr>
          <w:rFonts w:hint="eastAsia"/>
          <w:color w:val="000000" w:themeColor="text1"/>
          <w:lang w:eastAsia="zh-CN"/>
          <w14:textFill>
            <w14:solidFill>
              <w14:schemeClr w14:val="tx1"/>
            </w14:solidFill>
          </w14:textFill>
        </w:rPr>
        <w:t>）公</w:t>
      </w:r>
      <w:r>
        <w:rPr>
          <w:rFonts w:hint="eastAsia"/>
          <w:color w:val="000000" w:themeColor="text1"/>
          <w:lang w:val="en-US" w:eastAsia="zh-CN"/>
          <w14:textFill>
            <w14:solidFill>
              <w14:schemeClr w14:val="tx1"/>
            </w14:solidFill>
          </w14:textFill>
        </w:rPr>
        <w:t>共管理与公共服务</w:t>
      </w:r>
      <w:r>
        <w:rPr>
          <w:rFonts w:hint="eastAsia"/>
          <w:color w:val="000000" w:themeColor="text1"/>
          <w:lang w:eastAsia="zh-CN"/>
          <w14:textFill>
            <w14:solidFill>
              <w14:schemeClr w14:val="tx1"/>
            </w14:solidFill>
          </w14:textFill>
        </w:rPr>
        <w:t>用地</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本次现状公共管理与公共服务用地1.68</w:t>
      </w:r>
      <w:r>
        <w:rPr>
          <w:rFonts w:hint="eastAsia" w:ascii="宋体" w:hAnsi="宋体" w:eastAsia="宋体" w:cs="宋体"/>
          <w:color w:val="000000" w:themeColor="text1"/>
          <w:sz w:val="28"/>
          <w:szCs w:val="28"/>
          <w:shd w:val="clear" w:color="auto" w:fill="FFFFFF"/>
          <w14:textFill>
            <w14:solidFill>
              <w14:schemeClr w14:val="tx1"/>
            </w14:solidFill>
          </w14:textFill>
        </w:rPr>
        <w:t>公顷，占总规划区建设用地面积</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0.52</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p>
      <w:pPr>
        <w:pStyle w:val="4"/>
        <w:numPr>
          <w:ilvl w:val="0"/>
          <w:numId w:val="0"/>
        </w:numPr>
        <w:ind w:left="420" w:lef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商业服务业用地</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本次</w:t>
      </w:r>
      <w:r>
        <w:rPr>
          <w:rFonts w:hint="eastAsia" w:ascii="宋体" w:hAnsi="宋体" w:eastAsia="宋体" w:cs="宋体"/>
          <w:color w:val="000000" w:themeColor="text1"/>
          <w:sz w:val="28"/>
          <w:szCs w:val="28"/>
          <w:shd w:val="clear" w:color="auto" w:fill="FFFFFF"/>
          <w14:textFill>
            <w14:solidFill>
              <w14:schemeClr w14:val="tx1"/>
            </w14:solidFill>
          </w14:textFill>
        </w:rPr>
        <w:t>规划商业服务业用地规划面积为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19.64</w:t>
      </w:r>
      <w:r>
        <w:rPr>
          <w:rFonts w:hint="eastAsia" w:ascii="宋体" w:hAnsi="宋体" w:eastAsia="宋体" w:cs="宋体"/>
          <w:color w:val="000000" w:themeColor="text1"/>
          <w:sz w:val="28"/>
          <w:szCs w:val="28"/>
          <w:shd w:val="clear" w:color="auto" w:fill="FFFFFF"/>
          <w14:textFill>
            <w14:solidFill>
              <w14:schemeClr w14:val="tx1"/>
            </w14:solidFill>
          </w14:textFill>
        </w:rPr>
        <w:t>公顷，占总规划区建设用地面积的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6.09</w:t>
      </w:r>
      <w:r>
        <w:rPr>
          <w:rFonts w:hint="eastAsia" w:ascii="宋体" w:hAnsi="宋体" w:eastAsia="宋体" w:cs="宋体"/>
          <w:color w:val="000000" w:themeColor="text1"/>
          <w:sz w:val="28"/>
          <w:szCs w:val="28"/>
          <w:shd w:val="clear" w:color="auto" w:fill="FFFFFF"/>
          <w14:textFill>
            <w14:solidFill>
              <w14:schemeClr w14:val="tx1"/>
            </w14:solidFill>
          </w14:textFill>
        </w:rPr>
        <w:t>%。</w:t>
      </w:r>
    </w:p>
    <w:p>
      <w:pPr>
        <w:pStyle w:val="4"/>
        <w:numPr>
          <w:ilvl w:val="0"/>
          <w:numId w:val="0"/>
        </w:numPr>
        <w:ind w:left="420" w:lef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工矿</w:t>
      </w:r>
      <w:r>
        <w:rPr>
          <w:rFonts w:hint="eastAsia"/>
          <w:color w:val="000000" w:themeColor="text1"/>
          <w14:textFill>
            <w14:solidFill>
              <w14:schemeClr w14:val="tx1"/>
            </w14:solidFill>
          </w14:textFill>
        </w:rPr>
        <w:t>用地</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本次</w:t>
      </w:r>
      <w:r>
        <w:rPr>
          <w:rFonts w:hint="eastAsia" w:ascii="宋体" w:hAnsi="宋体" w:eastAsia="宋体" w:cs="宋体"/>
          <w:color w:val="000000" w:themeColor="text1"/>
          <w:sz w:val="28"/>
          <w:szCs w:val="28"/>
          <w:shd w:val="clear" w:color="auto" w:fill="FFFFFF"/>
          <w14:textFill>
            <w14:solidFill>
              <w14:schemeClr w14:val="tx1"/>
            </w14:solidFill>
          </w14:textFill>
        </w:rPr>
        <w:t>规划工矿用地规划面积为12</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7.03</w:t>
      </w:r>
      <w:r>
        <w:rPr>
          <w:rFonts w:hint="eastAsia" w:ascii="宋体" w:hAnsi="宋体" w:eastAsia="宋体" w:cs="宋体"/>
          <w:color w:val="000000" w:themeColor="text1"/>
          <w:sz w:val="28"/>
          <w:szCs w:val="28"/>
          <w:shd w:val="clear" w:color="auto" w:fill="FFFFFF"/>
          <w14:textFill>
            <w14:solidFill>
              <w14:schemeClr w14:val="tx1"/>
            </w14:solidFill>
          </w14:textFill>
        </w:rPr>
        <w:t>公顷，占总规划区建设用地面积的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39.39</w:t>
      </w:r>
      <w:r>
        <w:rPr>
          <w:rFonts w:hint="eastAsia" w:ascii="宋体" w:hAnsi="宋体" w:eastAsia="宋体" w:cs="宋体"/>
          <w:color w:val="000000" w:themeColor="text1"/>
          <w:sz w:val="28"/>
          <w:szCs w:val="28"/>
          <w:shd w:val="clear" w:color="auto" w:fill="FFFFFF"/>
          <w14:textFill>
            <w14:solidFill>
              <w14:schemeClr w14:val="tx1"/>
            </w14:solidFill>
          </w14:textFill>
        </w:rPr>
        <w:t>%。其</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中一</w:t>
      </w:r>
      <w:r>
        <w:rPr>
          <w:rFonts w:hint="eastAsia" w:ascii="宋体" w:hAnsi="宋体" w:eastAsia="宋体" w:cs="宋体"/>
          <w:color w:val="000000" w:themeColor="text1"/>
          <w:sz w:val="28"/>
          <w:szCs w:val="28"/>
          <w:shd w:val="clear" w:color="auto" w:fill="FFFFFF"/>
          <w14:textFill>
            <w14:solidFill>
              <w14:schemeClr w14:val="tx1"/>
            </w14:solidFill>
          </w14:textFill>
        </w:rPr>
        <w:t>类工业用地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76.93</w:t>
      </w:r>
      <w:r>
        <w:rPr>
          <w:rFonts w:hint="eastAsia" w:ascii="宋体" w:hAnsi="宋体" w:eastAsia="宋体" w:cs="宋体"/>
          <w:color w:val="000000" w:themeColor="text1"/>
          <w:sz w:val="28"/>
          <w:szCs w:val="28"/>
          <w:shd w:val="clear" w:color="auto" w:fill="FFFFFF"/>
          <w14:textFill>
            <w14:solidFill>
              <w14:schemeClr w14:val="tx1"/>
            </w14:solidFill>
          </w14:textFill>
        </w:rPr>
        <w:t>公顷，</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二</w:t>
      </w:r>
      <w:r>
        <w:rPr>
          <w:rFonts w:hint="eastAsia" w:ascii="宋体" w:hAnsi="宋体" w:eastAsia="宋体" w:cs="宋体"/>
          <w:color w:val="000000" w:themeColor="text1"/>
          <w:sz w:val="28"/>
          <w:szCs w:val="28"/>
          <w:shd w:val="clear" w:color="auto" w:fill="FFFFFF"/>
          <w14:textFill>
            <w14:solidFill>
              <w14:schemeClr w14:val="tx1"/>
            </w14:solidFill>
          </w14:textFill>
        </w:rPr>
        <w:t>类工业用地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50.10</w:t>
      </w:r>
      <w:r>
        <w:rPr>
          <w:rFonts w:hint="eastAsia" w:ascii="宋体" w:hAnsi="宋体" w:eastAsia="宋体" w:cs="宋体"/>
          <w:color w:val="000000" w:themeColor="text1"/>
          <w:sz w:val="28"/>
          <w:szCs w:val="28"/>
          <w:shd w:val="clear" w:color="auto" w:fill="FFFFFF"/>
          <w14:textFill>
            <w14:solidFill>
              <w14:schemeClr w14:val="tx1"/>
            </w14:solidFill>
          </w14:textFill>
        </w:rPr>
        <w:t>公顷。</w:t>
      </w:r>
    </w:p>
    <w:p>
      <w:pPr>
        <w:pStyle w:val="4"/>
        <w:numPr>
          <w:ilvl w:val="0"/>
          <w:numId w:val="0"/>
        </w:numPr>
        <w:ind w:left="420" w:left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四</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仓储</w:t>
      </w:r>
      <w:r>
        <w:rPr>
          <w:rFonts w:hint="eastAsia"/>
          <w:color w:val="000000" w:themeColor="text1"/>
          <w14:textFill>
            <w14:solidFill>
              <w14:schemeClr w14:val="tx1"/>
            </w14:solidFill>
          </w14:textFill>
        </w:rPr>
        <w:t>用地</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本次</w:t>
      </w:r>
      <w:r>
        <w:rPr>
          <w:rFonts w:hint="eastAsia" w:ascii="宋体" w:hAnsi="宋体" w:eastAsia="宋体" w:cs="宋体"/>
          <w:color w:val="000000" w:themeColor="text1"/>
          <w:sz w:val="28"/>
          <w:szCs w:val="28"/>
          <w:shd w:val="clear" w:color="auto" w:fill="FFFFFF"/>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仓储</w:t>
      </w:r>
      <w:r>
        <w:rPr>
          <w:rFonts w:hint="eastAsia" w:ascii="宋体" w:hAnsi="宋体" w:eastAsia="宋体" w:cs="宋体"/>
          <w:color w:val="000000" w:themeColor="text1"/>
          <w:sz w:val="28"/>
          <w:szCs w:val="28"/>
          <w:shd w:val="clear" w:color="auto" w:fill="FFFFFF"/>
          <w14:textFill>
            <w14:solidFill>
              <w14:schemeClr w14:val="tx1"/>
            </w14:solidFill>
          </w14:textFill>
        </w:rPr>
        <w:t>用地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63.40</w:t>
      </w:r>
      <w:r>
        <w:rPr>
          <w:rFonts w:hint="eastAsia" w:ascii="宋体" w:hAnsi="宋体" w:eastAsia="宋体" w:cs="宋体"/>
          <w:color w:val="000000" w:themeColor="text1"/>
          <w:sz w:val="28"/>
          <w:szCs w:val="28"/>
          <w:shd w:val="clear" w:color="auto" w:fill="FFFFFF"/>
          <w14:textFill>
            <w14:solidFill>
              <w14:schemeClr w14:val="tx1"/>
            </w14:solidFill>
          </w14:textFill>
        </w:rPr>
        <w:t>公顷，占总规划区建设用地面积</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19.66</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p>
      <w:pPr>
        <w:pStyle w:val="4"/>
        <w:numPr>
          <w:ilvl w:val="0"/>
          <w:numId w:val="0"/>
        </w:numPr>
        <w:ind w:left="420" w:left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五</w:t>
      </w:r>
      <w:r>
        <w:rPr>
          <w:rFonts w:hint="eastAsia"/>
          <w:color w:val="000000" w:themeColor="text1"/>
          <w:lang w:eastAsia="zh-CN"/>
          <w14:textFill>
            <w14:solidFill>
              <w14:schemeClr w14:val="tx1"/>
            </w14:solidFill>
          </w14:textFill>
        </w:rPr>
        <w:t>）交通运输用地</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本次</w:t>
      </w:r>
      <w:r>
        <w:rPr>
          <w:rFonts w:hint="eastAsia" w:ascii="宋体" w:hAnsi="宋体" w:eastAsia="宋体" w:cs="宋体"/>
          <w:color w:val="000000" w:themeColor="text1"/>
          <w:sz w:val="28"/>
          <w:szCs w:val="28"/>
          <w:shd w:val="clear" w:color="auto" w:fill="FFFFFF"/>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交通运输</w:t>
      </w:r>
      <w:r>
        <w:rPr>
          <w:rFonts w:hint="eastAsia" w:ascii="宋体" w:hAnsi="宋体" w:eastAsia="宋体" w:cs="宋体"/>
          <w:color w:val="000000" w:themeColor="text1"/>
          <w:sz w:val="28"/>
          <w:szCs w:val="28"/>
          <w:shd w:val="clear" w:color="auto" w:fill="FFFFFF"/>
          <w14:textFill>
            <w14:solidFill>
              <w14:schemeClr w14:val="tx1"/>
            </w14:solidFill>
          </w14:textFill>
        </w:rPr>
        <w:t>用地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55.83</w:t>
      </w:r>
      <w:r>
        <w:rPr>
          <w:rFonts w:hint="eastAsia" w:ascii="宋体" w:hAnsi="宋体" w:eastAsia="宋体" w:cs="宋体"/>
          <w:color w:val="000000" w:themeColor="text1"/>
          <w:sz w:val="28"/>
          <w:szCs w:val="28"/>
          <w:shd w:val="clear" w:color="auto" w:fill="FFFFFF"/>
          <w14:textFill>
            <w14:solidFill>
              <w14:schemeClr w14:val="tx1"/>
            </w14:solidFill>
          </w14:textFill>
        </w:rPr>
        <w:t>公顷，占总规划区建设用地面积</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17.31</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p>
      <w:pPr>
        <w:pStyle w:val="4"/>
        <w:numPr>
          <w:ilvl w:val="0"/>
          <w:numId w:val="0"/>
        </w:numPr>
        <w:ind w:left="420" w:left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六</w:t>
      </w:r>
      <w:r>
        <w:rPr>
          <w:rFonts w:hint="eastAsia"/>
          <w:color w:val="000000" w:themeColor="text1"/>
          <w:lang w:eastAsia="zh-CN"/>
          <w14:textFill>
            <w14:solidFill>
              <w14:schemeClr w14:val="tx1"/>
            </w14:solidFill>
          </w14:textFill>
        </w:rPr>
        <w:t>）绿地与开敞空间用地</w:t>
      </w:r>
    </w:p>
    <w:p>
      <w:pPr>
        <w:spacing w:line="360" w:lineRule="auto"/>
        <w:ind w:firstLine="560" w:firstLineChars="200"/>
        <w:rPr>
          <w:rFonts w:hint="default" w:ascii="宋体" w:hAnsi="宋体" w:eastAsia="宋体" w:cs="宋体"/>
          <w:color w:val="000000" w:themeColor="text1"/>
          <w:sz w:val="28"/>
          <w:szCs w:val="28"/>
          <w:shd w:val="clear" w:color="auto" w:fill="FFFFFF"/>
          <w:lang w:val="en-US"/>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本次</w:t>
      </w:r>
      <w:r>
        <w:rPr>
          <w:rFonts w:hint="eastAsia" w:ascii="宋体" w:hAnsi="宋体" w:eastAsia="宋体" w:cs="宋体"/>
          <w:color w:val="000000" w:themeColor="text1"/>
          <w:sz w:val="28"/>
          <w:szCs w:val="28"/>
          <w:shd w:val="clear" w:color="auto" w:fill="FFFFFF"/>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绿地与开敞空间用地51.41</w:t>
      </w:r>
      <w:r>
        <w:rPr>
          <w:rFonts w:hint="eastAsia" w:ascii="宋体" w:hAnsi="宋体" w:eastAsia="宋体" w:cs="宋体"/>
          <w:color w:val="000000" w:themeColor="text1"/>
          <w:sz w:val="28"/>
          <w:szCs w:val="28"/>
          <w:shd w:val="clear" w:color="auto" w:fill="FFFFFF"/>
          <w14:textFill>
            <w14:solidFill>
              <w14:schemeClr w14:val="tx1"/>
            </w14:solidFill>
          </w14:textFill>
        </w:rPr>
        <w:t>公顷，占总规划区建设用地面积</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15.94</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p>
      <w:pPr>
        <w:pStyle w:val="4"/>
        <w:numPr>
          <w:ilvl w:val="0"/>
          <w:numId w:val="0"/>
        </w:numPr>
        <w:ind w:left="420" w:leftChars="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七</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陆地水域</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本次</w:t>
      </w:r>
      <w:r>
        <w:rPr>
          <w:rFonts w:hint="eastAsia" w:ascii="宋体" w:hAnsi="宋体" w:eastAsia="宋体" w:cs="宋体"/>
          <w:color w:val="000000" w:themeColor="text1"/>
          <w:sz w:val="28"/>
          <w:szCs w:val="28"/>
          <w:shd w:val="clear" w:color="auto" w:fill="FFFFFF"/>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陆地水域3.51</w:t>
      </w:r>
      <w:r>
        <w:rPr>
          <w:rFonts w:hint="eastAsia" w:ascii="宋体" w:hAnsi="宋体" w:eastAsia="宋体" w:cs="宋体"/>
          <w:color w:val="000000" w:themeColor="text1"/>
          <w:sz w:val="28"/>
          <w:szCs w:val="28"/>
          <w:shd w:val="clear" w:color="auto" w:fill="FFFFFF"/>
          <w14:textFill>
            <w14:solidFill>
              <w14:schemeClr w14:val="tx1"/>
            </w14:solidFill>
          </w14:textFill>
        </w:rPr>
        <w:t>公顷，占总规划区建设用地面积</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1.09</w:t>
      </w:r>
      <w:r>
        <w:rPr>
          <w:rFonts w:hint="eastAsia" w:ascii="宋体" w:hAnsi="宋体" w:eastAsia="宋体" w:cs="宋体"/>
          <w:color w:val="000000" w:themeColor="text1"/>
          <w:sz w:val="28"/>
          <w:szCs w:val="28"/>
          <w:shd w:val="clear" w:color="auto" w:fill="FFFFFF"/>
          <w14:textFill>
            <w14:solidFill>
              <w14:schemeClr w14:val="tx1"/>
            </w14:solidFill>
          </w14:textFill>
        </w:rPr>
        <w:t>%</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p>
      <w:pPr>
        <w:spacing w:line="360" w:lineRule="auto"/>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p>
    <w:p>
      <w:pPr>
        <w:pStyle w:val="2"/>
        <w:keepNext/>
        <w:keepLines/>
        <w:pageBreakBefore w:val="0"/>
        <w:widowControl w:val="0"/>
        <w:numPr>
          <w:ilvl w:val="0"/>
          <w:numId w:val="1"/>
        </w:numPr>
        <w:kinsoku/>
        <w:wordWrap/>
        <w:overflowPunct/>
        <w:topLinePunct w:val="0"/>
        <w:autoSpaceDE/>
        <w:autoSpaceDN/>
        <w:bidi w:val="0"/>
        <w:adjustRightInd/>
        <w:snapToGrid/>
        <w:jc w:val="center"/>
        <w:textAlignment w:val="auto"/>
        <w:rPr>
          <w:rFonts w:hint="eastAsia"/>
          <w:color w:val="000000" w:themeColor="text1"/>
          <w14:textFill>
            <w14:solidFill>
              <w14:schemeClr w14:val="tx1"/>
            </w14:solidFill>
          </w14:textFill>
        </w:rPr>
      </w:pPr>
      <w:bookmarkStart w:id="26" w:name="_Toc17329"/>
      <w:r>
        <w:rPr>
          <w:rFonts w:hint="eastAsia"/>
          <w:color w:val="000000" w:themeColor="text1"/>
          <w14:textFill>
            <w14:solidFill>
              <w14:schemeClr w14:val="tx1"/>
            </w14:solidFill>
          </w14:textFill>
        </w:rPr>
        <w:t>专项设施规划</w:t>
      </w:r>
      <w:bookmarkEnd w:id="26"/>
    </w:p>
    <w:p>
      <w:pPr>
        <w:pStyle w:val="3"/>
        <w:numPr>
          <w:ilvl w:val="0"/>
          <w:numId w:val="9"/>
        </w:numPr>
        <w:rPr>
          <w:color w:val="000000" w:themeColor="text1"/>
          <w14:textFill>
            <w14:solidFill>
              <w14:schemeClr w14:val="tx1"/>
            </w14:solidFill>
          </w14:textFill>
        </w:rPr>
      </w:pPr>
      <w:bookmarkStart w:id="27" w:name="_Toc24897"/>
      <w:r>
        <w:rPr>
          <w:rFonts w:hint="eastAsia"/>
          <w:color w:val="000000" w:themeColor="text1"/>
          <w14:textFill>
            <w14:solidFill>
              <w14:schemeClr w14:val="tx1"/>
            </w14:solidFill>
          </w14:textFill>
        </w:rPr>
        <w:t>道路交通规划</w:t>
      </w:r>
      <w:bookmarkEnd w:id="27"/>
    </w:p>
    <w:p>
      <w:pPr>
        <w:pStyle w:val="4"/>
        <w:numPr>
          <w:ilvl w:val="0"/>
          <w:numId w:val="10"/>
        </w:numPr>
        <w:ind w:left="420" w:firstLine="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路网</w:t>
      </w:r>
      <w:r>
        <w:rPr>
          <w:rFonts w:hint="eastAsia"/>
          <w:color w:val="000000" w:themeColor="text1"/>
          <w:sz w:val="28"/>
          <w:szCs w:val="28"/>
          <w:lang w:val="en-US" w:eastAsia="zh-CN"/>
          <w14:textFill>
            <w14:solidFill>
              <w14:schemeClr w14:val="tx1"/>
            </w14:solidFill>
          </w14:textFill>
        </w:rPr>
        <w:t>规划原则</w:t>
      </w:r>
    </w:p>
    <w:p>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本次规划充分尊重已有规划以及相关要求，并全面考虑已建、在建道路的情况</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根据工业园区路网密度要求，</w:t>
      </w:r>
      <w:r>
        <w:rPr>
          <w:rFonts w:hint="eastAsia"/>
          <w:color w:val="000000" w:themeColor="text1"/>
          <w:sz w:val="28"/>
          <w:szCs w:val="28"/>
          <w14:textFill>
            <w14:solidFill>
              <w14:schemeClr w14:val="tx1"/>
            </w14:solidFill>
          </w14:textFill>
        </w:rPr>
        <w:t>确定规划道路框架，主要依照原则如下：</w:t>
      </w:r>
    </w:p>
    <w:p>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（1）道路交通系统充分结合现状</w:t>
      </w:r>
      <w:r>
        <w:rPr>
          <w:rFonts w:hint="eastAsia"/>
          <w:color w:val="000000" w:themeColor="text1"/>
          <w:sz w:val="28"/>
          <w:szCs w:val="28"/>
          <w:lang w:val="en-US" w:eastAsia="zh-CN"/>
          <w14:textFill>
            <w14:solidFill>
              <w14:schemeClr w14:val="tx1"/>
            </w14:solidFill>
          </w14:textFill>
        </w:rPr>
        <w:t>地形</w:t>
      </w:r>
      <w:r>
        <w:rPr>
          <w:rFonts w:hint="eastAsia"/>
          <w:color w:val="000000" w:themeColor="text1"/>
          <w:sz w:val="28"/>
          <w:szCs w:val="28"/>
          <w14:textFill>
            <w14:solidFill>
              <w14:schemeClr w14:val="tx1"/>
            </w14:solidFill>
          </w14:textFill>
        </w:rPr>
        <w:t>，形成城市</w:t>
      </w:r>
      <w:r>
        <w:rPr>
          <w:rFonts w:hint="eastAsia"/>
          <w:color w:val="000000" w:themeColor="text1"/>
          <w:sz w:val="28"/>
          <w:szCs w:val="28"/>
          <w:lang w:val="en-US" w:eastAsia="zh-CN"/>
          <w14:textFill>
            <w14:solidFill>
              <w14:schemeClr w14:val="tx1"/>
            </w14:solidFill>
          </w14:textFill>
        </w:rPr>
        <w:t>主</w:t>
      </w:r>
      <w:r>
        <w:rPr>
          <w:rFonts w:hint="eastAsia"/>
          <w:color w:val="000000" w:themeColor="text1"/>
          <w:sz w:val="28"/>
          <w:szCs w:val="28"/>
          <w14:textFill>
            <w14:solidFill>
              <w14:schemeClr w14:val="tx1"/>
            </w14:solidFill>
          </w14:textFill>
        </w:rPr>
        <w:t>干道</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次干道，</w:t>
      </w:r>
      <w:r>
        <w:rPr>
          <w:rFonts w:hint="eastAsia"/>
          <w:color w:val="000000" w:themeColor="text1"/>
          <w:sz w:val="28"/>
          <w:szCs w:val="28"/>
          <w14:textFill>
            <w14:solidFill>
              <w14:schemeClr w14:val="tx1"/>
            </w14:solidFill>
          </w14:textFill>
        </w:rPr>
        <w:t>道</w:t>
      </w:r>
      <w:r>
        <w:rPr>
          <w:rFonts w:hint="eastAsia"/>
          <w:color w:val="000000" w:themeColor="text1"/>
          <w:sz w:val="28"/>
          <w:szCs w:val="28"/>
          <w:lang w:val="en-US" w:eastAsia="zh-CN"/>
          <w14:textFill>
            <w14:solidFill>
              <w14:schemeClr w14:val="tx1"/>
            </w14:solidFill>
          </w14:textFill>
        </w:rPr>
        <w:t>路</w:t>
      </w:r>
      <w:r>
        <w:rPr>
          <w:rFonts w:hint="eastAsia"/>
          <w:color w:val="000000" w:themeColor="text1"/>
          <w:sz w:val="28"/>
          <w:szCs w:val="28"/>
          <w14:textFill>
            <w14:solidFill>
              <w14:schemeClr w14:val="tx1"/>
            </w14:solidFill>
          </w14:textFill>
        </w:rPr>
        <w:t>相互连通的分级系统和层次。</w:t>
      </w:r>
    </w:p>
    <w:p>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（2）沿南干渠鼓励结合绿地生态廊道系统安排步行和非机动车体系，建立多层次绿道系统，倡导健康环保的交通出行方式。</w:t>
      </w:r>
    </w:p>
    <w:p>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（3）加强低等级道路避让高等级道路，低等级道路实行右进右出的交通管理模式，提升高等级道路的通行能力。</w:t>
      </w:r>
    </w:p>
    <w:p>
      <w:pPr>
        <w:ind w:firstLine="560" w:firstLineChars="200"/>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4</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优化公共交通发展模式，落实公交优先政策，与公交部门联合开通公交专线至温泉小镇，方便产业园区就业人员上下班。</w:t>
      </w:r>
    </w:p>
    <w:p>
      <w:pPr>
        <w:pStyle w:val="4"/>
        <w:numPr>
          <w:ilvl w:val="0"/>
          <w:numId w:val="10"/>
        </w:numPr>
        <w:ind w:left="420" w:firstLine="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路网结构规划</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sz w:val="28"/>
          <w:szCs w:val="28"/>
          <w:shd w:val="clear" w:color="auto" w:fill="FFFFFF"/>
        </w:rPr>
        <w:t>本次规划充分尊重已有规划以及相关要求，并全面考虑已建、在建道路的情况，加强规划区内路网系统与对外交通路网系统的衔接，完善区内支路网络系统，提高地块可达性，形成等级分明、结构合理、相互衔接的道路网络系统。园区内道路系统由主干路、次干路</w:t>
      </w:r>
      <w:r>
        <w:rPr>
          <w:rFonts w:hint="eastAsia" w:ascii="宋体" w:hAnsi="宋体" w:eastAsia="宋体" w:cs="宋体"/>
          <w:sz w:val="28"/>
          <w:szCs w:val="28"/>
          <w:shd w:val="clear" w:color="auto" w:fill="FFFFFF"/>
          <w:lang w:val="en-US" w:eastAsia="zh-CN"/>
        </w:rPr>
        <w:t>二</w:t>
      </w:r>
      <w:r>
        <w:rPr>
          <w:rFonts w:hint="eastAsia" w:ascii="宋体" w:hAnsi="宋体" w:eastAsia="宋体" w:cs="宋体"/>
          <w:sz w:val="28"/>
          <w:szCs w:val="28"/>
          <w:shd w:val="clear" w:color="auto" w:fill="FFFFFF"/>
        </w:rPr>
        <w:t>级构成。</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sz w:val="28"/>
          <w:szCs w:val="28"/>
          <w:shd w:val="clear" w:color="auto" w:fill="FFFFFF"/>
          <w:lang w:val="en-US" w:eastAsia="zh-CN"/>
        </w:rPr>
        <w:t>为加强交通联系，规划中</w:t>
      </w:r>
      <w:r>
        <w:rPr>
          <w:rFonts w:hint="eastAsia" w:ascii="宋体" w:hAnsi="宋体" w:eastAsia="宋体" w:cs="宋体"/>
          <w:sz w:val="28"/>
          <w:szCs w:val="28"/>
          <w:shd w:val="clear" w:color="auto" w:fill="FFFFFF"/>
        </w:rPr>
        <w:t>利用蓟河路与子午路交口新建半互通立交匝道，远期在曲陆高速上扩建温泉收费站，避免绕行，增加片区对外道路，控制开口区域，改善片区交通集散条件。</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sz w:val="28"/>
          <w:szCs w:val="28"/>
          <w:shd w:val="clear" w:color="auto" w:fill="FFFFFF"/>
        </w:rPr>
        <w:t>预计匝道长度</w:t>
      </w:r>
      <w:r>
        <w:rPr>
          <w:rFonts w:hint="eastAsia" w:ascii="宋体" w:hAnsi="宋体" w:eastAsia="宋体" w:cs="宋体"/>
          <w:sz w:val="28"/>
          <w:szCs w:val="28"/>
          <w:shd w:val="clear" w:color="auto" w:fill="FFFFFF"/>
          <w:lang w:val="en-US" w:eastAsia="zh-CN"/>
        </w:rPr>
        <w:t>116.5</w:t>
      </w:r>
      <w:r>
        <w:rPr>
          <w:rFonts w:hint="eastAsia" w:ascii="宋体" w:hAnsi="宋体" w:eastAsia="宋体" w:cs="宋体"/>
          <w:sz w:val="28"/>
          <w:szCs w:val="28"/>
          <w:shd w:val="clear" w:color="auto" w:fill="FFFFFF"/>
        </w:rPr>
        <w:t>m</w:t>
      </w:r>
      <w:r>
        <w:rPr>
          <w:rFonts w:hint="eastAsia" w:ascii="宋体" w:hAnsi="宋体" w:eastAsia="宋体" w:cs="宋体"/>
          <w:sz w:val="28"/>
          <w:szCs w:val="28"/>
          <w:shd w:val="clear" w:color="auto" w:fill="FFFFFF"/>
          <w:lang w:eastAsia="zh-CN"/>
        </w:rPr>
        <w:t>，</w:t>
      </w:r>
      <w:r>
        <w:rPr>
          <w:rFonts w:hint="eastAsia" w:ascii="宋体" w:hAnsi="宋体" w:eastAsia="宋体" w:cs="宋体"/>
          <w:sz w:val="28"/>
          <w:szCs w:val="28"/>
          <w:shd w:val="clear" w:color="auto" w:fill="FFFFFF"/>
        </w:rPr>
        <w:t>宽10m，半径≥90°</w:t>
      </w:r>
      <w:r>
        <w:rPr>
          <w:rFonts w:hint="eastAsia" w:ascii="宋体" w:hAnsi="宋体" w:eastAsia="宋体" w:cs="宋体"/>
          <w:sz w:val="28"/>
          <w:szCs w:val="28"/>
          <w:shd w:val="clear" w:color="auto" w:fill="FFFFFF"/>
          <w:lang w:eastAsia="zh-CN"/>
        </w:rPr>
        <w:t>，坡度3.32%；满足大车上下需求。</w:t>
      </w:r>
      <w:r>
        <w:rPr>
          <w:rFonts w:hint="eastAsia" w:ascii="宋体" w:hAnsi="宋体" w:eastAsia="宋体" w:cs="宋体"/>
          <w:sz w:val="28"/>
          <w:szCs w:val="28"/>
          <w:shd w:val="clear" w:color="auto" w:fill="FFFFFF"/>
        </w:rPr>
        <w:t>匝道设置2车道，车道中间采用标线（实线）隔离，并在匝道出入口前方设置“货车靠右行驶”的交通标志，引导客、货车分离行驶。</w:t>
      </w:r>
    </w:p>
    <w:p>
      <w:pPr>
        <w:spacing w:line="360" w:lineRule="auto"/>
        <w:ind w:firstLine="560" w:firstLineChars="200"/>
        <w:rPr>
          <w:rFonts w:hint="eastAsia" w:ascii="宋体" w:hAnsi="宋体" w:eastAsia="宋体" w:cs="宋体"/>
          <w:sz w:val="28"/>
          <w:szCs w:val="28"/>
          <w:shd w:val="clear" w:color="auto" w:fill="FFFFFF"/>
        </w:rPr>
      </w:pPr>
      <w:r>
        <w:rPr>
          <w:rFonts w:hint="eastAsia" w:ascii="宋体" w:hAnsi="宋体" w:eastAsia="宋体" w:cs="宋体"/>
          <w:sz w:val="28"/>
          <w:szCs w:val="28"/>
          <w:shd w:val="clear" w:color="auto" w:fill="FFFFFF"/>
        </w:rPr>
        <w:t>《城市道路交叉口规划规范》：快速路主线上匝道出入口间距不应小于260m。现出入口间距330m，满足</w:t>
      </w:r>
      <w:r>
        <w:rPr>
          <w:rFonts w:hint="eastAsia" w:ascii="宋体" w:hAnsi="宋体" w:eastAsia="宋体" w:cs="宋体"/>
          <w:sz w:val="28"/>
          <w:szCs w:val="28"/>
          <w:shd w:val="clear" w:color="auto" w:fill="FFFFFF"/>
          <w:lang w:val="en-US" w:eastAsia="zh-CN"/>
        </w:rPr>
        <w:t>相关规范要求</w:t>
      </w:r>
      <w:r>
        <w:rPr>
          <w:rFonts w:hint="eastAsia" w:ascii="宋体" w:hAnsi="宋体" w:eastAsia="宋体" w:cs="宋体"/>
          <w:sz w:val="28"/>
          <w:szCs w:val="28"/>
          <w:shd w:val="clear" w:color="auto" w:fill="FFFFFF"/>
        </w:rPr>
        <w:t>。</w:t>
      </w:r>
    </w:p>
    <w:p>
      <w:pPr>
        <w:ind w:firstLine="560" w:firstLineChars="200"/>
        <w:rPr>
          <w:rFonts w:hint="eastAsia" w:ascii="宋体" w:hAnsi="宋体" w:eastAsia="宋体" w:cs="宋体"/>
          <w:sz w:val="28"/>
          <w:szCs w:val="28"/>
          <w:shd w:val="clear" w:color="auto" w:fill="FFFFFF"/>
          <w:lang w:eastAsia="zh-CN"/>
        </w:rPr>
      </w:pPr>
      <w:r>
        <w:rPr>
          <w:rFonts w:hint="eastAsia"/>
          <w:color w:val="000000" w:themeColor="text1"/>
          <w:sz w:val="28"/>
          <w:szCs w:val="28"/>
          <w14:textFill>
            <w14:solidFill>
              <w14:schemeClr w14:val="tx1"/>
            </w14:solidFill>
          </w14:textFill>
        </w:rPr>
        <w:t>路网结构依托</w:t>
      </w:r>
      <w:r>
        <w:rPr>
          <w:rFonts w:hint="eastAsia"/>
          <w:color w:val="000000" w:themeColor="text1"/>
          <w:sz w:val="28"/>
          <w:szCs w:val="28"/>
          <w:lang w:val="en-US" w:eastAsia="zh-CN"/>
          <w14:textFill>
            <w14:solidFill>
              <w14:schemeClr w14:val="tx1"/>
            </w14:solidFill>
          </w14:textFill>
        </w:rPr>
        <w:t>规划</w:t>
      </w:r>
      <w:r>
        <w:rPr>
          <w:rFonts w:hint="eastAsia"/>
          <w:color w:val="000000" w:themeColor="text1"/>
          <w:sz w:val="28"/>
          <w:szCs w:val="28"/>
          <w14:textFill>
            <w14:solidFill>
              <w14:schemeClr w14:val="tx1"/>
            </w14:solidFill>
          </w14:textFill>
        </w:rPr>
        <w:t>路网进行优化、加密，规划形成“三横两纵”的路网体系，</w:t>
      </w:r>
      <w:r>
        <w:rPr>
          <w:rFonts w:hint="eastAsia"/>
          <w:color w:val="000000" w:themeColor="text1"/>
          <w:sz w:val="28"/>
          <w:szCs w:val="28"/>
          <w:lang w:eastAsia="zh-CN"/>
          <w14:textFill>
            <w14:solidFill>
              <w14:schemeClr w14:val="tx1"/>
            </w14:solidFill>
          </w14:textFill>
        </w:rPr>
        <w:t>本次计算包括规划区内的主干路、次干路，</w:t>
      </w:r>
      <w:r>
        <w:rPr>
          <w:rFonts w:hint="eastAsia" w:ascii="宋体" w:hAnsi="宋体" w:eastAsia="宋体" w:cs="宋体"/>
          <w:sz w:val="28"/>
          <w:szCs w:val="28"/>
          <w:shd w:val="clear" w:color="auto" w:fill="FFFFFF"/>
          <w:lang w:eastAsia="zh-CN"/>
        </w:rPr>
        <w:t>总长度约</w:t>
      </w:r>
      <w:r>
        <w:rPr>
          <w:rFonts w:hint="eastAsia" w:ascii="宋体" w:hAnsi="宋体" w:eastAsia="宋体" w:cs="宋体"/>
          <w:sz w:val="28"/>
          <w:szCs w:val="28"/>
          <w:shd w:val="clear" w:color="auto" w:fill="FFFFFF"/>
          <w:lang w:val="en-US" w:eastAsia="zh-CN"/>
        </w:rPr>
        <w:t>16.94</w:t>
      </w:r>
      <w:r>
        <w:rPr>
          <w:rFonts w:hint="eastAsia" w:ascii="宋体" w:hAnsi="宋体" w:eastAsia="宋体" w:cs="宋体"/>
          <w:sz w:val="28"/>
          <w:szCs w:val="28"/>
          <w:shd w:val="clear" w:color="auto" w:fill="FFFFFF"/>
          <w:lang w:eastAsia="zh-CN"/>
        </w:rPr>
        <w:t>km，规划区总建设用地为3.225k㎡，片区规划道路网密度为</w:t>
      </w:r>
      <w:r>
        <w:rPr>
          <w:rFonts w:hint="eastAsia" w:ascii="宋体" w:hAnsi="宋体" w:eastAsia="宋体" w:cs="宋体"/>
          <w:sz w:val="28"/>
          <w:szCs w:val="28"/>
          <w:shd w:val="clear" w:color="auto" w:fill="FFFFFF"/>
          <w:lang w:val="en-US" w:eastAsia="zh-CN"/>
        </w:rPr>
        <w:t>5.25</w:t>
      </w:r>
      <w:r>
        <w:rPr>
          <w:rFonts w:hint="eastAsia" w:ascii="宋体" w:hAnsi="宋体" w:eastAsia="宋体" w:cs="宋体"/>
          <w:sz w:val="28"/>
          <w:szCs w:val="28"/>
          <w:shd w:val="clear" w:color="auto" w:fill="FFFFFF"/>
          <w:lang w:eastAsia="zh-CN"/>
        </w:rPr>
        <w:t>km/k㎡，</w:t>
      </w:r>
      <w:r>
        <w:rPr>
          <w:rFonts w:hint="eastAsia"/>
          <w:color w:val="000000" w:themeColor="text1"/>
          <w:sz w:val="28"/>
          <w:szCs w:val="28"/>
          <w:lang w:eastAsia="zh-CN"/>
          <w14:textFill>
            <w14:solidFill>
              <w14:schemeClr w14:val="tx1"/>
            </w14:solidFill>
          </w14:textFill>
        </w:rPr>
        <w:t>满足《曲靖中心城区规划管理技术规定》。</w:t>
      </w:r>
      <w:r>
        <w:rPr>
          <w:rFonts w:hint="eastAsia" w:ascii="宋体" w:hAnsi="宋体" w:eastAsia="宋体" w:cs="宋体"/>
          <w:sz w:val="28"/>
          <w:szCs w:val="28"/>
          <w:shd w:val="clear" w:color="auto" w:fill="FFFFFF"/>
          <w:lang w:eastAsia="zh-CN"/>
        </w:rPr>
        <w:t>详见表 6.1 规划道路控制一览表、图6.1道路系统规划图</w:t>
      </w:r>
    </w:p>
    <w:p>
      <w:pP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 新建东西向</w:t>
      </w:r>
      <w:r>
        <w:rPr>
          <w:rFonts w:hint="eastAsia"/>
          <w:color w:val="000000" w:themeColor="text1"/>
          <w:sz w:val="28"/>
          <w:szCs w:val="28"/>
          <w:lang w:val="en-US" w:eastAsia="zh-CN"/>
          <w14:textFill>
            <w14:solidFill>
              <w14:schemeClr w14:val="tx1"/>
            </w14:solidFill>
          </w14:textFill>
        </w:rPr>
        <w:t>规划横一路</w:t>
      </w:r>
      <w:r>
        <w:rPr>
          <w:rFonts w:hint="eastAsia"/>
          <w:color w:val="000000" w:themeColor="text1"/>
          <w:sz w:val="28"/>
          <w:szCs w:val="28"/>
          <w14:textFill>
            <w14:solidFill>
              <w14:schemeClr w14:val="tx1"/>
            </w14:solidFill>
          </w14:textFill>
        </w:rPr>
        <w:t>，连接寥廓</w:t>
      </w:r>
      <w:r>
        <w:rPr>
          <w:rFonts w:hint="eastAsia"/>
          <w:color w:val="000000" w:themeColor="text1"/>
          <w:sz w:val="28"/>
          <w:szCs w:val="28"/>
          <w:lang w:val="en-US" w:eastAsia="zh-CN"/>
          <w14:textFill>
            <w14:solidFill>
              <w14:schemeClr w14:val="tx1"/>
            </w14:solidFill>
          </w14:textFill>
        </w:rPr>
        <w:t>南</w:t>
      </w:r>
      <w:r>
        <w:rPr>
          <w:rFonts w:hint="eastAsia"/>
          <w:color w:val="000000" w:themeColor="text1"/>
          <w:sz w:val="28"/>
          <w:szCs w:val="28"/>
          <w14:textFill>
            <w14:solidFill>
              <w14:schemeClr w14:val="tx1"/>
            </w14:solidFill>
          </w14:textFill>
        </w:rPr>
        <w:t>路与</w:t>
      </w:r>
      <w:r>
        <w:rPr>
          <w:rFonts w:hint="eastAsia"/>
          <w:color w:val="000000" w:themeColor="text1"/>
          <w:sz w:val="28"/>
          <w:szCs w:val="28"/>
          <w:lang w:val="en-US" w:eastAsia="zh-CN"/>
          <w14:textFill>
            <w14:solidFill>
              <w14:schemeClr w14:val="tx1"/>
            </w14:solidFill>
          </w14:textFill>
        </w:rPr>
        <w:t>规划纵一</w:t>
      </w:r>
      <w:r>
        <w:rPr>
          <w:rFonts w:hint="eastAsia"/>
          <w:color w:val="000000" w:themeColor="text1"/>
          <w:sz w:val="28"/>
          <w:szCs w:val="28"/>
          <w14:textFill>
            <w14:solidFill>
              <w14:schemeClr w14:val="tx1"/>
            </w14:solidFill>
          </w14:textFill>
        </w:rPr>
        <w:t>路；</w:t>
      </w:r>
    </w:p>
    <w:p>
      <w:pP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 新建东西向规划横</w:t>
      </w:r>
      <w:r>
        <w:rPr>
          <w:rFonts w:hint="eastAsia"/>
          <w:color w:val="000000" w:themeColor="text1"/>
          <w:sz w:val="28"/>
          <w:szCs w:val="28"/>
          <w:lang w:val="en-US" w:eastAsia="zh-CN"/>
          <w14:textFill>
            <w14:solidFill>
              <w14:schemeClr w14:val="tx1"/>
            </w14:solidFill>
          </w14:textFill>
        </w:rPr>
        <w:t>二</w:t>
      </w:r>
      <w:r>
        <w:rPr>
          <w:rFonts w:hint="eastAsia"/>
          <w:color w:val="000000" w:themeColor="text1"/>
          <w:sz w:val="28"/>
          <w:szCs w:val="28"/>
          <w14:textFill>
            <w14:solidFill>
              <w14:schemeClr w14:val="tx1"/>
            </w14:solidFill>
          </w14:textFill>
        </w:rPr>
        <w:t>路，连接寥廓</w:t>
      </w:r>
      <w:r>
        <w:rPr>
          <w:rFonts w:hint="eastAsia"/>
          <w:color w:val="000000" w:themeColor="text1"/>
          <w:sz w:val="28"/>
          <w:szCs w:val="28"/>
          <w:lang w:val="en-US" w:eastAsia="zh-CN"/>
          <w14:textFill>
            <w14:solidFill>
              <w14:schemeClr w14:val="tx1"/>
            </w14:solidFill>
          </w14:textFill>
        </w:rPr>
        <w:t>南</w:t>
      </w:r>
      <w:r>
        <w:rPr>
          <w:rFonts w:hint="eastAsia"/>
          <w:color w:val="000000" w:themeColor="text1"/>
          <w:sz w:val="28"/>
          <w:szCs w:val="28"/>
          <w14:textFill>
            <w14:solidFill>
              <w14:schemeClr w14:val="tx1"/>
            </w14:solidFill>
          </w14:textFill>
        </w:rPr>
        <w:t>路与</w:t>
      </w:r>
      <w:r>
        <w:rPr>
          <w:rFonts w:hint="eastAsia"/>
          <w:color w:val="000000" w:themeColor="text1"/>
          <w:sz w:val="28"/>
          <w:szCs w:val="28"/>
          <w:lang w:val="en-US" w:eastAsia="zh-CN"/>
          <w14:textFill>
            <w14:solidFill>
              <w14:schemeClr w14:val="tx1"/>
            </w14:solidFill>
          </w14:textFill>
        </w:rPr>
        <w:t>规划纵一</w:t>
      </w:r>
      <w:r>
        <w:rPr>
          <w:rFonts w:hint="eastAsia"/>
          <w:color w:val="000000" w:themeColor="text1"/>
          <w:sz w:val="28"/>
          <w:szCs w:val="28"/>
          <w14:textFill>
            <w14:solidFill>
              <w14:schemeClr w14:val="tx1"/>
            </w14:solidFill>
          </w14:textFill>
        </w:rPr>
        <w:t>路；</w:t>
      </w:r>
    </w:p>
    <w:p>
      <w:pP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3. 新建东西向规划横三路，连接寥廓南路与规划纵一路与下穿曲陆高速与水石路的连接；</w:t>
      </w:r>
    </w:p>
    <w:p>
      <w:pPr>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4. 新建东西向规划横四路，连接寥廓南路、规划纵一路与规划纵二路；</w:t>
      </w:r>
    </w:p>
    <w:p>
      <w:pPr>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5. 新建东西向规划横五路，连接寥廓南路、规划纵一路、规划纵二路与下穿曲陆高速与水石路的连接；</w:t>
      </w:r>
    </w:p>
    <w:p>
      <w:pP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6. 新建东西向规划横六路，连接寥廓南路、规划纵一路、规划纵二路；</w:t>
      </w:r>
    </w:p>
    <w:p>
      <w:pPr>
        <w:rPr>
          <w:rFonts w:hint="default" w:eastAsiaTheme="minor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7. 新建南北向规划纵一路，连接蓟河路与各次干路的连接；</w:t>
      </w:r>
    </w:p>
    <w:p>
      <w:pPr>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8. 新建南北向规划纵二路，连接规划横四路、规划横五路、规划横六路的连接；</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表6.1规划道路控制一览表</w:t>
      </w:r>
    </w:p>
    <w:tbl>
      <w:tblPr>
        <w:tblStyle w:val="12"/>
        <w:tblW w:w="978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39"/>
        <w:gridCol w:w="698"/>
        <w:gridCol w:w="1475"/>
        <w:gridCol w:w="806"/>
        <w:gridCol w:w="2550"/>
        <w:gridCol w:w="1144"/>
        <w:gridCol w:w="1106"/>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939" w:type="dxa"/>
            <w:vMerge w:val="restart"/>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类型</w:t>
            </w:r>
          </w:p>
        </w:tc>
        <w:tc>
          <w:tcPr>
            <w:tcW w:w="698" w:type="dxa"/>
            <w:vMerge w:val="restart"/>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475" w:type="dxa"/>
            <w:vMerge w:val="restart"/>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路名</w:t>
            </w:r>
          </w:p>
        </w:tc>
        <w:tc>
          <w:tcPr>
            <w:tcW w:w="806" w:type="dxa"/>
            <w:vMerge w:val="restart"/>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走向</w:t>
            </w:r>
          </w:p>
        </w:tc>
        <w:tc>
          <w:tcPr>
            <w:tcW w:w="2550" w:type="dxa"/>
            <w:vMerge w:val="restart"/>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起讫点</w:t>
            </w:r>
          </w:p>
        </w:tc>
        <w:tc>
          <w:tcPr>
            <w:tcW w:w="1144" w:type="dxa"/>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长度</w:t>
            </w:r>
          </w:p>
        </w:tc>
        <w:tc>
          <w:tcPr>
            <w:tcW w:w="1106" w:type="dxa"/>
            <w:vMerge w:val="restart"/>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红线宽度（米）</w:t>
            </w:r>
          </w:p>
        </w:tc>
        <w:tc>
          <w:tcPr>
            <w:tcW w:w="1067" w:type="dxa"/>
            <w:vMerge w:val="restart"/>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939" w:type="dxa"/>
            <w:vMerge w:val="continue"/>
            <w:shd w:val="clear" w:color="auto" w:fill="auto"/>
            <w:vAlign w:val="center"/>
          </w:tcPr>
          <w:p>
            <w:pPr>
              <w:spacing w:line="360" w:lineRule="auto"/>
              <w:jc w:val="center"/>
              <w:rPr>
                <w:rFonts w:hint="eastAsia" w:ascii="宋体" w:hAnsi="宋体" w:eastAsia="宋体" w:cs="宋体"/>
                <w:b/>
                <w:bCs/>
                <w:i w:val="0"/>
                <w:iCs w:val="0"/>
                <w:color w:val="000000"/>
                <w:sz w:val="24"/>
                <w:szCs w:val="24"/>
                <w:u w:val="none"/>
              </w:rPr>
            </w:pPr>
          </w:p>
        </w:tc>
        <w:tc>
          <w:tcPr>
            <w:tcW w:w="698" w:type="dxa"/>
            <w:vMerge w:val="continue"/>
            <w:shd w:val="clear" w:color="auto" w:fill="auto"/>
            <w:vAlign w:val="center"/>
          </w:tcPr>
          <w:p>
            <w:pPr>
              <w:spacing w:line="360" w:lineRule="auto"/>
              <w:jc w:val="center"/>
              <w:rPr>
                <w:rFonts w:hint="eastAsia" w:ascii="宋体" w:hAnsi="宋体" w:eastAsia="宋体" w:cs="宋体"/>
                <w:b/>
                <w:bCs/>
                <w:i w:val="0"/>
                <w:iCs w:val="0"/>
                <w:color w:val="000000"/>
                <w:sz w:val="24"/>
                <w:szCs w:val="24"/>
                <w:u w:val="none"/>
              </w:rPr>
            </w:pPr>
          </w:p>
        </w:tc>
        <w:tc>
          <w:tcPr>
            <w:tcW w:w="1475" w:type="dxa"/>
            <w:vMerge w:val="continue"/>
            <w:shd w:val="clear" w:color="auto" w:fill="auto"/>
            <w:vAlign w:val="center"/>
          </w:tcPr>
          <w:p>
            <w:pPr>
              <w:spacing w:line="360" w:lineRule="auto"/>
              <w:jc w:val="center"/>
              <w:rPr>
                <w:rFonts w:hint="eastAsia" w:ascii="宋体" w:hAnsi="宋体" w:eastAsia="宋体" w:cs="宋体"/>
                <w:b/>
                <w:bCs/>
                <w:i w:val="0"/>
                <w:iCs w:val="0"/>
                <w:color w:val="000000"/>
                <w:sz w:val="24"/>
                <w:szCs w:val="24"/>
                <w:u w:val="none"/>
              </w:rPr>
            </w:pPr>
          </w:p>
        </w:tc>
        <w:tc>
          <w:tcPr>
            <w:tcW w:w="806" w:type="dxa"/>
            <w:vMerge w:val="continue"/>
            <w:shd w:val="clear" w:color="auto" w:fill="auto"/>
            <w:vAlign w:val="center"/>
          </w:tcPr>
          <w:p>
            <w:pPr>
              <w:spacing w:line="360" w:lineRule="auto"/>
              <w:jc w:val="center"/>
              <w:rPr>
                <w:rFonts w:hint="eastAsia" w:ascii="宋体" w:hAnsi="宋体" w:eastAsia="宋体" w:cs="宋体"/>
                <w:b/>
                <w:bCs/>
                <w:i w:val="0"/>
                <w:iCs w:val="0"/>
                <w:color w:val="000000"/>
                <w:sz w:val="24"/>
                <w:szCs w:val="24"/>
                <w:u w:val="none"/>
              </w:rPr>
            </w:pPr>
          </w:p>
        </w:tc>
        <w:tc>
          <w:tcPr>
            <w:tcW w:w="2550" w:type="dxa"/>
            <w:vMerge w:val="continue"/>
            <w:shd w:val="clear" w:color="auto" w:fill="auto"/>
            <w:vAlign w:val="center"/>
          </w:tcPr>
          <w:p>
            <w:pPr>
              <w:spacing w:line="360" w:lineRule="auto"/>
              <w:jc w:val="center"/>
              <w:rPr>
                <w:rFonts w:hint="eastAsia" w:ascii="宋体" w:hAnsi="宋体" w:eastAsia="宋体" w:cs="宋体"/>
                <w:b/>
                <w:bCs/>
                <w:i w:val="0"/>
                <w:iCs w:val="0"/>
                <w:color w:val="000000"/>
                <w:sz w:val="24"/>
                <w:szCs w:val="24"/>
                <w:u w:val="none"/>
              </w:rPr>
            </w:pPr>
          </w:p>
        </w:tc>
        <w:tc>
          <w:tcPr>
            <w:tcW w:w="1144" w:type="dxa"/>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（米）</w:t>
            </w:r>
          </w:p>
        </w:tc>
        <w:tc>
          <w:tcPr>
            <w:tcW w:w="1106" w:type="dxa"/>
            <w:vMerge w:val="continue"/>
            <w:shd w:val="clear" w:color="auto" w:fill="auto"/>
            <w:vAlign w:val="center"/>
          </w:tcPr>
          <w:p>
            <w:pPr>
              <w:spacing w:line="360" w:lineRule="auto"/>
              <w:jc w:val="center"/>
              <w:rPr>
                <w:rFonts w:hint="eastAsia" w:ascii="宋体" w:hAnsi="宋体" w:eastAsia="宋体" w:cs="宋体"/>
                <w:b/>
                <w:bCs/>
                <w:i w:val="0"/>
                <w:iCs w:val="0"/>
                <w:color w:val="000000"/>
                <w:sz w:val="24"/>
                <w:szCs w:val="24"/>
                <w:u w:val="none"/>
              </w:rPr>
            </w:pPr>
          </w:p>
        </w:tc>
        <w:tc>
          <w:tcPr>
            <w:tcW w:w="1067" w:type="dxa"/>
            <w:vMerge w:val="continue"/>
            <w:shd w:val="clear" w:color="auto" w:fill="auto"/>
            <w:vAlign w:val="center"/>
          </w:tcPr>
          <w:p>
            <w:pPr>
              <w:spacing w:line="360" w:lineRule="auto"/>
              <w:jc w:val="center"/>
              <w:rPr>
                <w:rFonts w:hint="eastAsia" w:ascii="宋体" w:hAnsi="宋体" w:eastAsia="宋体" w:cs="宋体"/>
                <w:b/>
                <w:bCs/>
                <w:i w:val="0"/>
                <w:iCs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9" w:type="dxa"/>
            <w:vMerge w:val="restart"/>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主干路</w:t>
            </w: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寥廓南路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南北</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蓟河路-规划横六路</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3649</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40</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海河路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寥廓南路-曲陆高速</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2854</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32</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规划横三路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寥廓南路-曲陆高速</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843</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32</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规划横五路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规划纵以路-曲陆高速</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1012</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42</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5529" w:type="dxa"/>
            <w:gridSpan w:val="4"/>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小计</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b/>
                <w:bCs/>
                <w:i w:val="0"/>
                <w:iCs w:val="0"/>
                <w:color w:val="auto"/>
                <w:sz w:val="24"/>
                <w:szCs w:val="24"/>
                <w:u w:val="none"/>
                <w:lang w:val="en-US"/>
              </w:rPr>
            </w:pPr>
            <w:r>
              <w:rPr>
                <w:rFonts w:hint="eastAsia" w:ascii="宋体" w:hAnsi="宋体" w:eastAsia="宋体" w:cs="宋体"/>
                <w:b/>
                <w:bCs/>
                <w:i w:val="0"/>
                <w:iCs w:val="0"/>
                <w:color w:val="auto"/>
                <w:kern w:val="0"/>
                <w:sz w:val="24"/>
                <w:szCs w:val="24"/>
                <w:u w:val="none"/>
                <w:lang w:val="en-US" w:eastAsia="zh-CN" w:bidi="ar"/>
              </w:rPr>
              <w:t>8358</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9" w:type="dxa"/>
            <w:vMerge w:val="restart"/>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次干路</w:t>
            </w: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蓟河路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寥廓南路-曲陆高速</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895</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24</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规划横一路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寥廓南路-规划纵一路</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391</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24</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规划横二路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寥廓南路-规划纵一路</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658</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sz w:val="24"/>
                <w:szCs w:val="24"/>
                <w:u w:val="none"/>
                <w:lang w:val="en-US"/>
              </w:rPr>
            </w:pPr>
            <w:r>
              <w:rPr>
                <w:rFonts w:hint="eastAsia" w:ascii="宋体" w:hAnsi="宋体" w:eastAsia="宋体" w:cs="宋体"/>
                <w:i w:val="0"/>
                <w:iCs w:val="0"/>
                <w:color w:val="auto"/>
                <w:kern w:val="0"/>
                <w:sz w:val="24"/>
                <w:szCs w:val="24"/>
                <w:u w:val="none"/>
                <w:lang w:val="en-US" w:eastAsia="zh-CN" w:bidi="ar"/>
              </w:rPr>
              <w:t>24</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规划横四路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规划纵一路-规划纵二路</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738</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规划横六路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东西</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规划纵一路-规划纵二路</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715</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规划纵一路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南北</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color w:val="000000" w:themeColor="text1"/>
                <w:sz w:val="28"/>
                <w:szCs w:val="28"/>
                <w:lang w:val="en-US" w:eastAsia="zh-CN"/>
                <w14:textFill>
                  <w14:solidFill>
                    <w14:schemeClr w14:val="tx1"/>
                  </w14:solidFill>
                </w14:textFill>
              </w:rPr>
              <w:t>蓟河路—</w:t>
            </w:r>
            <w:r>
              <w:rPr>
                <w:rFonts w:hint="eastAsia" w:ascii="宋体" w:hAnsi="宋体" w:eastAsia="宋体" w:cs="宋体"/>
                <w:i w:val="0"/>
                <w:iCs w:val="0"/>
                <w:color w:val="auto"/>
                <w:kern w:val="0"/>
                <w:sz w:val="24"/>
                <w:szCs w:val="24"/>
                <w:u w:val="none"/>
                <w:lang w:val="en-US" w:eastAsia="zh-CN" w:bidi="ar"/>
              </w:rPr>
              <w:t>规划横六路</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3724</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698"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7</w:t>
            </w:r>
          </w:p>
        </w:tc>
        <w:tc>
          <w:tcPr>
            <w:tcW w:w="1475"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规划纵二路</w:t>
            </w:r>
          </w:p>
        </w:tc>
        <w:tc>
          <w:tcPr>
            <w:tcW w:w="8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南北</w:t>
            </w:r>
          </w:p>
        </w:tc>
        <w:tc>
          <w:tcPr>
            <w:tcW w:w="2550"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规划横三路—规划横六路</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1460</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24</w:t>
            </w: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9" w:type="dxa"/>
            <w:vMerge w:val="continue"/>
            <w:shd w:val="clear" w:color="auto" w:fill="auto"/>
            <w:noWrap/>
            <w:vAlign w:val="center"/>
          </w:tcPr>
          <w:p>
            <w:pPr>
              <w:spacing w:line="360" w:lineRule="auto"/>
              <w:jc w:val="center"/>
              <w:rPr>
                <w:rFonts w:hint="eastAsia" w:ascii="宋体" w:hAnsi="宋体" w:eastAsia="宋体" w:cs="宋体"/>
                <w:b/>
                <w:bCs/>
                <w:i w:val="0"/>
                <w:iCs w:val="0"/>
                <w:color w:val="auto"/>
                <w:sz w:val="24"/>
                <w:szCs w:val="24"/>
                <w:u w:val="none"/>
              </w:rPr>
            </w:pPr>
          </w:p>
        </w:tc>
        <w:tc>
          <w:tcPr>
            <w:tcW w:w="5529" w:type="dxa"/>
            <w:gridSpan w:val="4"/>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小计</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b/>
                <w:bCs/>
                <w:i w:val="0"/>
                <w:iCs w:val="0"/>
                <w:color w:val="auto"/>
                <w:sz w:val="24"/>
                <w:szCs w:val="24"/>
                <w:u w:val="none"/>
                <w:lang w:val="en-US"/>
              </w:rPr>
            </w:pPr>
            <w:r>
              <w:rPr>
                <w:rFonts w:hint="eastAsia" w:ascii="宋体" w:hAnsi="宋体" w:eastAsia="宋体" w:cs="宋体"/>
                <w:b/>
                <w:bCs/>
                <w:i w:val="0"/>
                <w:iCs w:val="0"/>
                <w:color w:val="auto"/>
                <w:kern w:val="0"/>
                <w:sz w:val="24"/>
                <w:szCs w:val="24"/>
                <w:u w:val="none"/>
                <w:lang w:val="en-US" w:eastAsia="zh-CN" w:bidi="ar"/>
              </w:rPr>
              <w:t>8581</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68" w:type="dxa"/>
            <w:gridSpan w:val="5"/>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合计</w:t>
            </w:r>
          </w:p>
        </w:tc>
        <w:tc>
          <w:tcPr>
            <w:tcW w:w="1144" w:type="dxa"/>
            <w:shd w:val="clear" w:color="auto" w:fill="auto"/>
            <w:noWrap/>
            <w:vAlign w:val="center"/>
          </w:tcPr>
          <w:p>
            <w:pPr>
              <w:keepNext w:val="0"/>
              <w:keepLines w:val="0"/>
              <w:widowControl/>
              <w:suppressLineNumbers w:val="0"/>
              <w:spacing w:line="360" w:lineRule="auto"/>
              <w:jc w:val="center"/>
              <w:textAlignment w:val="center"/>
              <w:rPr>
                <w:rFonts w:hint="default" w:ascii="宋体" w:hAnsi="宋体" w:eastAsia="宋体" w:cs="宋体"/>
                <w:b/>
                <w:bCs/>
                <w:i w:val="0"/>
                <w:iCs w:val="0"/>
                <w:color w:val="auto"/>
                <w:sz w:val="24"/>
                <w:szCs w:val="24"/>
                <w:u w:val="none"/>
                <w:lang w:val="en-US"/>
              </w:rPr>
            </w:pPr>
            <w:r>
              <w:rPr>
                <w:rFonts w:hint="eastAsia" w:ascii="宋体" w:hAnsi="宋体" w:eastAsia="宋体" w:cs="宋体"/>
                <w:b/>
                <w:bCs/>
                <w:i w:val="0"/>
                <w:iCs w:val="0"/>
                <w:color w:val="auto"/>
                <w:kern w:val="0"/>
                <w:sz w:val="24"/>
                <w:szCs w:val="24"/>
                <w:u w:val="none"/>
                <w:lang w:val="en-US" w:eastAsia="zh-CN" w:bidi="ar"/>
              </w:rPr>
              <w:t>16939</w:t>
            </w:r>
          </w:p>
        </w:tc>
        <w:tc>
          <w:tcPr>
            <w:tcW w:w="1106"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p>
        </w:tc>
        <w:tc>
          <w:tcPr>
            <w:tcW w:w="1067" w:type="dxa"/>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b/>
                <w:bCs/>
                <w:i w:val="0"/>
                <w:iCs w:val="0"/>
                <w:color w:val="auto"/>
                <w:sz w:val="24"/>
                <w:szCs w:val="24"/>
                <w:u w:val="none"/>
              </w:rPr>
            </w:pPr>
          </w:p>
        </w:tc>
      </w:tr>
    </w:tbl>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4" w:hRule="atLeast"/>
          <w:jc w:val="center"/>
        </w:trPr>
        <w:tc>
          <w:tcPr>
            <w:tcW w:w="9360" w:type="dxa"/>
          </w:tcPr>
          <w:p>
            <w:pPr>
              <w:spacing w:line="360" w:lineRule="auto"/>
              <w:jc w:val="center"/>
              <w:rPr>
                <w:rFonts w:hint="eastAsia" w:ascii="宋体" w:hAnsi="宋体" w:eastAsia="宋体" w:cs="宋体"/>
                <w:color w:val="FF0000"/>
                <w:sz w:val="28"/>
                <w:szCs w:val="28"/>
                <w:shd w:val="clear" w:color="auto" w:fill="FFFFFF"/>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5276215" cy="3017520"/>
                  <wp:effectExtent l="0" t="0" r="0" b="0"/>
                  <wp:docPr id="55" name="图片 55" descr="E:\2023年\工业园区\工业园区最终成果\罗汉山工业园区成果\规划图\规划图纸文本说明书\规划\13道路规划图.jpg13道路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2023年\工业园区\工业园区最终成果\罗汉山工业园区成果\规划图\规划图纸文本说明书\规划\13道路规划图.jpg13道路规划图"/>
                          <pic:cNvPicPr>
                            <a:picLocks noChangeAspect="1"/>
                          </pic:cNvPicPr>
                        </pic:nvPicPr>
                        <pic:blipFill>
                          <a:blip r:embed="rId25"/>
                          <a:srcRect t="13347" b="5698"/>
                          <a:stretch>
                            <a:fillRect/>
                          </a:stretch>
                        </pic:blipFill>
                        <pic:spPr>
                          <a:xfrm>
                            <a:off x="0" y="0"/>
                            <a:ext cx="5276215" cy="3017520"/>
                          </a:xfrm>
                          <a:prstGeom prst="rect">
                            <a:avLst/>
                          </a:prstGeom>
                          <a:ln>
                            <a:noFill/>
                          </a:ln>
                        </pic:spPr>
                      </pic:pic>
                    </a:graphicData>
                  </a:graphic>
                </wp:inline>
              </w:drawing>
            </w:r>
          </w:p>
          <w:p>
            <w:pPr>
              <w:spacing w:line="360" w:lineRule="auto"/>
              <w:ind w:firstLine="210" w:firstLineChars="100"/>
              <w:jc w:val="center"/>
              <w:rPr>
                <w:rFonts w:hint="default" w:ascii="宋体" w:hAnsi="宋体" w:eastAsia="宋体" w:cs="宋体"/>
                <w:color w:val="FF0000"/>
                <w:sz w:val="28"/>
                <w:szCs w:val="28"/>
                <w:shd w:val="clear" w:color="auto" w:fill="FFFFFF"/>
                <w:lang w:val="en-US"/>
              </w:rPr>
            </w:pPr>
            <w:r>
              <w:rPr>
                <w:rFonts w:hint="eastAsia" w:ascii="宋体" w:hAnsi="宋体" w:eastAsia="宋体" w:cs="宋体"/>
                <w:b w:val="0"/>
                <w:bCs w:val="0"/>
                <w:sz w:val="21"/>
                <w:szCs w:val="21"/>
                <w:shd w:val="clear" w:color="auto" w:fill="FFFFFF"/>
              </w:rPr>
              <w:t>图</w:t>
            </w:r>
            <w:r>
              <w:rPr>
                <w:rFonts w:hint="eastAsia" w:ascii="宋体" w:hAnsi="宋体" w:eastAsia="宋体" w:cs="宋体"/>
                <w:b w:val="0"/>
                <w:bCs w:val="0"/>
                <w:sz w:val="21"/>
                <w:szCs w:val="21"/>
                <w:shd w:val="clear" w:color="auto" w:fill="FFFFFF"/>
                <w:lang w:val="en-US" w:eastAsia="zh-CN"/>
              </w:rPr>
              <w:t>6.1道路系统规划图</w:t>
            </w:r>
          </w:p>
        </w:tc>
      </w:tr>
    </w:tbl>
    <w:p>
      <w:pPr>
        <w:pStyle w:val="4"/>
        <w:numPr>
          <w:ilvl w:val="0"/>
          <w:numId w:val="10"/>
        </w:numPr>
        <w:ind w:left="420" w:firstLine="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道路竖向规划</w:t>
      </w:r>
    </w:p>
    <w:p>
      <w:pPr>
        <w:spacing w:line="360" w:lineRule="auto"/>
        <w:ind w:firstLine="560" w:firstLineChars="200"/>
        <w:outlineLvl w:val="3"/>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（1）规划原则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1）安全、适用、经济、美观。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2）充分发挥土地潜力，节约用地。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3）合理利用地形、地质条件，满足城市各项建设用地的使用要求，使各方面统一和谐，竖向上相互协调。 </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4）减少土石方及防护工程量。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5）城市用地坚向规划应满足各项工程建设场地及工程管线敷设的高程要求，和城市道路、交通运输、广场的技术要求，以及用地地面排水和城市防洪、排涝的要求。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6）规划确定的竖向规划控制高程，可以作为下一阶段详细规划设计的依据。</w:t>
      </w:r>
    </w:p>
    <w:p>
      <w:pPr>
        <w:spacing w:line="360" w:lineRule="auto"/>
        <w:ind w:firstLine="560" w:firstLineChars="200"/>
        <w:outlineLvl w:val="3"/>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（2）规划依据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1）《工程建设标准强制性条文》（城乡规划部分）（GB 50268－97）；</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2）《城市用地竖向规划规范》（CJJ 83－99）；</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3）《城市道路交通规划设计规范》（GB 50220－95）；</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4）《城市道路设计规范》（CJJ 37－90）；</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5）《城市防洪工程设计规范》（CJJ 50－92）；</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6）《防洪标准》（GB 50201－94）；</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7）《室外排水设计规范》（GB</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 </w:t>
      </w:r>
      <w:r>
        <w:rPr>
          <w:rFonts w:hint="eastAsia" w:ascii="宋体" w:hAnsi="宋体" w:eastAsia="宋体" w:cs="宋体"/>
          <w:color w:val="000000" w:themeColor="text1"/>
          <w:sz w:val="28"/>
          <w:szCs w:val="28"/>
          <w:shd w:val="clear" w:color="auto" w:fill="FFFFFF"/>
          <w14:textFill>
            <w14:solidFill>
              <w14:schemeClr w14:val="tx1"/>
            </w14:solidFill>
          </w14:textFill>
        </w:rPr>
        <w:t xml:space="preserve">50014－2006） </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p>
      <w:pPr>
        <w:spacing w:line="360" w:lineRule="auto"/>
        <w:ind w:firstLine="560" w:firstLineChars="200"/>
        <w:outlineLvl w:val="3"/>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（3）道路竖向规划设计 </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本次规划中，道路竖向设计充分考虑了与现状道路、地形条件关系，</w:t>
      </w:r>
      <w:r>
        <w:rPr>
          <w:rFonts w:hint="eastAsia" w:ascii="宋体" w:hAnsi="宋体" w:eastAsia="宋体" w:cs="宋体"/>
          <w:sz w:val="28"/>
          <w:szCs w:val="28"/>
          <w:shd w:val="clear" w:color="auto" w:fill="FFFFFF"/>
          <w:lang w:val="en-US" w:eastAsia="zh-CN"/>
        </w:rPr>
        <w:t>通过</w:t>
      </w:r>
      <w:r>
        <w:rPr>
          <w:rFonts w:hint="eastAsia" w:ascii="宋体" w:hAnsi="宋体" w:eastAsia="宋体" w:cs="宋体"/>
          <w:sz w:val="28"/>
          <w:szCs w:val="28"/>
          <w:shd w:val="clear" w:color="auto" w:fill="FFFFFF"/>
        </w:rPr>
        <w:t>与《曲靖市国土空间总体规划（2021-20</w:t>
      </w:r>
      <w:r>
        <w:rPr>
          <w:rFonts w:hint="default" w:ascii="宋体" w:hAnsi="宋体" w:eastAsia="宋体" w:cs="宋体"/>
          <w:sz w:val="28"/>
          <w:szCs w:val="28"/>
          <w:shd w:val="clear" w:color="auto" w:fill="FFFFFF"/>
          <w:lang w:val="en-US"/>
        </w:rPr>
        <w:t>3</w:t>
      </w:r>
      <w:r>
        <w:rPr>
          <w:rFonts w:hint="eastAsia" w:ascii="宋体" w:hAnsi="宋体" w:eastAsia="宋体" w:cs="宋体"/>
          <w:sz w:val="28"/>
          <w:szCs w:val="28"/>
          <w:shd w:val="clear" w:color="auto" w:fill="FFFFFF"/>
        </w:rPr>
        <w:t>0年）》的衔接；以雨水的就近排放为原则，并同时考虑到道路的行车要求，特别是机动车的行驶要求，依据道路纵坡设计规范，竖向坡度控制在0.3%-8.0%之间，规划区内部分区域道路已建成，道路纵坡小于 0.3%，建议增强道路横向排水措施，减少工程建设投资。</w:t>
      </w:r>
      <w:r>
        <w:rPr>
          <w:rFonts w:hint="eastAsia" w:ascii="宋体" w:hAnsi="宋体" w:eastAsia="宋体" w:cs="宋体"/>
          <w:color w:val="000000" w:themeColor="text1"/>
          <w:sz w:val="28"/>
          <w:szCs w:val="28"/>
          <w:shd w:val="clear" w:color="auto" w:fill="FFFFFF"/>
          <w14:textFill>
            <w14:solidFill>
              <w14:schemeClr w14:val="tx1"/>
            </w14:solidFill>
          </w14:textFill>
        </w:rPr>
        <w:t>详见6.</w:t>
      </w:r>
      <w:r>
        <w:rPr>
          <w:rFonts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14:textFill>
            <w14:solidFill>
              <w14:schemeClr w14:val="tx1"/>
            </w14:solidFill>
          </w14:textFill>
        </w:rPr>
        <w:t>道路竖向规划图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3" w:hRule="atLeast"/>
          <w:jc w:val="center"/>
        </w:trPr>
        <w:tc>
          <w:tcPr>
            <w:tcW w:w="8820" w:type="dxa"/>
          </w:tcPr>
          <w:p>
            <w:pPr>
              <w:spacing w:line="360" w:lineRule="auto"/>
              <w:jc w:val="center"/>
              <w:rPr>
                <w:rFonts w:ascii="宋体" w:hAnsi="宋体" w:eastAsia="宋体" w:cs="宋体"/>
                <w:color w:val="000000" w:themeColor="text1"/>
                <w:sz w:val="13"/>
                <w:szCs w:val="13"/>
                <w:shd w:val="clear" w:color="auto" w:fill="FFFFFF"/>
                <w14:textFill>
                  <w14:solidFill>
                    <w14:schemeClr w14:val="tx1"/>
                  </w14:solidFill>
                </w14:textFill>
              </w:rPr>
            </w:pPr>
          </w:p>
          <w:p>
            <w:pPr>
              <w:spacing w:line="360" w:lineRule="auto"/>
              <w:jc w:val="center"/>
              <w:rPr>
                <w:rFonts w:hint="eastAsia" w:ascii="宋体" w:hAnsi="宋体" w:eastAsia="宋体" w:cs="宋体"/>
                <w:color w:val="FF0000"/>
                <w:sz w:val="28"/>
                <w:szCs w:val="28"/>
                <w:shd w:val="clear" w:color="auto" w:fill="FFFFFF"/>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5173345" cy="2981325"/>
                  <wp:effectExtent l="0" t="0" r="0" b="0"/>
                  <wp:docPr id="18" name="图片 18" descr="E:/2023年/工业园区/工业园区最终成果/罗汉山工业园区成果/规划图/规划图纸文本说明书/罗汉山产业园区控规全部资料/规划/14道路竖向规划图.jpg14道路竖向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23年/工业园区/工业园区最终成果/罗汉山工业园区成果/规划图/规划图纸文本说明书/罗汉山产业园区控规全部资料/规划/14道路竖向规划图.jpg14道路竖向规划图"/>
                          <pic:cNvPicPr>
                            <a:picLocks noChangeAspect="1"/>
                          </pic:cNvPicPr>
                        </pic:nvPicPr>
                        <pic:blipFill>
                          <a:blip r:embed="rId26"/>
                          <a:srcRect t="13057" b="5379"/>
                          <a:stretch>
                            <a:fillRect/>
                          </a:stretch>
                        </pic:blipFill>
                        <pic:spPr>
                          <a:xfrm>
                            <a:off x="0" y="0"/>
                            <a:ext cx="5173345" cy="2981325"/>
                          </a:xfrm>
                          <a:prstGeom prst="rect">
                            <a:avLst/>
                          </a:prstGeom>
                          <a:ln>
                            <a:noFill/>
                          </a:ln>
                        </pic:spPr>
                      </pic:pic>
                    </a:graphicData>
                  </a:graphic>
                </wp:inline>
              </w:drawing>
            </w:r>
          </w:p>
          <w:p>
            <w:pPr>
              <w:spacing w:line="360" w:lineRule="auto"/>
              <w:ind w:firstLine="210" w:firstLineChars="100"/>
              <w:jc w:val="center"/>
              <w:rPr>
                <w:rFonts w:hint="default" w:ascii="宋体" w:hAnsi="宋体" w:eastAsia="宋体" w:cs="宋体"/>
                <w:color w:val="FF0000"/>
                <w:sz w:val="28"/>
                <w:szCs w:val="28"/>
                <w:shd w:val="clear" w:color="auto" w:fill="FFFFFF"/>
                <w:lang w:val="en-US"/>
              </w:rPr>
            </w:pPr>
            <w:r>
              <w:rPr>
                <w:rFonts w:hint="eastAsia" w:ascii="宋体" w:hAnsi="宋体" w:eastAsia="宋体" w:cs="宋体"/>
                <w:b w:val="0"/>
                <w:bCs w:val="0"/>
                <w:sz w:val="21"/>
                <w:szCs w:val="21"/>
                <w:shd w:val="clear" w:color="auto" w:fill="FFFFFF"/>
              </w:rPr>
              <w:t>图</w:t>
            </w:r>
            <w:r>
              <w:rPr>
                <w:rFonts w:hint="eastAsia" w:ascii="宋体" w:hAnsi="宋体" w:eastAsia="宋体" w:cs="宋体"/>
                <w:b w:val="0"/>
                <w:bCs w:val="0"/>
                <w:sz w:val="21"/>
                <w:szCs w:val="21"/>
                <w:shd w:val="clear" w:color="auto" w:fill="FFFFFF"/>
                <w:lang w:val="en-US" w:eastAsia="zh-CN"/>
              </w:rPr>
              <w:t>6.2道路竖向规划图</w:t>
            </w:r>
          </w:p>
        </w:tc>
      </w:tr>
    </w:tbl>
    <w:p>
      <w:pPr>
        <w:pStyle w:val="4"/>
        <w:numPr>
          <w:ilvl w:val="0"/>
          <w:numId w:val="10"/>
        </w:numPr>
        <w:ind w:left="420" w:firstLine="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道路设计</w:t>
      </w:r>
    </w:p>
    <w:p>
      <w:pPr>
        <w:spacing w:line="360" w:lineRule="auto"/>
        <w:ind w:firstLine="560" w:firstLineChars="200"/>
        <w:outlineLvl w:val="3"/>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（1）交叉口转弯半径控制</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道路转弯半径为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15</w:t>
      </w:r>
      <w:r>
        <w:rPr>
          <w:rFonts w:hint="eastAsia" w:ascii="宋体" w:hAnsi="宋体" w:eastAsia="宋体" w:cs="宋体"/>
          <w:color w:val="000000" w:themeColor="text1"/>
          <w:sz w:val="28"/>
          <w:szCs w:val="28"/>
          <w:shd w:val="clear" w:color="auto" w:fill="FFFFFF"/>
          <w14:textFill>
            <w14:solidFill>
              <w14:schemeClr w14:val="tx1"/>
            </w14:solidFill>
          </w14:textFill>
        </w:rPr>
        <w:t>-25米，满足消防车及普通大货车使用需求；禁止任何单位和个人占用交叉口视距三角形用地用于建设。</w:t>
      </w:r>
    </w:p>
    <w:p>
      <w:pPr>
        <w:spacing w:line="360" w:lineRule="auto"/>
        <w:ind w:firstLine="560" w:firstLineChars="200"/>
        <w:outlineLvl w:val="3"/>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（2）道路出入口控制</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参考《曲靖中心城区规划管理技术规定》中的规定以及相关规范要求，在道路上开设车辆通行的出入口应当符合以下规定：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1）应选择在道路级别低的、对城市交通影响小的道路上开口，特殊情况下向次干路以上等级的道路开口不宜超过2个，地块机动车出入口宽度不宜超过8米。</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2）禁止在城市快速路开口，并严格控制在城市快速路辅道和城市主干道上开口。</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开口位置设在主干道上时，距道路交叉口切角红线应不小于100米或地块的最远端；开口位置设在次干路上时，距道路交叉口切角红线不应小于80米或地块的最远端；开口位置设在支路上时，支路上距离与干路相交的平面交叉口切角红线不应小于50米或地块最远端，支路上距离与支路相交的平面交叉口不应小于30米或地块最远端。</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4）距桥、隧道、立体交叉口的起坡点距离不宜小于80米或地块的最远端；</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5）距离公园、学校、儿童、老年人及残疾人等建筑的出入口应不小于20米；</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6）距离非道路交叉口的过街人行道（包括引道、引桥、地铁出入口）最边缘线应不小于10米；</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7）距离公交站台边缘应不小于15米；</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8）建设用地内部道路与城市道路相接时，其变坡点退道路红线距离应不小于7.5米。</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9）车库车辆出入口，距离城市道路的规划红线应不小于7.5米，并在距出入口边线内2米处作视点的120°范围内至边线外7.5米以上不应有遮挡视线障碍物。</w:t>
      </w:r>
    </w:p>
    <w:p>
      <w:pPr>
        <w:pStyle w:val="4"/>
        <w:numPr>
          <w:ilvl w:val="0"/>
          <w:numId w:val="10"/>
        </w:numPr>
        <w:ind w:left="420" w:firstLine="0"/>
        <w:rPr>
          <w:color w:val="000000" w:themeColor="text1"/>
          <w:sz w:val="28"/>
          <w:szCs w:val="28"/>
          <w14:textFill>
            <w14:solidFill>
              <w14:schemeClr w14:val="tx1"/>
            </w14:solidFill>
          </w14:textFill>
        </w:rPr>
      </w:pPr>
      <w:bookmarkStart w:id="28" w:name="_Toc17645643"/>
      <w:bookmarkStart w:id="29" w:name="_Toc42528376"/>
      <w:r>
        <w:rPr>
          <w:rFonts w:hint="eastAsia"/>
          <w:color w:val="000000" w:themeColor="text1"/>
          <w:sz w:val="28"/>
          <w:szCs w:val="28"/>
          <w14:textFill>
            <w14:solidFill>
              <w14:schemeClr w14:val="tx1"/>
            </w14:solidFill>
          </w14:textFill>
        </w:rPr>
        <w:t>社会公共停车场规划</w:t>
      </w:r>
      <w:bookmarkEnd w:id="28"/>
      <w:bookmarkEnd w:id="29"/>
    </w:p>
    <w:p>
      <w:pPr>
        <w:spacing w:line="360" w:lineRule="auto"/>
        <w:ind w:firstLine="560" w:firstLineChars="200"/>
        <w:outlineLvl w:val="3"/>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（1）社会公共停车泊位规模</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建筑物配建的社会公共停车场（库）是指专供本建筑车辆停放及以本建筑为目的的外来车辆停放的场所，其设计在满足本规定要求的同时，须符合国家现行的有关设计标准和规范要求。</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停车场出入口数量应根据停车容量及交通组织确定，满足《车库建筑设计规范 》、《城市停车规划规范 》、《汽车库、修车库、停车场设计防火规范》等规范要求。</w:t>
      </w:r>
    </w:p>
    <w:p>
      <w:pPr>
        <w:spacing w:line="360" w:lineRule="auto"/>
        <w:ind w:firstLine="560" w:firstLineChars="200"/>
        <w:outlineLvl w:val="3"/>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（2）配建停车场库要求</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规划范围内不同用途的建筑在新建及改、扩建时，必须设置配建停车场（库），其设置方式及规模应达到“曲靖中心城区各类建筑停车位最低控制指标表”的规定（按照《曲靖中心城区规划管理技术规定》执行）。</w:t>
      </w:r>
    </w:p>
    <w:p>
      <w:pPr>
        <w:spacing w:line="360" w:lineRule="auto"/>
        <w:ind w:firstLine="422" w:firstLineChars="200"/>
        <w:jc w:val="center"/>
        <w:rPr>
          <w:rFonts w:ascii="宋体" w:hAnsi="宋体" w:eastAsia="宋体" w:cs="宋体"/>
          <w:b/>
          <w:bCs/>
          <w:color w:val="000000" w:themeColor="text1"/>
          <w:sz w:val="21"/>
          <w:szCs w:val="21"/>
          <w:shd w:val="clear" w:color="auto" w:fill="FFFFFF"/>
          <w14:textFill>
            <w14:solidFill>
              <w14:schemeClr w14:val="tx1"/>
            </w14:solidFill>
          </w14:textFill>
        </w:rPr>
      </w:pPr>
      <w:r>
        <w:rPr>
          <w:rFonts w:hint="eastAsia" w:ascii="宋体" w:hAnsi="宋体" w:eastAsia="宋体" w:cs="宋体"/>
          <w:b/>
          <w:bCs/>
          <w:color w:val="000000" w:themeColor="text1"/>
          <w:sz w:val="21"/>
          <w:szCs w:val="21"/>
          <w:shd w:val="clear" w:color="auto" w:fill="FFFFFF"/>
          <w14:textFill>
            <w14:solidFill>
              <w14:schemeClr w14:val="tx1"/>
            </w14:solidFill>
          </w14:textFill>
        </w:rPr>
        <w:t>表6.</w:t>
      </w:r>
      <w:r>
        <w:rPr>
          <w:rFonts w:ascii="宋体" w:hAnsi="宋体" w:eastAsia="宋体" w:cs="宋体"/>
          <w:b/>
          <w:bCs/>
          <w:color w:val="000000" w:themeColor="text1"/>
          <w:sz w:val="21"/>
          <w:szCs w:val="21"/>
          <w:shd w:val="clear" w:color="auto" w:fill="FFFFFF"/>
          <w14:textFill>
            <w14:solidFill>
              <w14:schemeClr w14:val="tx1"/>
            </w14:solidFill>
          </w14:textFill>
        </w:rPr>
        <w:t>1</w:t>
      </w:r>
      <w:r>
        <w:rPr>
          <w:rFonts w:hint="eastAsia" w:ascii="宋体" w:hAnsi="宋体" w:eastAsia="宋体" w:cs="宋体"/>
          <w:b/>
          <w:bCs/>
          <w:color w:val="000000" w:themeColor="text1"/>
          <w:sz w:val="21"/>
          <w:szCs w:val="21"/>
          <w:shd w:val="clear" w:color="auto" w:fill="FFFFFF"/>
          <w14:textFill>
            <w14:solidFill>
              <w14:schemeClr w14:val="tx1"/>
            </w14:solidFill>
          </w14:textFill>
        </w:rPr>
        <w:t>曲靖中心城区各类建筑停车位最低控制指标表</w:t>
      </w:r>
    </w:p>
    <w:tbl>
      <w:tblPr>
        <w:tblStyle w:val="12"/>
        <w:tblW w:w="10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1139"/>
        <w:gridCol w:w="2158"/>
        <w:gridCol w:w="1007"/>
        <w:gridCol w:w="1068"/>
        <w:gridCol w:w="1649"/>
        <w:gridCol w:w="2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tblHeader/>
          <w:jc w:val="center"/>
        </w:trPr>
        <w:tc>
          <w:tcPr>
            <w:tcW w:w="1619" w:type="dxa"/>
            <w:gridSpan w:val="2"/>
            <w:vMerge w:val="restart"/>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建筑类别</w:t>
            </w:r>
          </w:p>
        </w:tc>
        <w:tc>
          <w:tcPr>
            <w:tcW w:w="2158" w:type="dxa"/>
            <w:vMerge w:val="restart"/>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单位</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机动车</w:t>
            </w:r>
          </w:p>
        </w:tc>
        <w:tc>
          <w:tcPr>
            <w:tcW w:w="1649" w:type="dxa"/>
            <w:vMerge w:val="restart"/>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非机动车</w:t>
            </w:r>
          </w:p>
        </w:tc>
        <w:tc>
          <w:tcPr>
            <w:tcW w:w="2499" w:type="dxa"/>
            <w:vMerge w:val="restart"/>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tblHeader/>
          <w:jc w:val="center"/>
        </w:trPr>
        <w:tc>
          <w:tcPr>
            <w:tcW w:w="1619" w:type="dxa"/>
            <w:gridSpan w:val="2"/>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2158"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007"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旧区</w:t>
            </w:r>
          </w:p>
        </w:tc>
        <w:tc>
          <w:tcPr>
            <w:tcW w:w="106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新区</w:t>
            </w:r>
          </w:p>
        </w:tc>
        <w:tc>
          <w:tcPr>
            <w:tcW w:w="1649"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2499"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480" w:type="dxa"/>
            <w:vMerge w:val="restart"/>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居住建筑</w:t>
            </w: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低层住宅</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车位/户</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普通住宅</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车位/地上住宅建筑面积</w:t>
            </w:r>
          </w:p>
        </w:tc>
        <w:tc>
          <w:tcPr>
            <w:tcW w:w="1007"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1车位/130平方米</w:t>
            </w:r>
          </w:p>
        </w:tc>
        <w:tc>
          <w:tcPr>
            <w:tcW w:w="106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1车位/100平方米</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1车位/100平方米</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总停车位数必须满足一户一车位的标准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廉租房</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车位/100平方米地上住宅建筑面积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80"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公租房</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车位/100平方米地上住宅建筑面积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0.8</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0"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物业管理、社区配套设施</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0.8</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机关团体设施</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1.5</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2.0</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商务金融及商业设施（含批发市场）</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2.0</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地下建筑功能为此类的</w:t>
            </w:r>
          </w:p>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应计算对应停车位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旅馆</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0.8</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2.0</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医院</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车位/床位</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0.8</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社会福利设施、疗养院</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文化设施</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含展览馆、会展中心等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480" w:type="dxa"/>
            <w:vMerge w:val="restart"/>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教育设施</w:t>
            </w: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幼儿园</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0.5个车位/1位教职工</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0.5车位/100平方米地上建筑面积</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0"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小学</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0.5个车位/1位教职工</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5个车位/100位师生</w:t>
            </w:r>
          </w:p>
        </w:tc>
        <w:tc>
          <w:tcPr>
            <w:tcW w:w="2499" w:type="dxa"/>
            <w:vMerge w:val="restart"/>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教职工人数按照《国务院办公厅转发中央编办、教育部、财政部关于制定中小学教职工编制标准意见的通知》下限执行。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0"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中学</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0.5个车位/1位教职工</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15个车位/100位师生</w:t>
            </w:r>
          </w:p>
        </w:tc>
        <w:tc>
          <w:tcPr>
            <w:tcW w:w="2499"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480" w:type="dxa"/>
            <w:vMerge w:val="continue"/>
            <w:vAlign w:val="center"/>
          </w:tcPr>
          <w:p>
            <w:pPr>
              <w:jc w:val="center"/>
              <w:rPr>
                <w:rFonts w:ascii="宋体" w:hAnsi="宋体" w:eastAsia="宋体" w:cs="宋体"/>
                <w:color w:val="000000" w:themeColor="text1"/>
                <w:kern w:val="0"/>
                <w:sz w:val="24"/>
                <w14:textFill>
                  <w14:solidFill>
                    <w14:schemeClr w14:val="tx1"/>
                  </w14:solidFill>
                </w14:textFill>
              </w:rPr>
            </w:pPr>
          </w:p>
        </w:tc>
        <w:tc>
          <w:tcPr>
            <w:tcW w:w="113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大中专院校</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0.5 个车位/1位教职工</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10个车位/100位师生</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体育场馆</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0.8</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10.0个车位</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公    园</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车位/1公顷游览面积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4.0</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8.0</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619"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工业厂房、仓库</w:t>
            </w:r>
          </w:p>
        </w:tc>
        <w:tc>
          <w:tcPr>
            <w:tcW w:w="2158"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车位/100平方米地上建筑面积</w:t>
            </w:r>
          </w:p>
        </w:tc>
        <w:tc>
          <w:tcPr>
            <w:tcW w:w="2075" w:type="dxa"/>
            <w:gridSpan w:val="2"/>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0.2</w:t>
            </w:r>
          </w:p>
        </w:tc>
        <w:tc>
          <w:tcPr>
            <w:tcW w:w="164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0.2</w:t>
            </w:r>
          </w:p>
        </w:tc>
        <w:tc>
          <w:tcPr>
            <w:tcW w:w="2499" w:type="dxa"/>
            <w:tcMar>
              <w:top w:w="15" w:type="dxa"/>
              <w:left w:w="15" w:type="dxa"/>
              <w:bottom w:w="0" w:type="dxa"/>
              <w:right w:w="15" w:type="dxa"/>
            </w:tcMar>
            <w:vAlign w:val="center"/>
          </w:tcPr>
          <w:p>
            <w:pPr>
              <w:jc w:val="center"/>
              <w:rPr>
                <w:rFonts w:ascii="宋体" w:hAnsi="宋体" w:eastAsia="宋体" w:cs="宋体"/>
                <w:color w:val="000000" w:themeColor="text1"/>
                <w:kern w:val="0"/>
                <w:sz w:val="24"/>
                <w14:textFill>
                  <w14:solidFill>
                    <w14:schemeClr w14:val="tx1"/>
                  </w14:solidFill>
                </w14:textFill>
              </w:rPr>
            </w:pPr>
          </w:p>
        </w:tc>
      </w:tr>
    </w:tbl>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注：停车位数量以小型车停车位为标准车位，标准停车位地下车库不小于2.5米*5.3米，地上植草砖停车位不小于2.8米*6.0米；共用单一进出通道的两个车位（子母位）按1.5个标准车位计，微型车位按0.7个标准车位计，机械式停车位中的交换车位不计入停车位总量。</w:t>
      </w:r>
    </w:p>
    <w:p>
      <w:pPr>
        <w:pStyle w:val="3"/>
        <w:numPr>
          <w:ilvl w:val="0"/>
          <w:numId w:val="9"/>
        </w:numPr>
        <w:rPr>
          <w:color w:val="000000" w:themeColor="text1"/>
          <w14:textFill>
            <w14:solidFill>
              <w14:schemeClr w14:val="tx1"/>
            </w14:solidFill>
          </w14:textFill>
        </w:rPr>
      </w:pPr>
      <w:bookmarkStart w:id="30" w:name="_Toc9878"/>
      <w:r>
        <w:rPr>
          <w:rFonts w:hint="eastAsia"/>
          <w:color w:val="000000" w:themeColor="text1"/>
          <w14:textFill>
            <w14:solidFill>
              <w14:schemeClr w14:val="tx1"/>
            </w14:solidFill>
          </w14:textFill>
        </w:rPr>
        <w:t>绿地系统规划与生态保护规划</w:t>
      </w:r>
      <w:bookmarkEnd w:id="30"/>
    </w:p>
    <w:p>
      <w:pPr>
        <w:pStyle w:val="4"/>
        <w:numPr>
          <w:ilvl w:val="0"/>
          <w:numId w:val="11"/>
        </w:num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绿地系统规划</w:t>
      </w:r>
    </w:p>
    <w:p>
      <w:pPr>
        <w:numPr>
          <w:ilvl w:val="0"/>
          <w:numId w:val="0"/>
        </w:num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（1）规划原则</w:t>
      </w:r>
    </w:p>
    <w:p>
      <w:pPr>
        <w:numPr>
          <w:ilvl w:val="0"/>
          <w:numId w:val="0"/>
        </w:num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满足物流防护要求的原则</w:t>
      </w:r>
    </w:p>
    <w:p>
      <w:pPr>
        <w:numPr>
          <w:ilvl w:val="0"/>
          <w:numId w:val="0"/>
        </w:num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片区内分布有大量工业和仓储用地，片区绿化应首先满足污染防护和交通污染防护的要求，片区绿化结合产业用地和主要交通性道路综合布置。</w:t>
      </w:r>
    </w:p>
    <w:p>
      <w:pPr>
        <w:numPr>
          <w:ilvl w:val="0"/>
          <w:numId w:val="0"/>
        </w:num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14:textFill>
            <w14:solidFill>
              <w14:schemeClr w14:val="tx1"/>
            </w14:solidFill>
          </w14:textFill>
        </w:rPr>
        <w:t>坚持尊重自然、显山露水、保护生态环境的原则</w:t>
      </w:r>
    </w:p>
    <w:p>
      <w:pPr>
        <w:numPr>
          <w:ilvl w:val="0"/>
          <w:numId w:val="0"/>
        </w:num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注重周边山体、植被等自然环境的生态保护，严格控制因物流、生产对片区及周边环境的破坏</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依托于原</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园区</w:t>
      </w:r>
      <w:r>
        <w:rPr>
          <w:rFonts w:hint="eastAsia" w:ascii="宋体" w:hAnsi="宋体" w:eastAsia="宋体" w:cs="宋体"/>
          <w:color w:val="000000" w:themeColor="text1"/>
          <w:sz w:val="28"/>
          <w:szCs w:val="28"/>
          <w:shd w:val="clear" w:color="auto" w:fill="FFFFFF"/>
          <w14:textFill>
            <w14:solidFill>
              <w14:schemeClr w14:val="tx1"/>
            </w14:solidFill>
          </w14:textFill>
        </w:rPr>
        <w:t>已有条件，结合周边自然景观和山体林地，充分展现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w:t>
      </w:r>
      <w:r>
        <w:rPr>
          <w:rFonts w:hint="eastAsia" w:ascii="宋体" w:hAnsi="宋体" w:eastAsia="宋体" w:cs="宋体"/>
          <w:color w:val="000000" w:themeColor="text1"/>
          <w:sz w:val="28"/>
          <w:szCs w:val="28"/>
          <w:shd w:val="clear" w:color="auto" w:fill="FFFFFF"/>
          <w14:textFill>
            <w14:solidFill>
              <w14:schemeClr w14:val="tx1"/>
            </w14:solidFill>
          </w14:textFill>
        </w:rPr>
        <w:t>独特的山地景观。</w:t>
      </w:r>
      <w:r>
        <w:rPr>
          <w:rFonts w:hint="eastAsia" w:ascii="宋体" w:hAnsi="宋体" w:eastAsia="宋体" w:cs="宋体"/>
          <w:sz w:val="28"/>
          <w:szCs w:val="28"/>
          <w:shd w:val="clear" w:color="auto" w:fill="FFFFFF"/>
        </w:rPr>
        <w:t>范围内主要涉及的是防护绿地</w:t>
      </w:r>
      <w:r>
        <w:rPr>
          <w:rFonts w:hint="eastAsia" w:ascii="宋体" w:hAnsi="宋体" w:eastAsia="宋体" w:cs="宋体"/>
          <w:sz w:val="28"/>
          <w:szCs w:val="28"/>
          <w:shd w:val="clear" w:color="auto" w:fill="FFFFFF"/>
          <w:lang w:val="en-US" w:eastAsia="zh-CN"/>
        </w:rPr>
        <w:t>和公园绿地</w:t>
      </w:r>
      <w:r>
        <w:rPr>
          <w:rFonts w:hint="eastAsia" w:ascii="宋体" w:hAnsi="宋体" w:eastAsia="宋体" w:cs="宋体"/>
          <w:sz w:val="28"/>
          <w:szCs w:val="28"/>
          <w:shd w:val="clear" w:color="auto" w:fill="FFFFFF"/>
        </w:rPr>
        <w:t>。</w:t>
      </w:r>
    </w:p>
    <w:p>
      <w:pPr>
        <w:numPr>
          <w:ilvl w:val="0"/>
          <w:numId w:val="0"/>
        </w:num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因地制宜的原则</w:t>
      </w:r>
    </w:p>
    <w:p>
      <w:pPr>
        <w:numPr>
          <w:ilvl w:val="0"/>
          <w:numId w:val="0"/>
        </w:numPr>
        <w:spacing w:line="360" w:lineRule="auto"/>
        <w:ind w:firstLine="560" w:firstLineChars="200"/>
        <w:rPr>
          <w:rFonts w:hint="eastAsia" w:ascii="宋体" w:hAnsi="宋体" w:eastAsia="宋体" w:cs="宋体"/>
          <w:sz w:val="28"/>
          <w:szCs w:val="28"/>
          <w:shd w:val="clear" w:color="auto" w:fill="FFFFFF"/>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绿化布置应结合实际，因地制宜，充分利用现有的绿地系统资源体现片区环境优良特色，同时绿化树种应选择文山当地特有树种，以减少维护费用和增加成活率</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w:t>
      </w:r>
    </w:p>
    <w:p>
      <w:pPr>
        <w:numPr>
          <w:ilvl w:val="0"/>
          <w:numId w:val="0"/>
        </w:num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绿地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系统</w:t>
      </w: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规划</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本次规划落实曲靖国土空间总体规划中心城区土地利用要求和中心城区绿地专项规划管控要求。 从“带状公园-小型游园”两大绿地层级，形成“点—线—面”不同形式</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不同服务范围的绿地体系</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从而形成绿地空间系统。详见图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6.3</w:t>
      </w:r>
      <w:r>
        <w:rPr>
          <w:rFonts w:hint="eastAsia" w:ascii="宋体" w:hAnsi="宋体" w:eastAsia="宋体" w:cs="宋体"/>
          <w:color w:val="000000" w:themeColor="text1"/>
          <w:sz w:val="28"/>
          <w:szCs w:val="28"/>
          <w:shd w:val="clear" w:color="auto" w:fill="FFFFFF"/>
          <w14:textFill>
            <w14:solidFill>
              <w14:schemeClr w14:val="tx1"/>
            </w14:solidFill>
          </w14:textFill>
        </w:rPr>
        <w:t>绿地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与开敞空间规划图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1）公园绿地：分为带状公园、小型游园、街头绿地共3类。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带状公园：沿主要南干渠两侧规划带状公园绿地，打造东西延展的带状城市绿地空间。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小型游园：主要设置于西冲水库周边设置公园绿地，具有一定活动内容和设施集中的绿地，为居民提供成片的游憩场所。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2）防护绿地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lang w:val="en-US" w:eastAsia="zh-CN"/>
          <w14:textFill>
            <w14:solidFill>
              <w14:schemeClr w14:val="tx1"/>
            </w14:solidFill>
          </w14:textFill>
        </w:rPr>
        <w:t>防护绿地主要分布在高速公路两侧，促进形成良好的交通沿线景观节点。</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9" w:hRule="atLeast"/>
          <w:jc w:val="center"/>
        </w:trPr>
        <w:tc>
          <w:tcPr>
            <w:tcW w:w="9040"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宋体" w:hAnsi="宋体" w:eastAsia="宋体" w:cs="宋体"/>
                <w:i w:val="0"/>
                <w:caps w:val="0"/>
                <w:color w:val="000000" w:themeColor="text1"/>
                <w:spacing w:val="0"/>
                <w:sz w:val="28"/>
                <w:szCs w:val="28"/>
                <w:shd w:val="clear" w:fill="FFFFFF"/>
                <w:vertAlign w:val="baseline"/>
                <w:lang w:val="en-US" w:eastAsia="zh-CN"/>
                <w14:textFill>
                  <w14:solidFill>
                    <w14:schemeClr w14:val="tx1"/>
                  </w14:solidFill>
                </w14:textFill>
              </w:rPr>
              <w:drawing>
                <wp:inline distT="0" distB="0" distL="114300" distR="114300">
                  <wp:extent cx="5549265" cy="3174365"/>
                  <wp:effectExtent l="0" t="0" r="0" b="0"/>
                  <wp:docPr id="5" name="图片 5" descr="E:\2023年\工业园区\工业园区最终成果\罗汉山工业园区成果\规划图\规划图纸文本说明书\规划\15绿地与开敞空间图.jpg15绿地与开敞空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2023年\工业园区\工业园区最终成果\罗汉山工业园区成果\规划图\规划图纸文本说明书\规划\15绿地与开敞空间图.jpg15绿地与开敞空间图"/>
                          <pic:cNvPicPr>
                            <a:picLocks noChangeAspect="1"/>
                          </pic:cNvPicPr>
                        </pic:nvPicPr>
                        <pic:blipFill>
                          <a:blip r:embed="rId27"/>
                          <a:srcRect t="13279" b="5747"/>
                          <a:stretch>
                            <a:fillRect/>
                          </a:stretch>
                        </pic:blipFill>
                        <pic:spPr>
                          <a:xfrm>
                            <a:off x="0" y="0"/>
                            <a:ext cx="5549265" cy="3174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caps w:val="0"/>
                <w:color w:val="000000" w:themeColor="text1"/>
                <w:spacing w:val="0"/>
                <w:sz w:val="28"/>
                <w:szCs w:val="28"/>
                <w:shd w:val="clear" w:fill="FFFFFF"/>
                <w:vertAlign w:val="baseline"/>
                <w:lang w:val="en-US" w:eastAsia="zh-CN"/>
                <w14:textFill>
                  <w14:solidFill>
                    <w14:schemeClr w14:val="tx1"/>
                  </w14:solidFill>
                </w14:textFill>
              </w:rPr>
            </w:pPr>
            <w:r>
              <w:rPr>
                <w:rFonts w:hint="eastAsia" w:ascii="宋体" w:hAnsi="宋体" w:eastAsia="宋体" w:cs="宋体"/>
                <w:b w:val="0"/>
                <w:bCs w:val="0"/>
                <w:sz w:val="21"/>
                <w:szCs w:val="21"/>
                <w:shd w:val="clear" w:color="auto" w:fill="FFFFFF"/>
              </w:rPr>
              <w:t>图</w:t>
            </w:r>
            <w:r>
              <w:rPr>
                <w:rFonts w:hint="eastAsia" w:ascii="宋体" w:hAnsi="宋体" w:eastAsia="宋体" w:cs="宋体"/>
                <w:b w:val="0"/>
                <w:bCs w:val="0"/>
                <w:sz w:val="21"/>
                <w:szCs w:val="21"/>
                <w:shd w:val="clear" w:color="auto" w:fill="FFFFFF"/>
                <w:lang w:val="en-US" w:eastAsia="zh-CN"/>
              </w:rPr>
              <w:t>6.3绿地与开敞空间规划图</w:t>
            </w:r>
          </w:p>
        </w:tc>
      </w:tr>
    </w:tbl>
    <w:p>
      <w:pPr>
        <w:pStyle w:val="4"/>
        <w:numPr>
          <w:ilvl w:val="0"/>
          <w:numId w:val="11"/>
        </w:numPr>
        <w:rPr>
          <w:color w:val="000000" w:themeColor="text1"/>
          <w:sz w:val="28"/>
          <w:szCs w:val="28"/>
          <w14:textFill>
            <w14:solidFill>
              <w14:schemeClr w14:val="tx1"/>
            </w14:solidFill>
          </w14:textFill>
        </w:rPr>
      </w:pPr>
      <w:bookmarkStart w:id="31" w:name="_Toc17645657"/>
      <w:bookmarkStart w:id="32" w:name="_Toc42528382"/>
      <w:r>
        <w:rPr>
          <w:rFonts w:hint="eastAsia"/>
          <w:color w:val="000000" w:themeColor="text1"/>
          <w:sz w:val="28"/>
          <w:szCs w:val="28"/>
          <w14:textFill>
            <w14:solidFill>
              <w14:schemeClr w14:val="tx1"/>
            </w14:solidFill>
          </w14:textFill>
        </w:rPr>
        <w:t>生态保护规划</w:t>
      </w:r>
      <w:bookmarkEnd w:id="31"/>
      <w:bookmarkEnd w:id="32"/>
      <w:r>
        <w:rPr>
          <w:rFonts w:hint="eastAsia"/>
          <w:color w:val="000000" w:themeColor="text1"/>
          <w:sz w:val="28"/>
          <w:szCs w:val="28"/>
          <w14:textFill>
            <w14:solidFill>
              <w14:schemeClr w14:val="tx1"/>
            </w14:solidFill>
          </w14:textFill>
        </w:rPr>
        <w:t xml:space="preserve"> </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空气质量、噪声质量、地面水环境质量、污水排放达到国家生态示范城市的规划标准。垃圾、废弃物的处理率和回收利用率高，排除任何超标的环境污染，环境卫生、空气新鲜、物理环境良好，实现合理的环境容量控制。</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）生态环境规划</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规划自然生态要求防止自然生态环境恶化，提高绿化覆盖率，为区域发展提供可持续的区域性生态保障。</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规划空气环境要求空气环境“底线”为保证人类正常生存和生态系统正常发展，规划以国家生态示范城市要求达到的《环境空气质量标准》（GB3095-1996）一级标准为大气质量管理目标。</w:t>
      </w:r>
    </w:p>
    <w:p>
      <w:pPr>
        <w:spacing w:line="360" w:lineRule="auto"/>
        <w:ind w:firstLine="560" w:firstLineChars="200"/>
        <w:outlineLvl w:val="3"/>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（2）生态环境保护规划</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1）大气环境</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本区环境空气质量保持在国家《环境空气质量标准》（GB3095-1996）二级以上。</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2）地面水环境</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生活饮用水水质达标率达100%，地表水水质达标率达100%；污水处理率达90%，废水处理率达100%。</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各工序生产废水自处理循环使用后少量跑冒滴漏部份全厂再集中处理并全部回用，规划“零”排放；生活污水经化粪池、隔油池处理后排入市政管网。</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3）声环境</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噪声环境质量达到国家《城市区域环境噪声标准》（GB3096-93）规定的各功能区标准，园区达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类标准，高速公路、城市快速路、城市主干路、城市次干路达 </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4a</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类标准。生活区噪声平均等效声级白昼不高于55dB(A)，夜间不高于45dB(A)；交通干线两侧噪声平均等效声级白昼不高于70dB(A)，夜间不高于55dB(A)。</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通过厂房隔音、设备消音等措施控制 ，使规划范围围墙区域噪声达3类标准（50分贝），同时在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高速公路两侧规划50米</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连续树木（以乔木为主）绿化隔离带</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，与周边居民形成绿化隔离。</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4）固体废弃物</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规划区内固体</w:t>
      </w:r>
      <w:r>
        <w:rPr>
          <w:rFonts w:ascii="宋体" w:hAnsi="宋体" w:eastAsia="宋体" w:cs="宋体"/>
          <w:color w:val="000000" w:themeColor="text1"/>
          <w:sz w:val="28"/>
          <w:szCs w:val="28"/>
          <w:shd w:val="clear" w:color="auto" w:fill="FFFFFF"/>
          <w:lang w:val="zh-CN"/>
          <w14:textFill>
            <w14:solidFill>
              <w14:schemeClr w14:val="tx1"/>
            </w14:solidFill>
          </w14:textFill>
        </w:rPr>
        <w:t>废弃物</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主要是建筑固体废物、生活污水、</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园区污水、</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处理站污泥、生活垃圾。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园区应做到</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废渣“零排放”，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采取防治固体废物污染环境的措施，建立、健全污染环境防治责任制度，积极开展合理利用和无害化处置，并进一步做到城市分类收集、贮存、运输和处置，防止污染环境。</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污水排放</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一类二类工业用地，园区工业污水必须经过园区内部处理，达到排放标准后方能排入生活性污水市政系统。</w:t>
      </w:r>
    </w:p>
    <w:p>
      <w:pPr>
        <w:pStyle w:val="4"/>
        <w:numPr>
          <w:ilvl w:val="0"/>
          <w:numId w:val="11"/>
        </w:numPr>
        <w:rPr>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景观系统</w:t>
      </w:r>
      <w:r>
        <w:rPr>
          <w:rFonts w:hint="eastAsia"/>
          <w:color w:val="000000" w:themeColor="text1"/>
          <w:sz w:val="28"/>
          <w:szCs w:val="28"/>
          <w14:textFill>
            <w14:solidFill>
              <w14:schemeClr w14:val="tx1"/>
            </w14:solidFill>
          </w14:textFill>
        </w:rPr>
        <w:t xml:space="preserve">规划 </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以道路、绿地、重要的标志节点为依据规划景观系统；详见图6.</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绿地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结构</w:t>
      </w: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规划图</w:t>
      </w:r>
    </w:p>
    <w:p>
      <w:pPr>
        <w:spacing w:line="360" w:lineRule="auto"/>
        <w:ind w:firstLine="560" w:firstLineChars="200"/>
        <w:outlineLvl w:val="3"/>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（1）景观核心</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规划区内</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以罗汉山立交</w:t>
      </w: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标志性建筑区，同时沿园区寥廓南路产业合作发展轴构建出丰富多变的片区立面效果。</w:t>
      </w:r>
    </w:p>
    <w:p>
      <w:pPr>
        <w:spacing w:line="360" w:lineRule="auto"/>
        <w:ind w:firstLine="560" w:firstLineChars="200"/>
        <w:outlineLvl w:val="3"/>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（2）轴线</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以城市的主要道路为景观轴线，规划以园区寥廓南路产业合作发展轴作为主要景观轴。同时作为入口形象区域，以道路绿带、绿化隔离公园、两侧建筑群体形象控制为景观构成要素。</w:t>
      </w:r>
    </w:p>
    <w:p>
      <w:pPr>
        <w:spacing w:line="360" w:lineRule="auto"/>
        <w:ind w:firstLine="560" w:firstLineChars="200"/>
        <w:outlineLvl w:val="3"/>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（3）公共开放空间带</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规划一条围绕整个工业片区的城市公共开放空间，配上自然水系景观，通过建筑的组合形式，创造出收放自如的开放空间，在开放空间中，布置特色景观，硬质铺地，提供特色鲜明，空间趣味性强的工业生产空间。同时，该条开放空间带也可以作为临时疏散场地。</w:t>
      </w:r>
    </w:p>
    <w:p>
      <w:pPr>
        <w:spacing w:line="360" w:lineRule="auto"/>
        <w:ind w:firstLine="560" w:firstLineChars="200"/>
        <w:outlineLvl w:val="3"/>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（4）景观节点</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t>以各个不同功能片区内重要节点作为景观节点，各景观节点风格统一规划、相互协调。</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3" w:hRule="atLeast"/>
          <w:jc w:val="center"/>
        </w:trPr>
        <w:tc>
          <w:tcPr>
            <w:tcW w:w="9480" w:type="dxa"/>
            <w:tcBorders>
              <w:top w:val="nil"/>
              <w:left w:val="nil"/>
              <w:bottom w:val="nil"/>
              <w:right w:val="nil"/>
            </w:tcBorders>
          </w:tcPr>
          <w:p>
            <w:pPr>
              <w:spacing w:line="360" w:lineRule="auto"/>
              <w:jc w:val="center"/>
              <w:rPr>
                <w:rFonts w:hint="eastAsia" w:ascii="宋体" w:hAnsi="宋体" w:eastAsia="宋体" w:cs="宋体"/>
                <w:color w:val="000000" w:themeColor="text1"/>
                <w:sz w:val="28"/>
                <w:szCs w:val="28"/>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vertAlign w:val="baseline"/>
                <w:lang w:val="en-US" w:eastAsia="zh-CN"/>
                <w14:textFill>
                  <w14:solidFill>
                    <w14:schemeClr w14:val="tx1"/>
                  </w14:solidFill>
                </w14:textFill>
              </w:rPr>
              <w:drawing>
                <wp:inline distT="0" distB="0" distL="114300" distR="114300">
                  <wp:extent cx="5534660" cy="3166745"/>
                  <wp:effectExtent l="0" t="0" r="0" b="0"/>
                  <wp:docPr id="6" name="图片 6" descr="E:\2023年\工业园区\工业园区最终成果\罗汉山工业园区成果\规划图\规划图纸文本说明书\规划\16景观结构规划图.jpg16景观结构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2023年\工业园区\工业园区最终成果\罗汉山工业园区成果\规划图\规划图纸文本说明书\规划\16景观结构规划图.jpg16景观结构规划图"/>
                          <pic:cNvPicPr>
                            <a:picLocks noChangeAspect="1"/>
                          </pic:cNvPicPr>
                        </pic:nvPicPr>
                        <pic:blipFill>
                          <a:blip r:embed="rId28"/>
                          <a:srcRect t="13585" b="5433"/>
                          <a:stretch>
                            <a:fillRect/>
                          </a:stretch>
                        </pic:blipFill>
                        <pic:spPr>
                          <a:xfrm>
                            <a:off x="0" y="0"/>
                            <a:ext cx="5534660" cy="3166745"/>
                          </a:xfrm>
                          <a:prstGeom prst="rect">
                            <a:avLst/>
                          </a:prstGeom>
                        </pic:spPr>
                      </pic:pic>
                    </a:graphicData>
                  </a:graphic>
                </wp:inline>
              </w:drawing>
            </w:r>
          </w:p>
          <w:p>
            <w:pPr>
              <w:spacing w:line="360" w:lineRule="auto"/>
              <w:jc w:val="center"/>
              <w:rPr>
                <w:rFonts w:hint="eastAsia" w:ascii="宋体" w:hAnsi="宋体" w:eastAsia="宋体" w:cs="宋体"/>
                <w:color w:val="000000" w:themeColor="text1"/>
                <w:sz w:val="28"/>
                <w:szCs w:val="28"/>
                <w:shd w:val="clear" w:color="auto" w:fill="FFFFFF"/>
                <w:vertAlign w:val="baseline"/>
                <w:lang w:val="en-US" w:eastAsia="zh-CN"/>
                <w14:textFill>
                  <w14:solidFill>
                    <w14:schemeClr w14:val="tx1"/>
                  </w14:solidFill>
                </w14:textFill>
              </w:rPr>
            </w:pPr>
            <w:r>
              <w:rPr>
                <w:rFonts w:hint="default" w:ascii="宋体" w:hAnsi="宋体" w:eastAsia="宋体" w:cs="宋体"/>
                <w:color w:val="000000" w:themeColor="text1"/>
                <w:sz w:val="21"/>
                <w:szCs w:val="21"/>
                <w:shd w:val="clear" w:color="auto" w:fill="FFFFFF"/>
                <w:lang w:val="en-US" w:eastAsia="zh-CN"/>
                <w14:textFill>
                  <w14:solidFill>
                    <w14:schemeClr w14:val="tx1"/>
                  </w14:solidFill>
                </w14:textFill>
              </w:rPr>
              <w:t>详见图6.</w:t>
            </w:r>
            <w:r>
              <w:rPr>
                <w:rFonts w:hint="eastAsia" w:ascii="宋体" w:hAnsi="宋体" w:eastAsia="宋体" w:cs="宋体"/>
                <w:color w:val="000000" w:themeColor="text1"/>
                <w:sz w:val="21"/>
                <w:szCs w:val="21"/>
                <w:shd w:val="clear" w:color="auto" w:fill="FFFFFF"/>
                <w:lang w:val="en-US" w:eastAsia="zh-CN"/>
                <w14:textFill>
                  <w14:solidFill>
                    <w14:schemeClr w14:val="tx1"/>
                  </w14:solidFill>
                </w14:textFill>
              </w:rPr>
              <w:t>4</w:t>
            </w:r>
            <w:r>
              <w:rPr>
                <w:rFonts w:hint="default" w:ascii="宋体" w:hAnsi="宋体" w:eastAsia="宋体" w:cs="宋体"/>
                <w:color w:val="000000" w:themeColor="text1"/>
                <w:sz w:val="21"/>
                <w:szCs w:val="21"/>
                <w:shd w:val="clear" w:color="auto" w:fill="FFFFFF"/>
                <w:lang w:val="en-US" w:eastAsia="zh-CN"/>
                <w14:textFill>
                  <w14:solidFill>
                    <w14:schemeClr w14:val="tx1"/>
                  </w14:solidFill>
                </w14:textFill>
              </w:rPr>
              <w:t>绿地</w:t>
            </w:r>
            <w:r>
              <w:rPr>
                <w:rFonts w:hint="eastAsia" w:ascii="宋体" w:hAnsi="宋体" w:eastAsia="宋体" w:cs="宋体"/>
                <w:color w:val="000000" w:themeColor="text1"/>
                <w:sz w:val="21"/>
                <w:szCs w:val="21"/>
                <w:shd w:val="clear" w:color="auto" w:fill="FFFFFF"/>
                <w:lang w:val="en-US" w:eastAsia="zh-CN"/>
                <w14:textFill>
                  <w14:solidFill>
                    <w14:schemeClr w14:val="tx1"/>
                  </w14:solidFill>
                </w14:textFill>
              </w:rPr>
              <w:t>结构</w:t>
            </w:r>
            <w:r>
              <w:rPr>
                <w:rFonts w:hint="default" w:ascii="宋体" w:hAnsi="宋体" w:eastAsia="宋体" w:cs="宋体"/>
                <w:color w:val="000000" w:themeColor="text1"/>
                <w:sz w:val="21"/>
                <w:szCs w:val="21"/>
                <w:shd w:val="clear" w:color="auto" w:fill="FFFFFF"/>
                <w:lang w:val="en-US" w:eastAsia="zh-CN"/>
                <w14:textFill>
                  <w14:solidFill>
                    <w14:schemeClr w14:val="tx1"/>
                  </w14:solidFill>
                </w14:textFill>
              </w:rPr>
              <w:t>规划图</w:t>
            </w:r>
          </w:p>
        </w:tc>
      </w:tr>
    </w:tbl>
    <w:p>
      <w:pPr>
        <w:pStyle w:val="3"/>
        <w:numPr>
          <w:ilvl w:val="0"/>
          <w:numId w:val="9"/>
        </w:numPr>
        <w:rPr>
          <w:color w:val="000000" w:themeColor="text1"/>
          <w14:textFill>
            <w14:solidFill>
              <w14:schemeClr w14:val="tx1"/>
            </w14:solidFill>
          </w14:textFill>
        </w:rPr>
      </w:pPr>
      <w:bookmarkStart w:id="33" w:name="_Toc25977"/>
      <w:r>
        <w:rPr>
          <w:rFonts w:hint="eastAsia"/>
          <w:color w:val="000000" w:themeColor="text1"/>
          <w14:textFill>
            <w14:solidFill>
              <w14:schemeClr w14:val="tx1"/>
            </w14:solidFill>
          </w14:textFill>
        </w:rPr>
        <w:t>市政工程规划</w:t>
      </w:r>
      <w:bookmarkEnd w:id="33"/>
    </w:p>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规划依据</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《中华人民共和国城乡规划法》；</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《城市规划编制办法实施细则》；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《城市给水工程规划规范》（GB50282-2016）；</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《室外给水设计规范》（GB50013-2018）；</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《城市排水工程规划规范》（GB50318-2017）；</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《室外排水设计规范》（GB50014-2006）（2016年版）；</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《城镇污水处理厂污染物排放标准》（GB18918-2002）；</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《污水排入城镇下水道水质标准》（GB/T31962-2015）；</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《城市电力规划规范》（GB50293-2014）；</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《城市电力网规划设计导则》(Q/GDW156-2006)；</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《电力工程电缆设计标准》（GB50217-2018）；</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《城市通信工程规划规范》（GB/T50853-2013）；</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《通信管道与通道工程设计标准》（GB50373-2019）；</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《城镇燃气设计规范》（GB50028-2006）；</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《城镇燃气规划规范》（GB/T51098-2015）；</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《城市工程管线综合规划规范》（GB50289-2016）；</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《曲靖中心城区规划管理技术规定》；</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规划所确定的各地块用地性质、用地面积及其它专业的相关资料。</w:t>
      </w:r>
    </w:p>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给水工程规划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）现状</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1）现状水源</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规划区内水源引用自东侧有三宝自来水厂，日供水规模为 5.3 万 m³/d，水源为青峰水库，供水范围为三宝集镇及周边居民用水。</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生活水源及外部供水：生活用水统一由曲靖市市政自来水管网供应。</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（2）给水管网</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由于供水水质不同，</w:t>
      </w:r>
      <w:r>
        <w:rPr>
          <w:rFonts w:hint="eastAsia" w:ascii="宋体" w:hAnsi="宋体" w:eastAsia="宋体" w:cs="宋体"/>
          <w:sz w:val="28"/>
          <w:szCs w:val="28"/>
          <w:shd w:val="clear" w:color="auto" w:fill="FFFFFF"/>
          <w:lang w:val="en-US" w:eastAsia="zh-CN"/>
        </w:rPr>
        <w:t>园区</w:t>
      </w:r>
      <w:r>
        <w:rPr>
          <w:rFonts w:hint="eastAsia" w:ascii="宋体" w:hAnsi="宋体" w:eastAsia="宋体" w:cs="宋体"/>
          <w:sz w:val="28"/>
          <w:szCs w:val="28"/>
          <w:shd w:val="clear" w:color="auto" w:fill="FFFFFF"/>
          <w:lang w:val="zh-CN"/>
        </w:rPr>
        <w:t>生产生活给水系统分为生产（消防）</w:t>
      </w:r>
      <w:r>
        <w:rPr>
          <w:rFonts w:hint="eastAsia" w:ascii="宋体" w:hAnsi="宋体" w:eastAsia="宋体" w:cs="宋体"/>
          <w:sz w:val="28"/>
          <w:szCs w:val="28"/>
          <w:shd w:val="clear" w:color="auto" w:fill="FFFFFF"/>
          <w:lang w:val="en-US" w:eastAsia="zh-CN"/>
        </w:rPr>
        <w:t>原</w:t>
      </w:r>
      <w:r>
        <w:rPr>
          <w:rFonts w:hint="eastAsia" w:ascii="宋体" w:hAnsi="宋体" w:eastAsia="宋体" w:cs="宋体"/>
          <w:sz w:val="28"/>
          <w:szCs w:val="28"/>
          <w:shd w:val="clear" w:color="auto" w:fill="FFFFFF"/>
          <w:lang w:val="zh-CN"/>
        </w:rPr>
        <w:t>水给水、生活新水给水、二次利用水给水</w:t>
      </w:r>
      <w:r>
        <w:rPr>
          <w:rFonts w:hint="eastAsia" w:ascii="宋体" w:hAnsi="宋体" w:eastAsia="宋体" w:cs="宋体"/>
          <w:sz w:val="28"/>
          <w:szCs w:val="28"/>
          <w:shd w:val="clear" w:color="auto" w:fill="FFFFFF"/>
          <w:lang w:val="en-US" w:eastAsia="zh-CN"/>
        </w:rPr>
        <w:t>三</w:t>
      </w:r>
      <w:r>
        <w:rPr>
          <w:rFonts w:hint="eastAsia" w:ascii="宋体" w:hAnsi="宋体" w:eastAsia="宋体" w:cs="宋体"/>
          <w:sz w:val="28"/>
          <w:szCs w:val="28"/>
          <w:shd w:val="clear" w:color="auto" w:fill="FFFFFF"/>
          <w:lang w:val="zh-CN"/>
        </w:rPr>
        <w:t>套独立的给水系统。</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en-US" w:eastAsia="zh-CN"/>
        </w:rPr>
        <w:t>园区</w:t>
      </w:r>
      <w:r>
        <w:rPr>
          <w:rFonts w:hint="eastAsia" w:ascii="宋体" w:hAnsi="宋体" w:eastAsia="宋体" w:cs="宋体"/>
          <w:sz w:val="28"/>
          <w:szCs w:val="28"/>
          <w:shd w:val="clear" w:color="auto" w:fill="FFFFFF"/>
          <w:lang w:val="zh-CN"/>
        </w:rPr>
        <w:t>（消防）</w:t>
      </w:r>
      <w:r>
        <w:rPr>
          <w:rFonts w:hint="eastAsia" w:ascii="宋体" w:hAnsi="宋体" w:eastAsia="宋体" w:cs="宋体"/>
          <w:sz w:val="28"/>
          <w:szCs w:val="28"/>
          <w:shd w:val="clear" w:color="auto" w:fill="FFFFFF"/>
          <w:lang w:val="en-US" w:eastAsia="zh-CN"/>
        </w:rPr>
        <w:t>原</w:t>
      </w:r>
      <w:r>
        <w:rPr>
          <w:rFonts w:hint="eastAsia" w:ascii="宋体" w:hAnsi="宋体" w:eastAsia="宋体" w:cs="宋体"/>
          <w:sz w:val="28"/>
          <w:szCs w:val="28"/>
          <w:shd w:val="clear" w:color="auto" w:fill="FFFFFF"/>
          <w:lang w:val="zh-CN"/>
        </w:rPr>
        <w:t>水由</w:t>
      </w:r>
      <w:r>
        <w:rPr>
          <w:rFonts w:hint="eastAsia" w:ascii="宋体" w:hAnsi="宋体" w:eastAsia="宋体" w:cs="宋体"/>
          <w:sz w:val="28"/>
          <w:szCs w:val="28"/>
          <w:shd w:val="clear" w:color="auto" w:fill="FFFFFF"/>
          <w:lang w:val="en-US" w:eastAsia="zh-CN"/>
        </w:rPr>
        <w:t>西冲水库和麒麟区独木水库至潇湘水库饮水工程</w:t>
      </w:r>
      <w:r>
        <w:rPr>
          <w:rFonts w:hint="eastAsia" w:ascii="宋体" w:hAnsi="宋体" w:eastAsia="宋体" w:cs="宋体"/>
          <w:sz w:val="28"/>
          <w:szCs w:val="28"/>
          <w:shd w:val="clear" w:color="auto" w:fill="FFFFFF"/>
          <w:lang w:val="zh-CN"/>
        </w:rPr>
        <w:t>供给；生活新水由曲靖市政给水管网直接供水；二次利用水给水由</w:t>
      </w:r>
      <w:r>
        <w:rPr>
          <w:rFonts w:hint="eastAsia" w:ascii="宋体" w:hAnsi="宋体" w:eastAsia="宋体" w:cs="宋体"/>
          <w:sz w:val="28"/>
          <w:szCs w:val="28"/>
          <w:shd w:val="clear" w:color="auto" w:fill="FFFFFF"/>
          <w:lang w:val="en-US" w:eastAsia="zh-CN"/>
        </w:rPr>
        <w:t>园区</w:t>
      </w:r>
      <w:r>
        <w:rPr>
          <w:rFonts w:hint="eastAsia" w:ascii="宋体" w:hAnsi="宋体" w:eastAsia="宋体" w:cs="宋体"/>
          <w:sz w:val="28"/>
          <w:szCs w:val="28"/>
          <w:shd w:val="clear" w:color="auto" w:fill="FFFFFF"/>
          <w:lang w:val="zh-CN"/>
        </w:rPr>
        <w:t>废水处理站的回用水泵供给，其水源为</w:t>
      </w:r>
      <w:r>
        <w:rPr>
          <w:rFonts w:hint="eastAsia" w:ascii="宋体" w:hAnsi="宋体" w:eastAsia="宋体" w:cs="宋体"/>
          <w:sz w:val="28"/>
          <w:szCs w:val="28"/>
          <w:shd w:val="clear" w:color="auto" w:fill="FFFFFF"/>
          <w:lang w:val="en-US" w:eastAsia="zh-CN"/>
        </w:rPr>
        <w:t>园区</w:t>
      </w:r>
      <w:r>
        <w:rPr>
          <w:rFonts w:hint="eastAsia" w:ascii="宋体" w:hAnsi="宋体" w:eastAsia="宋体" w:cs="宋体"/>
          <w:sz w:val="28"/>
          <w:szCs w:val="28"/>
          <w:shd w:val="clear" w:color="auto" w:fill="FFFFFF"/>
          <w:lang w:val="zh-CN"/>
        </w:rPr>
        <w:t>废水处理站处理达标后的</w:t>
      </w:r>
      <w:r>
        <w:rPr>
          <w:rFonts w:hint="eastAsia" w:ascii="宋体" w:hAnsi="宋体" w:eastAsia="宋体" w:cs="宋体"/>
          <w:sz w:val="28"/>
          <w:szCs w:val="28"/>
          <w:shd w:val="clear" w:color="auto" w:fill="FFFFFF"/>
          <w:lang w:val="en-US" w:eastAsia="zh-CN"/>
        </w:rPr>
        <w:t>水源供给</w:t>
      </w:r>
      <w:r>
        <w:rPr>
          <w:rFonts w:hint="eastAsia" w:ascii="宋体" w:hAnsi="宋体" w:eastAsia="宋体" w:cs="宋体"/>
          <w:sz w:val="28"/>
          <w:szCs w:val="28"/>
          <w:shd w:val="clear" w:color="auto" w:fill="FFFFFF"/>
          <w:lang w:val="zh-CN"/>
        </w:rPr>
        <w:t>。</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）存在的问题</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规划区内部由于尚未完全开发，供水管网目前尚未形成环网，供水安全性略差。</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）规划原则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坚持统一规划、合理布局、协调环境、循环利用。</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1）尽量利用现状供水管网，以节省投资，规划供水管网的敷设应结合道路的改造同步实施。</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2）考虑到市政工程的整体性和系统性，本片区的规划与周边市政系统相互协调和衔接。</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）主要供水管网形成环状，并从不同方向引入以确保供水的安全可靠性。</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）用水量预测 </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规划区城市建设用地面积</w:t>
      </w:r>
      <w:r>
        <w:rPr>
          <w:rFonts w:hint="eastAsia" w:ascii="宋体" w:hAnsi="宋体" w:eastAsia="宋体" w:cs="宋体"/>
          <w:sz w:val="28"/>
          <w:szCs w:val="28"/>
          <w:shd w:val="clear" w:color="auto" w:fill="FFFFFF"/>
          <w:lang w:val="zh-CN"/>
        </w:rPr>
        <w:t>为</w:t>
      </w:r>
      <w:r>
        <w:rPr>
          <w:rFonts w:hint="eastAsia" w:ascii="宋体" w:hAnsi="宋体" w:eastAsia="宋体" w:cs="宋体"/>
          <w:sz w:val="28"/>
          <w:szCs w:val="28"/>
          <w:shd w:val="clear" w:color="auto" w:fill="FFFFFF"/>
          <w:lang w:val="en-US" w:eastAsia="zh-CN"/>
        </w:rPr>
        <w:t>322.5</w:t>
      </w:r>
      <w:r>
        <w:rPr>
          <w:rFonts w:hint="eastAsia" w:ascii="宋体" w:hAnsi="宋体" w:eastAsia="宋体" w:cs="宋体"/>
          <w:sz w:val="28"/>
          <w:szCs w:val="28"/>
          <w:shd w:val="clear" w:color="auto" w:fill="FFFFFF"/>
          <w:lang w:val="zh-CN"/>
        </w:rPr>
        <w:t>公顷</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，采用不同类别单位用地指标法预测用水量。</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依据《城市给水工程规划规范》，参考省内其它同类型城市用水量资料，结合《曲靖市国土空间总体规划》，确定本规划区用水量指标如下：</w:t>
      </w:r>
    </w:p>
    <w:p>
      <w:pPr>
        <w:spacing w:line="360" w:lineRule="auto"/>
        <w:ind w:firstLine="482" w:firstLineChars="200"/>
        <w:jc w:val="center"/>
        <w:rPr>
          <w:rFonts w:ascii="宋体" w:hAnsi="宋体" w:eastAsia="宋体" w:cs="宋体"/>
          <w:b/>
          <w:bCs/>
          <w:sz w:val="24"/>
          <w:shd w:val="clear" w:color="auto" w:fill="FFFFFF"/>
        </w:rPr>
      </w:pPr>
      <w:r>
        <w:rPr>
          <w:rFonts w:hint="eastAsia"/>
          <w:b/>
          <w:sz w:val="24"/>
        </w:rPr>
        <w:t>表6.</w:t>
      </w:r>
      <w:r>
        <w:rPr>
          <w:rFonts w:hint="eastAsia"/>
          <w:b/>
          <w:sz w:val="24"/>
          <w:lang w:val="en-US" w:eastAsia="zh-CN"/>
        </w:rPr>
        <w:t>3</w:t>
      </w:r>
      <w:r>
        <w:rPr>
          <w:rFonts w:hint="eastAsia"/>
          <w:b/>
          <w:sz w:val="24"/>
        </w:rPr>
        <w:t>用水量</w:t>
      </w:r>
      <w:r>
        <w:rPr>
          <w:rFonts w:hint="eastAsia" w:ascii="宋体" w:hAnsi="宋体" w:eastAsia="宋体" w:cs="宋体"/>
          <w:b/>
          <w:bCs/>
          <w:sz w:val="24"/>
          <w:shd w:val="clear" w:color="auto" w:fill="FFFFFF"/>
        </w:rPr>
        <w:t>预测指标一览表</w:t>
      </w:r>
    </w:p>
    <w:tbl>
      <w:tblPr>
        <w:tblStyle w:val="12"/>
        <w:tblW w:w="925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7"/>
        <w:gridCol w:w="2104"/>
        <w:gridCol w:w="1218"/>
        <w:gridCol w:w="2075"/>
        <w:gridCol w:w="1697"/>
        <w:gridCol w:w="16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8" w:hRule="atLeast"/>
          <w:tblHeader/>
          <w:jc w:val="center"/>
        </w:trPr>
        <w:tc>
          <w:tcPr>
            <w:tcW w:w="467" w:type="dxa"/>
            <w:vAlign w:val="center"/>
          </w:tcPr>
          <w:p>
            <w:pPr>
              <w:widowControl/>
              <w:spacing w:line="360" w:lineRule="auto"/>
              <w:jc w:val="center"/>
              <w:textAlignment w:val="center"/>
              <w:rPr>
                <w:rFonts w:ascii="宋体" w:hAnsi="宋体" w:eastAsia="宋体" w:cs="宋体"/>
                <w:sz w:val="24"/>
              </w:rPr>
            </w:pPr>
            <w:r>
              <w:rPr>
                <w:rFonts w:hint="eastAsia" w:ascii="宋体" w:hAnsi="宋体" w:eastAsia="宋体" w:cs="宋体"/>
                <w:kern w:val="0"/>
                <w:sz w:val="24"/>
                <w:lang w:bidi="ar"/>
              </w:rPr>
              <w:t>序号</w:t>
            </w:r>
          </w:p>
        </w:tc>
        <w:tc>
          <w:tcPr>
            <w:tcW w:w="2104" w:type="dxa"/>
            <w:vAlign w:val="center"/>
          </w:tcPr>
          <w:p>
            <w:pPr>
              <w:widowControl/>
              <w:spacing w:line="360" w:lineRule="auto"/>
              <w:jc w:val="center"/>
              <w:textAlignment w:val="center"/>
              <w:rPr>
                <w:rFonts w:ascii="宋体" w:hAnsi="宋体" w:eastAsia="宋体" w:cs="宋体"/>
                <w:sz w:val="24"/>
              </w:rPr>
            </w:pPr>
            <w:r>
              <w:rPr>
                <w:rFonts w:hint="eastAsia" w:ascii="宋体" w:hAnsi="宋体" w:eastAsia="宋体" w:cs="宋体"/>
                <w:kern w:val="0"/>
                <w:sz w:val="24"/>
                <w:lang w:bidi="ar"/>
              </w:rPr>
              <w:t>用地性质</w:t>
            </w:r>
          </w:p>
        </w:tc>
        <w:tc>
          <w:tcPr>
            <w:tcW w:w="1218" w:type="dxa"/>
            <w:vAlign w:val="center"/>
          </w:tcPr>
          <w:p>
            <w:pPr>
              <w:widowControl/>
              <w:spacing w:line="360" w:lineRule="auto"/>
              <w:jc w:val="center"/>
              <w:textAlignment w:val="center"/>
              <w:rPr>
                <w:rFonts w:ascii="宋体" w:hAnsi="宋体" w:eastAsia="宋体" w:cs="宋体"/>
                <w:kern w:val="0"/>
                <w:sz w:val="24"/>
                <w:lang w:bidi="ar"/>
              </w:rPr>
            </w:pPr>
            <w:r>
              <w:rPr>
                <w:rFonts w:hint="eastAsia" w:ascii="宋体" w:hAnsi="宋体" w:eastAsia="宋体" w:cs="宋体"/>
                <w:kern w:val="0"/>
                <w:sz w:val="24"/>
                <w:lang w:bidi="ar"/>
              </w:rPr>
              <w:t>用地面积</w:t>
            </w:r>
          </w:p>
          <w:p>
            <w:pPr>
              <w:widowControl/>
              <w:spacing w:line="360" w:lineRule="auto"/>
              <w:jc w:val="center"/>
              <w:textAlignment w:val="center"/>
              <w:rPr>
                <w:rFonts w:ascii="宋体" w:hAnsi="宋体" w:eastAsia="宋体" w:cs="宋体"/>
                <w:sz w:val="24"/>
              </w:rPr>
            </w:pPr>
            <w:r>
              <w:rPr>
                <w:rFonts w:hint="eastAsia" w:ascii="宋体" w:hAnsi="宋体" w:eastAsia="宋体" w:cs="宋体"/>
                <w:kern w:val="0"/>
                <w:sz w:val="24"/>
                <w:lang w:bidi="ar"/>
              </w:rPr>
              <w:t>（hm²）</w:t>
            </w:r>
          </w:p>
        </w:tc>
        <w:tc>
          <w:tcPr>
            <w:tcW w:w="2075" w:type="dxa"/>
            <w:vAlign w:val="center"/>
          </w:tcPr>
          <w:p>
            <w:pPr>
              <w:widowControl/>
              <w:spacing w:line="360" w:lineRule="auto"/>
              <w:jc w:val="center"/>
              <w:textAlignment w:val="center"/>
              <w:rPr>
                <w:rFonts w:ascii="宋体" w:hAnsi="宋体" w:eastAsia="宋体" w:cs="宋体"/>
                <w:sz w:val="24"/>
              </w:rPr>
            </w:pPr>
            <w:r>
              <w:rPr>
                <w:rFonts w:hint="eastAsia" w:ascii="宋体" w:hAnsi="宋体" w:eastAsia="宋体" w:cs="宋体"/>
                <w:kern w:val="0"/>
                <w:sz w:val="24"/>
                <w:lang w:bidi="ar"/>
              </w:rPr>
              <w:t>单位用地用水量指标(m³/(hm²·d))</w:t>
            </w:r>
          </w:p>
        </w:tc>
        <w:tc>
          <w:tcPr>
            <w:tcW w:w="1697" w:type="dxa"/>
            <w:vAlign w:val="center"/>
          </w:tcPr>
          <w:p>
            <w:pPr>
              <w:widowControl/>
              <w:spacing w:line="360" w:lineRule="auto"/>
              <w:jc w:val="center"/>
              <w:textAlignment w:val="center"/>
              <w:rPr>
                <w:rFonts w:hint="eastAsia" w:ascii="宋体" w:hAnsi="宋体" w:eastAsia="宋体" w:cs="宋体"/>
                <w:kern w:val="0"/>
                <w:sz w:val="24"/>
                <w:lang w:bidi="ar"/>
              </w:rPr>
            </w:pPr>
            <w:r>
              <w:rPr>
                <w:rFonts w:hint="eastAsia" w:ascii="宋体" w:hAnsi="宋体" w:eastAsia="宋体" w:cs="宋体"/>
                <w:kern w:val="0"/>
                <w:sz w:val="24"/>
                <w:lang w:val="en-US" w:eastAsia="zh-CN" w:bidi="ar"/>
              </w:rPr>
              <w:t>最高日用水量(m³/d)</w:t>
            </w:r>
          </w:p>
        </w:tc>
        <w:tc>
          <w:tcPr>
            <w:tcW w:w="1697" w:type="dxa"/>
            <w:vAlign w:val="center"/>
          </w:tcPr>
          <w:p>
            <w:pPr>
              <w:widowControl/>
              <w:spacing w:line="360" w:lineRule="auto"/>
              <w:jc w:val="center"/>
              <w:textAlignment w:val="center"/>
              <w:rPr>
                <w:rFonts w:ascii="宋体" w:hAnsi="宋体" w:eastAsia="宋体" w:cs="宋体"/>
                <w:kern w:val="0"/>
                <w:sz w:val="24"/>
                <w:lang w:bidi="ar"/>
              </w:rPr>
            </w:pPr>
            <w:r>
              <w:rPr>
                <w:rFonts w:hint="eastAsia" w:ascii="宋体" w:hAnsi="宋体" w:eastAsia="宋体" w:cs="宋体"/>
                <w:kern w:val="0"/>
                <w:sz w:val="24"/>
                <w:lang w:bidi="ar"/>
              </w:rPr>
              <w:t>平均日用水量</w:t>
            </w:r>
          </w:p>
          <w:p>
            <w:pPr>
              <w:widowControl/>
              <w:spacing w:line="360" w:lineRule="auto"/>
              <w:jc w:val="center"/>
              <w:textAlignment w:val="center"/>
              <w:rPr>
                <w:rFonts w:ascii="宋体" w:hAnsi="宋体" w:eastAsia="宋体" w:cs="宋体"/>
                <w:sz w:val="24"/>
              </w:rPr>
            </w:pPr>
            <w:r>
              <w:rPr>
                <w:rFonts w:hint="eastAsia" w:ascii="宋体" w:hAnsi="宋体" w:eastAsia="宋体" w:cs="宋体"/>
                <w:kern w:val="0"/>
                <w:sz w:val="24"/>
                <w:lang w:bidi="ar"/>
              </w:rPr>
              <w:t>(m³/d)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3" w:hRule="atLeast"/>
          <w:jc w:val="center"/>
        </w:trPr>
        <w:tc>
          <w:tcPr>
            <w:tcW w:w="467" w:type="dxa"/>
            <w:vAlign w:val="center"/>
          </w:tcPr>
          <w:p>
            <w:pPr>
              <w:widowControl/>
              <w:spacing w:line="360" w:lineRule="auto"/>
              <w:jc w:val="center"/>
              <w:textAlignment w:val="center"/>
              <w:rPr>
                <w:rFonts w:ascii="宋体" w:hAnsi="宋体" w:eastAsia="宋体" w:cs="宋体"/>
                <w:sz w:val="24"/>
              </w:rPr>
            </w:pPr>
            <w:r>
              <w:rPr>
                <w:rFonts w:hint="eastAsia" w:ascii="宋体" w:hAnsi="宋体" w:eastAsia="宋体" w:cs="宋体"/>
                <w:sz w:val="24"/>
              </w:rPr>
              <w:t>1</w:t>
            </w:r>
          </w:p>
        </w:tc>
        <w:tc>
          <w:tcPr>
            <w:tcW w:w="2104" w:type="dxa"/>
            <w:vAlign w:val="center"/>
          </w:tcPr>
          <w:p>
            <w:pPr>
              <w:widowControl/>
              <w:spacing w:line="360" w:lineRule="auto"/>
              <w:jc w:val="center"/>
              <w:textAlignment w:val="center"/>
              <w:rPr>
                <w:rFonts w:ascii="宋体" w:hAnsi="宋体" w:eastAsia="宋体" w:cs="宋体"/>
                <w:kern w:val="0"/>
                <w:sz w:val="24"/>
                <w:lang w:bidi="ar"/>
              </w:rPr>
            </w:pPr>
            <w:r>
              <w:rPr>
                <w:rFonts w:hint="eastAsia" w:ascii="宋体" w:hAnsi="宋体" w:eastAsia="宋体" w:cs="宋体"/>
                <w:kern w:val="0"/>
                <w:sz w:val="24"/>
                <w:lang w:val="en-US" w:eastAsia="zh-CN" w:bidi="ar"/>
              </w:rPr>
              <w:t>公共管理与公共服务用地</w:t>
            </w:r>
          </w:p>
        </w:tc>
        <w:tc>
          <w:tcPr>
            <w:tcW w:w="1218"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1.68</w:t>
            </w:r>
          </w:p>
        </w:tc>
        <w:tc>
          <w:tcPr>
            <w:tcW w:w="2075"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40</w:t>
            </w:r>
          </w:p>
        </w:tc>
        <w:tc>
          <w:tcPr>
            <w:tcW w:w="169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67.2</w:t>
            </w:r>
          </w:p>
        </w:tc>
        <w:tc>
          <w:tcPr>
            <w:tcW w:w="1697" w:type="dxa"/>
            <w:vAlign w:val="center"/>
          </w:tcPr>
          <w:p>
            <w:pPr>
              <w:keepNext w:val="0"/>
              <w:keepLines w:val="0"/>
              <w:widowControl/>
              <w:suppressLineNumbers w:val="0"/>
              <w:jc w:val="center"/>
              <w:textAlignment w:val="bottom"/>
              <w:rPr>
                <w:rFonts w:hint="default"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atLeast"/>
          <w:jc w:val="center"/>
        </w:trPr>
        <w:tc>
          <w:tcPr>
            <w:tcW w:w="467" w:type="dxa"/>
            <w:vAlign w:val="center"/>
          </w:tcPr>
          <w:p>
            <w:pPr>
              <w:widowControl/>
              <w:spacing w:line="360" w:lineRule="auto"/>
              <w:jc w:val="center"/>
              <w:textAlignment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104" w:type="dxa"/>
            <w:vAlign w:val="center"/>
          </w:tcPr>
          <w:p>
            <w:pPr>
              <w:widowControl/>
              <w:spacing w:line="360" w:lineRule="auto"/>
              <w:jc w:val="center"/>
              <w:textAlignment w:val="center"/>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商业服务业用地</w:t>
            </w:r>
          </w:p>
        </w:tc>
        <w:tc>
          <w:tcPr>
            <w:tcW w:w="1218"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19.64</w:t>
            </w:r>
          </w:p>
        </w:tc>
        <w:tc>
          <w:tcPr>
            <w:tcW w:w="2075"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50</w:t>
            </w:r>
          </w:p>
        </w:tc>
        <w:tc>
          <w:tcPr>
            <w:tcW w:w="169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982</w:t>
            </w:r>
          </w:p>
        </w:tc>
        <w:tc>
          <w:tcPr>
            <w:tcW w:w="1697" w:type="dxa"/>
            <w:vAlign w:val="center"/>
          </w:tcPr>
          <w:p>
            <w:pPr>
              <w:keepNext w:val="0"/>
              <w:keepLines w:val="0"/>
              <w:widowControl/>
              <w:suppressLineNumbers w:val="0"/>
              <w:jc w:val="center"/>
              <w:textAlignment w:val="bottom"/>
              <w:rPr>
                <w:rFonts w:hint="eastAsia"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818.33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 w:hRule="atLeast"/>
          <w:jc w:val="center"/>
        </w:trPr>
        <w:tc>
          <w:tcPr>
            <w:tcW w:w="467" w:type="dxa"/>
            <w:vAlign w:val="center"/>
          </w:tcPr>
          <w:p>
            <w:pPr>
              <w:widowControl/>
              <w:spacing w:line="360" w:lineRule="auto"/>
              <w:jc w:val="center"/>
              <w:textAlignment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104" w:type="dxa"/>
            <w:vAlign w:val="center"/>
          </w:tcPr>
          <w:p>
            <w:pPr>
              <w:widowControl/>
              <w:spacing w:line="360" w:lineRule="auto"/>
              <w:jc w:val="center"/>
              <w:textAlignment w:val="center"/>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工矿用地</w:t>
            </w:r>
          </w:p>
        </w:tc>
        <w:tc>
          <w:tcPr>
            <w:tcW w:w="1218"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127.03</w:t>
            </w:r>
          </w:p>
        </w:tc>
        <w:tc>
          <w:tcPr>
            <w:tcW w:w="2075" w:type="dxa"/>
            <w:vAlign w:val="center"/>
          </w:tcPr>
          <w:p>
            <w:pPr>
              <w:widowControl/>
              <w:spacing w:line="360" w:lineRule="auto"/>
              <w:jc w:val="center"/>
              <w:textAlignment w:val="center"/>
              <w:rPr>
                <w:rFonts w:hint="eastAsia" w:ascii="宋体" w:hAnsi="宋体" w:eastAsia="宋体" w:cs="宋体"/>
                <w:kern w:val="0"/>
                <w:sz w:val="24"/>
                <w:lang w:val="en-US" w:eastAsia="zh-CN" w:bidi="ar"/>
              </w:rPr>
            </w:pPr>
            <w:r>
              <w:rPr>
                <w:rFonts w:ascii="宋体" w:hAnsi="宋体" w:eastAsia="宋体" w:cs="宋体"/>
                <w:kern w:val="0"/>
                <w:sz w:val="24"/>
                <w:lang w:bidi="ar"/>
              </w:rPr>
              <w:t>150</w:t>
            </w:r>
          </w:p>
        </w:tc>
        <w:tc>
          <w:tcPr>
            <w:tcW w:w="169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19054.5</w:t>
            </w:r>
          </w:p>
        </w:tc>
        <w:tc>
          <w:tcPr>
            <w:tcW w:w="1697" w:type="dxa"/>
            <w:vAlign w:val="center"/>
          </w:tcPr>
          <w:p>
            <w:pPr>
              <w:keepNext w:val="0"/>
              <w:keepLines w:val="0"/>
              <w:widowControl/>
              <w:suppressLineNumbers w:val="0"/>
              <w:jc w:val="center"/>
              <w:textAlignment w:val="bottom"/>
              <w:rPr>
                <w:rFonts w:hint="eastAsia"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15878.75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 w:hRule="atLeast"/>
          <w:jc w:val="center"/>
        </w:trPr>
        <w:tc>
          <w:tcPr>
            <w:tcW w:w="467" w:type="dxa"/>
            <w:vAlign w:val="center"/>
          </w:tcPr>
          <w:p>
            <w:pPr>
              <w:widowControl/>
              <w:spacing w:line="360" w:lineRule="auto"/>
              <w:jc w:val="center"/>
              <w:textAlignment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104" w:type="dxa"/>
            <w:vAlign w:val="center"/>
          </w:tcPr>
          <w:p>
            <w:pPr>
              <w:widowControl/>
              <w:spacing w:line="360" w:lineRule="auto"/>
              <w:jc w:val="center"/>
              <w:textAlignment w:val="center"/>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仓储用地</w:t>
            </w:r>
          </w:p>
        </w:tc>
        <w:tc>
          <w:tcPr>
            <w:tcW w:w="1218"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63.40</w:t>
            </w:r>
          </w:p>
        </w:tc>
        <w:tc>
          <w:tcPr>
            <w:tcW w:w="2075"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25</w:t>
            </w:r>
          </w:p>
        </w:tc>
        <w:tc>
          <w:tcPr>
            <w:tcW w:w="169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1585</w:t>
            </w:r>
          </w:p>
        </w:tc>
        <w:tc>
          <w:tcPr>
            <w:tcW w:w="1697" w:type="dxa"/>
            <w:vAlign w:val="center"/>
          </w:tcPr>
          <w:p>
            <w:pPr>
              <w:keepNext w:val="0"/>
              <w:keepLines w:val="0"/>
              <w:widowControl/>
              <w:suppressLineNumbers w:val="0"/>
              <w:jc w:val="center"/>
              <w:textAlignment w:val="bottom"/>
              <w:rPr>
                <w:rFonts w:hint="eastAsia"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1320.83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 w:hRule="atLeast"/>
          <w:jc w:val="center"/>
        </w:trPr>
        <w:tc>
          <w:tcPr>
            <w:tcW w:w="467" w:type="dxa"/>
            <w:vAlign w:val="center"/>
          </w:tcPr>
          <w:p>
            <w:pPr>
              <w:widowControl/>
              <w:spacing w:line="360" w:lineRule="auto"/>
              <w:jc w:val="center"/>
              <w:textAlignment w:val="center"/>
              <w:rPr>
                <w:rFonts w:hint="default" w:ascii="宋体" w:hAnsi="宋体" w:eastAsia="宋体" w:cs="宋体"/>
                <w:sz w:val="24"/>
                <w:lang w:val="en-US" w:eastAsia="zh-CN"/>
              </w:rPr>
            </w:pPr>
            <w:r>
              <w:rPr>
                <w:rFonts w:hint="eastAsia" w:ascii="宋体" w:hAnsi="宋体" w:eastAsia="宋体" w:cs="宋体"/>
                <w:sz w:val="24"/>
                <w:lang w:val="en-US" w:eastAsia="zh-CN"/>
              </w:rPr>
              <w:t>5</w:t>
            </w:r>
          </w:p>
        </w:tc>
        <w:tc>
          <w:tcPr>
            <w:tcW w:w="2104" w:type="dxa"/>
            <w:vAlign w:val="center"/>
          </w:tcPr>
          <w:p>
            <w:pPr>
              <w:widowControl/>
              <w:spacing w:line="360" w:lineRule="auto"/>
              <w:jc w:val="center"/>
              <w:textAlignment w:val="center"/>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交通运输用地</w:t>
            </w:r>
          </w:p>
        </w:tc>
        <w:tc>
          <w:tcPr>
            <w:tcW w:w="1218"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55.83</w:t>
            </w:r>
          </w:p>
        </w:tc>
        <w:tc>
          <w:tcPr>
            <w:tcW w:w="2075"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30</w:t>
            </w:r>
          </w:p>
        </w:tc>
        <w:tc>
          <w:tcPr>
            <w:tcW w:w="169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1674.9</w:t>
            </w:r>
          </w:p>
        </w:tc>
        <w:tc>
          <w:tcPr>
            <w:tcW w:w="1697" w:type="dxa"/>
            <w:vAlign w:val="center"/>
          </w:tcPr>
          <w:p>
            <w:pPr>
              <w:keepNext w:val="0"/>
              <w:keepLines w:val="0"/>
              <w:widowControl/>
              <w:suppressLineNumbers w:val="0"/>
              <w:jc w:val="center"/>
              <w:textAlignment w:val="bottom"/>
              <w:rPr>
                <w:rFonts w:hint="eastAsia"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1395.75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3" w:hRule="atLeast"/>
          <w:jc w:val="center"/>
        </w:trPr>
        <w:tc>
          <w:tcPr>
            <w:tcW w:w="467" w:type="dxa"/>
            <w:vAlign w:val="center"/>
          </w:tcPr>
          <w:p>
            <w:pPr>
              <w:widowControl/>
              <w:spacing w:line="360" w:lineRule="auto"/>
              <w:jc w:val="center"/>
              <w:textAlignment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104" w:type="dxa"/>
            <w:vAlign w:val="center"/>
          </w:tcPr>
          <w:p>
            <w:pPr>
              <w:widowControl/>
              <w:spacing w:line="360" w:lineRule="auto"/>
              <w:jc w:val="center"/>
              <w:textAlignment w:val="center"/>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绿地与开敞空间用地</w:t>
            </w:r>
          </w:p>
        </w:tc>
        <w:tc>
          <w:tcPr>
            <w:tcW w:w="1218"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51.41</w:t>
            </w:r>
          </w:p>
        </w:tc>
        <w:tc>
          <w:tcPr>
            <w:tcW w:w="2075"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15</w:t>
            </w:r>
          </w:p>
        </w:tc>
        <w:tc>
          <w:tcPr>
            <w:tcW w:w="1697"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771.15</w:t>
            </w:r>
          </w:p>
        </w:tc>
        <w:tc>
          <w:tcPr>
            <w:tcW w:w="1697" w:type="dxa"/>
            <w:vAlign w:val="center"/>
          </w:tcPr>
          <w:p>
            <w:pPr>
              <w:keepNext w:val="0"/>
              <w:keepLines w:val="0"/>
              <w:widowControl/>
              <w:suppressLineNumbers w:val="0"/>
              <w:jc w:val="center"/>
              <w:textAlignment w:val="bottom"/>
              <w:rPr>
                <w:rFonts w:hint="eastAsia"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642.63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 w:hRule="atLeast"/>
          <w:jc w:val="center"/>
        </w:trPr>
        <w:tc>
          <w:tcPr>
            <w:tcW w:w="2571" w:type="dxa"/>
            <w:gridSpan w:val="2"/>
            <w:vAlign w:val="center"/>
          </w:tcPr>
          <w:p>
            <w:pPr>
              <w:widowControl/>
              <w:spacing w:line="360" w:lineRule="auto"/>
              <w:jc w:val="center"/>
              <w:textAlignment w:val="center"/>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小计</w:t>
            </w:r>
          </w:p>
        </w:tc>
        <w:tc>
          <w:tcPr>
            <w:tcW w:w="1218"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318.99</w:t>
            </w:r>
          </w:p>
        </w:tc>
        <w:tc>
          <w:tcPr>
            <w:tcW w:w="2075" w:type="dxa"/>
            <w:vAlign w:val="center"/>
          </w:tcPr>
          <w:p>
            <w:pPr>
              <w:widowControl/>
              <w:spacing w:line="360" w:lineRule="auto"/>
              <w:jc w:val="center"/>
              <w:textAlignment w:val="center"/>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335</w:t>
            </w:r>
          </w:p>
        </w:tc>
        <w:tc>
          <w:tcPr>
            <w:tcW w:w="1697" w:type="dxa"/>
            <w:vAlign w:val="center"/>
          </w:tcPr>
          <w:p>
            <w:pPr>
              <w:keepNext w:val="0"/>
              <w:keepLines w:val="0"/>
              <w:widowControl/>
              <w:suppressLineNumbers w:val="0"/>
              <w:jc w:val="center"/>
              <w:textAlignment w:val="bottom"/>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24134.75</w:t>
            </w:r>
          </w:p>
        </w:tc>
        <w:tc>
          <w:tcPr>
            <w:tcW w:w="1697" w:type="dxa"/>
            <w:vAlign w:val="center"/>
          </w:tcPr>
          <w:p>
            <w:pPr>
              <w:keepNext w:val="0"/>
              <w:keepLines w:val="0"/>
              <w:widowControl/>
              <w:suppressLineNumbers w:val="0"/>
              <w:jc w:val="center"/>
              <w:textAlignment w:val="bottom"/>
              <w:rPr>
                <w:rFonts w:hint="default"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20112.29</w:t>
            </w:r>
          </w:p>
        </w:tc>
      </w:tr>
    </w:tbl>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注：本表为最高日用水量指标，各指标已包括管网漏失水量。</w:t>
      </w:r>
    </w:p>
    <w:p>
      <w:pPr>
        <w:spacing w:line="360" w:lineRule="auto"/>
        <w:ind w:firstLine="560" w:firstLineChars="200"/>
        <w:outlineLvl w:val="4"/>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2）预测的用水量</w:t>
      </w:r>
    </w:p>
    <w:p>
      <w:pPr>
        <w:spacing w:line="360" w:lineRule="auto"/>
        <w:ind w:firstLine="560" w:firstLineChars="200"/>
        <w:rPr>
          <w:rFonts w:ascii="宋体" w:hAnsi="宋体" w:eastAsia="宋体" w:cs="宋体"/>
          <w:color w:val="FF0000"/>
          <w:sz w:val="28"/>
          <w:szCs w:val="28"/>
          <w:shd w:val="clear" w:color="auto" w:fill="FFFFFF"/>
          <w:lang w:val="zh-CN"/>
        </w:rPr>
      </w:pPr>
      <w:r>
        <w:rPr>
          <w:rFonts w:hint="eastAsia" w:ascii="宋体" w:hAnsi="宋体" w:eastAsia="宋体" w:cs="宋体"/>
          <w:sz w:val="28"/>
          <w:szCs w:val="28"/>
          <w:shd w:val="clear" w:color="auto" w:fill="FFFFFF"/>
          <w:lang w:val="zh-CN"/>
        </w:rPr>
        <w:t>根据规划用地性质，预测规划区</w:t>
      </w:r>
      <w:r>
        <w:rPr>
          <w:rFonts w:hint="eastAsia" w:ascii="宋体" w:hAnsi="宋体" w:eastAsia="宋体" w:cs="宋体"/>
          <w:sz w:val="28"/>
          <w:szCs w:val="28"/>
          <w:shd w:val="clear" w:color="auto" w:fill="FFFFFF"/>
        </w:rPr>
        <w:t>平均</w:t>
      </w:r>
      <w:r>
        <w:rPr>
          <w:rFonts w:hint="eastAsia" w:ascii="宋体" w:hAnsi="宋体" w:eastAsia="宋体" w:cs="宋体"/>
          <w:sz w:val="28"/>
          <w:szCs w:val="28"/>
          <w:shd w:val="clear" w:color="auto" w:fill="FFFFFF"/>
          <w:lang w:val="zh-CN"/>
        </w:rPr>
        <w:t>日用水量为</w:t>
      </w:r>
      <w:r>
        <w:rPr>
          <w:rFonts w:hint="eastAsia" w:ascii="宋体" w:hAnsi="宋体" w:eastAsia="宋体" w:cs="宋体"/>
          <w:sz w:val="28"/>
          <w:szCs w:val="28"/>
          <w:shd w:val="clear" w:color="auto" w:fill="FFFFFF"/>
          <w:lang w:val="en-US" w:eastAsia="zh-CN"/>
        </w:rPr>
        <w:t>20112.29</w:t>
      </w:r>
      <w:r>
        <w:rPr>
          <w:rFonts w:hint="eastAsia" w:ascii="宋体" w:hAnsi="宋体" w:eastAsia="宋体" w:cs="宋体"/>
          <w:sz w:val="28"/>
          <w:szCs w:val="28"/>
          <w:shd w:val="clear" w:color="auto" w:fill="FFFFFF"/>
          <w:lang w:val="zh-CN"/>
        </w:rPr>
        <w:t>立方米/日，</w:t>
      </w:r>
      <w:r>
        <w:rPr>
          <w:rFonts w:hint="eastAsia" w:ascii="宋体" w:hAnsi="宋体" w:eastAsia="宋体" w:cs="宋体"/>
          <w:sz w:val="28"/>
          <w:szCs w:val="28"/>
          <w:shd w:val="clear" w:color="auto" w:fill="FFFFFF"/>
        </w:rPr>
        <w:t>最高</w:t>
      </w:r>
      <w:r>
        <w:rPr>
          <w:rFonts w:hint="eastAsia" w:ascii="宋体" w:hAnsi="宋体" w:eastAsia="宋体" w:cs="宋体"/>
          <w:sz w:val="28"/>
          <w:szCs w:val="28"/>
          <w:shd w:val="clear" w:color="auto" w:fill="FFFFFF"/>
          <w:lang w:val="zh-CN"/>
        </w:rPr>
        <w:t>日用水量为</w:t>
      </w:r>
      <w:r>
        <w:rPr>
          <w:rFonts w:hint="eastAsia" w:ascii="宋体" w:hAnsi="宋体" w:eastAsia="宋体" w:cs="宋体"/>
          <w:sz w:val="28"/>
          <w:szCs w:val="28"/>
          <w:shd w:val="clear" w:color="auto" w:fill="FFFFFF"/>
          <w:lang w:val="en-US" w:eastAsia="zh-CN"/>
        </w:rPr>
        <w:t>24134.75</w:t>
      </w:r>
      <w:r>
        <w:rPr>
          <w:rFonts w:hint="eastAsia" w:ascii="宋体" w:hAnsi="宋体" w:eastAsia="宋体" w:cs="宋体"/>
          <w:sz w:val="28"/>
          <w:szCs w:val="28"/>
          <w:shd w:val="clear" w:color="auto" w:fill="FFFFFF"/>
          <w:lang w:val="zh-CN"/>
        </w:rPr>
        <w:t>立方米/日，日变化系数采用1.2。</w:t>
      </w:r>
    </w:p>
    <w:p>
      <w:pPr>
        <w:spacing w:line="360" w:lineRule="auto"/>
        <w:ind w:firstLine="560" w:firstLineChars="200"/>
        <w:outlineLvl w:val="4"/>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 xml:space="preserve">3）消防用水量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在规划区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内有西冲防洪水库，</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总容积</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小于10万</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m³，储存麒麟区独木水库至潇湘水库饮水工程水源来水。</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依据《消防给水及消火栓系统技术规程》（GB 50974-2014），</w:t>
      </w:r>
      <w:r>
        <w:rPr>
          <w:rFonts w:hint="eastAsia" w:ascii="宋体" w:hAnsi="宋体" w:eastAsia="宋体" w:cs="宋体"/>
          <w:sz w:val="28"/>
          <w:szCs w:val="28"/>
          <w:shd w:val="clear" w:color="auto" w:fill="FFFFFF"/>
          <w:lang w:val="en-US" w:eastAsia="zh-CN"/>
        </w:rPr>
        <w:t>工厂</w:t>
      </w:r>
      <w:r>
        <w:rPr>
          <w:rFonts w:hint="eastAsia" w:ascii="宋体" w:hAnsi="宋体" w:eastAsia="宋体" w:cs="宋体"/>
          <w:sz w:val="28"/>
          <w:szCs w:val="28"/>
          <w:shd w:val="clear" w:color="auto" w:fill="FFFFFF"/>
          <w:lang w:val="zh-CN"/>
        </w:rPr>
        <w:t>、仓库、堆场、储罐区或民用建筑的室外消防用水量，应按同一时间内的火灾起数和一起火灾灭火所需室外消防用水量确定。同一时间内的火灾起数应符合下列规定：工厂、堆场和储罐区等，当占地面积大于100h㎡，同一时间内的火灾起数应按2起确定，工厂、堆场和储罐区应按需水量最大的两座建筑(或堆场、储罐)各计1起，一次消防用水量为</w:t>
      </w:r>
      <w:r>
        <w:rPr>
          <w:rFonts w:ascii="宋体" w:hAnsi="宋体" w:eastAsia="宋体" w:cs="宋体"/>
          <w:sz w:val="28"/>
          <w:szCs w:val="28"/>
          <w:shd w:val="clear" w:color="auto" w:fill="FFFFFF"/>
        </w:rPr>
        <w:t>30</w:t>
      </w:r>
      <w:r>
        <w:rPr>
          <w:rFonts w:hint="eastAsia" w:ascii="宋体" w:hAnsi="宋体" w:eastAsia="宋体" w:cs="宋体"/>
          <w:sz w:val="28"/>
          <w:szCs w:val="28"/>
          <w:shd w:val="clear" w:color="auto" w:fill="FFFFFF"/>
          <w:lang w:val="zh-CN"/>
        </w:rPr>
        <w:t>升/秒。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）给水系统规划</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1）供水来源</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规划区内水源引用自东侧有三宝自来水厂，日供水规模为 5.3 万 m³/d，水源为青峰水库，供水范围为三宝集镇及周边居民用水。</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水源及外部供水：原水引自于麒麟区独木水库至潇湘水库</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饮水工程</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日供10万立方原水，由政府协调在规划范围周边预留接口，满足工业园区原水使用需求。</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生活水源及外部供水：生活用水统一由曲靖市市政自来水管网供应。</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2）给水管网规划 </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在新建道路上敷设供水管道，完善区内供水管网，并与周边市政给水管道形成环状管网，以提高供水的安全可靠性。沿主干路敷设供水主干管，规划管道全部沿道路敷设，各用水项目从供水干管接入配水支管。</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生活给水管管径按秒流量计算，生产给水管及二次利用水给水管管径按最大小时流量计算。各种给水管沿道路单侧或双侧布置，均采用埋设方式。生产生活给水管布置成枝状，室内外消防给水管布置成环状。</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规划区的供水管道由北侧的规划南部加压泵站一根DN</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00的主管，东绕城高速的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北</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侧引入一根DN600的主管，规划区南北用DN500管道连通，供水管网根据地块的用水要求合理分布于整个区块，以满足各用户对水量、水压的要求，在考虑施工维修方便的原则下，尽可能缩短供水管线的总长度。并且供水管道尽可能以最短距离到达各用水户,通过平差计算后确定管径，给水主干管管径DN400～DN600，其他干管和支管管径大小为 DN300～DN200，布置消火栓的管道管径不应小于DN150。在区内形成环状管网布置，规划区内干管、配水管宜采用球墨铸铁管，特殊地区，如过河、穿越障碍可采用钢管，接户管和小于DN300管径的，可采用PE给水管。</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给水管一般布置在道路两侧的人行道或非机动车道下面。根据《城市工程管线综合规划规范》中规定，给水管道在人行道下面的最小覆土深度为0.6米；给水管线在车行道下的最小覆土深度为0.7米。距人行道路缘</w:t>
      </w:r>
      <w:r>
        <w:rPr>
          <w:rFonts w:hint="eastAsia" w:ascii="宋体" w:hAnsi="宋体" w:eastAsia="宋体" w:cs="宋体"/>
          <w:sz w:val="28"/>
          <w:szCs w:val="28"/>
          <w:shd w:val="clear" w:color="auto" w:fill="FFFFFF"/>
          <w:lang w:val="zh-CN"/>
        </w:rPr>
        <w:t>石最小距离为1.5米。管顶覆土过车道时，不小于0.7m，其他地方不小于0.4m。详见图6.</w:t>
      </w:r>
      <w:r>
        <w:rPr>
          <w:rFonts w:ascii="宋体" w:hAnsi="宋体" w:eastAsia="宋体" w:cs="宋体"/>
          <w:sz w:val="28"/>
          <w:szCs w:val="28"/>
          <w:shd w:val="clear" w:color="auto" w:fill="FFFFFF"/>
          <w:lang w:val="zh-CN"/>
        </w:rPr>
        <w:t>4</w:t>
      </w:r>
      <w:r>
        <w:rPr>
          <w:rFonts w:hint="eastAsia" w:ascii="宋体" w:hAnsi="宋体" w:eastAsia="宋体" w:cs="宋体"/>
          <w:sz w:val="28"/>
          <w:szCs w:val="28"/>
          <w:shd w:val="clear" w:color="auto" w:fill="FFFFFF"/>
          <w:lang w:val="zh-CN"/>
        </w:rPr>
        <w:t>给水工程规划图。</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3）水压及消防要求</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配水管网的供水水压宜满足用户接管点处服务水头0.28兆帕的要求，给水管网按最高日最大时流量计算管径,按最高日最大时流量加消防用水量和事故水量（事故水量按设计水量的70%计）校核管径。</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采用低压供水，消防最不利点压力应满足0.1兆帕以上的要求。消防用水直接由市政管网提供，规划道路上每隔120米设置地上式消火栓一个，消火栓距建筑物不小于5米，距车行道不大于2米，消火栓给水干管管径DN≥100毫米。消火栓的设置应与当地消防部门协调。</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4）管材的选用</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管材的选用应做到技术可行、安全可靠、经济合理，保证工程质量，降低工程造价，提高经济效益。给水管管材尽量采用球墨铸铁管和优质塑料给水管。</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）节水规划</w:t>
      </w:r>
    </w:p>
    <w:p>
      <w:pPr>
        <w:spacing w:line="360" w:lineRule="auto"/>
        <w:ind w:firstLine="560" w:firstLineChars="200"/>
        <w:jc w:val="left"/>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建设节水型社会是解决城市用水问题最根本、最有效的战略措施，节水是水资源紧缺下必须探索的一种途径。节水的主要措施是加强节水的宣传教育，提高民众的节水意识；普及节水型卫生器具，降低居民生活用水量；采用新型管材，并加强管网维护工作，降低管网漏损率。详见图6.</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5给水工程</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1" w:hRule="atLeast"/>
          <w:jc w:val="center"/>
        </w:trPr>
        <w:tc>
          <w:tcPr>
            <w:tcW w:w="9480" w:type="dxa"/>
          </w:tcPr>
          <w:p>
            <w:pPr>
              <w:spacing w:line="360" w:lineRule="auto"/>
              <w:jc w:val="center"/>
              <w:rPr>
                <w:rFonts w:ascii="宋体" w:hAnsi="宋体" w:eastAsia="宋体" w:cs="宋体"/>
                <w:b/>
                <w:bCs/>
                <w:color w:val="000000" w:themeColor="text1"/>
                <w:sz w:val="24"/>
                <w:shd w:val="clear" w:color="auto" w:fill="FFFFFF"/>
                <w14:textFill>
                  <w14:solidFill>
                    <w14:schemeClr w14:val="tx1"/>
                  </w14:solidFill>
                </w14:textFill>
              </w:rPr>
            </w:pPr>
            <w:r>
              <w:rPr>
                <w:rFonts w:ascii="宋体" w:hAnsi="宋体" w:eastAsia="宋体" w:cs="宋体"/>
                <w:b/>
                <w:bCs/>
                <w:color w:val="000000" w:themeColor="text1"/>
                <w:sz w:val="24"/>
                <w:shd w:val="clear" w:color="auto" w:fill="FFFFFF"/>
                <w14:textFill>
                  <w14:solidFill>
                    <w14:schemeClr w14:val="tx1"/>
                  </w14:solidFill>
                </w14:textFill>
              </w:rPr>
              <w:drawing>
                <wp:inline distT="0" distB="0" distL="0" distR="0">
                  <wp:extent cx="5777865" cy="3318510"/>
                  <wp:effectExtent l="0" t="0" r="0" b="0"/>
                  <wp:docPr id="64" name="图片 64" descr="E:\2023年\工业园区\工业园区最终成果\罗汉山工业园区成果\规划图\规划图纸文本说明书\规划\17给水工程规划图.jpg17给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2023年\工业园区\工业园区最终成果\罗汉山工业园区成果\规划图\规划图纸文本说明书\规划\17给水工程规划图.jpg17给水工程规划图"/>
                          <pic:cNvPicPr>
                            <a:picLocks noChangeAspect="1"/>
                          </pic:cNvPicPr>
                        </pic:nvPicPr>
                        <pic:blipFill>
                          <a:blip r:embed="rId29"/>
                          <a:srcRect t="13280" b="5424"/>
                          <a:stretch>
                            <a:fillRect/>
                          </a:stretch>
                        </pic:blipFill>
                        <pic:spPr>
                          <a:xfrm>
                            <a:off x="0" y="0"/>
                            <a:ext cx="5777865" cy="3318510"/>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6.</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5</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给水工程规划图</w:t>
            </w:r>
          </w:p>
        </w:tc>
      </w:tr>
    </w:tbl>
    <w:p>
      <w:pPr>
        <w:pStyle w:val="4"/>
        <w:numPr>
          <w:ilvl w:val="0"/>
          <w:numId w:val="12"/>
        </w:numPr>
        <w:rPr>
          <w:color w:val="000000" w:themeColor="text1"/>
          <w14:textFill>
            <w14:solidFill>
              <w14:schemeClr w14:val="tx1"/>
            </w14:solidFill>
          </w14:textFill>
        </w:rPr>
      </w:pPr>
      <w:bookmarkStart w:id="34" w:name="_Toc533092019"/>
      <w:bookmarkStart w:id="35" w:name="_Toc13022_WPSOffice_Level2"/>
      <w:bookmarkStart w:id="36" w:name="_Toc42528386"/>
      <w:bookmarkStart w:id="37" w:name="_Toc15897343"/>
      <w:bookmarkStart w:id="38" w:name="_Toc29338_WPSOffice_Level2"/>
      <w:bookmarkStart w:id="39" w:name="_Toc29298_WPSOffice_Level2"/>
      <w:r>
        <w:rPr>
          <w:rFonts w:hint="eastAsia"/>
          <w:color w:val="000000" w:themeColor="text1"/>
          <w14:textFill>
            <w14:solidFill>
              <w14:schemeClr w14:val="tx1"/>
            </w14:solidFill>
          </w14:textFill>
        </w:rPr>
        <w:t>污水工程规划</w:t>
      </w:r>
      <w:bookmarkEnd w:id="34"/>
      <w:bookmarkEnd w:id="35"/>
      <w:bookmarkEnd w:id="36"/>
      <w:bookmarkEnd w:id="37"/>
      <w:bookmarkEnd w:id="38"/>
      <w:bookmarkEnd w:id="39"/>
      <w:r>
        <w:rPr>
          <w:rFonts w:hint="eastAsia"/>
          <w:color w:val="000000" w:themeColor="text1"/>
          <w14:textFill>
            <w14:solidFill>
              <w14:schemeClr w14:val="tx1"/>
            </w14:solidFill>
          </w14:textFill>
        </w:rPr>
        <w:t xml:space="preserve"> </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）现状</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本规划区属于新建，规划区内现有部分村落，无现状市政污水管道及设施，无污水处理厂。无雨水管道，雨水散排。</w:t>
      </w:r>
    </w:p>
    <w:p>
      <w:pPr>
        <w:spacing w:line="360" w:lineRule="auto"/>
        <w:ind w:firstLine="560" w:firstLineChars="200"/>
        <w:outlineLvl w:val="3"/>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lang w:val="en-US" w:eastAsia="zh-CN"/>
        </w:rPr>
        <w:t>2</w:t>
      </w:r>
      <w:r>
        <w:rPr>
          <w:rFonts w:hint="eastAsia" w:ascii="宋体" w:hAnsi="宋体" w:eastAsia="宋体" w:cs="宋体"/>
          <w:sz w:val="28"/>
          <w:szCs w:val="28"/>
          <w:shd w:val="clear" w:color="auto" w:fill="FFFFFF"/>
          <w:lang w:val="zh-CN"/>
        </w:rPr>
        <w:t xml:space="preserve">）规划原则 </w:t>
      </w:r>
    </w:p>
    <w:p>
      <w:pPr>
        <w:spacing w:line="360" w:lineRule="auto"/>
        <w:ind w:firstLine="560" w:firstLineChars="200"/>
        <w:outlineLvl w:val="4"/>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1）排水体制采用雨、污分流制，减轻环境压力以及污水处理厂负荷。</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2）考虑到市政工程的整体性和系统性，本片区排水系统与周边市政系统相互协调和衔接。</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3）规划污水管及污水设施建设适度超前。</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4）充分考虑污水资源化。</w:t>
      </w:r>
    </w:p>
    <w:p>
      <w:pPr>
        <w:spacing w:line="360" w:lineRule="auto"/>
        <w:ind w:firstLine="560" w:firstLineChars="200"/>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5）为减少管网埋深，污水管道采用顺坡沿道路敷设。在规范允许的范围内，尽量减少管渠的埋设深度，管网容量为远景发展留有合理的余地。</w:t>
      </w:r>
    </w:p>
    <w:p>
      <w:pPr>
        <w:spacing w:line="360" w:lineRule="auto"/>
        <w:ind w:firstLine="560" w:firstLineChars="200"/>
        <w:outlineLvl w:val="3"/>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lang w:val="en-US" w:eastAsia="zh-CN"/>
        </w:rPr>
        <w:t>3</w:t>
      </w:r>
      <w:r>
        <w:rPr>
          <w:rFonts w:hint="eastAsia" w:ascii="宋体" w:hAnsi="宋体" w:eastAsia="宋体" w:cs="宋体"/>
          <w:sz w:val="28"/>
          <w:szCs w:val="28"/>
          <w:shd w:val="clear" w:color="auto" w:fill="FFFFFF"/>
          <w:lang w:val="zh-CN"/>
        </w:rPr>
        <w:t>）污水量预测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依据《城市排水工程规划规范》（GB50318-2017），</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区污水排放量按总用水量的80%计算，日变化系数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取</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1.4，城市道路用地、绿地和广场不计污水量。</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污水排放量如下表所示：</w:t>
      </w:r>
    </w:p>
    <w:p>
      <w:pPr>
        <w:spacing w:line="360" w:lineRule="auto"/>
        <w:ind w:firstLine="482" w:firstLineChars="200"/>
        <w:jc w:val="center"/>
        <w:rPr>
          <w:b/>
          <w:color w:val="000000" w:themeColor="text1"/>
          <w:sz w:val="24"/>
          <w14:textFill>
            <w14:solidFill>
              <w14:schemeClr w14:val="tx1"/>
            </w14:solidFill>
          </w14:textFill>
        </w:rPr>
      </w:pPr>
      <w:r>
        <w:rPr>
          <w:rFonts w:hint="eastAsia" w:ascii="宋体" w:hAnsi="宋体" w:eastAsia="宋体" w:cs="宋体"/>
          <w:b/>
          <w:bCs/>
          <w:color w:val="000000" w:themeColor="text1"/>
          <w:sz w:val="24"/>
          <w:shd w:val="clear" w:color="auto" w:fill="FFFFFF"/>
          <w14:textFill>
            <w14:solidFill>
              <w14:schemeClr w14:val="tx1"/>
            </w14:solidFill>
          </w14:textFill>
        </w:rPr>
        <w:t>表6.</w:t>
      </w:r>
      <w:r>
        <w:rPr>
          <w:rFonts w:hint="eastAsia" w:ascii="宋体" w:hAnsi="宋体" w:eastAsia="宋体" w:cs="宋体"/>
          <w:b/>
          <w:bCs/>
          <w:color w:val="000000" w:themeColor="text1"/>
          <w:sz w:val="24"/>
          <w:shd w:val="clear" w:color="auto" w:fill="FFFFFF"/>
          <w:lang w:val="en-US" w:eastAsia="zh-CN"/>
          <w14:textFill>
            <w14:solidFill>
              <w14:schemeClr w14:val="tx1"/>
            </w14:solidFill>
          </w14:textFill>
        </w:rPr>
        <w:t>4</w:t>
      </w:r>
      <w:r>
        <w:rPr>
          <w:rFonts w:hint="eastAsia" w:ascii="宋体" w:hAnsi="宋体" w:eastAsia="宋体" w:cs="宋体"/>
          <w:b/>
          <w:bCs/>
          <w:color w:val="000000" w:themeColor="text1"/>
          <w:sz w:val="24"/>
          <w:shd w:val="clear" w:color="auto" w:fill="FFFFFF"/>
          <w14:textFill>
            <w14:solidFill>
              <w14:schemeClr w14:val="tx1"/>
            </w14:solidFill>
          </w14:textFill>
        </w:rPr>
        <w:t>污水量预测指标一览表</w:t>
      </w:r>
    </w:p>
    <w:tbl>
      <w:tblPr>
        <w:tblStyle w:val="12"/>
        <w:tblW w:w="939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0"/>
        <w:gridCol w:w="2206"/>
        <w:gridCol w:w="1609"/>
        <w:gridCol w:w="1704"/>
        <w:gridCol w:w="1704"/>
        <w:gridCol w:w="17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3" w:hRule="atLeast"/>
          <w:jc w:val="center"/>
        </w:trPr>
        <w:tc>
          <w:tcPr>
            <w:tcW w:w="470" w:type="dxa"/>
            <w:vAlign w:val="center"/>
          </w:tcPr>
          <w:p>
            <w:pPr>
              <w:widowControl/>
              <w:spacing w:line="360" w:lineRule="auto"/>
              <w:jc w:val="center"/>
              <w:textAlignment w:val="center"/>
              <w:rPr>
                <w:rFonts w:ascii="宋体" w:hAnsi="宋体" w:eastAsia="宋体" w:cs="宋体"/>
                <w:color w:val="000000" w:themeColor="text1"/>
                <w:sz w:val="24"/>
                <w14:textFill>
                  <w14:solidFill>
                    <w14:schemeClr w14:val="tx1"/>
                  </w14:solidFill>
                </w14:textFill>
              </w:rPr>
            </w:pPr>
            <w:bookmarkStart w:id="40" w:name="_Hlk16848157"/>
            <w:r>
              <w:rPr>
                <w:rFonts w:hint="eastAsia" w:ascii="宋体" w:hAnsi="宋体" w:eastAsia="宋体" w:cs="宋体"/>
                <w:color w:val="000000" w:themeColor="text1"/>
                <w:kern w:val="0"/>
                <w:sz w:val="24"/>
                <w:lang w:bidi="ar"/>
                <w14:textFill>
                  <w14:solidFill>
                    <w14:schemeClr w14:val="tx1"/>
                  </w14:solidFill>
                </w14:textFill>
              </w:rPr>
              <w:t>序号</w:t>
            </w:r>
          </w:p>
        </w:tc>
        <w:tc>
          <w:tcPr>
            <w:tcW w:w="2206" w:type="dxa"/>
            <w:vAlign w:val="center"/>
          </w:tcPr>
          <w:p>
            <w:pPr>
              <w:widowControl/>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用地性质</w:t>
            </w:r>
          </w:p>
        </w:tc>
        <w:tc>
          <w:tcPr>
            <w:tcW w:w="1609" w:type="dxa"/>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平均日用水量</w:t>
            </w:r>
          </w:p>
          <w:p>
            <w:pPr>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(m³/d)</w:t>
            </w:r>
          </w:p>
        </w:tc>
        <w:tc>
          <w:tcPr>
            <w:tcW w:w="1704" w:type="dxa"/>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最高日用水量</w:t>
            </w:r>
          </w:p>
          <w:p>
            <w:pPr>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(m³/d)</w:t>
            </w:r>
          </w:p>
        </w:tc>
        <w:tc>
          <w:tcPr>
            <w:tcW w:w="1704" w:type="dxa"/>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最高日</w:t>
            </w:r>
            <w:r>
              <w:rPr>
                <w:rFonts w:hint="eastAsia" w:ascii="宋体" w:hAnsi="宋体" w:eastAsia="宋体" w:cs="宋体"/>
                <w:color w:val="000000" w:themeColor="text1"/>
                <w:kern w:val="0"/>
                <w:sz w:val="24"/>
                <w:lang w:val="en-US" w:eastAsia="zh-CN" w:bidi="ar"/>
                <w14:textFill>
                  <w14:solidFill>
                    <w14:schemeClr w14:val="tx1"/>
                  </w14:solidFill>
                </w14:textFill>
              </w:rPr>
              <w:t>污</w:t>
            </w:r>
            <w:r>
              <w:rPr>
                <w:rFonts w:hint="eastAsia" w:ascii="宋体" w:hAnsi="宋体" w:eastAsia="宋体" w:cs="宋体"/>
                <w:color w:val="000000" w:themeColor="text1"/>
                <w:kern w:val="0"/>
                <w:sz w:val="24"/>
                <w:lang w:bidi="ar"/>
                <w14:textFill>
                  <w14:solidFill>
                    <w14:schemeClr w14:val="tx1"/>
                  </w14:solidFill>
                </w14:textFill>
              </w:rPr>
              <w:t>水量</w:t>
            </w:r>
          </w:p>
          <w:p>
            <w:pPr>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(m³/d)</w:t>
            </w:r>
          </w:p>
        </w:tc>
        <w:tc>
          <w:tcPr>
            <w:tcW w:w="1704" w:type="dxa"/>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平均日污水量</w:t>
            </w:r>
          </w:p>
          <w:p>
            <w:pPr>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(m³/d)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3" w:hRule="atLeast"/>
          <w:jc w:val="center"/>
        </w:trPr>
        <w:tc>
          <w:tcPr>
            <w:tcW w:w="470" w:type="dxa"/>
            <w:vAlign w:val="center"/>
          </w:tcPr>
          <w:p>
            <w:pPr>
              <w:widowControl/>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2206" w:type="dxa"/>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公共管理与公共服务用地</w:t>
            </w:r>
          </w:p>
        </w:tc>
        <w:tc>
          <w:tcPr>
            <w:tcW w:w="1609" w:type="dxa"/>
            <w:vAlign w:val="center"/>
          </w:tcPr>
          <w:p>
            <w:pPr>
              <w:keepNext w:val="0"/>
              <w:keepLines w:val="0"/>
              <w:widowControl/>
              <w:suppressLineNumbers w:val="0"/>
              <w:jc w:val="center"/>
              <w:textAlignment w:val="bottom"/>
              <w:rPr>
                <w:rFonts w:hint="default" w:ascii="宋体" w:hAnsi="宋体" w:eastAsia="宋体" w:cs="宋体"/>
                <w:kern w:val="0"/>
                <w:sz w:val="24"/>
                <w:lang w:val="en-US" w:eastAsia="zh-CN" w:bidi="ar"/>
              </w:rPr>
            </w:pPr>
            <w:r>
              <w:rPr>
                <w:rFonts w:hint="eastAsia" w:ascii="宋体" w:hAnsi="宋体" w:eastAsia="宋体" w:cs="宋体"/>
                <w:i w:val="0"/>
                <w:iCs w:val="0"/>
                <w:color w:val="000000"/>
                <w:kern w:val="0"/>
                <w:sz w:val="22"/>
                <w:szCs w:val="22"/>
                <w:u w:val="none"/>
                <w:lang w:val="en-US" w:eastAsia="zh-CN" w:bidi="ar"/>
              </w:rPr>
              <w:t>56</w:t>
            </w:r>
          </w:p>
        </w:tc>
        <w:tc>
          <w:tcPr>
            <w:tcW w:w="1704" w:type="dxa"/>
            <w:vAlign w:val="center"/>
          </w:tcPr>
          <w:p>
            <w:pPr>
              <w:keepNext w:val="0"/>
              <w:keepLines w:val="0"/>
              <w:widowControl/>
              <w:suppressLineNumbers w:val="0"/>
              <w:jc w:val="center"/>
              <w:textAlignment w:val="center"/>
              <w:rPr>
                <w:rFonts w:hint="default" w:ascii="宋体" w:hAnsi="宋体" w:eastAsia="宋体" w:cs="宋体"/>
                <w:color w:val="FF0000"/>
                <w:kern w:val="0"/>
                <w:sz w:val="24"/>
                <w:lang w:val="en-US" w:eastAsia="zh-CN" w:bidi="ar"/>
              </w:rPr>
            </w:pPr>
            <w:r>
              <w:rPr>
                <w:rFonts w:hint="eastAsia" w:ascii="宋体" w:hAnsi="宋体" w:eastAsia="宋体" w:cs="宋体"/>
                <w:i w:val="0"/>
                <w:iCs w:val="0"/>
                <w:color w:val="000000"/>
                <w:kern w:val="0"/>
                <w:sz w:val="24"/>
                <w:szCs w:val="24"/>
                <w:u w:val="none"/>
                <w:lang w:val="en-US" w:eastAsia="zh-CN" w:bidi="ar"/>
              </w:rPr>
              <w:t>67.2</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94.08</w:t>
            </w:r>
          </w:p>
        </w:tc>
        <w:tc>
          <w:tcPr>
            <w:tcW w:w="1704"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470"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2206"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商业服务业用地</w:t>
            </w:r>
          </w:p>
        </w:tc>
        <w:tc>
          <w:tcPr>
            <w:tcW w:w="1609" w:type="dxa"/>
            <w:vAlign w:val="center"/>
          </w:tcPr>
          <w:p>
            <w:pPr>
              <w:keepNext w:val="0"/>
              <w:keepLines w:val="0"/>
              <w:widowControl/>
              <w:suppressLineNumbers w:val="0"/>
              <w:jc w:val="center"/>
              <w:textAlignment w:val="bottom"/>
              <w:rPr>
                <w:rFonts w:ascii="宋体" w:hAnsi="宋体" w:eastAsia="宋体" w:cs="宋体"/>
                <w:kern w:val="0"/>
                <w:sz w:val="24"/>
                <w:lang w:bidi="ar"/>
              </w:rPr>
            </w:pPr>
            <w:r>
              <w:rPr>
                <w:rFonts w:hint="eastAsia" w:ascii="宋体" w:hAnsi="宋体" w:eastAsia="宋体" w:cs="宋体"/>
                <w:i w:val="0"/>
                <w:iCs w:val="0"/>
                <w:color w:val="000000"/>
                <w:kern w:val="0"/>
                <w:sz w:val="22"/>
                <w:szCs w:val="22"/>
                <w:u w:val="none"/>
                <w:lang w:val="en-US" w:eastAsia="zh-CN" w:bidi="ar"/>
              </w:rPr>
              <w:t>818.33</w:t>
            </w:r>
          </w:p>
        </w:tc>
        <w:tc>
          <w:tcPr>
            <w:tcW w:w="1704"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982</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1374.8</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1145.66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470"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p>
        </w:tc>
        <w:tc>
          <w:tcPr>
            <w:tcW w:w="2206"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工矿用地</w:t>
            </w:r>
          </w:p>
        </w:tc>
        <w:tc>
          <w:tcPr>
            <w:tcW w:w="1609" w:type="dxa"/>
            <w:vAlign w:val="center"/>
          </w:tcPr>
          <w:p>
            <w:pPr>
              <w:keepNext w:val="0"/>
              <w:keepLines w:val="0"/>
              <w:widowControl/>
              <w:suppressLineNumbers w:val="0"/>
              <w:jc w:val="center"/>
              <w:textAlignment w:val="bottom"/>
              <w:rPr>
                <w:rFonts w:ascii="宋体" w:hAnsi="宋体" w:eastAsia="宋体" w:cs="宋体"/>
                <w:kern w:val="0"/>
                <w:sz w:val="24"/>
                <w:lang w:bidi="ar"/>
              </w:rPr>
            </w:pPr>
            <w:r>
              <w:rPr>
                <w:rFonts w:hint="eastAsia" w:ascii="宋体" w:hAnsi="宋体" w:eastAsia="宋体" w:cs="宋体"/>
                <w:i w:val="0"/>
                <w:iCs w:val="0"/>
                <w:color w:val="000000"/>
                <w:kern w:val="0"/>
                <w:sz w:val="22"/>
                <w:szCs w:val="22"/>
                <w:u w:val="none"/>
                <w:lang w:val="en-US" w:eastAsia="zh-CN" w:bidi="ar"/>
              </w:rPr>
              <w:t>15878.75</w:t>
            </w:r>
          </w:p>
        </w:tc>
        <w:tc>
          <w:tcPr>
            <w:tcW w:w="1704"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19054.5</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26676.3</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22230.25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jc w:val="center"/>
        </w:trPr>
        <w:tc>
          <w:tcPr>
            <w:tcW w:w="470"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w:t>
            </w:r>
          </w:p>
        </w:tc>
        <w:tc>
          <w:tcPr>
            <w:tcW w:w="2206"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仓储用地</w:t>
            </w:r>
          </w:p>
        </w:tc>
        <w:tc>
          <w:tcPr>
            <w:tcW w:w="1609" w:type="dxa"/>
            <w:vAlign w:val="center"/>
          </w:tcPr>
          <w:p>
            <w:pPr>
              <w:keepNext w:val="0"/>
              <w:keepLines w:val="0"/>
              <w:widowControl/>
              <w:suppressLineNumbers w:val="0"/>
              <w:jc w:val="center"/>
              <w:textAlignment w:val="bottom"/>
              <w:rPr>
                <w:rFonts w:ascii="宋体" w:hAnsi="宋体" w:eastAsia="宋体" w:cs="宋体"/>
                <w:kern w:val="0"/>
                <w:sz w:val="24"/>
                <w:lang w:bidi="ar"/>
              </w:rPr>
            </w:pPr>
            <w:r>
              <w:rPr>
                <w:rFonts w:hint="eastAsia" w:ascii="宋体" w:hAnsi="宋体" w:eastAsia="宋体" w:cs="宋体"/>
                <w:i w:val="0"/>
                <w:iCs w:val="0"/>
                <w:color w:val="000000"/>
                <w:kern w:val="0"/>
                <w:sz w:val="22"/>
                <w:szCs w:val="22"/>
                <w:u w:val="none"/>
                <w:lang w:val="en-US" w:eastAsia="zh-CN" w:bidi="ar"/>
              </w:rPr>
              <w:t>1320.83</w:t>
            </w:r>
          </w:p>
        </w:tc>
        <w:tc>
          <w:tcPr>
            <w:tcW w:w="1704" w:type="dxa"/>
            <w:vAlign w:val="center"/>
          </w:tcPr>
          <w:p>
            <w:pPr>
              <w:keepNext w:val="0"/>
              <w:keepLines w:val="0"/>
              <w:widowControl/>
              <w:suppressLineNumbers w:val="0"/>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1585</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2219</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1849.16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jc w:val="center"/>
        </w:trPr>
        <w:tc>
          <w:tcPr>
            <w:tcW w:w="2676" w:type="dxa"/>
            <w:gridSpan w:val="2"/>
            <w:vAlign w:val="center"/>
          </w:tcPr>
          <w:p>
            <w:pPr>
              <w:widowControl/>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小计</w:t>
            </w:r>
          </w:p>
        </w:tc>
        <w:tc>
          <w:tcPr>
            <w:tcW w:w="1609"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18073.91</w:t>
            </w:r>
          </w:p>
        </w:tc>
        <w:tc>
          <w:tcPr>
            <w:tcW w:w="1704"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21688.7</w:t>
            </w:r>
          </w:p>
        </w:tc>
        <w:tc>
          <w:tcPr>
            <w:tcW w:w="1704"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30364.18</w:t>
            </w:r>
          </w:p>
        </w:tc>
        <w:tc>
          <w:tcPr>
            <w:tcW w:w="1704"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25303.47</w:t>
            </w:r>
          </w:p>
        </w:tc>
      </w:tr>
    </w:tbl>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规划区污水排放</w:t>
      </w:r>
      <w:r>
        <w:rPr>
          <w:rFonts w:hint="eastAsia" w:ascii="宋体" w:hAnsi="宋体" w:eastAsia="宋体" w:cs="宋体"/>
          <w:color w:val="000000" w:themeColor="text1"/>
          <w:sz w:val="28"/>
          <w:szCs w:val="28"/>
          <w:shd w:val="clear" w:color="auto" w:fill="FFFFFF"/>
          <w14:textFill>
            <w14:solidFill>
              <w14:schemeClr w14:val="tx1"/>
            </w14:solidFill>
          </w14:textFill>
        </w:rPr>
        <w:t>平均日污水量</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25303.47</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立方米/日</w:t>
      </w:r>
      <w:bookmarkEnd w:id="40"/>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最高污水量</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30364.18</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立方米/日，总变化系数取Kz</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）污水系统规划</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1）污水排放体制</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采用雨污分流排水体制，</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区排水系统共设置生活污水排水系统、生产废水排水系统、雨水排水系统三套独立的排水系统。</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2）污水场站</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和地埋一体化提升泵站</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bookmarkStart w:id="41" w:name="_Hlk16848087"/>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规划范围内同类项目污染以废水为主，将全面落实环保要求，近期保证项目落地，污水先通过自家污水处理池处理达标后，通过蓟河路污水</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管道</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排放到城南污水处理厂进行处理。（需修建1.2公里污水管网）</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远期</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园区通过工业园区污水处理厂处理以后再排放到城南污水处理厂同时部分处理水做到园区循环利用等。</w:t>
      </w:r>
    </w:p>
    <w:bookmarkEnd w:id="41"/>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3）污水管网规划</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生活污水管管径按最高日最高时污水量计算。</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污水、废水管最小管径d</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00，最小坡度0.3%。管顶覆土过车道时，不小于0.7m，其他地方不小于0.4m。</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规划区内沿道路敷设d500～d</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00的污水管道，管道坡度宜与地面坡度一致。生活污水和生产废水管沿道路人行道及地形坡向单侧或双侧布置，均采用埋设方式，按规范设置排水检查井等辅助设施。</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在竖向布置上，充分利用自然地形和道路坡度，将生活污水、生产废水、雨水通过相应管网或沟渠分别重力自流到市政生活污水管网、生产废水处理站及雨水收集池（消防事故池）。</w:t>
      </w:r>
      <w:r>
        <w:rPr>
          <w:rFonts w:hint="eastAsia" w:ascii="宋体" w:hAnsi="宋体" w:eastAsia="宋体" w:cs="宋体"/>
          <w:sz w:val="28"/>
          <w:szCs w:val="28"/>
          <w:shd w:val="clear" w:color="auto" w:fill="FFFFFF"/>
          <w:lang w:val="zh-CN"/>
        </w:rPr>
        <w:t>详见</w:t>
      </w:r>
      <w:r>
        <w:rPr>
          <w:rFonts w:hint="eastAsia" w:ascii="宋体" w:hAnsi="宋体" w:eastAsia="宋体" w:cs="宋体"/>
          <w:sz w:val="28"/>
          <w:szCs w:val="28"/>
          <w:shd w:val="clear" w:color="auto" w:fill="FFFFFF"/>
          <w:lang w:val="en-US" w:eastAsia="zh-CN"/>
        </w:rPr>
        <w:t>6.6</w:t>
      </w:r>
      <w:r>
        <w:rPr>
          <w:rFonts w:hint="eastAsia" w:ascii="宋体" w:hAnsi="宋体" w:eastAsia="宋体" w:cs="宋体"/>
          <w:sz w:val="28"/>
          <w:szCs w:val="28"/>
          <w:shd w:val="clear" w:color="auto" w:fill="FFFFFF"/>
          <w:lang w:val="zh-CN"/>
        </w:rPr>
        <w:t>污水工程规划图</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4）污水排放要求</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排入城镇排水系统的污水水质必须符合现行的《污水排入城镇下水道水质标准》（GB/T31962-2015）等有关标准的规定，区内医院废水等为特殊成分的污废水，应自行进行局部处理，水质达到《污水排入城镇下水道水质标准》（GB/T31962-2015）后，方可排入市政污水管网系统。</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5）管材</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合理地选择管道材料，对降低排水系统的造价影响很大。本规划排水管渠材料的选择在综合考虑技术、环保与经济的前提下，尽可能就地取材，采用当地易于自制、便于供应和运输方便的管材，以降低运输费用及施工总费用。</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规划d500以下口径的排水管采用UPVC管或HDPE双壁波纹管；d500以上口径的排水管道采用钢筋混凝土管、HDPE中空壁缠绕管；压力管采用HDPE压力管。</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42" w:name="_Toc317754611"/>
      <w:bookmarkStart w:id="43" w:name="_Toc346806695"/>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）中水</w:t>
      </w:r>
      <w:bookmarkEnd w:id="42"/>
      <w:r>
        <w:rPr>
          <w:rFonts w:hint="eastAsia" w:ascii="宋体" w:hAnsi="宋体" w:eastAsia="宋体" w:cs="宋体"/>
          <w:color w:val="000000" w:themeColor="text1"/>
          <w:sz w:val="28"/>
          <w:szCs w:val="28"/>
          <w:shd w:val="clear" w:color="auto" w:fill="FFFFFF"/>
          <w:lang w:val="zh-CN"/>
          <w14:textFill>
            <w14:solidFill>
              <w14:schemeClr w14:val="tx1"/>
            </w14:solidFill>
          </w14:textFill>
        </w:rPr>
        <w:t>回用</w:t>
      </w:r>
      <w:bookmarkEnd w:id="43"/>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中水是指各种排水经处理后，达到规定的水质标准，可在生活、市政、景观等范围内杂用的非饮用水。中水系统是由中水原水收集、储存、处理和中水供给等工程设施组成的有机结合体。建筑中水包括小区中水和建筑物中水两大类，建筑中水的主要用途是城市杂用水，根据《城市污水再生利用分类》（GB/T18919-2002），城市杂用水包括绿化用水、街道清扫用水、冲厕用水、车辆冲洗用水、建筑施工用水、消防用水等，本次规划中水主要用于绿化浇洒用水、道路浇洒用水和景观环境用水。</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jc w:val="center"/>
        </w:trPr>
        <w:tc>
          <w:tcPr>
            <w:tcW w:w="8640" w:type="dxa"/>
          </w:tcPr>
          <w:p>
            <w:pPr>
              <w:spacing w:line="360" w:lineRule="auto"/>
              <w:jc w:val="center"/>
              <w:rPr>
                <w:rFonts w:ascii="宋体" w:hAnsi="宋体" w:eastAsia="宋体" w:cs="宋体"/>
                <w:b/>
                <w:bCs/>
                <w:color w:val="000000" w:themeColor="text1"/>
                <w:sz w:val="24"/>
                <w:shd w:val="clear" w:color="auto" w:fill="FFFFFF"/>
                <w14:textFill>
                  <w14:solidFill>
                    <w14:schemeClr w14:val="tx1"/>
                  </w14:solidFill>
                </w14:textFill>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5328920" cy="3074670"/>
                  <wp:effectExtent l="0" t="0" r="0" b="0"/>
                  <wp:docPr id="66" name="图片 66" descr="E:/2023年/工业园区/工业园区最终成果/罗汉山工业园区成果/规划图/规划图纸文本说明书/罗汉山产业园区控规全部资料/规划/18污水工程规划图.jpg18污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2023年/工业园区/工业园区最终成果/罗汉山工业园区成果/规划图/规划图纸文本说明书/罗汉山产业园区控规全部资料/规划/18污水工程规划图.jpg18污水工程规划图"/>
                          <pic:cNvPicPr>
                            <a:picLocks noChangeAspect="1"/>
                          </pic:cNvPicPr>
                        </pic:nvPicPr>
                        <pic:blipFill>
                          <a:blip r:embed="rId30"/>
                          <a:srcRect t="13057" b="5282"/>
                          <a:stretch>
                            <a:fillRect/>
                          </a:stretch>
                        </pic:blipFill>
                        <pic:spPr>
                          <a:xfrm>
                            <a:off x="0" y="0"/>
                            <a:ext cx="5328920" cy="3074670"/>
                          </a:xfrm>
                          <a:prstGeom prst="rect">
                            <a:avLst/>
                          </a:prstGeom>
                          <a:ln>
                            <a:noFill/>
                          </a:ln>
                        </pic:spPr>
                      </pic:pic>
                    </a:graphicData>
                  </a:graphic>
                </wp:inline>
              </w:drawing>
            </w:r>
          </w:p>
          <w:p>
            <w:pPr>
              <w:spacing w:line="360" w:lineRule="auto"/>
              <w:ind w:firstLine="420" w:firstLineChars="200"/>
              <w:jc w:val="center"/>
              <w:rPr>
                <w:rFonts w:hint="eastAsia"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6.</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6污</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水工程规划图</w:t>
            </w:r>
          </w:p>
        </w:tc>
      </w:tr>
    </w:tbl>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雨水工程规划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规划标准</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排水制度为雨污分流制。雨水排放按分散、就近原则排入内部河道及周边河流。雨水系统布置充分利用地形，雨水依靠重力流就近排入水体。雨水管一般沿规划道路布置，尽量顺坡敷设，以减少管道埋深。一般地区发生重现期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年的暴雨、重点地段重现期为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年的暴雨时，雨水管道能够及时排除地面径流，地面不积水。</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）规划原则</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1）充分利用现状管线，使规划具有可操作性和实施性。</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2）新建建筑应规划建设好排水设施，使建筑内雨水与城市主干管有机相连，避免由于排水不畅造成雨水积水。</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）结合规划区竖向规划布置雨水管渠。</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）管道尽量沿道路顺坡布置，以减小管道埋深。</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）推进海绵城市建设，减少地面硬质铺装，提高地表透水性，降低地面径流系数。一方面减少雨水流量，减小雨水管径，降低工程投资，另一方面提高土壤透水性，保持水土，保护水资源，保护环境。</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）规划标准及计算公式</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1）暴雨重现期及暴雨强度公式</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暴雨重现期</w:t>
      </w:r>
      <w:bookmarkStart w:id="44" w:name="_Hlk16848200"/>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：规划区属城市建设用地，设计暴雨重现期按照P=2年考虑。</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暴雨强度公式：本次规划按曲靖地区暴雨强度公式进行计算，</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q＝1422（1+0.907lgP）/（t+5.419）0.654</w:t>
      </w:r>
    </w:p>
    <w:bookmarkEnd w:id="44"/>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2）雨水量计算公式</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规划区内雨水工程设计根据汇水面积和暴雨强度确定，管段雨水量根据各个管段所服务的面积，按最大流量逐段计算，采用满流管渠流量计算公式计算，雨水流量按下式计算：</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Q=q×F×ψ</w:t>
      </w:r>
    </w:p>
    <w:p>
      <w:pPr>
        <w:spacing w:line="360" w:lineRule="auto"/>
        <w:ind w:firstLine="560" w:firstLineChars="200"/>
        <w:outlineLvl w:val="5"/>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式中： Q—规划雨水流量（L/s）</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q—暴雨强度（L/s·h㎡）</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F—汇水面积（h㎡）</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ψ—径流系数，除大片绿地取0.15外，其余取0.65。</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）流速控制</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雨水管道按照满流设计，最小流速按照0.75米/秒控制，最大设计流速，非金属管道采用5米/秒。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）防洪标准</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防洪工程设计标准的确定直接关系到防洪工程的规模、投资及建设周期等问题，城市防洪工程的等级应根据防洪保护对象的社会经济地位的重要程度和人口数量划分，城市防洪工程的设计标准应根据防洪工程等级、灾害类型确定，选用相应的防洪设计标准。</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）雨水系统规划</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西高东低，规划区东侧离南盘江较近，规划区内有两个水库的泄洪渠经过，邻近地块雨水可排至泄洪渠；规划区最北边有一条潇湘水库南干渠穿过规划区，邻近地块雨水可排至南干渠；其余地块雨水汇集向东，汇入规划雨水管道，接到南盘江。</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规划区南侧</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雨水管道根据规划道路竖向标高，顺道路坡度排放，就近</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排入</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进入附近</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河流</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1）雨水管网规划</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bookmarkStart w:id="45" w:name="_Hlk16848321"/>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规划区雨水经d</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00～d</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00的雨水管道收集后，汇入市政雨水管网，分散就近排入自然水体。</w:t>
      </w:r>
    </w:p>
    <w:bookmarkEnd w:id="45"/>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雨水管道按满流计算，其坡度宜与地面坡度一致以降低埋深。管道一般采用管顶平接的连接方式，管道跌水水头为1～2米时，宜设跌水井，跌水水头大于2米时，应设跌水井</w:t>
      </w:r>
      <w:r>
        <w:rPr>
          <w:rFonts w:hint="eastAsia" w:ascii="宋体" w:hAnsi="宋体" w:eastAsia="宋体" w:cs="宋体"/>
          <w:sz w:val="28"/>
          <w:szCs w:val="28"/>
          <w:shd w:val="clear" w:color="auto" w:fill="FFFFFF"/>
          <w:lang w:val="zh-CN"/>
        </w:rPr>
        <w:t>。详见</w:t>
      </w:r>
      <w:r>
        <w:rPr>
          <w:rFonts w:hint="eastAsia" w:ascii="宋体" w:hAnsi="宋体" w:eastAsia="宋体" w:cs="宋体"/>
          <w:sz w:val="28"/>
          <w:szCs w:val="28"/>
          <w:shd w:val="clear" w:color="auto" w:fill="FFFFFF"/>
          <w:lang w:val="en-US" w:eastAsia="zh-CN"/>
        </w:rPr>
        <w:t>6.7</w:t>
      </w:r>
      <w:r>
        <w:rPr>
          <w:rFonts w:hint="eastAsia" w:ascii="宋体" w:hAnsi="宋体" w:eastAsia="宋体" w:cs="宋体"/>
          <w:sz w:val="28"/>
          <w:szCs w:val="28"/>
          <w:shd w:val="clear" w:color="auto" w:fill="FFFFFF"/>
          <w:lang w:val="zh-CN"/>
        </w:rPr>
        <w:t>雨水工程规划图</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2）管材</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雨水管材采用双壁波纹管或钢筋混凝土管，管径不小于d</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00。</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）海绵城市建设</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bookmarkStart w:id="46" w:name="_Hlk16848345"/>
      <w:r>
        <w:rPr>
          <w:rFonts w:hint="eastAsia" w:ascii="宋体" w:hAnsi="宋体" w:eastAsia="宋体" w:cs="宋体"/>
          <w:color w:val="000000" w:themeColor="text1"/>
          <w:sz w:val="28"/>
          <w:szCs w:val="28"/>
          <w:shd w:val="clear" w:color="auto" w:fill="FFFFFF"/>
          <w:lang w:val="zh-CN"/>
          <w14:textFill>
            <w14:solidFill>
              <w14:schemeClr w14:val="tx1"/>
            </w14:solidFill>
          </w14:textFill>
        </w:rPr>
        <w:t>在规划区的开发建设过程中，应积极推广和应用低影响开发建设模式，加大城市径流雨水源头减排的刚性约束，优先利用自然排水系统，建设生态排水设施，充分发挥城市绿地、道路、水系等对雨水的吸纳、蓄渗和缓释作用，使城市开发建设后的水文特征接近于开发前，有效缓解城市内涝、削减城市径流污染负荷、节约水资源，保护和改善城市生态环境，为建设具有自然积存、自然渗透、自然净化功能的海绵城市提供重要保障。</w:t>
      </w:r>
      <w:bookmarkEnd w:id="46"/>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海绵城市建设的途径主要有以下几方面，一是对城市原有生态系统的保护。最大限度地保护原有的河流、沟渠等水生态敏感区，留有足够涵养水源、应对较大强度降雨的草地、湖泊、湿地，维持城市开发前的自然水文特征，这是海绵城市建设的基本要求；二是生态恢复和修复。对传统粗放式城市建设模式下，已经受到破坏的水体和其他自然环境，运用生态的手段进行恢复和修复，并维持一定比例的生态空间；三是低影响开发。按照对城市生态环境影响最低的开发建设理念，合理控制开发强度，在城市中保留足够的生态用地，控制城市不透水面积比例，最大限度的减少对城市原有水生态环境的破坏，同时，根据需求适当开挖河湖沟渠、增加水域面积，促进雨水的积存、渗透和净化。</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2" w:hRule="atLeast"/>
          <w:jc w:val="center"/>
        </w:trPr>
        <w:tc>
          <w:tcPr>
            <w:tcW w:w="8080" w:type="dxa"/>
          </w:tcPr>
          <w:p>
            <w:pPr>
              <w:spacing w:line="360" w:lineRule="auto"/>
              <w:jc w:val="center"/>
              <w:rPr>
                <w:rFonts w:ascii="宋体" w:hAnsi="宋体" w:eastAsia="宋体" w:cs="宋体"/>
                <w:b/>
                <w:color w:val="000000" w:themeColor="text1"/>
                <w:sz w:val="24"/>
                <w:shd w:val="clear" w:color="auto" w:fill="FFFFFF"/>
                <w14:textFill>
                  <w14:solidFill>
                    <w14:schemeClr w14:val="tx1"/>
                  </w14:solidFill>
                </w14:textFill>
              </w:rPr>
            </w:pPr>
            <w:r>
              <w:rPr>
                <w:rFonts w:ascii="宋体" w:hAnsi="宋体" w:eastAsia="宋体" w:cs="宋体"/>
                <w:b/>
                <w:color w:val="000000" w:themeColor="text1"/>
                <w:sz w:val="24"/>
                <w:shd w:val="clear" w:color="auto" w:fill="FFFFFF"/>
                <w14:textFill>
                  <w14:solidFill>
                    <w14:schemeClr w14:val="tx1"/>
                  </w14:solidFill>
                </w14:textFill>
              </w:rPr>
              <w:drawing>
                <wp:inline distT="0" distB="0" distL="0" distR="0">
                  <wp:extent cx="5276215" cy="3054350"/>
                  <wp:effectExtent l="0" t="0" r="0" b="0"/>
                  <wp:docPr id="67" name="图片 67" descr="E:/2023年/工业园区/工业园区最终成果/罗汉山工业园区成果/规划图/规划图纸文本说明书/罗汉山产业园区控规全部资料/规划/19雨水工程规划图.jpg19雨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E:/2023年/工业园区/工业园区最终成果/罗汉山工业园区成果/规划图/规划图纸文本说明书/罗汉山产业园区控规全部资料/规划/19雨水工程规划图.jpg19雨水工程规划图"/>
                          <pic:cNvPicPr>
                            <a:picLocks noChangeAspect="1"/>
                          </pic:cNvPicPr>
                        </pic:nvPicPr>
                        <pic:blipFill>
                          <a:blip r:embed="rId31"/>
                          <a:srcRect t="13314" b="4745"/>
                          <a:stretch>
                            <a:fillRect/>
                          </a:stretch>
                        </pic:blipFill>
                        <pic:spPr>
                          <a:xfrm>
                            <a:off x="0" y="0"/>
                            <a:ext cx="5276215" cy="3054350"/>
                          </a:xfrm>
                          <a:prstGeom prst="rect">
                            <a:avLst/>
                          </a:prstGeom>
                          <a:ln>
                            <a:noFill/>
                          </a:ln>
                        </pic:spPr>
                      </pic:pic>
                    </a:graphicData>
                  </a:graphic>
                </wp:inline>
              </w:drawing>
            </w:r>
          </w:p>
          <w:p>
            <w:pPr>
              <w:spacing w:line="360" w:lineRule="auto"/>
              <w:jc w:val="center"/>
              <w:rPr>
                <w:rFonts w:hint="eastAsia" w:ascii="宋体" w:hAnsi="宋体" w:eastAsia="宋体" w:cs="宋体"/>
                <w:b/>
                <w:color w:val="000000" w:themeColor="text1"/>
                <w:sz w:val="24"/>
                <w:shd w:val="clear" w:color="auto" w:fill="FFFFFF"/>
                <w:lang w:val="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6.</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7雨</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水工程规划图</w:t>
            </w:r>
          </w:p>
        </w:tc>
      </w:tr>
    </w:tbl>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电力工程规划</w:t>
      </w:r>
    </w:p>
    <w:p>
      <w:pPr>
        <w:spacing w:line="360" w:lineRule="auto"/>
        <w:ind w:firstLine="560" w:firstLineChars="200"/>
        <w:outlineLvl w:val="3"/>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现状</w:t>
      </w:r>
    </w:p>
    <w:p>
      <w:pPr>
        <w:spacing w:line="360" w:lineRule="auto"/>
        <w:ind w:firstLine="560" w:firstLineChars="200"/>
        <w:outlineLvl w:val="3"/>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规划区内现状用电来自于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东坡11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0KV</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变</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电站。</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）规划原则</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1）符合国家和电力行业制定的政策和技术标准。</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2）满足本片区电力负荷增长的需要，建立适度超前的电力供应系统。</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3）完善或建立市政电力电缆排管系统，保证所有电力线路在地下敷设畅通无阻。</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4）电网规划应重视各方面的协调，电网结构简单、清晰、具备较高的安全性、可靠性和灵活性；变电站布点以负荷分布为依据，并兼顾目标网架要求、电网结构调整和建设条件，统筹考虑、统一规划。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）负荷预测 </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 xml:space="preserve"> 根据《城市电力规划规范》</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GB/T50293-2014</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确定本规划的电力负荷预测指标如下表：</w:t>
      </w:r>
    </w:p>
    <w:p>
      <w:pPr>
        <w:spacing w:line="360" w:lineRule="auto"/>
        <w:ind w:firstLine="482" w:firstLineChars="200"/>
        <w:jc w:val="center"/>
        <w:rPr>
          <w:rFonts w:ascii="宋体" w:hAnsi="宋体" w:eastAsia="宋体" w:cs="宋体"/>
          <w:b/>
          <w:bCs/>
          <w:sz w:val="24"/>
          <w:shd w:val="clear" w:color="auto" w:fill="FFFFFF"/>
        </w:rPr>
      </w:pPr>
      <w:r>
        <w:rPr>
          <w:rFonts w:hint="eastAsia" w:ascii="宋体" w:hAnsi="宋体" w:eastAsia="宋体" w:cs="宋体"/>
          <w:b/>
          <w:bCs/>
          <w:sz w:val="24"/>
          <w:shd w:val="clear" w:color="auto" w:fill="FFFFFF"/>
        </w:rPr>
        <w:t>表6.</w:t>
      </w:r>
      <w:r>
        <w:rPr>
          <w:rFonts w:hint="eastAsia" w:ascii="宋体" w:hAnsi="宋体" w:eastAsia="宋体" w:cs="宋体"/>
          <w:b/>
          <w:bCs/>
          <w:sz w:val="24"/>
          <w:shd w:val="clear" w:color="auto" w:fill="FFFFFF"/>
          <w:lang w:val="en-US" w:eastAsia="zh-CN"/>
        </w:rPr>
        <w:t>5</w:t>
      </w:r>
      <w:r>
        <w:rPr>
          <w:rFonts w:hint="eastAsia" w:ascii="宋体" w:hAnsi="宋体" w:eastAsia="宋体" w:cs="宋体"/>
          <w:b/>
          <w:bCs/>
          <w:sz w:val="24"/>
          <w:shd w:val="clear" w:color="auto" w:fill="FFFFFF"/>
        </w:rPr>
        <w:t>用电负荷预测指标一览表</w:t>
      </w:r>
    </w:p>
    <w:tbl>
      <w:tblPr>
        <w:tblStyle w:val="12"/>
        <w:tblW w:w="1003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48"/>
        <w:gridCol w:w="2262"/>
        <w:gridCol w:w="2227"/>
        <w:gridCol w:w="1778"/>
        <w:gridCol w:w="1629"/>
        <w:gridCol w:w="16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7" w:hRule="atLeast"/>
          <w:jc w:val="center"/>
        </w:trPr>
        <w:tc>
          <w:tcPr>
            <w:tcW w:w="448" w:type="dxa"/>
            <w:vAlign w:val="center"/>
          </w:tcPr>
          <w:p>
            <w:pPr>
              <w:widowControl/>
              <w:spacing w:line="360" w:lineRule="auto"/>
              <w:jc w:val="center"/>
              <w:textAlignment w:val="center"/>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序号</w:t>
            </w:r>
          </w:p>
        </w:tc>
        <w:tc>
          <w:tcPr>
            <w:tcW w:w="2262" w:type="dxa"/>
            <w:vAlign w:val="center"/>
          </w:tcPr>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用地性质</w:t>
            </w:r>
          </w:p>
        </w:tc>
        <w:tc>
          <w:tcPr>
            <w:tcW w:w="2227" w:type="dxa"/>
            <w:vAlign w:val="center"/>
          </w:tcPr>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单位建设用地负荷指标（KW/公顷）</w:t>
            </w:r>
          </w:p>
        </w:tc>
        <w:tc>
          <w:tcPr>
            <w:tcW w:w="1778" w:type="dxa"/>
            <w:vAlign w:val="center"/>
          </w:tcPr>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规划采用指标</w:t>
            </w:r>
          </w:p>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（KW/公顷）</w:t>
            </w:r>
          </w:p>
        </w:tc>
        <w:tc>
          <w:tcPr>
            <w:tcW w:w="1629" w:type="dxa"/>
            <w:vAlign w:val="center"/>
          </w:tcPr>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用地面积</w:t>
            </w:r>
          </w:p>
          <w:p>
            <w:pPr>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（hm²）</w:t>
            </w:r>
          </w:p>
        </w:tc>
        <w:tc>
          <w:tcPr>
            <w:tcW w:w="1692" w:type="dxa"/>
            <w:vAlign w:val="center"/>
          </w:tcPr>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平均日电荷量</w:t>
            </w:r>
          </w:p>
          <w:p>
            <w:pPr>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（KW/公顷）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7" w:hRule="atLeast"/>
          <w:jc w:val="center"/>
        </w:trPr>
        <w:tc>
          <w:tcPr>
            <w:tcW w:w="448" w:type="dxa"/>
            <w:vAlign w:val="center"/>
          </w:tcPr>
          <w:p>
            <w:pPr>
              <w:widowControl/>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2262" w:type="dxa"/>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公共管理与公共服务用地</w:t>
            </w:r>
          </w:p>
        </w:tc>
        <w:tc>
          <w:tcPr>
            <w:tcW w:w="2227"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300-800</w:t>
            </w:r>
          </w:p>
        </w:tc>
        <w:tc>
          <w:tcPr>
            <w:tcW w:w="1778"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500</w:t>
            </w:r>
          </w:p>
        </w:tc>
        <w:tc>
          <w:tcPr>
            <w:tcW w:w="1629"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1.68</w:t>
            </w:r>
          </w:p>
        </w:tc>
        <w:tc>
          <w:tcPr>
            <w:tcW w:w="1692"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448"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2262"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商业服务业用地</w:t>
            </w:r>
          </w:p>
        </w:tc>
        <w:tc>
          <w:tcPr>
            <w:tcW w:w="2227"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400—1200</w:t>
            </w:r>
          </w:p>
        </w:tc>
        <w:tc>
          <w:tcPr>
            <w:tcW w:w="1778"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800</w:t>
            </w:r>
          </w:p>
        </w:tc>
        <w:tc>
          <w:tcPr>
            <w:tcW w:w="1629"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19.64</w:t>
            </w:r>
          </w:p>
        </w:tc>
        <w:tc>
          <w:tcPr>
            <w:tcW w:w="1692" w:type="dxa"/>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15712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448"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p>
        </w:tc>
        <w:tc>
          <w:tcPr>
            <w:tcW w:w="2262"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工矿用地</w:t>
            </w:r>
          </w:p>
        </w:tc>
        <w:tc>
          <w:tcPr>
            <w:tcW w:w="2227"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200-800</w:t>
            </w:r>
          </w:p>
        </w:tc>
        <w:tc>
          <w:tcPr>
            <w:tcW w:w="1778"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500</w:t>
            </w:r>
          </w:p>
        </w:tc>
        <w:tc>
          <w:tcPr>
            <w:tcW w:w="1629"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127.03</w:t>
            </w:r>
          </w:p>
        </w:tc>
        <w:tc>
          <w:tcPr>
            <w:tcW w:w="1692" w:type="dxa"/>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63515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448"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w:t>
            </w:r>
          </w:p>
        </w:tc>
        <w:tc>
          <w:tcPr>
            <w:tcW w:w="2262"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仓储用地</w:t>
            </w:r>
          </w:p>
        </w:tc>
        <w:tc>
          <w:tcPr>
            <w:tcW w:w="2227"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15—50</w:t>
            </w:r>
          </w:p>
        </w:tc>
        <w:tc>
          <w:tcPr>
            <w:tcW w:w="1778"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30</w:t>
            </w:r>
          </w:p>
        </w:tc>
        <w:tc>
          <w:tcPr>
            <w:tcW w:w="1629"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63.40</w:t>
            </w:r>
          </w:p>
        </w:tc>
        <w:tc>
          <w:tcPr>
            <w:tcW w:w="1692" w:type="dxa"/>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1902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448"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w:t>
            </w:r>
          </w:p>
        </w:tc>
        <w:tc>
          <w:tcPr>
            <w:tcW w:w="2262"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交通运输用地</w:t>
            </w:r>
          </w:p>
        </w:tc>
        <w:tc>
          <w:tcPr>
            <w:tcW w:w="2227"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15—30</w:t>
            </w:r>
          </w:p>
        </w:tc>
        <w:tc>
          <w:tcPr>
            <w:tcW w:w="1778"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20</w:t>
            </w:r>
          </w:p>
        </w:tc>
        <w:tc>
          <w:tcPr>
            <w:tcW w:w="1629"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55.83</w:t>
            </w:r>
          </w:p>
        </w:tc>
        <w:tc>
          <w:tcPr>
            <w:tcW w:w="1692" w:type="dxa"/>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1116.6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448"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2262"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绿地与开敞空间用地</w:t>
            </w:r>
          </w:p>
        </w:tc>
        <w:tc>
          <w:tcPr>
            <w:tcW w:w="2227"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10—30</w:t>
            </w:r>
          </w:p>
        </w:tc>
        <w:tc>
          <w:tcPr>
            <w:tcW w:w="1778"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10</w:t>
            </w:r>
          </w:p>
        </w:tc>
        <w:tc>
          <w:tcPr>
            <w:tcW w:w="1629"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51.41</w:t>
            </w:r>
          </w:p>
        </w:tc>
        <w:tc>
          <w:tcPr>
            <w:tcW w:w="1692" w:type="dxa"/>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514.1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448"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2262" w:type="dxa"/>
            <w:vAlign w:val="center"/>
          </w:tcPr>
          <w:p>
            <w:pPr>
              <w:widowControl/>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小计</w:t>
            </w:r>
          </w:p>
        </w:tc>
        <w:tc>
          <w:tcPr>
            <w:tcW w:w="2227" w:type="dxa"/>
            <w:vAlign w:val="center"/>
          </w:tcPr>
          <w:p>
            <w:pPr>
              <w:widowControl/>
              <w:spacing w:line="360" w:lineRule="auto"/>
              <w:jc w:val="center"/>
              <w:textAlignment w:val="center"/>
              <w:rPr>
                <w:rFonts w:hint="eastAsia" w:ascii="宋体" w:hAnsi="宋体" w:eastAsia="宋体" w:cs="宋体"/>
                <w:color w:val="000000" w:themeColor="text1"/>
                <w:kern w:val="0"/>
                <w:sz w:val="24"/>
                <w:lang w:eastAsia="zh-CN" w:bidi="ar"/>
                <w14:textFill>
                  <w14:solidFill>
                    <w14:schemeClr w14:val="tx1"/>
                  </w14:solidFill>
                </w14:textFill>
              </w:rPr>
            </w:pPr>
            <w:r>
              <w:rPr>
                <w:rFonts w:hint="eastAsia" w:ascii="宋体" w:hAnsi="宋体" w:eastAsia="宋体" w:cs="宋体"/>
                <w:color w:val="000000" w:themeColor="text1"/>
                <w:kern w:val="0"/>
                <w:sz w:val="24"/>
                <w:lang w:eastAsia="zh-CN" w:bidi="ar"/>
                <w14:textFill>
                  <w14:solidFill>
                    <w14:schemeClr w14:val="tx1"/>
                  </w14:solidFill>
                </w14:textFill>
              </w:rPr>
              <w:t>——</w:t>
            </w:r>
          </w:p>
        </w:tc>
        <w:tc>
          <w:tcPr>
            <w:tcW w:w="1778" w:type="dxa"/>
            <w:vAlign w:val="bottom"/>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2060</w:t>
            </w:r>
          </w:p>
        </w:tc>
        <w:tc>
          <w:tcPr>
            <w:tcW w:w="1629" w:type="dxa"/>
            <w:vAlign w:val="bottom"/>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318.99</w:t>
            </w:r>
          </w:p>
        </w:tc>
        <w:tc>
          <w:tcPr>
            <w:tcW w:w="1692" w:type="dxa"/>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657119.4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jc w:val="center"/>
        </w:trPr>
        <w:tc>
          <w:tcPr>
            <w:tcW w:w="448" w:type="dxa"/>
            <w:vAlign w:val="center"/>
          </w:tcPr>
          <w:p>
            <w:pPr>
              <w:widowControl/>
              <w:spacing w:line="360" w:lineRule="auto"/>
              <w:jc w:val="center"/>
              <w:textAlignment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8</w:t>
            </w:r>
          </w:p>
        </w:tc>
        <w:tc>
          <w:tcPr>
            <w:tcW w:w="2262" w:type="dxa"/>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同时系数</w:t>
            </w:r>
          </w:p>
        </w:tc>
        <w:tc>
          <w:tcPr>
            <w:tcW w:w="7326" w:type="dxa"/>
            <w:gridSpan w:val="4"/>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4" w:hRule="atLeast"/>
          <w:jc w:val="center"/>
        </w:trPr>
        <w:tc>
          <w:tcPr>
            <w:tcW w:w="448" w:type="dxa"/>
            <w:vAlign w:val="center"/>
          </w:tcPr>
          <w:p>
            <w:pPr>
              <w:widowControl/>
              <w:spacing w:line="360" w:lineRule="auto"/>
              <w:jc w:val="center"/>
              <w:textAlignment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9</w:t>
            </w:r>
          </w:p>
        </w:tc>
        <w:tc>
          <w:tcPr>
            <w:tcW w:w="2262" w:type="dxa"/>
            <w:vAlign w:val="center"/>
          </w:tcPr>
          <w:p>
            <w:pPr>
              <w:keepNext w:val="0"/>
              <w:keepLines w:val="0"/>
              <w:widowControl/>
              <w:suppressLineNumbers w:val="0"/>
              <w:jc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kern w:val="0"/>
                <w:sz w:val="24"/>
                <w:lang w:val="en-US" w:eastAsia="zh-CN" w:bidi="ar"/>
              </w:rPr>
              <w:t>预测负荷</w:t>
            </w:r>
          </w:p>
        </w:tc>
        <w:tc>
          <w:tcPr>
            <w:tcW w:w="7326" w:type="dxa"/>
            <w:gridSpan w:val="4"/>
            <w:vAlign w:val="center"/>
          </w:tcPr>
          <w:p>
            <w:pPr>
              <w:keepNext w:val="0"/>
              <w:keepLines w:val="0"/>
              <w:widowControl/>
              <w:suppressLineNumbers w:val="0"/>
              <w:jc w:val="center"/>
              <w:textAlignment w:val="bottom"/>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color w:val="000000" w:themeColor="text1"/>
                <w:kern w:val="0"/>
                <w:sz w:val="24"/>
                <w:lang w:val="en-US" w:eastAsia="zh-CN" w:bidi="ar"/>
                <w14:textFill>
                  <w14:solidFill>
                    <w14:schemeClr w14:val="tx1"/>
                  </w14:solidFill>
                </w14:textFill>
              </w:rPr>
              <w:t>328559.7</w:t>
            </w:r>
          </w:p>
        </w:tc>
      </w:tr>
    </w:tbl>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根据上述用电负荷预测指标，则本片区用电负荷为</w:t>
      </w:r>
      <w:bookmarkStart w:id="47" w:name="_Hlk22049597"/>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328559.7</w:t>
      </w:r>
      <w:r>
        <w:rPr>
          <w:rFonts w:hint="eastAsia" w:ascii="宋体" w:hAnsi="宋体" w:eastAsia="宋体" w:cs="宋体"/>
          <w:color w:val="000000" w:themeColor="text1"/>
          <w:kern w:val="0"/>
          <w:sz w:val="24"/>
          <w:lang w:bidi="ar"/>
          <w14:textFill>
            <w14:solidFill>
              <w14:schemeClr w14:val="tx1"/>
            </w14:solidFill>
          </w14:textFill>
        </w:rPr>
        <w:t>KW</w:t>
      </w:r>
      <w:r>
        <w:rPr>
          <w:rFonts w:hint="eastAsia" w:ascii="宋体" w:hAnsi="宋体" w:eastAsia="宋体" w:cs="宋体"/>
          <w:color w:val="000000" w:themeColor="text1"/>
          <w:sz w:val="28"/>
          <w:szCs w:val="28"/>
          <w:shd w:val="clear" w:color="auto" w:fill="FFFFFF"/>
          <w14:textFill>
            <w14:solidFill>
              <w14:schemeClr w14:val="tx1"/>
            </w14:solidFill>
          </w14:textFill>
        </w:rPr>
        <w:t>。</w:t>
      </w:r>
      <w:bookmarkEnd w:id="47"/>
    </w:p>
    <w:p>
      <w:pPr>
        <w:numPr>
          <w:ilvl w:val="0"/>
          <w:numId w:val="0"/>
        </w:num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）电力规划</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1）电源</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近期电源沿用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东坡11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0KV变电站，远期</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在罗汉山产业园区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0KV变电站，其余根据用电需求在道路规划好市政电力管网接口，满足</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罗汉山</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工业园区电力需求。</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）电力电缆管网规划 </w:t>
      </w:r>
    </w:p>
    <w:p>
      <w:pPr>
        <w:spacing w:line="360" w:lineRule="auto"/>
        <w:ind w:firstLine="560" w:firstLineChars="200"/>
        <w:jc w:val="left"/>
        <w:rPr>
          <w:rFonts w:ascii="宋体" w:hAnsi="宋体" w:eastAsia="宋体" w:cs="宋体"/>
          <w:b/>
          <w:color w:val="000000" w:themeColor="text1"/>
          <w:sz w:val="24"/>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项目所有电缆采用铜芯电缆，消防配电线路采用耐火电缆，直接埋地敷设的电力电缆选用铠装电缆，控制系统信号输入电缆采用屏蔽电缆。电缆主要沿电缆通廊电缆桥架、电缆沟敷设</w:t>
      </w:r>
      <w:r>
        <w:rPr>
          <w:rFonts w:hint="eastAsia" w:ascii="宋体" w:hAnsi="宋体" w:eastAsia="宋体" w:cs="宋体"/>
          <w:sz w:val="28"/>
          <w:szCs w:val="28"/>
          <w:shd w:val="clear" w:color="auto" w:fill="FFFFFF"/>
          <w:lang w:val="zh-CN"/>
        </w:rPr>
        <w:t>。详见</w:t>
      </w:r>
      <w:r>
        <w:rPr>
          <w:rFonts w:hint="eastAsia" w:ascii="宋体" w:hAnsi="宋体" w:eastAsia="宋体" w:cs="宋体"/>
          <w:sz w:val="28"/>
          <w:szCs w:val="28"/>
          <w:shd w:val="clear" w:color="auto" w:fill="FFFFFF"/>
          <w:lang w:val="en-US" w:eastAsia="zh-CN"/>
        </w:rPr>
        <w:t>6.8</w:t>
      </w:r>
      <w:r>
        <w:rPr>
          <w:rFonts w:hint="eastAsia" w:ascii="宋体" w:hAnsi="宋体" w:eastAsia="宋体" w:cs="宋体"/>
          <w:sz w:val="28"/>
          <w:szCs w:val="28"/>
          <w:shd w:val="clear" w:color="auto" w:fill="FFFFFF"/>
          <w:lang w:val="zh-CN"/>
        </w:rPr>
        <w:t>电力</w:t>
      </w:r>
      <w:r>
        <w:rPr>
          <w:rFonts w:hint="eastAsia" w:ascii="宋体" w:hAnsi="宋体" w:eastAsia="宋体" w:cs="宋体"/>
          <w:sz w:val="28"/>
          <w:szCs w:val="28"/>
          <w:shd w:val="clear" w:color="auto" w:fill="FFFFFF"/>
          <w:lang w:val="en-US" w:eastAsia="zh-CN"/>
        </w:rPr>
        <w:t>管线</w:t>
      </w:r>
      <w:r>
        <w:rPr>
          <w:rFonts w:hint="eastAsia" w:ascii="宋体" w:hAnsi="宋体" w:eastAsia="宋体" w:cs="宋体"/>
          <w:sz w:val="28"/>
          <w:szCs w:val="28"/>
          <w:shd w:val="clear" w:color="auto" w:fill="FFFFFF"/>
          <w:lang w:val="zh-CN"/>
        </w:rPr>
        <w:t>规划图</w:t>
      </w:r>
    </w:p>
    <w:p>
      <w:pPr>
        <w:numPr>
          <w:ilvl w:val="0"/>
          <w:numId w:val="0"/>
        </w:num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）道路照明规划</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）道路双侧设置路灯。</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）道路照明的光源采用高效节能LED光源，照明灯具的造型、灯杆材质及安装高度需与区内环境相协调。</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）照明灯具的控制方式采用光控、时控和手控三种控制方式。</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4）在主要生产车间和规范规定的场所中，除设置工作照明外，还应设置保证安全及供人员疏散用的应急照明；并在工艺要求场所设置局部照明和检修照明。</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8" w:hRule="atLeast"/>
          <w:jc w:val="center"/>
        </w:trPr>
        <w:tc>
          <w:tcPr>
            <w:tcW w:w="9240" w:type="dxa"/>
          </w:tcPr>
          <w:p>
            <w:pPr>
              <w:spacing w:line="360" w:lineRule="auto"/>
              <w:jc w:val="center"/>
              <w:rPr>
                <w:rFonts w:ascii="宋体" w:hAnsi="宋体" w:eastAsia="宋体" w:cs="宋体"/>
                <w:b/>
                <w:color w:val="000000" w:themeColor="text1"/>
                <w:sz w:val="24"/>
                <w:shd w:val="clear" w:color="auto" w:fill="FFFFFF"/>
                <w14:textFill>
                  <w14:solidFill>
                    <w14:schemeClr w14:val="tx1"/>
                  </w14:solidFill>
                </w14:textFill>
              </w:rPr>
            </w:pPr>
            <w:r>
              <w:drawing>
                <wp:inline distT="0" distB="0" distL="0" distR="0">
                  <wp:extent cx="5678805" cy="3249930"/>
                  <wp:effectExtent l="0" t="0" r="0" b="0"/>
                  <wp:docPr id="69" name="图片 69" descr="E:\2023年\工业园区\工业园区最终成果\罗汉山工业园区成果\规划图\规划图纸文本说明书\规划\20电力管线规划图.jpg20电力管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E:\2023年\工业园区\工业园区最终成果\罗汉山工业园区成果\规划图\规划图纸文本说明书\规划\20电力管线规划图.jpg20电力管线规划图"/>
                          <pic:cNvPicPr>
                            <a:picLocks noChangeAspect="1"/>
                          </pic:cNvPicPr>
                        </pic:nvPicPr>
                        <pic:blipFill>
                          <a:blip r:embed="rId32"/>
                          <a:srcRect t="13698" b="5293"/>
                          <a:stretch>
                            <a:fillRect/>
                          </a:stretch>
                        </pic:blipFill>
                        <pic:spPr>
                          <a:xfrm>
                            <a:off x="0" y="0"/>
                            <a:ext cx="5678805" cy="3249930"/>
                          </a:xfrm>
                          <a:prstGeom prst="rect">
                            <a:avLst/>
                          </a:prstGeom>
                          <a:ln>
                            <a:noFill/>
                          </a:ln>
                        </pic:spPr>
                      </pic:pic>
                    </a:graphicData>
                  </a:graphic>
                </wp:inline>
              </w:drawing>
            </w:r>
          </w:p>
          <w:p>
            <w:pPr>
              <w:spacing w:line="360" w:lineRule="auto"/>
              <w:jc w:val="center"/>
              <w:rPr>
                <w:rFonts w:hint="eastAsia" w:ascii="宋体" w:hAnsi="宋体" w:eastAsia="宋体" w:cs="宋体"/>
                <w:b/>
                <w:color w:val="000000" w:themeColor="text1"/>
                <w:sz w:val="24"/>
                <w:shd w:val="clear" w:color="auto" w:fill="FFFFFF"/>
                <w:lang w:val="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6.</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8电力管线</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规划图</w:t>
            </w:r>
          </w:p>
        </w:tc>
      </w:tr>
    </w:tbl>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通信工程规划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）现状</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规划区内无大型通信设施，通信服务均由区外的现状通信服务运营商提供，通信管道由为负责通信业务的运营商独自承建及维护管理。</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）电信规划</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建立满足多种业务需求、技术先进的电信网络，网络系统光纤化、数字化、宽带化、智能化。固话量预测：规划区固话预测指标取定如下表：</w:t>
      </w:r>
    </w:p>
    <w:p>
      <w:pPr>
        <w:spacing w:line="360" w:lineRule="auto"/>
        <w:ind w:firstLine="482" w:firstLineChars="200"/>
        <w:jc w:val="center"/>
        <w:rPr>
          <w:rFonts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bCs/>
          <w:color w:val="000000" w:themeColor="text1"/>
          <w:sz w:val="24"/>
          <w:shd w:val="clear" w:color="auto" w:fill="FFFFFF"/>
          <w14:textFill>
            <w14:solidFill>
              <w14:schemeClr w14:val="tx1"/>
            </w14:solidFill>
          </w14:textFill>
        </w:rPr>
        <w:t>表6.</w:t>
      </w:r>
      <w:r>
        <w:rPr>
          <w:rFonts w:hint="eastAsia" w:ascii="宋体" w:hAnsi="宋体" w:eastAsia="宋体" w:cs="宋体"/>
          <w:b/>
          <w:bCs/>
          <w:color w:val="000000" w:themeColor="text1"/>
          <w:sz w:val="24"/>
          <w:shd w:val="clear" w:color="auto" w:fill="FFFFFF"/>
          <w:lang w:val="en-US" w:eastAsia="zh-CN"/>
          <w14:textFill>
            <w14:solidFill>
              <w14:schemeClr w14:val="tx1"/>
            </w14:solidFill>
          </w14:textFill>
        </w:rPr>
        <w:t>2</w:t>
      </w:r>
      <w:r>
        <w:rPr>
          <w:rFonts w:hint="eastAsia" w:ascii="宋体" w:hAnsi="宋体" w:eastAsia="宋体" w:cs="宋体"/>
          <w:b/>
          <w:bCs/>
          <w:color w:val="000000" w:themeColor="text1"/>
          <w:sz w:val="24"/>
          <w:shd w:val="clear" w:color="auto" w:fill="FFFFFF"/>
          <w14:textFill>
            <w14:solidFill>
              <w14:schemeClr w14:val="tx1"/>
            </w14:solidFill>
          </w14:textFill>
        </w:rPr>
        <w:t>固话预测指标表</w:t>
      </w:r>
    </w:p>
    <w:tbl>
      <w:tblPr>
        <w:tblStyle w:val="12"/>
        <w:tblW w:w="9258" w:type="dxa"/>
        <w:jc w:val="center"/>
        <w:tblLayout w:type="fixed"/>
        <w:tblCellMar>
          <w:top w:w="0" w:type="dxa"/>
          <w:left w:w="0" w:type="dxa"/>
          <w:bottom w:w="0" w:type="dxa"/>
          <w:right w:w="0" w:type="dxa"/>
        </w:tblCellMar>
      </w:tblPr>
      <w:tblGrid>
        <w:gridCol w:w="595"/>
        <w:gridCol w:w="3555"/>
        <w:gridCol w:w="2004"/>
        <w:gridCol w:w="1804"/>
        <w:gridCol w:w="1300"/>
      </w:tblGrid>
      <w:tr>
        <w:tblPrEx>
          <w:tblCellMar>
            <w:top w:w="0" w:type="dxa"/>
            <w:left w:w="0" w:type="dxa"/>
            <w:bottom w:w="0" w:type="dxa"/>
            <w:right w:w="0" w:type="dxa"/>
          </w:tblCellMar>
        </w:tblPrEx>
        <w:trPr>
          <w:trHeight w:val="531" w:hRule="atLeast"/>
          <w:jc w:val="center"/>
        </w:trPr>
        <w:tc>
          <w:tcPr>
            <w:tcW w:w="595"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kern w:val="0"/>
                <w:szCs w:val="21"/>
                <w:lang w:bidi="ar"/>
                <w14:textFill>
                  <w14:solidFill>
                    <w14:schemeClr w14:val="tx1"/>
                  </w14:solidFill>
                </w14:textFill>
              </w:rPr>
              <w:t>序号</w:t>
            </w:r>
          </w:p>
        </w:tc>
        <w:tc>
          <w:tcPr>
            <w:tcW w:w="355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用地性质</w:t>
            </w:r>
          </w:p>
        </w:tc>
        <w:tc>
          <w:tcPr>
            <w:tcW w:w="200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用地面积（hm²）</w:t>
            </w:r>
          </w:p>
        </w:tc>
        <w:tc>
          <w:tcPr>
            <w:tcW w:w="1804"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kern w:val="0"/>
                <w:szCs w:val="21"/>
                <w:lang w:bidi="ar"/>
                <w14:textFill>
                  <w14:solidFill>
                    <w14:schemeClr w14:val="tx1"/>
                  </w14:solidFill>
                </w14:textFill>
              </w:rPr>
              <w:t>线密度（线/ha）</w:t>
            </w:r>
          </w:p>
        </w:tc>
        <w:tc>
          <w:tcPr>
            <w:tcW w:w="130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kern w:val="0"/>
                <w:szCs w:val="21"/>
                <w:lang w:bidi="ar"/>
                <w14:textFill>
                  <w14:solidFill>
                    <w14:schemeClr w14:val="tx1"/>
                  </w14:solidFill>
                </w14:textFill>
              </w:rPr>
              <w:t>容量（线）</w:t>
            </w:r>
          </w:p>
        </w:tc>
      </w:tr>
      <w:tr>
        <w:tblPrEx>
          <w:tblCellMar>
            <w:top w:w="0" w:type="dxa"/>
            <w:left w:w="0" w:type="dxa"/>
            <w:bottom w:w="0" w:type="dxa"/>
            <w:right w:w="0" w:type="dxa"/>
          </w:tblCellMar>
        </w:tblPrEx>
        <w:trPr>
          <w:trHeight w:val="515" w:hRule="atLeast"/>
          <w:jc w:val="center"/>
        </w:trPr>
        <w:tc>
          <w:tcPr>
            <w:tcW w:w="5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kern w:val="0"/>
                <w:sz w:val="24"/>
                <w:lang w:val="en-US" w:eastAsia="zh-CN" w:bidi="ar"/>
              </w:rPr>
              <w:t>公共管理与公共服务用地</w:t>
            </w:r>
          </w:p>
        </w:tc>
        <w:tc>
          <w:tcPr>
            <w:tcW w:w="20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1.68</w:t>
            </w:r>
          </w:p>
        </w:tc>
        <w:tc>
          <w:tcPr>
            <w:tcW w:w="18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100</w:t>
            </w:r>
          </w:p>
        </w:tc>
        <w:tc>
          <w:tcPr>
            <w:tcW w:w="130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168</w:t>
            </w:r>
          </w:p>
        </w:tc>
      </w:tr>
      <w:tr>
        <w:tblPrEx>
          <w:tblCellMar>
            <w:top w:w="0" w:type="dxa"/>
            <w:left w:w="0" w:type="dxa"/>
            <w:bottom w:w="0" w:type="dxa"/>
            <w:right w:w="0" w:type="dxa"/>
          </w:tblCellMar>
        </w:tblPrEx>
        <w:trPr>
          <w:trHeight w:val="515" w:hRule="atLeast"/>
          <w:jc w:val="center"/>
        </w:trPr>
        <w:tc>
          <w:tcPr>
            <w:tcW w:w="5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商业服务业用地</w:t>
            </w:r>
          </w:p>
        </w:tc>
        <w:tc>
          <w:tcPr>
            <w:tcW w:w="20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19.64</w:t>
            </w:r>
          </w:p>
        </w:tc>
        <w:tc>
          <w:tcPr>
            <w:tcW w:w="18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80</w:t>
            </w:r>
          </w:p>
        </w:tc>
        <w:tc>
          <w:tcPr>
            <w:tcW w:w="130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1571.2</w:t>
            </w:r>
          </w:p>
        </w:tc>
      </w:tr>
      <w:tr>
        <w:tblPrEx>
          <w:tblCellMar>
            <w:top w:w="0" w:type="dxa"/>
            <w:left w:w="0" w:type="dxa"/>
            <w:bottom w:w="0" w:type="dxa"/>
            <w:right w:w="0" w:type="dxa"/>
          </w:tblCellMar>
        </w:tblPrEx>
        <w:trPr>
          <w:trHeight w:val="515" w:hRule="atLeast"/>
          <w:jc w:val="center"/>
        </w:trPr>
        <w:tc>
          <w:tcPr>
            <w:tcW w:w="5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工矿用地</w:t>
            </w:r>
          </w:p>
        </w:tc>
        <w:tc>
          <w:tcPr>
            <w:tcW w:w="20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127.03</w:t>
            </w:r>
          </w:p>
        </w:tc>
        <w:tc>
          <w:tcPr>
            <w:tcW w:w="18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20</w:t>
            </w:r>
          </w:p>
        </w:tc>
        <w:tc>
          <w:tcPr>
            <w:tcW w:w="130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2540.6</w:t>
            </w:r>
          </w:p>
        </w:tc>
      </w:tr>
      <w:tr>
        <w:tblPrEx>
          <w:tblCellMar>
            <w:top w:w="0" w:type="dxa"/>
            <w:left w:w="0" w:type="dxa"/>
            <w:bottom w:w="0" w:type="dxa"/>
            <w:right w:w="0" w:type="dxa"/>
          </w:tblCellMar>
        </w:tblPrEx>
        <w:trPr>
          <w:trHeight w:val="515" w:hRule="atLeast"/>
          <w:jc w:val="center"/>
        </w:trPr>
        <w:tc>
          <w:tcPr>
            <w:tcW w:w="5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仓储用地</w:t>
            </w:r>
          </w:p>
        </w:tc>
        <w:tc>
          <w:tcPr>
            <w:tcW w:w="20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63.40</w:t>
            </w:r>
          </w:p>
        </w:tc>
        <w:tc>
          <w:tcPr>
            <w:tcW w:w="18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10</w:t>
            </w:r>
          </w:p>
        </w:tc>
        <w:tc>
          <w:tcPr>
            <w:tcW w:w="130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634</w:t>
            </w:r>
          </w:p>
        </w:tc>
      </w:tr>
      <w:tr>
        <w:tblPrEx>
          <w:tblCellMar>
            <w:top w:w="0" w:type="dxa"/>
            <w:left w:w="0" w:type="dxa"/>
            <w:bottom w:w="0" w:type="dxa"/>
            <w:right w:w="0" w:type="dxa"/>
          </w:tblCellMar>
        </w:tblPrEx>
        <w:trPr>
          <w:trHeight w:val="515" w:hRule="atLeast"/>
          <w:jc w:val="center"/>
        </w:trPr>
        <w:tc>
          <w:tcPr>
            <w:tcW w:w="5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交通运输用地</w:t>
            </w:r>
          </w:p>
        </w:tc>
        <w:tc>
          <w:tcPr>
            <w:tcW w:w="20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55.83</w:t>
            </w:r>
          </w:p>
        </w:tc>
        <w:tc>
          <w:tcPr>
            <w:tcW w:w="18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30</w:t>
            </w:r>
          </w:p>
        </w:tc>
        <w:tc>
          <w:tcPr>
            <w:tcW w:w="130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1674.9</w:t>
            </w:r>
          </w:p>
        </w:tc>
      </w:tr>
      <w:tr>
        <w:tblPrEx>
          <w:tblCellMar>
            <w:top w:w="0" w:type="dxa"/>
            <w:left w:w="0" w:type="dxa"/>
            <w:bottom w:w="0" w:type="dxa"/>
            <w:right w:w="0" w:type="dxa"/>
          </w:tblCellMar>
        </w:tblPrEx>
        <w:trPr>
          <w:trHeight w:val="515" w:hRule="atLeast"/>
          <w:jc w:val="center"/>
        </w:trPr>
        <w:tc>
          <w:tcPr>
            <w:tcW w:w="5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kern w:val="0"/>
                <w:sz w:val="24"/>
                <w:lang w:val="en-US" w:eastAsia="zh-CN" w:bidi="ar"/>
              </w:rPr>
              <w:t>绿地与开敞空间用地</w:t>
            </w:r>
          </w:p>
        </w:tc>
        <w:tc>
          <w:tcPr>
            <w:tcW w:w="20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51.41</w:t>
            </w:r>
          </w:p>
        </w:tc>
        <w:tc>
          <w:tcPr>
            <w:tcW w:w="18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5</w:t>
            </w:r>
          </w:p>
        </w:tc>
        <w:tc>
          <w:tcPr>
            <w:tcW w:w="130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257.05</w:t>
            </w:r>
          </w:p>
        </w:tc>
      </w:tr>
      <w:tr>
        <w:tblPrEx>
          <w:tblCellMar>
            <w:top w:w="0" w:type="dxa"/>
            <w:left w:w="0" w:type="dxa"/>
            <w:bottom w:w="0" w:type="dxa"/>
            <w:right w:w="0" w:type="dxa"/>
          </w:tblCellMar>
        </w:tblPrEx>
        <w:trPr>
          <w:trHeight w:val="536" w:hRule="atLeast"/>
          <w:jc w:val="center"/>
        </w:trPr>
        <w:tc>
          <w:tcPr>
            <w:tcW w:w="595"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eastAsia" w:ascii="宋体" w:hAnsi="宋体" w:eastAsia="宋体" w:cs="宋体"/>
                <w:color w:val="000000" w:themeColor="text1"/>
                <w:kern w:val="0"/>
                <w:szCs w:val="21"/>
                <w:lang w:eastAsia="zh-CN" w:bidi="ar"/>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355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bidi="ar"/>
                <w14:textFill>
                  <w14:solidFill>
                    <w14:schemeClr w14:val="tx1"/>
                  </w14:solidFill>
                </w14:textFill>
              </w:rPr>
            </w:pPr>
            <w:r>
              <w:rPr>
                <w:rFonts w:hint="eastAsia" w:ascii="宋体" w:hAnsi="宋体" w:eastAsia="宋体" w:cs="宋体"/>
                <w:kern w:val="0"/>
                <w:sz w:val="24"/>
                <w:lang w:val="en-US" w:eastAsia="zh-CN" w:bidi="ar"/>
              </w:rPr>
              <w:t>小计</w:t>
            </w:r>
          </w:p>
        </w:tc>
        <w:tc>
          <w:tcPr>
            <w:tcW w:w="20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318.99</w:t>
            </w:r>
          </w:p>
        </w:tc>
        <w:tc>
          <w:tcPr>
            <w:tcW w:w="1804"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245</w:t>
            </w:r>
          </w:p>
        </w:tc>
        <w:tc>
          <w:tcPr>
            <w:tcW w:w="130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6845</w:t>
            </w:r>
          </w:p>
        </w:tc>
      </w:tr>
    </w:tbl>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根据上述主要固话预测指标计算出总的容量为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6845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线。</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）通信管道规划 </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片区发展的固定电话线路、有线电视线路及其它各类通信线路包括移动通信、数据通信等全部采用管道方式敷设。园区电话系统拟采用虚拟电话网，地方电话运营商将线路引至项目边界。在中央控制室、调度中心、化验楼、办公楼、10</w:t>
      </w:r>
      <w:r>
        <w:rPr>
          <w:rFonts w:hint="eastAsia" w:ascii="宋体" w:hAnsi="宋体" w:eastAsia="宋体" w:cs="宋体"/>
          <w:sz w:val="28"/>
          <w:szCs w:val="28"/>
          <w:shd w:val="clear" w:color="auto" w:fill="FFFFFF"/>
          <w:lang w:val="zh-CN"/>
        </w:rPr>
        <w:t>kV单元变电所等主要办公管理岗位设置园区电话用户点。详见</w:t>
      </w:r>
      <w:r>
        <w:rPr>
          <w:rFonts w:ascii="宋体" w:hAnsi="宋体" w:eastAsia="宋体" w:cs="宋体"/>
          <w:sz w:val="28"/>
          <w:szCs w:val="28"/>
          <w:shd w:val="clear" w:color="auto" w:fill="FFFFFF"/>
          <w:lang w:val="zh-CN"/>
        </w:rPr>
        <w:t>图</w:t>
      </w:r>
      <w:r>
        <w:rPr>
          <w:rFonts w:hint="eastAsia" w:ascii="宋体" w:hAnsi="宋体" w:eastAsia="宋体" w:cs="宋体"/>
          <w:sz w:val="28"/>
          <w:szCs w:val="28"/>
          <w:shd w:val="clear" w:color="auto" w:fill="FFFFFF"/>
          <w:lang w:val="en-US" w:eastAsia="zh-CN"/>
        </w:rPr>
        <w:t>6.9</w:t>
      </w:r>
      <w:r>
        <w:rPr>
          <w:rFonts w:hint="eastAsia" w:ascii="宋体" w:hAnsi="宋体" w:eastAsia="宋体" w:cs="宋体"/>
          <w:sz w:val="28"/>
          <w:szCs w:val="28"/>
          <w:shd w:val="clear" w:color="auto" w:fill="FFFFFF"/>
          <w:lang w:val="zh-CN"/>
        </w:rPr>
        <w:t>通信</w:t>
      </w:r>
      <w:r>
        <w:rPr>
          <w:rFonts w:ascii="宋体" w:hAnsi="宋体" w:eastAsia="宋体" w:cs="宋体"/>
          <w:sz w:val="28"/>
          <w:szCs w:val="28"/>
          <w:shd w:val="clear" w:color="auto" w:fill="FFFFFF"/>
          <w:lang w:val="zh-CN"/>
        </w:rPr>
        <w:t>管线规划图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3" w:hRule="atLeast"/>
          <w:jc w:val="center"/>
        </w:trPr>
        <w:tc>
          <w:tcPr>
            <w:tcW w:w="9160" w:type="dxa"/>
          </w:tcPr>
          <w:p>
            <w:pPr>
              <w:spacing w:line="360" w:lineRule="auto"/>
              <w:jc w:val="center"/>
              <w:rPr>
                <w:rFonts w:ascii="宋体" w:hAnsi="宋体" w:eastAsia="宋体" w:cs="宋体"/>
                <w:b/>
                <w:color w:val="000000" w:themeColor="text1"/>
                <w:sz w:val="24"/>
                <w:shd w:val="clear" w:color="auto" w:fill="FFFFFF"/>
                <w14:textFill>
                  <w14:solidFill>
                    <w14:schemeClr w14:val="tx1"/>
                  </w14:solidFill>
                </w14:textFill>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5375910" cy="3073400"/>
                  <wp:effectExtent l="0" t="0" r="0" b="0"/>
                  <wp:docPr id="71" name="图片 71" descr="E:\2023年\工业园区\工业园区最终成果\罗汉山工业园区成果\规划图\规划图纸文本说明书\规划\21通信管线规划图.jpg21通信管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2023年\工业园区\工业园区最终成果\罗汉山工业园区成果\规划图\规划图纸文本说明书\规划\21通信管线规划图.jpg21通信管线规划图"/>
                          <pic:cNvPicPr>
                            <a:picLocks noChangeAspect="1"/>
                          </pic:cNvPicPr>
                        </pic:nvPicPr>
                        <pic:blipFill>
                          <a:blip r:embed="rId33"/>
                          <a:srcRect t="13747" b="5337"/>
                          <a:stretch>
                            <a:fillRect/>
                          </a:stretch>
                        </pic:blipFill>
                        <pic:spPr>
                          <a:xfrm>
                            <a:off x="0" y="0"/>
                            <a:ext cx="5375910" cy="3073400"/>
                          </a:xfrm>
                          <a:prstGeom prst="rect">
                            <a:avLst/>
                          </a:prstGeom>
                          <a:ln>
                            <a:noFill/>
                          </a:ln>
                        </pic:spPr>
                      </pic:pic>
                    </a:graphicData>
                  </a:graphic>
                </wp:inline>
              </w:drawing>
            </w:r>
          </w:p>
          <w:p>
            <w:pPr>
              <w:spacing w:line="360" w:lineRule="auto"/>
              <w:jc w:val="center"/>
              <w:rPr>
                <w:rFonts w:hint="eastAsia" w:ascii="宋体" w:hAnsi="宋体" w:eastAsia="宋体" w:cs="宋体"/>
                <w:b/>
                <w:color w:val="000000" w:themeColor="text1"/>
                <w:sz w:val="24"/>
                <w:shd w:val="clear" w:color="auto" w:fill="FFFFFF"/>
                <w:lang w:val="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6.</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9电</w:t>
            </w:r>
            <w:r>
              <w:rPr>
                <w:rFonts w:hint="eastAsia" w:ascii="宋体" w:hAnsi="宋体" w:eastAsia="宋体" w:cs="宋体"/>
                <w:b w:val="0"/>
                <w:bCs w:val="0"/>
                <w:color w:val="000000" w:themeColor="text1"/>
                <w:sz w:val="21"/>
                <w:szCs w:val="21"/>
                <w:shd w:val="clear" w:color="auto" w:fill="FFFFFF"/>
                <w:lang w:val="zh-CN" w:eastAsia="zh-CN"/>
                <w14:textFill>
                  <w14:solidFill>
                    <w14:schemeClr w14:val="tx1"/>
                  </w14:solidFill>
                </w14:textFill>
              </w:rPr>
              <w:t>通信管线规划图</w:t>
            </w:r>
          </w:p>
        </w:tc>
      </w:tr>
    </w:tbl>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燃气工程规划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）规划原则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1）与城市上层次规划协调一致的原则。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2）在规划的指导下积极发展管道气，逐步减少瓶装气供应的原则。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3）管网规划应与城市道路规划和其他地下管线规划相协调，尽量避免近期内重复开挖路面。</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4）稳定供气，安全第一的原则。</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）气源规划</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规划区燃气</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气源</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直接接入麒麟区中压一级燃气</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市政</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管网，在内部规划低压一级燃气管线。</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）燃气用气量预测</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1）燃气热力参数</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天然气低热值：38.01兆焦/标准立方米。</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2）燃气预测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未预见量按总用气量的5％计算，规划区燃气预测指标取定如下表：</w:t>
      </w:r>
    </w:p>
    <w:p>
      <w:pPr>
        <w:spacing w:line="360" w:lineRule="auto"/>
        <w:jc w:val="center"/>
        <w:rPr>
          <w:rFonts w:hint="eastAsia" w:ascii="宋体" w:hAnsi="宋体" w:eastAsia="宋体" w:cs="宋体"/>
          <w:b/>
          <w:color w:val="000000" w:themeColor="text1"/>
          <w:sz w:val="21"/>
          <w:szCs w:val="21"/>
          <w14:textFill>
            <w14:solidFill>
              <w14:schemeClr w14:val="tx1"/>
            </w14:solidFill>
          </w14:textFill>
        </w:rPr>
      </w:pPr>
      <w:bookmarkStart w:id="48" w:name="_Toc385411818"/>
      <w:bookmarkStart w:id="49" w:name="_Toc317754658"/>
      <w:bookmarkStart w:id="50" w:name="_Toc346179178"/>
      <w:r>
        <w:rPr>
          <w:rFonts w:hint="eastAsia" w:ascii="宋体" w:hAnsi="宋体" w:eastAsia="宋体" w:cs="宋体"/>
          <w:b/>
          <w:color w:val="000000" w:themeColor="text1"/>
          <w:sz w:val="21"/>
          <w:szCs w:val="21"/>
          <w14:textFill>
            <w14:solidFill>
              <w14:schemeClr w14:val="tx1"/>
            </w14:solidFill>
          </w14:textFill>
        </w:rPr>
        <w:t>表6.6管道天然气用气量一览表</w:t>
      </w:r>
    </w:p>
    <w:tbl>
      <w:tblPr>
        <w:tblStyle w:val="12"/>
        <w:tblW w:w="10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670"/>
        <w:gridCol w:w="2741"/>
        <w:gridCol w:w="1817"/>
        <w:gridCol w:w="2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78" w:type="dxa"/>
            <w:shd w:val="clear" w:color="auto" w:fill="auto"/>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序号</w:t>
            </w:r>
          </w:p>
        </w:tc>
        <w:tc>
          <w:tcPr>
            <w:tcW w:w="2670" w:type="dxa"/>
            <w:shd w:val="clear" w:color="auto" w:fill="auto"/>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b/>
                <w:color w:val="000000" w:themeColor="text1"/>
                <w:kern w:val="0"/>
                <w:sz w:val="24"/>
                <w:lang w:bidi="ar"/>
                <w14:textFill>
                  <w14:solidFill>
                    <w14:schemeClr w14:val="tx1"/>
                  </w14:solidFill>
                </w14:textFill>
              </w:rPr>
              <w:t>用地性质</w:t>
            </w:r>
          </w:p>
        </w:tc>
        <w:tc>
          <w:tcPr>
            <w:tcW w:w="2741" w:type="dxa"/>
            <w:shd w:val="clear" w:color="auto" w:fill="auto"/>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单位建设用</w:t>
            </w:r>
            <w:r>
              <w:rPr>
                <w:rFonts w:hint="eastAsia" w:ascii="宋体" w:hAnsi="宋体" w:eastAsia="宋体" w:cs="宋体"/>
                <w:b/>
                <w:bCs/>
                <w:color w:val="000000" w:themeColor="text1"/>
                <w:kern w:val="0"/>
                <w:sz w:val="24"/>
                <w:lang w:val="en-US" w:eastAsia="zh-CN" w:bidi="ar"/>
                <w14:textFill>
                  <w14:solidFill>
                    <w14:schemeClr w14:val="tx1"/>
                  </w14:solidFill>
                </w14:textFill>
              </w:rPr>
              <w:t>气</w:t>
            </w:r>
            <w:r>
              <w:rPr>
                <w:rFonts w:hint="eastAsia" w:ascii="宋体" w:hAnsi="宋体" w:eastAsia="宋体" w:cs="宋体"/>
                <w:b/>
                <w:bCs/>
                <w:color w:val="000000" w:themeColor="text1"/>
                <w:kern w:val="0"/>
                <w:sz w:val="24"/>
                <w:lang w:bidi="ar"/>
                <w14:textFill>
                  <w14:solidFill>
                    <w14:schemeClr w14:val="tx1"/>
                  </w14:solidFill>
                </w14:textFill>
              </w:rPr>
              <w:t>负荷指标（万Nm3/a）</w:t>
            </w:r>
          </w:p>
        </w:tc>
        <w:tc>
          <w:tcPr>
            <w:tcW w:w="1817" w:type="dxa"/>
            <w:shd w:val="clear" w:color="auto" w:fill="auto"/>
            <w:vAlign w:val="center"/>
          </w:tcPr>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用地面积</w:t>
            </w:r>
          </w:p>
          <w:p>
            <w:pPr>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（hm²）</w:t>
            </w:r>
          </w:p>
        </w:tc>
        <w:tc>
          <w:tcPr>
            <w:tcW w:w="2331" w:type="dxa"/>
            <w:shd w:val="clear" w:color="auto" w:fill="auto"/>
            <w:vAlign w:val="center"/>
          </w:tcPr>
          <w:p>
            <w:pPr>
              <w:widowControl/>
              <w:spacing w:line="360" w:lineRule="auto"/>
              <w:jc w:val="center"/>
              <w:textAlignment w:val="center"/>
              <w:rPr>
                <w:rFonts w:ascii="宋体" w:hAnsi="宋体" w:eastAsia="宋体" w:cs="宋体"/>
                <w:b/>
                <w:bCs/>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平均年燃气量</w:t>
            </w:r>
          </w:p>
          <w:p>
            <w:pPr>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b/>
                <w:bCs/>
                <w:color w:val="000000" w:themeColor="text1"/>
                <w:kern w:val="0"/>
                <w:sz w:val="24"/>
                <w:lang w:bidi="ar"/>
                <w14:textFill>
                  <w14:solidFill>
                    <w14:schemeClr w14:val="tx1"/>
                  </w14:solidFill>
                </w14:textFill>
              </w:rPr>
              <w:t>（万Nm3/a）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78" w:type="dxa"/>
            <w:shd w:val="clear" w:color="auto" w:fill="auto"/>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1</w:t>
            </w:r>
          </w:p>
        </w:tc>
        <w:tc>
          <w:tcPr>
            <w:tcW w:w="2670"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商业服务业用地</w:t>
            </w:r>
          </w:p>
        </w:tc>
        <w:tc>
          <w:tcPr>
            <w:tcW w:w="2741"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1.6</w:t>
            </w:r>
          </w:p>
        </w:tc>
        <w:tc>
          <w:tcPr>
            <w:tcW w:w="1817"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19.64</w:t>
            </w:r>
          </w:p>
        </w:tc>
        <w:tc>
          <w:tcPr>
            <w:tcW w:w="2331"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78" w:type="dxa"/>
            <w:shd w:val="clear" w:color="auto" w:fill="auto"/>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3</w:t>
            </w:r>
          </w:p>
        </w:tc>
        <w:tc>
          <w:tcPr>
            <w:tcW w:w="2670"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工矿用地</w:t>
            </w:r>
          </w:p>
        </w:tc>
        <w:tc>
          <w:tcPr>
            <w:tcW w:w="2741" w:type="dxa"/>
            <w:shd w:val="clear" w:color="auto" w:fill="auto"/>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w:t>
            </w:r>
          </w:p>
        </w:tc>
        <w:tc>
          <w:tcPr>
            <w:tcW w:w="1817"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127.03</w:t>
            </w:r>
          </w:p>
        </w:tc>
        <w:tc>
          <w:tcPr>
            <w:tcW w:w="2331"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381.09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78" w:type="dxa"/>
            <w:shd w:val="clear" w:color="auto" w:fill="auto"/>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4</w:t>
            </w:r>
          </w:p>
        </w:tc>
        <w:tc>
          <w:tcPr>
            <w:tcW w:w="2670"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未预见量</w:t>
            </w:r>
          </w:p>
        </w:tc>
        <w:tc>
          <w:tcPr>
            <w:tcW w:w="2741" w:type="dxa"/>
            <w:shd w:val="clear" w:color="auto" w:fill="auto"/>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p>
        </w:tc>
        <w:tc>
          <w:tcPr>
            <w:tcW w:w="1817" w:type="dxa"/>
            <w:shd w:val="clear" w:color="auto" w:fill="auto"/>
            <w:vAlign w:val="center"/>
          </w:tcPr>
          <w:p>
            <w:pPr>
              <w:widowControl/>
              <w:spacing w:line="360" w:lineRule="auto"/>
              <w:jc w:val="center"/>
              <w:textAlignment w:val="center"/>
              <w:rPr>
                <w:rFonts w:hint="eastAsia" w:ascii="宋体" w:hAnsi="宋体" w:eastAsia="宋体" w:cs="宋体"/>
                <w:color w:val="000000" w:themeColor="text1"/>
                <w:kern w:val="0"/>
                <w:sz w:val="24"/>
                <w:lang w:val="en-US" w:eastAsia="zh-CN" w:bidi="ar"/>
                <w14:textFill>
                  <w14:solidFill>
                    <w14:schemeClr w14:val="tx1"/>
                  </w14:solidFill>
                </w14:textFill>
              </w:rPr>
            </w:pPr>
          </w:p>
        </w:tc>
        <w:tc>
          <w:tcPr>
            <w:tcW w:w="2331"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20.63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78" w:type="dxa"/>
            <w:shd w:val="clear" w:color="auto" w:fill="auto"/>
            <w:vAlign w:val="center"/>
          </w:tcPr>
          <w:p>
            <w:pPr>
              <w:widowControl/>
              <w:jc w:val="center"/>
              <w:textAlignment w:val="center"/>
              <w:rPr>
                <w:rFonts w:hint="eastAsia" w:ascii="宋体" w:hAnsi="宋体" w:cs="宋体" w:eastAsiaTheme="minorEastAsia"/>
                <w:color w:val="000000" w:themeColor="text1"/>
                <w:kern w:val="0"/>
                <w:szCs w:val="21"/>
                <w:lang w:val="en-US" w:eastAsia="zh-CN" w:bidi="ar"/>
                <w14:textFill>
                  <w14:solidFill>
                    <w14:schemeClr w14:val="tx1"/>
                  </w14:solidFill>
                </w14:textFill>
              </w:rPr>
            </w:pPr>
            <w:r>
              <w:rPr>
                <w:rFonts w:hint="eastAsia" w:ascii="宋体" w:hAnsi="宋体" w:cs="宋体"/>
                <w:color w:val="000000" w:themeColor="text1"/>
                <w:kern w:val="0"/>
                <w:szCs w:val="21"/>
                <w:lang w:val="en-US" w:eastAsia="zh-CN" w:bidi="ar"/>
                <w14:textFill>
                  <w14:solidFill>
                    <w14:schemeClr w14:val="tx1"/>
                  </w14:solidFill>
                </w14:textFill>
              </w:rPr>
              <w:t>5</w:t>
            </w:r>
          </w:p>
        </w:tc>
        <w:tc>
          <w:tcPr>
            <w:tcW w:w="5411" w:type="dxa"/>
            <w:gridSpan w:val="2"/>
            <w:shd w:val="clear" w:color="auto" w:fill="auto"/>
            <w:vAlign w:val="center"/>
          </w:tcPr>
          <w:p>
            <w:pPr>
              <w:widowControl/>
              <w:spacing w:line="360" w:lineRule="auto"/>
              <w:jc w:val="center"/>
              <w:textAlignment w:val="center"/>
              <w:rPr>
                <w:rFonts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合计</w:t>
            </w:r>
          </w:p>
        </w:tc>
        <w:tc>
          <w:tcPr>
            <w:tcW w:w="1817"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146.67</w:t>
            </w:r>
          </w:p>
        </w:tc>
        <w:tc>
          <w:tcPr>
            <w:tcW w:w="2331" w:type="dxa"/>
            <w:shd w:val="clear" w:color="auto" w:fill="auto"/>
            <w:vAlign w:val="center"/>
          </w:tcPr>
          <w:p>
            <w:pPr>
              <w:widowControl/>
              <w:spacing w:line="360" w:lineRule="auto"/>
              <w:jc w:val="center"/>
              <w:textAlignment w:val="center"/>
              <w:rPr>
                <w:rFonts w:hint="default" w:ascii="宋体" w:hAnsi="宋体" w:eastAsia="宋体" w:cs="宋体"/>
                <w:color w:val="000000" w:themeColor="text1"/>
                <w:kern w:val="0"/>
                <w:sz w:val="24"/>
                <w:lang w:val="en-US" w:eastAsia="zh-CN" w:bidi="ar"/>
                <w14:textFill>
                  <w14:solidFill>
                    <w14:schemeClr w14:val="tx1"/>
                  </w14:solidFill>
                </w14:textFill>
              </w:rPr>
            </w:pPr>
            <w:r>
              <w:rPr>
                <w:rFonts w:hint="eastAsia" w:ascii="宋体" w:hAnsi="宋体" w:eastAsia="宋体" w:cs="宋体"/>
                <w:color w:val="000000" w:themeColor="text1"/>
                <w:kern w:val="0"/>
                <w:sz w:val="24"/>
                <w:lang w:val="en-US" w:eastAsia="zh-CN" w:bidi="ar"/>
                <w14:textFill>
                  <w14:solidFill>
                    <w14:schemeClr w14:val="tx1"/>
                  </w14:solidFill>
                </w14:textFill>
              </w:rPr>
              <w:t>433.14</w:t>
            </w:r>
          </w:p>
        </w:tc>
      </w:tr>
    </w:tbl>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综述上表，管道天然气总用气量为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433.14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万标准立方米/年。</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）燃气输配系统规划</w:t>
      </w:r>
      <w:bookmarkEnd w:id="48"/>
      <w:bookmarkEnd w:id="49"/>
      <w:bookmarkEnd w:id="50"/>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2）供气方式</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工业设施用户供气方式根据用户需求，由市政燃气管网引进。</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3）管网规划</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燃气管网采用环状布置，直埋敷设。燃气管线布置于道路的人行道（绿化带）下，地下燃气管道与建筑物、构筑物或相邻管道之间的水平和垂直净距应符合国家相关规范要求。详见图6.</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燃气</w:t>
      </w:r>
      <w:r>
        <w:rPr>
          <w:rFonts w:ascii="宋体" w:hAnsi="宋体" w:eastAsia="宋体" w:cs="宋体"/>
          <w:color w:val="000000" w:themeColor="text1"/>
          <w:sz w:val="28"/>
          <w:szCs w:val="28"/>
          <w:shd w:val="clear" w:color="auto" w:fill="FFFFFF"/>
          <w:lang w:val="zh-CN"/>
          <w14:textFill>
            <w14:solidFill>
              <w14:schemeClr w14:val="tx1"/>
            </w14:solidFill>
          </w14:textFill>
        </w:rPr>
        <w:t>工程规划图</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3" w:hRule="atLeast"/>
          <w:jc w:val="center"/>
        </w:trPr>
        <w:tc>
          <w:tcPr>
            <w:tcW w:w="9880" w:type="dxa"/>
          </w:tcPr>
          <w:p>
            <w:pPr>
              <w:spacing w:line="360" w:lineRule="auto"/>
              <w:jc w:val="center"/>
              <w:rPr>
                <w:rFonts w:ascii="宋体" w:hAnsi="宋体" w:eastAsia="宋体" w:cs="宋体"/>
                <w:b/>
                <w:color w:val="000000" w:themeColor="text1"/>
                <w:sz w:val="24"/>
                <w:shd w:val="clear" w:color="auto" w:fill="FFFFFF"/>
                <w14:textFill>
                  <w14:solidFill>
                    <w14:schemeClr w14:val="tx1"/>
                  </w14:solidFill>
                </w14:textFill>
              </w:rPr>
            </w:pPr>
            <w:r>
              <w:rPr>
                <w:rFonts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6009640" cy="3443605"/>
                  <wp:effectExtent l="0" t="0" r="0" b="0"/>
                  <wp:docPr id="73" name="图片 73" descr="E:\2023年\工业园区\工业园区最终成果\罗汉山工业园区成果\规划图\规划图纸文本说明书\规划\22燃气工程规划图.jpg22燃气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E:\2023年\工业园区\工业园区最终成果\罗汉山工业园区成果\规划图\规划图纸文本说明书\规划\22燃气工程规划图.jpg22燃气工程规划图"/>
                          <pic:cNvPicPr>
                            <a:picLocks noChangeAspect="1"/>
                          </pic:cNvPicPr>
                        </pic:nvPicPr>
                        <pic:blipFill>
                          <a:blip r:embed="rId34"/>
                          <a:srcRect t="13431" b="5459"/>
                          <a:stretch>
                            <a:fillRect/>
                          </a:stretch>
                        </pic:blipFill>
                        <pic:spPr>
                          <a:xfrm>
                            <a:off x="0" y="0"/>
                            <a:ext cx="6009640" cy="3443605"/>
                          </a:xfrm>
                          <a:prstGeom prst="rect">
                            <a:avLst/>
                          </a:prstGeom>
                          <a:ln>
                            <a:noFill/>
                          </a:ln>
                        </pic:spPr>
                      </pic:pic>
                    </a:graphicData>
                  </a:graphic>
                </wp:inline>
              </w:drawing>
            </w:r>
          </w:p>
          <w:p>
            <w:pPr>
              <w:spacing w:line="360" w:lineRule="auto"/>
              <w:jc w:val="center"/>
              <w:rPr>
                <w:rFonts w:hint="eastAsia" w:ascii="宋体" w:hAnsi="宋体" w:eastAsia="宋体" w:cs="宋体"/>
                <w:b/>
                <w:color w:val="000000" w:themeColor="text1"/>
                <w:sz w:val="24"/>
                <w:shd w:val="clear" w:color="auto" w:fill="FFFFFF"/>
                <w:lang w:val="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14:textFill>
                  <w14:solidFill>
                    <w14:schemeClr w14:val="tx1"/>
                  </w14:solidFill>
                </w14:textFill>
              </w:rPr>
              <w:t>6.</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10燃气工程规划</w:t>
            </w:r>
            <w:r>
              <w:rPr>
                <w:rFonts w:hint="eastAsia" w:ascii="宋体" w:hAnsi="宋体" w:eastAsia="宋体" w:cs="宋体"/>
                <w:b w:val="0"/>
                <w:bCs w:val="0"/>
                <w:color w:val="000000" w:themeColor="text1"/>
                <w:sz w:val="21"/>
                <w:szCs w:val="21"/>
                <w:shd w:val="clear" w:color="auto" w:fill="FFFFFF"/>
                <w:lang w:val="zh-CN" w:eastAsia="zh-CN"/>
                <w14:textFill>
                  <w14:solidFill>
                    <w14:schemeClr w14:val="tx1"/>
                  </w14:solidFill>
                </w14:textFill>
              </w:rPr>
              <w:t>图</w:t>
            </w:r>
          </w:p>
        </w:tc>
      </w:tr>
    </w:tbl>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工程管线综合规划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51" w:name="_Toc317754673"/>
      <w:bookmarkStart w:id="52" w:name="_Toc346179193"/>
      <w:bookmarkStart w:id="53" w:name="_Toc385411833"/>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）规划原则</w:t>
      </w:r>
      <w:bookmarkEnd w:id="51"/>
      <w:bookmarkEnd w:id="52"/>
      <w:bookmarkEnd w:id="53"/>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1）沿城市道路规划的工程管线应与道路中心线平行，其主干线应靠近分支管线多的一侧，工程管线不宜从道路一侧转到另一侧。</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2）道路红线宽度超过</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米的城市干道宜两侧布置给水</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配</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水管线、燃气配气管线</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和</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排水管线。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3）电缆沿输送易燃气体的管道敷设时，应配置在危险程度较低的管道一侧，且应符合下列规定：</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易燃气体比空气重时，电缆宜在管道上方；</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易燃气体比空气轻时，电缆宜在管道下方。</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各种工程管线不应在垂直方向上重叠直埋敷设。</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当工程管线竖向位置发生矛盾时，宜按下列规定处理：</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压力管线让重力自流管线；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管径小的管线让管径大的管线；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可弯曲的管线让不易弯曲的管线；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8.</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分支管线让主干管线；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9.</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工程量小的管线让工程量大的管线；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新建的管线让现有的管线；</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54" w:name="_Toc385411834"/>
      <w:bookmarkStart w:id="55" w:name="_Toc346179194"/>
      <w:bookmarkStart w:id="56" w:name="_Toc317754674"/>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）工程管线平面综合</w:t>
      </w:r>
      <w:bookmarkEnd w:id="54"/>
      <w:bookmarkEnd w:id="55"/>
      <w:bookmarkEnd w:id="56"/>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根据《城市工程管线综合规划规范》,结合本区域的工程习惯和实际情况进行规划，并与道路交通工程、给水工程、排水工程、电力工程、通信工程、燃气工程、热力工程等专业相协调。</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1）给水管线：布置于道路北侧或西侧的人行道（绿化带）下；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2）污水管线：布置于道路东侧或南侧的（非）机动车道下；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3）雨水管线：布置于道路北侧或西侧的（非）机动车道下；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4）电力管线：布置于道路北侧或西侧的人行道（绿化带）下；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5）通信管线：布置于道路东侧或南侧的人行道（绿化带）下；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6）燃气管线：布置于道路东侧或南侧的人行道（绿化带）下；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7）各类工程管线从道路红线向道路中心线方向平行布置，其排列次序如下：</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东（南）侧——通信、燃气、污水</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西（北）侧——电力、给水、污水。</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以上各类工程管线的管位原则上应符合《城市工程管线综合规划规范》的规定，同时也应考虑普遍适用及长期的工程习惯。 </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应根据各类工程管线的不同特性和设置要求综合布置。各类工程管线之间及其与建筑物之间的最小水平净距，应符合下表的规定：</w:t>
      </w:r>
    </w:p>
    <w:p>
      <w:pPr>
        <w:spacing w:line="360" w:lineRule="auto"/>
        <w:jc w:val="center"/>
        <w:rPr>
          <w:b/>
          <w:sz w:val="24"/>
        </w:rPr>
      </w:pPr>
      <w:r>
        <w:rPr>
          <w:rFonts w:hint="eastAsia"/>
          <w:b/>
          <w:sz w:val="24"/>
        </w:rPr>
        <w:t>表6.</w:t>
      </w:r>
      <w:r>
        <w:rPr>
          <w:b/>
          <w:sz w:val="24"/>
        </w:rPr>
        <w:t>7</w:t>
      </w:r>
      <w:r>
        <w:rPr>
          <w:rFonts w:hint="eastAsia"/>
          <w:b/>
          <w:sz w:val="24"/>
        </w:rPr>
        <w:t>工程管线</w:t>
      </w:r>
      <w:r>
        <w:rPr>
          <w:b/>
          <w:sz w:val="24"/>
        </w:rPr>
        <w:t>之间</w:t>
      </w:r>
      <w:r>
        <w:rPr>
          <w:rFonts w:hint="eastAsia"/>
          <w:b/>
          <w:sz w:val="24"/>
        </w:rPr>
        <w:t>及其与建筑物之间的</w:t>
      </w:r>
      <w:r>
        <w:rPr>
          <w:b/>
          <w:sz w:val="24"/>
        </w:rPr>
        <w:t>最小水平净距(m)</w:t>
      </w:r>
    </w:p>
    <w:tbl>
      <w:tblPr>
        <w:tblStyle w:val="12"/>
        <w:tblW w:w="10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669"/>
        <w:gridCol w:w="837"/>
        <w:gridCol w:w="1123"/>
        <w:gridCol w:w="990"/>
        <w:gridCol w:w="989"/>
        <w:gridCol w:w="825"/>
        <w:gridCol w:w="826"/>
        <w:gridCol w:w="829"/>
        <w:gridCol w:w="824"/>
        <w:gridCol w:w="825"/>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Merge w:val="restart"/>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序号</w:t>
            </w:r>
          </w:p>
        </w:tc>
        <w:tc>
          <w:tcPr>
            <w:tcW w:w="1506" w:type="dxa"/>
            <w:gridSpan w:val="2"/>
            <w:vMerge w:val="restart"/>
            <w:tcBorders>
              <w:bottom w:val="single" w:color="auto" w:sz="4" w:space="0"/>
            </w:tcBorders>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管线名称</w:t>
            </w:r>
          </w:p>
        </w:tc>
        <w:tc>
          <w:tcPr>
            <w:tcW w:w="1123" w:type="dxa"/>
            <w:vMerge w:val="restart"/>
            <w:tcBorders>
              <w:bottom w:val="single" w:color="auto" w:sz="4" w:space="0"/>
            </w:tcBorders>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建筑物</w:t>
            </w:r>
          </w:p>
        </w:tc>
        <w:tc>
          <w:tcPr>
            <w:tcW w:w="990" w:type="dxa"/>
            <w:vMerge w:val="restart"/>
            <w:tcBorders>
              <w:bottom w:val="single" w:color="auto" w:sz="4" w:space="0"/>
            </w:tcBorders>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给水管</w:t>
            </w:r>
          </w:p>
        </w:tc>
        <w:tc>
          <w:tcPr>
            <w:tcW w:w="989" w:type="dxa"/>
            <w:vMerge w:val="restart"/>
            <w:tcBorders>
              <w:bottom w:val="single" w:color="auto" w:sz="4" w:space="0"/>
            </w:tcBorders>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排水管</w:t>
            </w:r>
          </w:p>
        </w:tc>
        <w:tc>
          <w:tcPr>
            <w:tcW w:w="2480" w:type="dxa"/>
            <w:gridSpan w:val="3"/>
            <w:tcBorders>
              <w:bottom w:val="single" w:color="auto" w:sz="4" w:space="0"/>
            </w:tcBorders>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燃气管</w:t>
            </w:r>
          </w:p>
        </w:tc>
        <w:tc>
          <w:tcPr>
            <w:tcW w:w="824" w:type="dxa"/>
            <w:vMerge w:val="restart"/>
            <w:tcBorders>
              <w:bottom w:val="single" w:color="auto" w:sz="4" w:space="0"/>
            </w:tcBorders>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电力</w:t>
            </w:r>
          </w:p>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电缆</w:t>
            </w:r>
          </w:p>
        </w:tc>
        <w:tc>
          <w:tcPr>
            <w:tcW w:w="825" w:type="dxa"/>
            <w:vMerge w:val="restart"/>
            <w:tcBorders>
              <w:bottom w:val="single" w:color="auto" w:sz="4" w:space="0"/>
            </w:tcBorders>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电信</w:t>
            </w:r>
          </w:p>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电缆</w:t>
            </w:r>
          </w:p>
        </w:tc>
        <w:tc>
          <w:tcPr>
            <w:tcW w:w="990" w:type="dxa"/>
            <w:vMerge w:val="restart"/>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热力管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Merge w:val="continue"/>
            <w:vAlign w:val="center"/>
          </w:tcPr>
          <w:p>
            <w:pPr>
              <w:widowControl/>
              <w:jc w:val="center"/>
              <w:textAlignment w:val="center"/>
              <w:rPr>
                <w:rFonts w:ascii="宋体" w:hAnsi="宋体" w:cs="宋体"/>
                <w:color w:val="000000"/>
                <w:kern w:val="0"/>
                <w:sz w:val="24"/>
                <w:lang w:bidi="ar"/>
              </w:rPr>
            </w:pPr>
          </w:p>
        </w:tc>
        <w:tc>
          <w:tcPr>
            <w:tcW w:w="1506" w:type="dxa"/>
            <w:gridSpan w:val="2"/>
            <w:vMerge w:val="continue"/>
            <w:vAlign w:val="center"/>
          </w:tcPr>
          <w:p>
            <w:pPr>
              <w:widowControl/>
              <w:jc w:val="center"/>
              <w:textAlignment w:val="center"/>
              <w:rPr>
                <w:rFonts w:ascii="宋体" w:hAnsi="宋体" w:cs="宋体"/>
                <w:color w:val="000000"/>
                <w:kern w:val="0"/>
                <w:sz w:val="24"/>
                <w:lang w:bidi="ar"/>
              </w:rPr>
            </w:pPr>
          </w:p>
        </w:tc>
        <w:tc>
          <w:tcPr>
            <w:tcW w:w="1123" w:type="dxa"/>
            <w:vMerge w:val="continue"/>
            <w:vAlign w:val="center"/>
          </w:tcPr>
          <w:p>
            <w:pPr>
              <w:widowControl/>
              <w:jc w:val="center"/>
              <w:textAlignment w:val="center"/>
              <w:rPr>
                <w:rFonts w:ascii="宋体" w:hAnsi="宋体" w:cs="宋体"/>
                <w:color w:val="000000"/>
                <w:kern w:val="0"/>
                <w:sz w:val="24"/>
                <w:lang w:bidi="ar"/>
              </w:rPr>
            </w:pPr>
          </w:p>
        </w:tc>
        <w:tc>
          <w:tcPr>
            <w:tcW w:w="990" w:type="dxa"/>
            <w:vMerge w:val="continue"/>
            <w:vAlign w:val="center"/>
          </w:tcPr>
          <w:p>
            <w:pPr>
              <w:widowControl/>
              <w:jc w:val="center"/>
              <w:textAlignment w:val="center"/>
              <w:rPr>
                <w:rFonts w:ascii="宋体" w:hAnsi="宋体" w:cs="宋体"/>
                <w:color w:val="000000"/>
                <w:kern w:val="0"/>
                <w:sz w:val="24"/>
                <w:lang w:bidi="ar"/>
              </w:rPr>
            </w:pPr>
          </w:p>
        </w:tc>
        <w:tc>
          <w:tcPr>
            <w:tcW w:w="989" w:type="dxa"/>
            <w:vMerge w:val="continue"/>
            <w:vAlign w:val="center"/>
          </w:tcPr>
          <w:p>
            <w:pPr>
              <w:widowControl/>
              <w:jc w:val="center"/>
              <w:textAlignment w:val="center"/>
              <w:rPr>
                <w:rFonts w:ascii="宋体" w:hAnsi="宋体" w:cs="宋体"/>
                <w:color w:val="000000"/>
                <w:kern w:val="0"/>
                <w:sz w:val="24"/>
                <w:lang w:bidi="ar"/>
              </w:rPr>
            </w:pPr>
          </w:p>
        </w:tc>
        <w:tc>
          <w:tcPr>
            <w:tcW w:w="825" w:type="dxa"/>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低压</w:t>
            </w:r>
          </w:p>
        </w:tc>
        <w:tc>
          <w:tcPr>
            <w:tcW w:w="826" w:type="dxa"/>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中压</w:t>
            </w:r>
          </w:p>
        </w:tc>
        <w:tc>
          <w:tcPr>
            <w:tcW w:w="829" w:type="dxa"/>
            <w:vAlign w:val="center"/>
          </w:tcPr>
          <w:p>
            <w:pPr>
              <w:widowControl/>
              <w:jc w:val="center"/>
              <w:textAlignment w:val="center"/>
              <w:rPr>
                <w:rFonts w:ascii="宋体" w:hAnsi="宋体" w:cs="宋体"/>
                <w:b/>
                <w:color w:val="000000"/>
                <w:kern w:val="0"/>
                <w:sz w:val="24"/>
                <w:lang w:bidi="ar"/>
              </w:rPr>
            </w:pPr>
            <w:r>
              <w:rPr>
                <w:rFonts w:hint="eastAsia" w:ascii="宋体" w:hAnsi="宋体" w:cs="宋体"/>
                <w:b/>
                <w:color w:val="000000"/>
                <w:kern w:val="0"/>
                <w:sz w:val="24"/>
                <w:lang w:bidi="ar"/>
              </w:rPr>
              <w:t>高压</w:t>
            </w:r>
          </w:p>
        </w:tc>
        <w:tc>
          <w:tcPr>
            <w:tcW w:w="824" w:type="dxa"/>
            <w:vMerge w:val="continue"/>
            <w:vAlign w:val="center"/>
          </w:tcPr>
          <w:p>
            <w:pPr>
              <w:widowControl/>
              <w:jc w:val="center"/>
              <w:textAlignment w:val="center"/>
              <w:rPr>
                <w:rFonts w:ascii="宋体" w:hAnsi="宋体" w:cs="宋体"/>
                <w:color w:val="000000"/>
                <w:kern w:val="0"/>
                <w:sz w:val="24"/>
                <w:lang w:bidi="ar"/>
              </w:rPr>
            </w:pPr>
          </w:p>
        </w:tc>
        <w:tc>
          <w:tcPr>
            <w:tcW w:w="825" w:type="dxa"/>
            <w:vMerge w:val="continue"/>
            <w:vAlign w:val="center"/>
          </w:tcPr>
          <w:p>
            <w:pPr>
              <w:widowControl/>
              <w:jc w:val="center"/>
              <w:textAlignment w:val="center"/>
              <w:rPr>
                <w:rFonts w:ascii="宋体" w:hAnsi="宋体" w:cs="宋体"/>
                <w:color w:val="000000"/>
                <w:kern w:val="0"/>
                <w:sz w:val="24"/>
                <w:lang w:bidi="ar"/>
              </w:rPr>
            </w:pPr>
          </w:p>
        </w:tc>
        <w:tc>
          <w:tcPr>
            <w:tcW w:w="990" w:type="dxa"/>
            <w:vMerge w:val="continue"/>
            <w:vAlign w:val="center"/>
          </w:tcPr>
          <w:p>
            <w:pPr>
              <w:widowControl/>
              <w:jc w:val="center"/>
              <w:textAlignment w:val="center"/>
              <w:rPr>
                <w:rFonts w:ascii="宋体" w:hAnsi="宋体" w:cs="宋体"/>
                <w:color w:val="00000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506" w:type="dxa"/>
            <w:gridSpan w:val="2"/>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建筑物</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3.0</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0.7</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4.0</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506" w:type="dxa"/>
            <w:gridSpan w:val="2"/>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给水管</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3.0</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1651" w:type="dxa"/>
            <w:gridSpan w:val="2"/>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3</w:t>
            </w:r>
          </w:p>
        </w:tc>
        <w:tc>
          <w:tcPr>
            <w:tcW w:w="1506" w:type="dxa"/>
            <w:gridSpan w:val="2"/>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排水管</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2.5</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1.2</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Merge w:val="restart"/>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4</w:t>
            </w:r>
          </w:p>
        </w:tc>
        <w:tc>
          <w:tcPr>
            <w:tcW w:w="669" w:type="dxa"/>
            <w:vMerge w:val="restart"/>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燃</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气</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管</w:t>
            </w:r>
          </w:p>
        </w:tc>
        <w:tc>
          <w:tcPr>
            <w:tcW w:w="837"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低压</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0.7</w:t>
            </w:r>
          </w:p>
        </w:tc>
        <w:tc>
          <w:tcPr>
            <w:tcW w:w="990" w:type="dxa"/>
            <w:vMerge w:val="restart"/>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Merge w:val="continue"/>
            <w:vAlign w:val="center"/>
          </w:tcPr>
          <w:p>
            <w:pPr>
              <w:widowControl/>
              <w:jc w:val="center"/>
              <w:textAlignment w:val="center"/>
              <w:rPr>
                <w:rFonts w:ascii="宋体" w:hAnsi="宋体" w:cs="宋体"/>
                <w:color w:val="000000"/>
                <w:kern w:val="0"/>
                <w:sz w:val="24"/>
                <w:lang w:bidi="ar"/>
              </w:rPr>
            </w:pPr>
          </w:p>
        </w:tc>
        <w:tc>
          <w:tcPr>
            <w:tcW w:w="669" w:type="dxa"/>
            <w:vMerge w:val="continue"/>
            <w:vAlign w:val="center"/>
          </w:tcPr>
          <w:p>
            <w:pPr>
              <w:widowControl/>
              <w:jc w:val="center"/>
              <w:textAlignment w:val="center"/>
              <w:rPr>
                <w:rFonts w:ascii="宋体" w:hAnsi="宋体" w:cs="宋体"/>
                <w:color w:val="000000"/>
                <w:kern w:val="0"/>
                <w:sz w:val="24"/>
                <w:lang w:bidi="ar"/>
              </w:rPr>
            </w:pPr>
          </w:p>
        </w:tc>
        <w:tc>
          <w:tcPr>
            <w:tcW w:w="837"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中压</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990" w:type="dxa"/>
            <w:vMerge w:val="continue"/>
            <w:vAlign w:val="center"/>
          </w:tcPr>
          <w:p>
            <w:pPr>
              <w:widowControl/>
              <w:jc w:val="center"/>
              <w:textAlignment w:val="center"/>
              <w:rPr>
                <w:rFonts w:ascii="宋体" w:hAnsi="宋体" w:cs="宋体"/>
                <w:color w:val="000000"/>
                <w:kern w:val="0"/>
                <w:sz w:val="24"/>
                <w:lang w:bidi="ar"/>
              </w:rPr>
            </w:pP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1.2</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Merge w:val="continue"/>
            <w:vAlign w:val="center"/>
          </w:tcPr>
          <w:p>
            <w:pPr>
              <w:widowControl/>
              <w:jc w:val="center"/>
              <w:textAlignment w:val="center"/>
              <w:rPr>
                <w:rFonts w:ascii="宋体" w:hAnsi="宋体" w:cs="宋体"/>
                <w:color w:val="000000"/>
                <w:kern w:val="0"/>
                <w:sz w:val="24"/>
                <w:lang w:bidi="ar"/>
              </w:rPr>
            </w:pPr>
          </w:p>
        </w:tc>
        <w:tc>
          <w:tcPr>
            <w:tcW w:w="669" w:type="dxa"/>
            <w:vMerge w:val="continue"/>
            <w:vAlign w:val="center"/>
          </w:tcPr>
          <w:p>
            <w:pPr>
              <w:widowControl/>
              <w:jc w:val="center"/>
              <w:textAlignment w:val="center"/>
              <w:rPr>
                <w:rFonts w:ascii="宋体" w:hAnsi="宋体" w:cs="宋体"/>
                <w:color w:val="000000"/>
                <w:kern w:val="0"/>
                <w:sz w:val="24"/>
                <w:lang w:bidi="ar"/>
              </w:rPr>
            </w:pPr>
          </w:p>
        </w:tc>
        <w:tc>
          <w:tcPr>
            <w:tcW w:w="837"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高压</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5</w:t>
            </w:r>
          </w:p>
        </w:tc>
        <w:tc>
          <w:tcPr>
            <w:tcW w:w="1506" w:type="dxa"/>
            <w:gridSpan w:val="2"/>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电力电缆</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6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6</w:t>
            </w:r>
          </w:p>
        </w:tc>
        <w:tc>
          <w:tcPr>
            <w:tcW w:w="1506" w:type="dxa"/>
            <w:gridSpan w:val="2"/>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电信电缆</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0.5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6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1506" w:type="dxa"/>
            <w:gridSpan w:val="2"/>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热力管</w:t>
            </w:r>
          </w:p>
        </w:tc>
        <w:tc>
          <w:tcPr>
            <w:tcW w:w="1123"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2.5</w:t>
            </w:r>
          </w:p>
        </w:tc>
        <w:tc>
          <w:tcPr>
            <w:tcW w:w="990"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98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1.5</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6"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829"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w:t>
            </w:r>
          </w:p>
        </w:tc>
        <w:tc>
          <w:tcPr>
            <w:tcW w:w="824"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2.0</w:t>
            </w:r>
          </w:p>
        </w:tc>
        <w:tc>
          <w:tcPr>
            <w:tcW w:w="825" w:type="dxa"/>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1.0</w:t>
            </w:r>
          </w:p>
        </w:tc>
        <w:tc>
          <w:tcPr>
            <w:tcW w:w="990" w:type="dxa"/>
            <w:vAlign w:val="center"/>
          </w:tcPr>
          <w:p>
            <w:pPr>
              <w:widowControl/>
              <w:jc w:val="center"/>
              <w:textAlignment w:val="center"/>
              <w:rPr>
                <w:rFonts w:ascii="宋体" w:hAnsi="宋体" w:cs="宋体"/>
                <w:color w:val="000000"/>
                <w:kern w:val="0"/>
                <w:sz w:val="24"/>
                <w:lang w:bidi="ar"/>
              </w:rPr>
            </w:pPr>
          </w:p>
        </w:tc>
      </w:tr>
    </w:tbl>
    <w:p>
      <w:pPr>
        <w:spacing w:line="360" w:lineRule="auto"/>
        <w:ind w:firstLine="480" w:firstLineChars="200"/>
        <w:rPr>
          <w:rFonts w:ascii="宋体" w:hAnsi="宋体" w:cs="宋体"/>
          <w:sz w:val="24"/>
          <w:lang w:bidi="zh-CN"/>
        </w:rPr>
      </w:pPr>
      <w:r>
        <w:rPr>
          <w:rFonts w:hint="eastAsia" w:ascii="宋体" w:hAnsi="宋体" w:cs="宋体"/>
          <w:sz w:val="24"/>
          <w:lang w:bidi="zh-CN"/>
        </w:rPr>
        <w:t>注：当受道路宽度、断面及现状工程管线位置等因素限制难以满足要求时，可根据实际情况采取安全措施后减少其最小水平净距。</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57" w:name="_Toc317754675"/>
      <w:bookmarkStart w:id="58" w:name="_Toc346179195"/>
      <w:bookmarkStart w:id="59" w:name="_Toc385411835"/>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）工程管线竖向综合</w:t>
      </w:r>
      <w:bookmarkEnd w:id="57"/>
      <w:bookmarkEnd w:id="58"/>
      <w:bookmarkEnd w:id="59"/>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1）当工程管线交叉敷设时，自地表面向下的排列顺序宜为：电力管线、</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通</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信管线、热力管线、燃气管线、给水管线、雨水排水管线、污水排水管线。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2）根据各类工程管线的不同特性和设置要求综合布置。各类工程管线交叉时的最小垂直净距，应符合下表的规定：</w:t>
      </w:r>
    </w:p>
    <w:p>
      <w:pPr>
        <w:spacing w:line="360" w:lineRule="auto"/>
        <w:jc w:val="center"/>
        <w:rPr>
          <w:b/>
          <w:sz w:val="24"/>
        </w:rPr>
      </w:pPr>
      <w:r>
        <w:rPr>
          <w:rFonts w:hint="eastAsia"/>
          <w:b/>
          <w:sz w:val="24"/>
        </w:rPr>
        <w:t>表</w:t>
      </w:r>
      <w:r>
        <w:rPr>
          <w:b/>
          <w:sz w:val="24"/>
        </w:rPr>
        <w:t>6.8工程管线交叉时的最小垂直净距（m)</w:t>
      </w:r>
    </w:p>
    <w:tbl>
      <w:tblPr>
        <w:tblStyle w:val="12"/>
        <w:tblW w:w="1037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914"/>
        <w:gridCol w:w="2053"/>
        <w:gridCol w:w="1304"/>
        <w:gridCol w:w="784"/>
        <w:gridCol w:w="784"/>
        <w:gridCol w:w="785"/>
        <w:gridCol w:w="784"/>
        <w:gridCol w:w="784"/>
        <w:gridCol w:w="786"/>
        <w:gridCol w:w="784"/>
        <w:gridCol w:w="6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Merge w:val="restart"/>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序号</w:t>
            </w:r>
          </w:p>
        </w:tc>
        <w:tc>
          <w:tcPr>
            <w:tcW w:w="3357" w:type="dxa"/>
            <w:gridSpan w:val="2"/>
            <w:vMerge w:val="restart"/>
            <w:vAlign w:val="center"/>
          </w:tcPr>
          <w:p>
            <w:pPr>
              <w:widowControl/>
              <w:ind w:firstLine="420"/>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rPr>
              <mc:AlternateContent>
                <mc:Choice Requires="wps">
                  <w:drawing>
                    <wp:anchor distT="0" distB="0" distL="114300" distR="114300" simplePos="0" relativeHeight="251659264" behindDoc="0" locked="0" layoutInCell="1" allowOverlap="1">
                      <wp:simplePos x="0" y="0"/>
                      <wp:positionH relativeFrom="column">
                        <wp:posOffset>572770</wp:posOffset>
                      </wp:positionH>
                      <wp:positionV relativeFrom="paragraph">
                        <wp:posOffset>-635</wp:posOffset>
                      </wp:positionV>
                      <wp:extent cx="1115060" cy="1037590"/>
                      <wp:effectExtent l="3175" t="3175" r="5715" b="6985"/>
                      <wp:wrapNone/>
                      <wp:docPr id="41" name="直接连接符 41"/>
                      <wp:cNvGraphicFramePr/>
                      <a:graphic xmlns:a="http://schemas.openxmlformats.org/drawingml/2006/main">
                        <a:graphicData uri="http://schemas.microsoft.com/office/word/2010/wordprocessingShape">
                          <wps:wsp>
                            <wps:cNvCnPr>
                              <a:cxnSpLocks noChangeShapeType="1"/>
                            </wps:cNvCnPr>
                            <wps:spPr bwMode="auto">
                              <a:xfrm>
                                <a:off x="0" y="0"/>
                                <a:ext cx="1115060" cy="103759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1pt;margin-top:-0.05pt;height:81.7pt;width:87.8pt;z-index:251659264;mso-width-relative:page;mso-height-relative:page;" filled="f" stroked="t" coordsize="21600,21600" o:gfxdata="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GE&#10;6tYAAAAIAQAADwAAAAAAAAABACAAAAAiAAAAZHJzL2Rvd25yZXYueG1sUEsBAhQAFAAAAAgAh07i&#10;QJacP6LrAQAAsgMAAA4AAAAAAAAAAQAgAAAAJQEAAGRycy9lMm9Eb2MueG1sUEsFBgAAAAAGAAYA&#10;WQEAAIIFAAAAAA==&#10;">
                      <v:fill on="f" focussize="0,0"/>
                      <v:stroke color="#000000" joinstyle="round"/>
                      <v:imagedata o:title=""/>
                      <o:lock v:ext="edit" aspectratio="f"/>
                    </v:line>
                  </w:pict>
                </mc:Fallback>
              </mc:AlternateContent>
            </w:r>
            <w:r>
              <w:rPr>
                <w:rFonts w:hint="eastAsia" w:ascii="宋体" w:hAnsi="宋体" w:eastAsia="宋体" w:cs="宋体"/>
                <w:b/>
                <w:color w:val="000000"/>
                <w:kern w:val="0"/>
                <w:sz w:val="24"/>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50165</wp:posOffset>
                      </wp:positionV>
                      <wp:extent cx="666750" cy="54991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666750" cy="549910"/>
                              </a:xfrm>
                              <a:prstGeom prst="rect">
                                <a:avLst/>
                              </a:prstGeom>
                              <a:noFill/>
                              <a:ln>
                                <a:noFill/>
                              </a:ln>
                            </wps:spPr>
                            <wps:txbx>
                              <w:txbxContent>
                                <w:p>
                                  <w:pPr>
                                    <w:ind w:left="422" w:hanging="422" w:hangingChars="200"/>
                                    <w:rPr>
                                      <w:b/>
                                      <w:szCs w:val="21"/>
                                    </w:rPr>
                                  </w:pPr>
                                  <w:r>
                                    <w:rPr>
                                      <w:rFonts w:hint="eastAsia"/>
                                      <w:b/>
                                      <w:szCs w:val="21"/>
                                    </w:rPr>
                                    <w:t>下面的管线名称</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pt;margin-top:3.95pt;height:43.3pt;width:52.5pt;z-index:251661312;mso-width-relative:page;mso-height-relative:page;" filled="f" stroked="f" coordsize="21600,21600" o:gfxdata="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YMhe1gAAAAgBAAAPAAAAAAAAAAEAIAAA&#10;ACIAAABkcnMvZG93bnJldi54bWxQSwECFAAUAAAACACHTuJAe3fZcA4CAAAGBAAADgAAAAAAAAAB&#10;ACAAAAAlAQAAZHJzL2Uyb0RvYy54bWxQSwUGAAAAAAYABgBZAQAApQUAAAAA&#10;">
                      <v:fill on="f" focussize="0,0"/>
                      <v:stroke on="f"/>
                      <v:imagedata o:title=""/>
                      <o:lock v:ext="edit" aspectratio="f"/>
                      <v:textbox inset="0mm,0mm,0mm,0mm">
                        <w:txbxContent>
                          <w:p>
                            <w:pPr>
                              <w:ind w:left="422" w:hanging="422" w:hangingChars="200"/>
                              <w:rPr>
                                <w:b/>
                                <w:szCs w:val="21"/>
                              </w:rPr>
                            </w:pPr>
                            <w:r>
                              <w:rPr>
                                <w:rFonts w:hint="eastAsia"/>
                                <w:b/>
                                <w:szCs w:val="21"/>
                              </w:rPr>
                              <w:t>下面的管线名称</w:t>
                            </w:r>
                          </w:p>
                        </w:txbxContent>
                      </v:textbox>
                    </v:shape>
                  </w:pict>
                </mc:Fallback>
              </mc:AlternateContent>
            </w:r>
          </w:p>
          <w:p>
            <w:pPr>
              <w:widowControl/>
              <w:ind w:firstLine="420"/>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46355</wp:posOffset>
                      </wp:positionV>
                      <wp:extent cx="1691005" cy="798830"/>
                      <wp:effectExtent l="1905" t="4445" r="2540" b="15875"/>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691005" cy="79883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15pt;margin-top:3.65pt;height:62.9pt;width:133.15pt;z-index:251660288;mso-width-relative:page;mso-height-relative:page;" filled="f" stroked="t" coordsize="21600,21600" o:gfxdata="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ipTzZ&#10;1AAAAAYBAAAPAAAAAAAAAAEAIAAAACIAAABkcnMvZG93bnJldi54bWxQSwECFAAUAAAACACHTuJA&#10;rCH7GOwBAACxAwAADgAAAAAAAAABACAAAAAjAQAAZHJzL2Uyb0RvYy54bWxQSwUGAAAAAAYABgBZ&#10;AQAAgQUAAAAA&#10;">
                      <v:fill on="f" focussize="0,0"/>
                      <v:stroke color="#000000" joinstyle="round"/>
                      <v:imagedata o:title=""/>
                      <o:lock v:ext="edit" aspectratio="f"/>
                    </v:line>
                  </w:pict>
                </mc:Fallback>
              </mc:AlternateContent>
            </w:r>
            <w:r>
              <w:rPr>
                <w:rFonts w:hint="eastAsia" w:ascii="宋体" w:hAnsi="宋体" w:eastAsia="宋体" w:cs="宋体"/>
                <w:b/>
                <w:color w:val="000000"/>
                <w:kern w:val="0"/>
                <w:sz w:val="24"/>
                <w:lang w:bidi="ar"/>
              </w:rPr>
              <w:t>净距（m）</w:t>
            </w:r>
          </w:p>
          <w:p>
            <w:pPr>
              <w:widowControl/>
              <w:ind w:firstLine="420"/>
              <w:jc w:val="center"/>
              <w:textAlignment w:val="center"/>
              <w:rPr>
                <w:rFonts w:ascii="宋体" w:hAnsi="宋体" w:eastAsia="宋体" w:cs="宋体"/>
                <w:b/>
                <w:color w:val="000000"/>
                <w:kern w:val="0"/>
                <w:sz w:val="24"/>
                <w:lang w:bidi="ar"/>
              </w:rPr>
            </w:pPr>
          </w:p>
          <w:p>
            <w:pPr>
              <w:widowControl/>
              <w:ind w:firstLine="420"/>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上面的</w:t>
            </w:r>
          </w:p>
          <w:p>
            <w:pPr>
              <w:widowControl/>
              <w:ind w:firstLine="420"/>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管线名称</w:t>
            </w:r>
          </w:p>
        </w:tc>
        <w:tc>
          <w:tcPr>
            <w:tcW w:w="784"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1</w:t>
            </w:r>
          </w:p>
        </w:tc>
        <w:tc>
          <w:tcPr>
            <w:tcW w:w="784"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2</w:t>
            </w:r>
          </w:p>
        </w:tc>
        <w:tc>
          <w:tcPr>
            <w:tcW w:w="785"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3</w:t>
            </w:r>
          </w:p>
        </w:tc>
        <w:tc>
          <w:tcPr>
            <w:tcW w:w="784"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4</w:t>
            </w:r>
          </w:p>
        </w:tc>
        <w:tc>
          <w:tcPr>
            <w:tcW w:w="1570" w:type="dxa"/>
            <w:gridSpan w:val="2"/>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5</w:t>
            </w:r>
          </w:p>
        </w:tc>
        <w:tc>
          <w:tcPr>
            <w:tcW w:w="1398" w:type="dxa"/>
            <w:gridSpan w:val="2"/>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Merge w:val="continue"/>
            <w:vAlign w:val="center"/>
          </w:tcPr>
          <w:p>
            <w:pPr>
              <w:widowControl/>
              <w:jc w:val="center"/>
              <w:textAlignment w:val="center"/>
              <w:rPr>
                <w:rFonts w:ascii="宋体" w:hAnsi="宋体" w:eastAsia="宋体" w:cs="宋体"/>
                <w:b/>
                <w:color w:val="000000"/>
                <w:kern w:val="0"/>
                <w:sz w:val="24"/>
                <w:lang w:bidi="ar"/>
              </w:rPr>
            </w:pPr>
          </w:p>
        </w:tc>
        <w:tc>
          <w:tcPr>
            <w:tcW w:w="3357" w:type="dxa"/>
            <w:gridSpan w:val="2"/>
            <w:vMerge w:val="continue"/>
            <w:vAlign w:val="center"/>
          </w:tcPr>
          <w:p>
            <w:pPr>
              <w:widowControl/>
              <w:jc w:val="center"/>
              <w:textAlignment w:val="center"/>
              <w:rPr>
                <w:rFonts w:ascii="宋体" w:hAnsi="宋体" w:eastAsia="宋体" w:cs="宋体"/>
                <w:b/>
                <w:color w:val="000000"/>
                <w:kern w:val="0"/>
                <w:sz w:val="24"/>
                <w:lang w:bidi="ar"/>
              </w:rPr>
            </w:pPr>
          </w:p>
        </w:tc>
        <w:tc>
          <w:tcPr>
            <w:tcW w:w="784" w:type="dxa"/>
            <w:vMerge w:val="restart"/>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给水</w:t>
            </w:r>
          </w:p>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管线</w:t>
            </w:r>
          </w:p>
        </w:tc>
        <w:tc>
          <w:tcPr>
            <w:tcW w:w="784" w:type="dxa"/>
            <w:vMerge w:val="restart"/>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污、雨水</w:t>
            </w:r>
          </w:p>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排水管线</w:t>
            </w:r>
          </w:p>
        </w:tc>
        <w:tc>
          <w:tcPr>
            <w:tcW w:w="785" w:type="dxa"/>
            <w:vMerge w:val="restart"/>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热力</w:t>
            </w:r>
          </w:p>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管线</w:t>
            </w:r>
          </w:p>
        </w:tc>
        <w:tc>
          <w:tcPr>
            <w:tcW w:w="784" w:type="dxa"/>
            <w:vMerge w:val="restart"/>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燃气</w:t>
            </w:r>
          </w:p>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管线</w:t>
            </w:r>
          </w:p>
        </w:tc>
        <w:tc>
          <w:tcPr>
            <w:tcW w:w="1570" w:type="dxa"/>
            <w:gridSpan w:val="2"/>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电信管线</w:t>
            </w:r>
          </w:p>
        </w:tc>
        <w:tc>
          <w:tcPr>
            <w:tcW w:w="1398" w:type="dxa"/>
            <w:gridSpan w:val="2"/>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电力管线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16" w:hRule="atLeast"/>
          <w:jc w:val="center"/>
        </w:trPr>
        <w:tc>
          <w:tcPr>
            <w:tcW w:w="914" w:type="dxa"/>
            <w:vMerge w:val="continue"/>
            <w:vAlign w:val="center"/>
          </w:tcPr>
          <w:p>
            <w:pPr>
              <w:widowControl/>
              <w:jc w:val="center"/>
              <w:textAlignment w:val="center"/>
              <w:rPr>
                <w:rFonts w:ascii="宋体" w:hAnsi="宋体" w:eastAsia="宋体" w:cs="宋体"/>
                <w:b/>
                <w:color w:val="000000"/>
                <w:kern w:val="0"/>
                <w:sz w:val="24"/>
                <w:lang w:bidi="ar"/>
              </w:rPr>
            </w:pPr>
          </w:p>
        </w:tc>
        <w:tc>
          <w:tcPr>
            <w:tcW w:w="3357" w:type="dxa"/>
            <w:gridSpan w:val="2"/>
            <w:vMerge w:val="continue"/>
            <w:vAlign w:val="center"/>
          </w:tcPr>
          <w:p>
            <w:pPr>
              <w:widowControl/>
              <w:jc w:val="center"/>
              <w:textAlignment w:val="center"/>
              <w:rPr>
                <w:rFonts w:ascii="宋体" w:hAnsi="宋体" w:eastAsia="宋体" w:cs="宋体"/>
                <w:b/>
                <w:color w:val="000000"/>
                <w:kern w:val="0"/>
                <w:sz w:val="24"/>
                <w:lang w:bidi="ar"/>
              </w:rPr>
            </w:pPr>
          </w:p>
        </w:tc>
        <w:tc>
          <w:tcPr>
            <w:tcW w:w="784" w:type="dxa"/>
            <w:vMerge w:val="continue"/>
            <w:vAlign w:val="center"/>
          </w:tcPr>
          <w:p>
            <w:pPr>
              <w:widowControl/>
              <w:jc w:val="center"/>
              <w:textAlignment w:val="center"/>
              <w:rPr>
                <w:rFonts w:ascii="宋体" w:hAnsi="宋体" w:eastAsia="宋体" w:cs="宋体"/>
                <w:b/>
                <w:color w:val="000000"/>
                <w:kern w:val="0"/>
                <w:sz w:val="24"/>
                <w:lang w:bidi="ar"/>
              </w:rPr>
            </w:pPr>
          </w:p>
        </w:tc>
        <w:tc>
          <w:tcPr>
            <w:tcW w:w="784" w:type="dxa"/>
            <w:vMerge w:val="continue"/>
            <w:vAlign w:val="center"/>
          </w:tcPr>
          <w:p>
            <w:pPr>
              <w:widowControl/>
              <w:jc w:val="center"/>
              <w:textAlignment w:val="center"/>
              <w:rPr>
                <w:rFonts w:ascii="宋体" w:hAnsi="宋体" w:eastAsia="宋体" w:cs="宋体"/>
                <w:b/>
                <w:color w:val="000000"/>
                <w:kern w:val="0"/>
                <w:sz w:val="24"/>
                <w:lang w:bidi="ar"/>
              </w:rPr>
            </w:pPr>
          </w:p>
        </w:tc>
        <w:tc>
          <w:tcPr>
            <w:tcW w:w="785" w:type="dxa"/>
            <w:vMerge w:val="continue"/>
            <w:vAlign w:val="center"/>
          </w:tcPr>
          <w:p>
            <w:pPr>
              <w:widowControl/>
              <w:jc w:val="center"/>
              <w:textAlignment w:val="center"/>
              <w:rPr>
                <w:rFonts w:ascii="宋体" w:hAnsi="宋体" w:eastAsia="宋体" w:cs="宋体"/>
                <w:b/>
                <w:color w:val="000000"/>
                <w:kern w:val="0"/>
                <w:sz w:val="24"/>
                <w:lang w:bidi="ar"/>
              </w:rPr>
            </w:pPr>
          </w:p>
        </w:tc>
        <w:tc>
          <w:tcPr>
            <w:tcW w:w="784" w:type="dxa"/>
            <w:vMerge w:val="continue"/>
            <w:vAlign w:val="center"/>
          </w:tcPr>
          <w:p>
            <w:pPr>
              <w:widowControl/>
              <w:jc w:val="center"/>
              <w:textAlignment w:val="center"/>
              <w:rPr>
                <w:rFonts w:ascii="宋体" w:hAnsi="宋体" w:eastAsia="宋体" w:cs="宋体"/>
                <w:b/>
                <w:color w:val="000000"/>
                <w:kern w:val="0"/>
                <w:sz w:val="24"/>
                <w:lang w:bidi="ar"/>
              </w:rPr>
            </w:pPr>
          </w:p>
        </w:tc>
        <w:tc>
          <w:tcPr>
            <w:tcW w:w="784"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直埋</w:t>
            </w:r>
          </w:p>
        </w:tc>
        <w:tc>
          <w:tcPr>
            <w:tcW w:w="786"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管沟</w:t>
            </w:r>
          </w:p>
        </w:tc>
        <w:tc>
          <w:tcPr>
            <w:tcW w:w="784"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直埋</w:t>
            </w:r>
          </w:p>
        </w:tc>
        <w:tc>
          <w:tcPr>
            <w:tcW w:w="614" w:type="dxa"/>
            <w:vAlign w:val="center"/>
          </w:tcPr>
          <w:p>
            <w:pPr>
              <w:widowControl/>
              <w:jc w:val="center"/>
              <w:textAlignment w:val="center"/>
              <w:rPr>
                <w:rFonts w:ascii="宋体" w:hAnsi="宋体" w:eastAsia="宋体" w:cs="宋体"/>
                <w:b/>
                <w:color w:val="000000"/>
                <w:kern w:val="0"/>
                <w:sz w:val="24"/>
                <w:lang w:bidi="ar"/>
              </w:rPr>
            </w:pPr>
            <w:r>
              <w:rPr>
                <w:rFonts w:hint="eastAsia" w:ascii="宋体" w:hAnsi="宋体" w:eastAsia="宋体" w:cs="宋体"/>
                <w:b/>
                <w:color w:val="000000"/>
                <w:kern w:val="0"/>
                <w:sz w:val="24"/>
                <w:lang w:bidi="ar"/>
              </w:rPr>
              <w:t>管沟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1</w:t>
            </w:r>
          </w:p>
        </w:tc>
        <w:tc>
          <w:tcPr>
            <w:tcW w:w="3357" w:type="dxa"/>
            <w:gridSpan w:val="2"/>
            <w:vAlign w:val="center"/>
          </w:tcPr>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给水管线</w:t>
            </w:r>
          </w:p>
        </w:tc>
        <w:tc>
          <w:tcPr>
            <w:tcW w:w="784" w:type="dxa"/>
            <w:vAlign w:val="center"/>
          </w:tcPr>
          <w:p>
            <w:pPr>
              <w:jc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jc w:val="center"/>
              <w:rPr>
                <w:rFonts w:ascii="宋体" w:hAnsi="宋体" w:eastAsia="宋体" w:cs="宋体"/>
                <w:color w:val="000000"/>
                <w:kern w:val="0"/>
                <w:sz w:val="24"/>
                <w:lang w:bidi="ar"/>
              </w:rPr>
            </w:pPr>
          </w:p>
        </w:tc>
        <w:tc>
          <w:tcPr>
            <w:tcW w:w="785" w:type="dxa"/>
            <w:vAlign w:val="center"/>
          </w:tcPr>
          <w:p>
            <w:pPr>
              <w:jc w:val="center"/>
              <w:rPr>
                <w:rFonts w:ascii="宋体" w:hAnsi="宋体" w:eastAsia="宋体" w:cs="宋体"/>
                <w:color w:val="000000"/>
                <w:kern w:val="0"/>
                <w:sz w:val="24"/>
                <w:lang w:bidi="ar"/>
              </w:rPr>
            </w:pPr>
          </w:p>
        </w:tc>
        <w:tc>
          <w:tcPr>
            <w:tcW w:w="784" w:type="dxa"/>
            <w:vAlign w:val="center"/>
          </w:tcPr>
          <w:p>
            <w:pPr>
              <w:jc w:val="center"/>
              <w:rPr>
                <w:rFonts w:ascii="宋体" w:hAnsi="宋体" w:eastAsia="宋体" w:cs="宋体"/>
                <w:color w:val="000000"/>
                <w:kern w:val="0"/>
                <w:sz w:val="24"/>
                <w:lang w:bidi="ar"/>
              </w:rPr>
            </w:pPr>
          </w:p>
        </w:tc>
        <w:tc>
          <w:tcPr>
            <w:tcW w:w="784" w:type="dxa"/>
            <w:vAlign w:val="center"/>
          </w:tcPr>
          <w:p>
            <w:pPr>
              <w:jc w:val="center"/>
              <w:rPr>
                <w:rFonts w:ascii="宋体" w:hAnsi="宋体" w:eastAsia="宋体" w:cs="宋体"/>
                <w:color w:val="000000"/>
                <w:kern w:val="0"/>
                <w:sz w:val="24"/>
                <w:lang w:bidi="ar"/>
              </w:rPr>
            </w:pPr>
          </w:p>
        </w:tc>
        <w:tc>
          <w:tcPr>
            <w:tcW w:w="786" w:type="dxa"/>
            <w:vAlign w:val="center"/>
          </w:tcPr>
          <w:p>
            <w:pPr>
              <w:jc w:val="center"/>
              <w:rPr>
                <w:rFonts w:ascii="宋体" w:hAnsi="宋体" w:eastAsia="宋体" w:cs="宋体"/>
                <w:color w:val="000000"/>
                <w:kern w:val="0"/>
                <w:sz w:val="24"/>
                <w:lang w:bidi="ar"/>
              </w:rPr>
            </w:pPr>
          </w:p>
        </w:tc>
        <w:tc>
          <w:tcPr>
            <w:tcW w:w="784" w:type="dxa"/>
            <w:vAlign w:val="center"/>
          </w:tcPr>
          <w:p>
            <w:pPr>
              <w:jc w:val="center"/>
              <w:rPr>
                <w:rFonts w:ascii="宋体" w:hAnsi="宋体" w:eastAsia="宋体" w:cs="宋体"/>
                <w:color w:val="000000"/>
                <w:kern w:val="0"/>
                <w:sz w:val="24"/>
                <w:lang w:bidi="ar"/>
              </w:rPr>
            </w:pPr>
          </w:p>
        </w:tc>
        <w:tc>
          <w:tcPr>
            <w:tcW w:w="614" w:type="dxa"/>
            <w:vAlign w:val="center"/>
          </w:tcPr>
          <w:p>
            <w:pPr>
              <w:ind w:firstLine="420"/>
              <w:jc w:val="center"/>
              <w:rPr>
                <w:rFonts w:ascii="宋体" w:hAnsi="宋体" w:eastAsia="宋体" w:cs="宋体"/>
                <w:color w:val="000000"/>
                <w:kern w:val="0"/>
                <w:sz w:val="24"/>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2</w:t>
            </w:r>
          </w:p>
        </w:tc>
        <w:tc>
          <w:tcPr>
            <w:tcW w:w="3357" w:type="dxa"/>
            <w:gridSpan w:val="2"/>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污、雨水排水管线</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0.40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5" w:type="dxa"/>
            <w:vAlign w:val="center"/>
          </w:tcPr>
          <w:p>
            <w:pPr>
              <w:widowControl/>
              <w:jc w:val="center"/>
              <w:textAlignment w:val="center"/>
              <w:rPr>
                <w:rFonts w:ascii="宋体" w:hAnsi="宋体" w:eastAsia="宋体" w:cs="宋体"/>
                <w:color w:val="000000"/>
                <w:kern w:val="0"/>
                <w:sz w:val="24"/>
                <w:lang w:bidi="ar"/>
              </w:rPr>
            </w:pP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786" w:type="dxa"/>
            <w:vAlign w:val="center"/>
          </w:tcPr>
          <w:p>
            <w:pPr>
              <w:widowControl/>
              <w:jc w:val="center"/>
              <w:textAlignment w:val="center"/>
              <w:rPr>
                <w:rFonts w:ascii="宋体" w:hAnsi="宋体" w:eastAsia="宋体" w:cs="宋体"/>
                <w:color w:val="000000"/>
                <w:kern w:val="0"/>
                <w:sz w:val="24"/>
                <w:lang w:bidi="ar"/>
              </w:rPr>
            </w:pP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614" w:type="dxa"/>
            <w:vAlign w:val="center"/>
          </w:tcPr>
          <w:p>
            <w:pPr>
              <w:widowControl/>
              <w:ind w:firstLine="420"/>
              <w:jc w:val="center"/>
              <w:textAlignment w:val="center"/>
              <w:rPr>
                <w:rFonts w:ascii="宋体" w:hAnsi="宋体" w:eastAsia="宋体" w:cs="宋体"/>
                <w:color w:val="000000"/>
                <w:kern w:val="0"/>
                <w:sz w:val="24"/>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3</w:t>
            </w:r>
          </w:p>
        </w:tc>
        <w:tc>
          <w:tcPr>
            <w:tcW w:w="3357" w:type="dxa"/>
            <w:gridSpan w:val="2"/>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热力管线</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5"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786" w:type="dxa"/>
            <w:vAlign w:val="center"/>
          </w:tcPr>
          <w:p>
            <w:pPr>
              <w:widowControl/>
              <w:jc w:val="center"/>
              <w:textAlignment w:val="center"/>
              <w:rPr>
                <w:rFonts w:ascii="宋体" w:hAnsi="宋体" w:eastAsia="宋体" w:cs="宋体"/>
                <w:color w:val="000000"/>
                <w:kern w:val="0"/>
                <w:sz w:val="24"/>
                <w:lang w:bidi="ar"/>
              </w:rPr>
            </w:pP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614" w:type="dxa"/>
            <w:vAlign w:val="center"/>
          </w:tcPr>
          <w:p>
            <w:pPr>
              <w:widowControl/>
              <w:ind w:firstLine="420"/>
              <w:jc w:val="center"/>
              <w:textAlignment w:val="center"/>
              <w:rPr>
                <w:rFonts w:ascii="宋体" w:hAnsi="宋体" w:eastAsia="宋体" w:cs="宋体"/>
                <w:color w:val="000000"/>
                <w:kern w:val="0"/>
                <w:sz w:val="24"/>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4</w:t>
            </w:r>
          </w:p>
        </w:tc>
        <w:tc>
          <w:tcPr>
            <w:tcW w:w="3357" w:type="dxa"/>
            <w:gridSpan w:val="2"/>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燃气管线</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5"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ind w:firstLine="420"/>
              <w:jc w:val="center"/>
              <w:textAlignment w:val="center"/>
              <w:rPr>
                <w:rFonts w:ascii="宋体" w:hAnsi="宋体" w:eastAsia="宋体" w:cs="宋体"/>
                <w:color w:val="000000"/>
                <w:kern w:val="0"/>
                <w:sz w:val="24"/>
                <w:lang w:bidi="ar"/>
              </w:rPr>
            </w:pPr>
          </w:p>
        </w:tc>
        <w:tc>
          <w:tcPr>
            <w:tcW w:w="786" w:type="dxa"/>
            <w:vAlign w:val="center"/>
          </w:tcPr>
          <w:p>
            <w:pPr>
              <w:widowControl/>
              <w:jc w:val="center"/>
              <w:textAlignment w:val="center"/>
              <w:rPr>
                <w:rFonts w:ascii="宋体" w:hAnsi="宋体" w:eastAsia="宋体" w:cs="宋体"/>
                <w:color w:val="000000"/>
                <w:kern w:val="0"/>
                <w:sz w:val="24"/>
                <w:lang w:bidi="ar"/>
              </w:rPr>
            </w:pP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614" w:type="dxa"/>
            <w:vAlign w:val="center"/>
          </w:tcPr>
          <w:p>
            <w:pPr>
              <w:widowControl/>
              <w:ind w:firstLine="420"/>
              <w:jc w:val="center"/>
              <w:textAlignment w:val="center"/>
              <w:rPr>
                <w:rFonts w:ascii="宋体" w:hAnsi="宋体" w:eastAsia="宋体" w:cs="宋体"/>
                <w:color w:val="000000"/>
                <w:kern w:val="0"/>
                <w:sz w:val="24"/>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Merge w:val="restart"/>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5</w:t>
            </w:r>
          </w:p>
        </w:tc>
        <w:tc>
          <w:tcPr>
            <w:tcW w:w="2053" w:type="dxa"/>
            <w:vMerge w:val="restart"/>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电信管线</w:t>
            </w:r>
          </w:p>
        </w:tc>
        <w:tc>
          <w:tcPr>
            <w:tcW w:w="130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直埋</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5"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0.25</w:t>
            </w:r>
          </w:p>
        </w:tc>
        <w:tc>
          <w:tcPr>
            <w:tcW w:w="786"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0.25</w:t>
            </w:r>
          </w:p>
        </w:tc>
        <w:tc>
          <w:tcPr>
            <w:tcW w:w="784" w:type="dxa"/>
            <w:vAlign w:val="center"/>
          </w:tcPr>
          <w:p>
            <w:pPr>
              <w:widowControl/>
              <w:ind w:firstLine="420"/>
              <w:jc w:val="center"/>
              <w:textAlignment w:val="center"/>
              <w:rPr>
                <w:rFonts w:ascii="宋体" w:hAnsi="宋体" w:eastAsia="宋体" w:cs="宋体"/>
                <w:color w:val="000000"/>
                <w:kern w:val="0"/>
                <w:sz w:val="24"/>
                <w:lang w:bidi="ar"/>
              </w:rPr>
            </w:pPr>
          </w:p>
        </w:tc>
        <w:tc>
          <w:tcPr>
            <w:tcW w:w="614" w:type="dxa"/>
            <w:vAlign w:val="center"/>
          </w:tcPr>
          <w:p>
            <w:pPr>
              <w:widowControl/>
              <w:ind w:firstLine="420"/>
              <w:jc w:val="center"/>
              <w:textAlignment w:val="center"/>
              <w:rPr>
                <w:rFonts w:ascii="宋体" w:hAnsi="宋体" w:eastAsia="宋体" w:cs="宋体"/>
                <w:color w:val="000000"/>
                <w:kern w:val="0"/>
                <w:sz w:val="24"/>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Merge w:val="continue"/>
            <w:vAlign w:val="center"/>
          </w:tcPr>
          <w:p>
            <w:pPr>
              <w:widowControl/>
              <w:jc w:val="center"/>
              <w:textAlignment w:val="center"/>
              <w:rPr>
                <w:rFonts w:ascii="宋体" w:hAnsi="宋体" w:eastAsia="宋体" w:cs="宋体"/>
                <w:color w:val="000000"/>
                <w:kern w:val="0"/>
                <w:sz w:val="24"/>
                <w:lang w:bidi="ar"/>
              </w:rPr>
            </w:pPr>
          </w:p>
        </w:tc>
        <w:tc>
          <w:tcPr>
            <w:tcW w:w="2053" w:type="dxa"/>
            <w:vMerge w:val="continue"/>
            <w:vAlign w:val="center"/>
          </w:tcPr>
          <w:p>
            <w:pPr>
              <w:widowControl/>
              <w:jc w:val="center"/>
              <w:textAlignment w:val="center"/>
              <w:rPr>
                <w:rFonts w:ascii="宋体" w:hAnsi="宋体" w:eastAsia="宋体" w:cs="宋体"/>
                <w:color w:val="000000"/>
                <w:kern w:val="0"/>
                <w:sz w:val="24"/>
                <w:lang w:bidi="ar"/>
              </w:rPr>
            </w:pPr>
          </w:p>
        </w:tc>
        <w:tc>
          <w:tcPr>
            <w:tcW w:w="130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管沟</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5"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0.25</w:t>
            </w:r>
          </w:p>
        </w:tc>
        <w:tc>
          <w:tcPr>
            <w:tcW w:w="786"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0.25</w:t>
            </w:r>
          </w:p>
        </w:tc>
        <w:tc>
          <w:tcPr>
            <w:tcW w:w="784" w:type="dxa"/>
            <w:vAlign w:val="center"/>
          </w:tcPr>
          <w:p>
            <w:pPr>
              <w:widowControl/>
              <w:jc w:val="center"/>
              <w:textAlignment w:val="center"/>
              <w:rPr>
                <w:rFonts w:ascii="宋体" w:hAnsi="宋体" w:eastAsia="宋体" w:cs="宋体"/>
                <w:color w:val="000000"/>
                <w:kern w:val="0"/>
                <w:sz w:val="24"/>
                <w:lang w:bidi="ar"/>
              </w:rPr>
            </w:pPr>
          </w:p>
        </w:tc>
        <w:tc>
          <w:tcPr>
            <w:tcW w:w="614" w:type="dxa"/>
            <w:vAlign w:val="center"/>
          </w:tcPr>
          <w:p>
            <w:pPr>
              <w:widowControl/>
              <w:jc w:val="center"/>
              <w:textAlignment w:val="center"/>
              <w:rPr>
                <w:rFonts w:ascii="宋体" w:hAnsi="宋体" w:eastAsia="宋体" w:cs="宋体"/>
                <w:color w:val="000000"/>
                <w:kern w:val="0"/>
                <w:sz w:val="24"/>
                <w:lang w:bidi="ar"/>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jc w:val="center"/>
        </w:trPr>
        <w:tc>
          <w:tcPr>
            <w:tcW w:w="914" w:type="dxa"/>
            <w:vMerge w:val="restart"/>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6</w:t>
            </w:r>
          </w:p>
        </w:tc>
        <w:tc>
          <w:tcPr>
            <w:tcW w:w="2053" w:type="dxa"/>
            <w:vMerge w:val="restart"/>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电力管线</w:t>
            </w:r>
          </w:p>
        </w:tc>
        <w:tc>
          <w:tcPr>
            <w:tcW w:w="130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直埋</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5"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6"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61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4" w:hRule="atLeast"/>
          <w:jc w:val="center"/>
        </w:trPr>
        <w:tc>
          <w:tcPr>
            <w:tcW w:w="914" w:type="dxa"/>
            <w:vMerge w:val="continue"/>
            <w:vAlign w:val="center"/>
          </w:tcPr>
          <w:p>
            <w:pPr>
              <w:widowControl/>
              <w:jc w:val="center"/>
              <w:textAlignment w:val="center"/>
              <w:rPr>
                <w:rFonts w:ascii="宋体" w:hAnsi="宋体" w:eastAsia="宋体" w:cs="宋体"/>
                <w:color w:val="000000"/>
                <w:kern w:val="0"/>
                <w:sz w:val="24"/>
                <w:lang w:bidi="ar"/>
              </w:rPr>
            </w:pPr>
          </w:p>
        </w:tc>
        <w:tc>
          <w:tcPr>
            <w:tcW w:w="2053" w:type="dxa"/>
            <w:vMerge w:val="continue"/>
            <w:vAlign w:val="center"/>
          </w:tcPr>
          <w:p>
            <w:pPr>
              <w:widowControl/>
              <w:jc w:val="center"/>
              <w:textAlignment w:val="center"/>
              <w:rPr>
                <w:rFonts w:ascii="宋体" w:hAnsi="宋体" w:eastAsia="宋体" w:cs="宋体"/>
                <w:color w:val="000000"/>
                <w:kern w:val="0"/>
                <w:sz w:val="24"/>
                <w:lang w:bidi="ar"/>
              </w:rPr>
            </w:pPr>
          </w:p>
        </w:tc>
        <w:tc>
          <w:tcPr>
            <w:tcW w:w="130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管沟</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5"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0.15</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6"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78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c>
          <w:tcPr>
            <w:tcW w:w="614" w:type="dxa"/>
            <w:vAlign w:val="center"/>
          </w:tcPr>
          <w:p>
            <w:pPr>
              <w:widowControl/>
              <w:jc w:val="center"/>
              <w:textAlignment w:val="center"/>
              <w:rPr>
                <w:rFonts w:ascii="宋体" w:hAnsi="宋体" w:eastAsia="宋体" w:cs="宋体"/>
                <w:color w:val="000000"/>
                <w:kern w:val="0"/>
                <w:sz w:val="24"/>
                <w:lang w:bidi="ar"/>
              </w:rPr>
            </w:pPr>
            <w:r>
              <w:rPr>
                <w:rFonts w:hint="eastAsia" w:ascii="宋体" w:hAnsi="宋体" w:eastAsia="宋体" w:cs="宋体"/>
                <w:color w:val="000000"/>
                <w:kern w:val="0"/>
                <w:sz w:val="24"/>
                <w:lang w:bidi="ar"/>
              </w:rPr>
              <w:t>0.50</w:t>
            </w:r>
          </w:p>
        </w:tc>
      </w:tr>
    </w:tbl>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）工程管线覆土深度</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各类市政工程管线应根据土壤性质和地面承受荷载的大小确定管线的覆土深度。</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工程管线的最小覆土深度应符合下表的规定：</w:t>
      </w:r>
    </w:p>
    <w:p>
      <w:pPr>
        <w:spacing w:line="360" w:lineRule="auto"/>
        <w:jc w:val="center"/>
        <w:rPr>
          <w:b/>
          <w:sz w:val="24"/>
        </w:rPr>
      </w:pPr>
      <w:r>
        <w:rPr>
          <w:rFonts w:hint="eastAsia"/>
          <w:b/>
          <w:sz w:val="24"/>
        </w:rPr>
        <w:t>表6.</w:t>
      </w:r>
      <w:r>
        <w:rPr>
          <w:b/>
          <w:sz w:val="24"/>
        </w:rPr>
        <w:t>9</w:t>
      </w:r>
      <w:r>
        <w:rPr>
          <w:rFonts w:hint="eastAsia"/>
          <w:b/>
          <w:sz w:val="24"/>
        </w:rPr>
        <w:t>工程管线的最小覆土深度（m）</w:t>
      </w:r>
    </w:p>
    <w:tbl>
      <w:tblPr>
        <w:tblStyle w:val="12"/>
        <w:tblW w:w="102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255"/>
        <w:gridCol w:w="755"/>
        <w:gridCol w:w="756"/>
        <w:gridCol w:w="756"/>
        <w:gridCol w:w="754"/>
        <w:gridCol w:w="755"/>
        <w:gridCol w:w="756"/>
        <w:gridCol w:w="785"/>
        <w:gridCol w:w="755"/>
        <w:gridCol w:w="813"/>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37" w:type="dxa"/>
            <w:gridSpan w:val="2"/>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序号</w:t>
            </w:r>
          </w:p>
        </w:tc>
        <w:tc>
          <w:tcPr>
            <w:tcW w:w="1511" w:type="dxa"/>
            <w:gridSpan w:val="2"/>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1</w:t>
            </w:r>
          </w:p>
        </w:tc>
        <w:tc>
          <w:tcPr>
            <w:tcW w:w="1510" w:type="dxa"/>
            <w:gridSpan w:val="2"/>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2</w:t>
            </w:r>
          </w:p>
        </w:tc>
        <w:tc>
          <w:tcPr>
            <w:tcW w:w="1511" w:type="dxa"/>
            <w:gridSpan w:val="2"/>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3</w:t>
            </w:r>
          </w:p>
        </w:tc>
        <w:tc>
          <w:tcPr>
            <w:tcW w:w="785"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4</w:t>
            </w:r>
          </w:p>
        </w:tc>
        <w:tc>
          <w:tcPr>
            <w:tcW w:w="755"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5</w:t>
            </w:r>
          </w:p>
        </w:tc>
        <w:tc>
          <w:tcPr>
            <w:tcW w:w="813"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6</w:t>
            </w:r>
          </w:p>
        </w:tc>
        <w:tc>
          <w:tcPr>
            <w:tcW w:w="814"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37" w:type="dxa"/>
            <w:gridSpan w:val="2"/>
            <w:vMerge w:val="restart"/>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管线名称</w:t>
            </w:r>
          </w:p>
        </w:tc>
        <w:tc>
          <w:tcPr>
            <w:tcW w:w="1511" w:type="dxa"/>
            <w:gridSpan w:val="2"/>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电力管线</w:t>
            </w:r>
          </w:p>
        </w:tc>
        <w:tc>
          <w:tcPr>
            <w:tcW w:w="1510" w:type="dxa"/>
            <w:gridSpan w:val="2"/>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电信管线</w:t>
            </w:r>
          </w:p>
        </w:tc>
        <w:tc>
          <w:tcPr>
            <w:tcW w:w="1511" w:type="dxa"/>
            <w:gridSpan w:val="2"/>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热力管线</w:t>
            </w:r>
          </w:p>
        </w:tc>
        <w:tc>
          <w:tcPr>
            <w:tcW w:w="785" w:type="dxa"/>
            <w:vMerge w:val="restart"/>
            <w:vAlign w:val="center"/>
          </w:tcPr>
          <w:p>
            <w:pPr>
              <w:widowControl/>
              <w:jc w:val="center"/>
              <w:textAlignment w:val="center"/>
              <w:rPr>
                <w:rFonts w:ascii="宋体" w:hAnsi="宋体" w:cs="宋体"/>
                <w:b/>
                <w:color w:val="000000"/>
                <w:kern w:val="0"/>
                <w:szCs w:val="21"/>
                <w:lang w:bidi="ar"/>
              </w:rPr>
            </w:pPr>
            <w:r>
              <w:rPr>
                <w:rFonts w:hint="eastAsia" w:ascii="宋体" w:hAnsi="宋体" w:cs="宋体"/>
                <w:b/>
                <w:color w:val="000000"/>
                <w:kern w:val="0"/>
                <w:szCs w:val="21"/>
                <w:lang w:bidi="ar"/>
              </w:rPr>
              <w:t>燃</w:t>
            </w:r>
            <w:r>
              <w:rPr>
                <w:rFonts w:ascii="宋体" w:hAnsi="宋体" w:cs="宋体"/>
                <w:b/>
                <w:color w:val="000000"/>
                <w:kern w:val="0"/>
                <w:szCs w:val="21"/>
                <w:lang w:bidi="ar"/>
              </w:rPr>
              <w:t>气管线</w:t>
            </w:r>
          </w:p>
        </w:tc>
        <w:tc>
          <w:tcPr>
            <w:tcW w:w="755" w:type="dxa"/>
            <w:vMerge w:val="restart"/>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给水</w:t>
            </w:r>
          </w:p>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管线</w:t>
            </w:r>
          </w:p>
        </w:tc>
        <w:tc>
          <w:tcPr>
            <w:tcW w:w="813" w:type="dxa"/>
            <w:vMerge w:val="restart"/>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雨水排水管线</w:t>
            </w:r>
          </w:p>
        </w:tc>
        <w:tc>
          <w:tcPr>
            <w:tcW w:w="814" w:type="dxa"/>
            <w:vMerge w:val="restart"/>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污水排水管线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537" w:type="dxa"/>
            <w:gridSpan w:val="2"/>
            <w:vMerge w:val="continue"/>
            <w:vAlign w:val="center"/>
          </w:tcPr>
          <w:p>
            <w:pPr>
              <w:widowControl/>
              <w:jc w:val="center"/>
              <w:textAlignment w:val="center"/>
              <w:rPr>
                <w:rFonts w:ascii="宋体" w:hAnsi="宋体" w:cs="宋体"/>
                <w:color w:val="000000"/>
                <w:kern w:val="0"/>
                <w:szCs w:val="21"/>
                <w:lang w:bidi="ar"/>
              </w:rPr>
            </w:pPr>
          </w:p>
        </w:tc>
        <w:tc>
          <w:tcPr>
            <w:tcW w:w="755"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直埋</w:t>
            </w:r>
          </w:p>
        </w:tc>
        <w:tc>
          <w:tcPr>
            <w:tcW w:w="756"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管沟</w:t>
            </w:r>
          </w:p>
        </w:tc>
        <w:tc>
          <w:tcPr>
            <w:tcW w:w="756"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直埋</w:t>
            </w:r>
          </w:p>
        </w:tc>
        <w:tc>
          <w:tcPr>
            <w:tcW w:w="754"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管沟</w:t>
            </w:r>
          </w:p>
        </w:tc>
        <w:tc>
          <w:tcPr>
            <w:tcW w:w="755"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直埋</w:t>
            </w:r>
          </w:p>
        </w:tc>
        <w:tc>
          <w:tcPr>
            <w:tcW w:w="756" w:type="dxa"/>
            <w:vAlign w:val="center"/>
          </w:tcPr>
          <w:p>
            <w:pPr>
              <w:widowControl/>
              <w:jc w:val="center"/>
              <w:textAlignment w:val="center"/>
              <w:rPr>
                <w:rFonts w:ascii="宋体" w:hAnsi="宋体" w:cs="宋体"/>
                <w:b/>
                <w:color w:val="000000"/>
                <w:kern w:val="0"/>
                <w:szCs w:val="21"/>
                <w:lang w:bidi="ar"/>
              </w:rPr>
            </w:pPr>
            <w:r>
              <w:rPr>
                <w:rFonts w:ascii="宋体" w:hAnsi="宋体" w:cs="宋体"/>
                <w:b/>
                <w:color w:val="000000"/>
                <w:kern w:val="0"/>
                <w:szCs w:val="21"/>
                <w:lang w:bidi="ar"/>
              </w:rPr>
              <w:t>管沟</w:t>
            </w:r>
          </w:p>
        </w:tc>
        <w:tc>
          <w:tcPr>
            <w:tcW w:w="785" w:type="dxa"/>
            <w:vMerge w:val="continue"/>
            <w:vAlign w:val="center"/>
          </w:tcPr>
          <w:p>
            <w:pPr>
              <w:widowControl/>
              <w:jc w:val="center"/>
              <w:textAlignment w:val="center"/>
              <w:rPr>
                <w:rFonts w:ascii="宋体" w:hAnsi="宋体" w:cs="宋体"/>
                <w:b/>
                <w:color w:val="000000"/>
                <w:kern w:val="0"/>
                <w:szCs w:val="21"/>
                <w:lang w:bidi="ar"/>
              </w:rPr>
            </w:pPr>
          </w:p>
        </w:tc>
        <w:tc>
          <w:tcPr>
            <w:tcW w:w="755" w:type="dxa"/>
            <w:vMerge w:val="continue"/>
            <w:vAlign w:val="center"/>
          </w:tcPr>
          <w:p>
            <w:pPr>
              <w:widowControl/>
              <w:jc w:val="center"/>
              <w:textAlignment w:val="center"/>
              <w:rPr>
                <w:rFonts w:ascii="宋体" w:hAnsi="宋体" w:cs="宋体"/>
                <w:color w:val="000000"/>
                <w:kern w:val="0"/>
                <w:szCs w:val="21"/>
                <w:lang w:bidi="ar"/>
              </w:rPr>
            </w:pPr>
          </w:p>
        </w:tc>
        <w:tc>
          <w:tcPr>
            <w:tcW w:w="813" w:type="dxa"/>
            <w:vMerge w:val="continue"/>
            <w:vAlign w:val="center"/>
          </w:tcPr>
          <w:p>
            <w:pPr>
              <w:widowControl/>
              <w:jc w:val="center"/>
              <w:textAlignment w:val="center"/>
              <w:rPr>
                <w:rFonts w:ascii="宋体" w:hAnsi="宋体" w:cs="宋体"/>
                <w:color w:val="000000"/>
                <w:kern w:val="0"/>
                <w:szCs w:val="21"/>
                <w:lang w:bidi="ar"/>
              </w:rPr>
            </w:pPr>
          </w:p>
        </w:tc>
        <w:tc>
          <w:tcPr>
            <w:tcW w:w="814" w:type="dxa"/>
            <w:vMerge w:val="continue"/>
            <w:vAlign w:val="center"/>
          </w:tcPr>
          <w:p>
            <w:pPr>
              <w:widowControl/>
              <w:jc w:val="center"/>
              <w:textAlignment w:val="center"/>
              <w:rPr>
                <w:rFonts w:ascii="宋体" w:hAnsi="宋体" w:cs="宋体"/>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282" w:type="dxa"/>
            <w:vMerge w:val="restart"/>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最小覆土深度(m)</w:t>
            </w:r>
          </w:p>
        </w:tc>
        <w:tc>
          <w:tcPr>
            <w:tcW w:w="12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人行道下</w:t>
            </w:r>
          </w:p>
        </w:tc>
        <w:tc>
          <w:tcPr>
            <w:tcW w:w="7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0.50</w:t>
            </w:r>
          </w:p>
        </w:tc>
        <w:tc>
          <w:tcPr>
            <w:tcW w:w="756"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0.40</w:t>
            </w:r>
          </w:p>
        </w:tc>
        <w:tc>
          <w:tcPr>
            <w:tcW w:w="756"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0.70</w:t>
            </w:r>
          </w:p>
        </w:tc>
        <w:tc>
          <w:tcPr>
            <w:tcW w:w="754"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0.40</w:t>
            </w:r>
          </w:p>
        </w:tc>
        <w:tc>
          <w:tcPr>
            <w:tcW w:w="7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0.50</w:t>
            </w:r>
          </w:p>
        </w:tc>
        <w:tc>
          <w:tcPr>
            <w:tcW w:w="756"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0.20</w:t>
            </w:r>
          </w:p>
        </w:tc>
        <w:tc>
          <w:tcPr>
            <w:tcW w:w="78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0.60</w:t>
            </w:r>
          </w:p>
        </w:tc>
        <w:tc>
          <w:tcPr>
            <w:tcW w:w="7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0.60</w:t>
            </w:r>
          </w:p>
        </w:tc>
        <w:tc>
          <w:tcPr>
            <w:tcW w:w="813"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0.60</w:t>
            </w:r>
          </w:p>
        </w:tc>
        <w:tc>
          <w:tcPr>
            <w:tcW w:w="814"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282" w:type="dxa"/>
            <w:vMerge w:val="continue"/>
            <w:vAlign w:val="center"/>
          </w:tcPr>
          <w:p>
            <w:pPr>
              <w:widowControl/>
              <w:jc w:val="center"/>
              <w:textAlignment w:val="center"/>
              <w:rPr>
                <w:rFonts w:ascii="宋体" w:hAnsi="宋体" w:cs="宋体"/>
                <w:color w:val="000000"/>
                <w:kern w:val="0"/>
                <w:szCs w:val="21"/>
                <w:lang w:bidi="ar"/>
              </w:rPr>
            </w:pPr>
          </w:p>
        </w:tc>
        <w:tc>
          <w:tcPr>
            <w:tcW w:w="12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车行道下</w:t>
            </w:r>
          </w:p>
        </w:tc>
        <w:tc>
          <w:tcPr>
            <w:tcW w:w="7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0.70</w:t>
            </w:r>
          </w:p>
        </w:tc>
        <w:tc>
          <w:tcPr>
            <w:tcW w:w="756"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0.50</w:t>
            </w:r>
          </w:p>
        </w:tc>
        <w:tc>
          <w:tcPr>
            <w:tcW w:w="756"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0.80</w:t>
            </w:r>
          </w:p>
        </w:tc>
        <w:tc>
          <w:tcPr>
            <w:tcW w:w="754"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0.70</w:t>
            </w:r>
          </w:p>
        </w:tc>
        <w:tc>
          <w:tcPr>
            <w:tcW w:w="7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0.70</w:t>
            </w:r>
          </w:p>
        </w:tc>
        <w:tc>
          <w:tcPr>
            <w:tcW w:w="756"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0.20</w:t>
            </w:r>
          </w:p>
        </w:tc>
        <w:tc>
          <w:tcPr>
            <w:tcW w:w="78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0.80</w:t>
            </w:r>
          </w:p>
        </w:tc>
        <w:tc>
          <w:tcPr>
            <w:tcW w:w="755"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0.70</w:t>
            </w:r>
          </w:p>
        </w:tc>
        <w:tc>
          <w:tcPr>
            <w:tcW w:w="813"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0.70</w:t>
            </w:r>
          </w:p>
        </w:tc>
        <w:tc>
          <w:tcPr>
            <w:tcW w:w="814" w:type="dxa"/>
            <w:vAlign w:val="center"/>
          </w:tcPr>
          <w:p>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0.70</w:t>
            </w:r>
          </w:p>
        </w:tc>
      </w:tr>
    </w:tbl>
    <w:p>
      <w:pPr>
        <w:spacing w:line="360" w:lineRule="auto"/>
        <w:ind w:firstLine="480" w:firstLineChars="200"/>
        <w:rPr>
          <w:rFonts w:ascii="宋体" w:hAnsi="宋体" w:cs="宋体"/>
          <w:sz w:val="24"/>
          <w:lang w:bidi="zh-CN"/>
        </w:rPr>
      </w:pPr>
      <w:r>
        <w:rPr>
          <w:rFonts w:hint="eastAsia" w:ascii="宋体" w:hAnsi="宋体" w:cs="宋体"/>
          <w:sz w:val="24"/>
          <w:lang w:bidi="zh-CN"/>
        </w:rPr>
        <w:t>注:10kv以上直埋电力电缆管线的覆土深度不应小于1.0m。</w:t>
      </w:r>
    </w:p>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环卫工程规划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60" w:name="_Toc317754680"/>
      <w:bookmarkStart w:id="61" w:name="_Toc346179200"/>
      <w:bookmarkStart w:id="62" w:name="_Toc385411840"/>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）规划目标</w:t>
      </w:r>
      <w:bookmarkEnd w:id="60"/>
      <w:bookmarkEnd w:id="61"/>
      <w:bookmarkEnd w:id="62"/>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完善规划区环境卫生设施，健全环境卫生管理体制，建立起分级管理框架和有偿服务制度，规划期末环卫作业机械化，道路机械化清扫率达到</w:t>
      </w:r>
      <w:r>
        <w:rPr>
          <w:rFonts w:hint="eastAsia" w:ascii="宋体" w:hAnsi="宋体" w:eastAsia="宋体" w:cs="宋体"/>
          <w:color w:val="000000" w:themeColor="text1"/>
          <w:sz w:val="28"/>
          <w:szCs w:val="28"/>
          <w:shd w:val="clear" w:color="auto" w:fill="FFFFFF"/>
          <w14:textFill>
            <w14:solidFill>
              <w14:schemeClr w14:val="tx1"/>
            </w14:solidFill>
          </w14:textFill>
        </w:rPr>
        <w:t>100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％以上，全面实现城市垃圾分类收集、分类运输和分类处理，无害化处理率达100％，水冲式公共厕所占比例近远期均为100％，城市垃圾分类率达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到9</w:t>
      </w:r>
      <w:r>
        <w:rPr>
          <w:rFonts w:hint="eastAsia" w:ascii="宋体" w:hAnsi="宋体" w:eastAsia="宋体" w:cs="宋体"/>
          <w:color w:val="000000" w:themeColor="text1"/>
          <w:sz w:val="28"/>
          <w:szCs w:val="28"/>
          <w:shd w:val="clear" w:color="auto" w:fill="FFFFFF"/>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％，力争达到减量化、无害化、资源化。</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63" w:name="_Toc385411844"/>
      <w:bookmarkStart w:id="64" w:name="_Toc346179203"/>
      <w:bookmarkStart w:id="65" w:name="_Toc317754683"/>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）垃圾</w:t>
      </w:r>
      <w:bookmarkEnd w:id="63"/>
      <w:bookmarkEnd w:id="64"/>
      <w:bookmarkEnd w:id="65"/>
      <w:r>
        <w:rPr>
          <w:rFonts w:hint="eastAsia" w:ascii="宋体" w:hAnsi="宋体" w:eastAsia="宋体" w:cs="宋体"/>
          <w:color w:val="000000" w:themeColor="text1"/>
          <w:sz w:val="28"/>
          <w:szCs w:val="28"/>
          <w:shd w:val="clear" w:color="auto" w:fill="FFFFFF"/>
          <w:lang w:val="zh-CN"/>
          <w14:textFill>
            <w14:solidFill>
              <w14:schemeClr w14:val="tx1"/>
            </w14:solidFill>
          </w14:textFill>
        </w:rPr>
        <w:t>处理</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1）生活垃圾</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通过人工或车辆运输的方式，从各垃圾收集点运至各片区内的垃圾转运站，再统一运送至附近的垃圾处理场集中处理。</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2）粪便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待规划区污水管网完善后，利用城市污水管网，将城市粪渣送往城市污水处理厂与生活污水混合处理。</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3）建筑垃圾</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成立城市建筑（渣土）管理办公室，负责本区内的建筑渣土管理工作。拓展回填途径，减少建筑垃圾的排放量，并建设综合利用设施，积极提高建筑垃圾资源化水平。</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4）医疗垃圾</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医院的医疗垃圾及有毒有害垃圾由专门的容器收集，由专用厢式清运车运送至医疗垃圾处理中心集中进行无害化处理。</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5）特种垃圾</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对危险废弃物实行统一收集、运输和集中处理。特殊类生活垃圾是有毒有害物，如电池、灯管、废有机溶剂、油漆等，应设置一些专门的收集设施，定期由危险废物运输机构收集。</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66" w:name="_Toc385411847"/>
      <w:bookmarkStart w:id="67" w:name="_Toc346179206"/>
      <w:bookmarkStart w:id="68" w:name="_Toc317754686"/>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）环卫设施</w:t>
      </w:r>
      <w:bookmarkEnd w:id="66"/>
      <w:bookmarkEnd w:id="67"/>
      <w:bookmarkEnd w:id="68"/>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1）垃圾转运站</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规划区不涉及新建垃圾转运站，垃圾转运与就近垃圾转运站结合使用。</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公共厕所</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规划区内公共厕所按照人口每</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5000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人一座，规划区内共设置公共厕所</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座，每座建筑面积80—100平方米。在流动人口密集的城市干道，每座厕所服务半径300—500米，一般街道每间隔800米设置一座。</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环卫机构设置</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在规划区内规划一处环卫休息点，休息点可与公厕结合建设，休息点建筑面积不少于80平方米。</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）垃圾收运车辆</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规划建议垃圾收运车优先采用垃圾压缩车（压缩车分后装和集装箱式垃圾车，额定装载量按8～10吨计算）。采用垃圾压缩车可减小环卫工人工作强度，提高工作效率，减少运输成本。</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）垃圾箱</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沿城市道路两侧设置垃圾箱，</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服务半径一般不宜超过70米。</w:t>
      </w:r>
    </w:p>
    <w:p>
      <w:pPr>
        <w:spacing w:line="360" w:lineRule="auto"/>
        <w:ind w:firstLine="560" w:firstLineChars="200"/>
        <w:outlineLvl w:val="2"/>
        <w:rPr>
          <w:rFonts w:hint="default" w:ascii="宋体" w:hAnsi="宋体" w:eastAsia="宋体" w:cs="宋体"/>
          <w:sz w:val="28"/>
          <w:szCs w:val="28"/>
          <w:shd w:val="clear" w:color="auto" w:fill="FFFFFF"/>
          <w:lang w:val="en-US" w:eastAsia="zh-CN"/>
        </w:rPr>
      </w:pP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lang w:val="en-US" w:eastAsia="zh-CN"/>
        </w:rPr>
        <w:t>5</w:t>
      </w: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lang w:val="en-US" w:eastAsia="zh-CN"/>
        </w:rPr>
        <w:t>配套设施规划</w:t>
      </w:r>
    </w:p>
    <w:p>
      <w:pPr>
        <w:spacing w:line="360" w:lineRule="auto"/>
        <w:ind w:firstLine="1120" w:firstLineChars="400"/>
        <w:rPr>
          <w:rFonts w:hint="default" w:ascii="宋体" w:hAnsi="宋体" w:eastAsia="宋体" w:cs="宋体"/>
          <w:sz w:val="28"/>
          <w:szCs w:val="28"/>
          <w:shd w:val="clear" w:color="auto" w:fill="FFFFFF"/>
          <w:lang w:val="en-US" w:eastAsia="zh-CN"/>
        </w:rPr>
      </w:pPr>
      <w:r>
        <w:rPr>
          <w:rFonts w:hint="eastAsia" w:ascii="宋体" w:hAnsi="宋体" w:eastAsia="宋体" w:cs="宋体"/>
          <w:sz w:val="28"/>
          <w:szCs w:val="28"/>
          <w:shd w:val="clear" w:color="auto" w:fill="FFFFFF"/>
          <w:lang w:val="en-US" w:eastAsia="zh-CN"/>
        </w:rPr>
        <w:t>地块</w:t>
      </w:r>
      <w:r>
        <w:rPr>
          <w:rFonts w:hint="eastAsia" w:ascii="宋体" w:hAnsi="宋体" w:eastAsia="宋体" w:cs="宋体"/>
          <w:sz w:val="28"/>
          <w:szCs w:val="28"/>
          <w:shd w:val="clear" w:color="auto" w:fill="FFFFFF"/>
          <w:lang w:val="zh-CN"/>
        </w:rPr>
        <w:t>应配的配套设施按照《曲靖中心城区规划管理技术规定》相关规定执行。</w:t>
      </w:r>
      <w:r>
        <w:rPr>
          <w:rFonts w:hint="eastAsia" w:ascii="宋体" w:hAnsi="宋体" w:eastAsia="宋体" w:cs="宋体"/>
          <w:sz w:val="28"/>
          <w:szCs w:val="28"/>
          <w:shd w:val="clear" w:color="auto" w:fill="FFFFFF"/>
          <w:lang w:val="en-US" w:eastAsia="zh-CN"/>
        </w:rPr>
        <w:t>详见图6.11配套设施规划图</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3" w:hRule="atLeast"/>
          <w:jc w:val="center"/>
        </w:trPr>
        <w:tc>
          <w:tcPr>
            <w:tcW w:w="8800" w:type="dxa"/>
            <w:tcBorders>
              <w:top w:val="nil"/>
              <w:left w:val="nil"/>
              <w:bottom w:val="nil"/>
              <w:right w:val="nil"/>
            </w:tcBorders>
          </w:tcPr>
          <w:p>
            <w:pPr>
              <w:spacing w:line="360" w:lineRule="auto"/>
              <w:jc w:val="center"/>
              <w:rPr>
                <w:rFonts w:hint="eastAsia" w:ascii="宋体" w:hAnsi="宋体" w:eastAsia="宋体" w:cs="宋体"/>
                <w:sz w:val="28"/>
                <w:szCs w:val="28"/>
                <w:shd w:val="clear" w:color="auto" w:fill="FFFFFF"/>
                <w:vertAlign w:val="baseline"/>
                <w:lang w:val="zh-CN"/>
              </w:rPr>
            </w:pPr>
            <w:r>
              <w:rPr>
                <w:rFonts w:hint="eastAsia" w:ascii="宋体" w:hAnsi="宋体" w:eastAsia="宋体" w:cs="宋体"/>
                <w:sz w:val="28"/>
                <w:szCs w:val="28"/>
                <w:shd w:val="clear" w:color="auto" w:fill="FFFFFF"/>
                <w:vertAlign w:val="baseline"/>
                <w:lang w:val="zh-CN"/>
              </w:rPr>
              <w:drawing>
                <wp:inline distT="0" distB="0" distL="114300" distR="114300">
                  <wp:extent cx="4993005" cy="2924175"/>
                  <wp:effectExtent l="0" t="0" r="0" b="0"/>
                  <wp:docPr id="25" name="图片 25" descr="E:\2023年\工业园区\工业园区最终成果\罗汉山工业园区成果\规划图\规划图纸文本说明书\规划\23配套设施规划图.jpg23配套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2023年\工业园区\工业园区最终成果\罗汉山工业园区成果\规划图\规划图纸文本说明书\规划\23配套设施规划图.jpg23配套设施规划图"/>
                          <pic:cNvPicPr>
                            <a:picLocks noChangeAspect="1"/>
                          </pic:cNvPicPr>
                        </pic:nvPicPr>
                        <pic:blipFill>
                          <a:blip r:embed="rId35"/>
                          <a:srcRect l="484" t="12957" r="935" b="5307"/>
                          <a:stretch>
                            <a:fillRect/>
                          </a:stretch>
                        </pic:blipFill>
                        <pic:spPr>
                          <a:xfrm>
                            <a:off x="0" y="0"/>
                            <a:ext cx="4993005" cy="2924175"/>
                          </a:xfrm>
                          <a:prstGeom prst="rect">
                            <a:avLst/>
                          </a:prstGeom>
                        </pic:spPr>
                      </pic:pic>
                    </a:graphicData>
                  </a:graphic>
                </wp:inline>
              </w:drawing>
            </w:r>
          </w:p>
          <w:p>
            <w:pPr>
              <w:spacing w:line="360" w:lineRule="auto"/>
              <w:jc w:val="center"/>
              <w:rPr>
                <w:rFonts w:hint="eastAsia" w:ascii="宋体" w:hAnsi="宋体" w:eastAsia="宋体" w:cs="宋体"/>
                <w:sz w:val="28"/>
                <w:szCs w:val="28"/>
                <w:shd w:val="clear" w:color="auto" w:fill="FFFFFF"/>
                <w:vertAlign w:val="baseline"/>
                <w:lang w:val="zh-CN"/>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6.11配套设施规划图</w:t>
            </w:r>
          </w:p>
        </w:tc>
      </w:tr>
    </w:tbl>
    <w:p>
      <w:pPr>
        <w:pStyle w:val="4"/>
        <w:numPr>
          <w:ilvl w:val="0"/>
          <w:numId w:val="12"/>
        </w:numPr>
        <w:rPr>
          <w:color w:val="000000" w:themeColor="text1"/>
          <w14:textFill>
            <w14:solidFill>
              <w14:schemeClr w14:val="tx1"/>
            </w14:solidFill>
          </w14:textFill>
        </w:rPr>
      </w:pPr>
      <w:r>
        <w:rPr>
          <w:rFonts w:hint="eastAsia"/>
          <w:color w:val="000000" w:themeColor="text1"/>
          <w14:textFill>
            <w14:solidFill>
              <w14:schemeClr w14:val="tx1"/>
            </w14:solidFill>
          </w14:textFill>
        </w:rPr>
        <w:t>综合防灾减灾规划</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69" w:name="_Toc42528394"/>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）防洪工程规划</w:t>
      </w:r>
      <w:bookmarkEnd w:id="69"/>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）防洪及排涝标准</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防洪标准：按50年一遇防洪标准设防。</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排涝标准：重现期采用20年一遇涝水不漫溢。 </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）防洪工程规划</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雨水排放汇集后就近排放至自然水体，定期疏浚雨水管网，防止淤塞。</w:t>
      </w:r>
    </w:p>
    <w:p>
      <w:pPr>
        <w:spacing w:line="360" w:lineRule="auto"/>
        <w:ind w:firstLine="560" w:firstLineChars="200"/>
        <w:outlineLvl w:val="3"/>
        <w:rPr>
          <w:rFonts w:ascii="宋体" w:hAnsi="宋体" w:eastAsia="宋体" w:cs="宋体"/>
          <w:sz w:val="28"/>
          <w:szCs w:val="28"/>
          <w:shd w:val="clear" w:color="auto" w:fill="FFFFFF"/>
          <w:lang w:val="zh-CN"/>
        </w:rPr>
      </w:pPr>
      <w:bookmarkStart w:id="70" w:name="_Toc42528395"/>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rPr>
        <w:t>2</w:t>
      </w:r>
      <w:r>
        <w:rPr>
          <w:rFonts w:hint="eastAsia" w:ascii="宋体" w:hAnsi="宋体" w:eastAsia="宋体" w:cs="宋体"/>
          <w:sz w:val="28"/>
          <w:szCs w:val="28"/>
          <w:shd w:val="clear" w:color="auto" w:fill="FFFFFF"/>
          <w:lang w:val="zh-CN"/>
        </w:rPr>
        <w:t>）消防工程规划</w:t>
      </w:r>
      <w:bookmarkEnd w:id="70"/>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）规划目标</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立健全的消防法规和严格的监督制度，完善消防基础设施，加强消防队伍建设，配备先进的灭火、救灾装备，提高全市的防灾、减灾、避灾的意识，最大限度地减少火灾损失，增强抗御火灾和处置特种灾害事故的能力，逐步形成现代化消防安全保障体系。</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）消防规划</w:t>
      </w:r>
    </w:p>
    <w:p>
      <w:pPr>
        <w:spacing w:line="360" w:lineRule="auto"/>
        <w:ind w:firstLine="560" w:firstLineChars="200"/>
        <w:outlineLvl w:val="5"/>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规划区内未设置消防站，消防救援由区外消防站提供服务，可充分利用曲靖</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麒麟区消防三中队</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消防站进行消防，消防站距离园区约</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.0km，符合消防站接到出动指令后5分钟内可以到达辖区边缘的要求。</w:t>
      </w:r>
    </w:p>
    <w:p>
      <w:pPr>
        <w:spacing w:line="360" w:lineRule="auto"/>
        <w:ind w:firstLine="560" w:firstLineChars="200"/>
        <w:outlineLvl w:val="5"/>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消防安全布局</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规划区在总体布局上贯彻“消防为主，防消结合”的消防方针，使总体布局更趋合理化、科学化。</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按照功能分区和主工序分隔进行规划布置，均由厂内道路进行分隔，功能区之间的间距均大于20m。</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各功能区内建构筑物之间严格按照有关消防要求进行布置，根据生产的火灾危险性类别、建构筑物的耐火等级合理确定建构筑物之间的防火间距，防火间距满足《建筑设计防火规范》(GB50016-2016)要求。</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新建的各类建筑，要严格控制耐火等级。应建造一、二级耐火等级的建筑、控制三级建筑，严格限制四级建筑。</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地下空间（包括地下交通隧道、地下街道、地下停车场等）的规划建设与城市其它建设应有机地结合起来，合理设置防火分隔、疏散通道、安全出口和报警、灭火、排烟等设施。</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物流中心、</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商业办公场所</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的设置不得堵塞消防车道和影响消火栓的使用。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5"/>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w:t>
      </w:r>
      <w:r>
        <w:rPr>
          <w:rFonts w:ascii="宋体" w:hAnsi="宋体" w:eastAsia="宋体" w:cs="宋体"/>
          <w:color w:val="000000" w:themeColor="text1"/>
          <w:sz w:val="28"/>
          <w:szCs w:val="28"/>
          <w:shd w:val="clear" w:color="auto" w:fill="FFFFFF"/>
          <w:lang w:val="zh-CN"/>
          <w14:textFill>
            <w14:solidFill>
              <w14:schemeClr w14:val="tx1"/>
            </w14:solidFill>
          </w14:textFill>
        </w:rPr>
        <w:t>消防</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①</w:t>
      </w:r>
      <w:r>
        <w:rPr>
          <w:rFonts w:hint="eastAsia" w:ascii="宋体" w:hAnsi="宋体" w:eastAsia="宋体" w:cs="宋体"/>
          <w:color w:val="000000" w:themeColor="text1"/>
          <w:sz w:val="28"/>
          <w:szCs w:val="28"/>
          <w:shd w:val="clear" w:color="auto" w:fill="FFFFFF"/>
          <w14:textFill>
            <w14:solidFill>
              <w14:schemeClr w14:val="tx1"/>
            </w14:solidFill>
          </w14:textFill>
        </w:rPr>
        <w:t>生产和储存物品的火灾危险性分类</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工业建筑包括生产车间、储罐、高塔、管线、皮带物料转运通廊等工业辅助建筑、仓库、构筑物等。根据《建筑设计防火规范》(GB 50016-2016)第3.1.1条“生产的火灾危险性应根据生产中使用或产生的物质性质及其数量等因素划分，可分为甲、乙、丙、丁、戊类”及该规范第3.1.3条“储存物品的火灾危险性应根据储存物品的性质和储存物品中的可燃物数量等因素划分，可分为甲、乙、丙、丁、戊类”的规定确定。如：220kV户外开关站、制氧站、煤气柜等火灾危险性分类为乙类；总变配电室火灾危险性分类为丙类；炼铁、炼钢烟气干法净化、烟气脱硫脱硝净化等火灾危险性分类为丁类；炼铁、炼钢、轧钢等车间各循环水车间火灾危险性分类为戊类。</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②</w:t>
      </w:r>
      <w:r>
        <w:rPr>
          <w:rFonts w:hint="eastAsia" w:ascii="宋体" w:hAnsi="宋体" w:eastAsia="宋体" w:cs="宋体"/>
          <w:color w:val="000000" w:themeColor="text1"/>
          <w:sz w:val="28"/>
          <w:szCs w:val="28"/>
          <w:shd w:val="clear" w:color="auto" w:fill="FFFFFF"/>
          <w14:textFill>
            <w14:solidFill>
              <w14:schemeClr w14:val="tx1"/>
            </w14:solidFill>
          </w14:textFill>
        </w:rPr>
        <w:t>建构筑物的耐火等级</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采用钢筋混凝土排架结构（如：烧结主厂房及各车间内工艺设备基础）、门式刚架结构（如：铸造车间及综合修理车间等）、钢筋混凝土框架结构（如：办公综合楼，各车间主控楼，各循环水车间泵房等）、砌体结构（如：食堂和倒班宿舍等）、钢桁架结构（如：炼铁、炼钢、轧钢主厂房及各架空皮带廊）等结构形式，使用免烧混凝土实心砖、蒸压加气混凝土砌块作为墙体的材料，各主控楼、办公楼等屋面采用现浇钢筋混凝土板；主厂房屋面和墙皮均采用涂压型钢板。上述建筑构件按建构筑物生产和储存物品的火灾危险性分类的不同，其燃烧性能和耐火极限均满足《建筑设计防火规范》中的相关要求，建构筑物均达到二级耐火等级。钢结构厂房各构件需按要求涂刷防火漆，使构件耐火时限满足《建筑设计防火规范》(GB 50016-2016)中二级耐火等级的构件耐火时限要求。</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③</w:t>
      </w:r>
      <w:r>
        <w:rPr>
          <w:rFonts w:hint="eastAsia" w:ascii="宋体" w:hAnsi="宋体" w:eastAsia="宋体" w:cs="宋体"/>
          <w:color w:val="000000" w:themeColor="text1"/>
          <w:sz w:val="28"/>
          <w:szCs w:val="28"/>
          <w:shd w:val="clear" w:color="auto" w:fill="FFFFFF"/>
          <w14:textFill>
            <w14:solidFill>
              <w14:schemeClr w14:val="tx1"/>
            </w14:solidFill>
          </w14:textFill>
        </w:rPr>
        <w:t>建构筑物的防火分区</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在建构筑物达到二级耐火等级的前提下，工业建筑按其生产和储存物品的火灾危险性分类的不同，其层数和防火分区面积均满足《建筑设计防火规范》(GB 50016-2016)的规定。</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④</w:t>
      </w:r>
      <w:r>
        <w:rPr>
          <w:rFonts w:hint="eastAsia" w:ascii="宋体" w:hAnsi="宋体" w:eastAsia="宋体" w:cs="宋体"/>
          <w:color w:val="000000" w:themeColor="text1"/>
          <w:sz w:val="28"/>
          <w:szCs w:val="28"/>
          <w:shd w:val="clear" w:color="auto" w:fill="FFFFFF"/>
          <w14:textFill>
            <w14:solidFill>
              <w14:schemeClr w14:val="tx1"/>
            </w14:solidFill>
          </w14:textFill>
        </w:rPr>
        <w:t>建筑物的安全疏散</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工业建筑的安全疏散按《建筑设计防火规范》(GB 50016-2016)中厂房及仓库的相关规定进行设计。其安全出口、疏散距离、疏散门、防火门、疏散通道、平台及楼梯的设置及构造均满足规范的要求。高层厂房按规定设置封闭楼梯间或室外楼梯，室外楼梯的材料、燃烧性能、耐火极限、角度、宽度、平台及扶手等满足规范要求。可燃、易燃材料堆场及氧气储罐和煤气柜均按规定设置防火堤。煤气柜、转炉煤气干法静电除尘、握罐等四周均留有足够的安全疏散空间。有爆炸危险的建筑物均按规范设计安装泄压、泄爆设施。</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⑤</w:t>
      </w:r>
      <w:r>
        <w:rPr>
          <w:rFonts w:hint="eastAsia" w:ascii="宋体" w:hAnsi="宋体" w:eastAsia="宋体" w:cs="宋体"/>
          <w:color w:val="000000" w:themeColor="text1"/>
          <w:sz w:val="28"/>
          <w:szCs w:val="28"/>
          <w:shd w:val="clear" w:color="auto" w:fill="FFFFFF"/>
          <w14:textFill>
            <w14:solidFill>
              <w14:schemeClr w14:val="tx1"/>
            </w14:solidFill>
          </w14:textFill>
        </w:rPr>
        <w:t>建筑物的防烟与排烟</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按《建筑设计防火规范》(GB 50016-2016) 中相关内容进行防排烟设计，采用自然排烟与机械防烟、排烟相结合的方案达到防排烟的目的。</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⑥</w:t>
      </w:r>
      <w:r>
        <w:rPr>
          <w:rFonts w:hint="eastAsia" w:ascii="宋体" w:hAnsi="宋体" w:eastAsia="宋体" w:cs="宋体"/>
          <w:color w:val="000000" w:themeColor="text1"/>
          <w:sz w:val="28"/>
          <w:szCs w:val="28"/>
          <w:shd w:val="clear" w:color="auto" w:fill="FFFFFF"/>
          <w14:textFill>
            <w14:solidFill>
              <w14:schemeClr w14:val="tx1"/>
            </w14:solidFill>
          </w14:textFill>
        </w:rPr>
        <w:t>建筑灭火器的配置</w:t>
      </w:r>
    </w:p>
    <w:p>
      <w:pPr>
        <w:spacing w:line="360" w:lineRule="auto"/>
        <w:ind w:firstLine="560" w:firstLineChars="200"/>
        <w:rPr>
          <w:rFonts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为了有效地扑救工业建筑初期火灾，减少火灾损失，保护人身和财产安全，应严格按《建筑灭火器配置设计规范》(GB 50140-2005)相关要求设置灭火器。灭火器的选择，根据各工序的火灾种类及危险等级，灭火效能和通用性，对保护物品的污损程度、设置点的环境温度等选择相应的灭火器类型，本项目中主要采用磷酸铵盐干粉灭火器。灭火器的设置要求和保护距离及灭火器配置的设计计算，执行《建筑灭火器配置设计规范》(GB 50140-2005)第5，6，7条的相关要求。</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3）消防供水</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园区消防用水主要依靠园区麒麟区独木水库至潇湘水库日供10万立方原水供水系统，并充分利用天然水体。在水量不足的区域，设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企业内部</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消防水池，确保消防供水。河流、</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水库</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等天然水源应设消防取水设施，以保证沿岸发生火灾时，消防供水的需要。规划拟在城区的西冲水库和青峰水库沿岸修建消防车取水的码头或吸水井，并设置通往天然水源的消防车通道，重要工厂、仓库应修建消防蓄水池。</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4）消防消火栓规划</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在市政道路上新建或改建的给水管道，必须严格按照120米间距及十字路口60米范围内设置市政消火栓，超过60米宽的道路两侧均要设置消火栓。</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消火栓距路边不应超过2米，距建筑物外墙不宜小于5米。油罐储罐区和液化石油气储罐区的消火栓，应设置在区外。</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对于消火栓数量达不到要求的地区，应制定详细的补建计划，并限期强制补建。</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提高消火栓的质量标准，加强监督管理，减少消火栓的人为破坏及自然损坏，延长消火栓的使用寿命。</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消火栓最不利点水压不小于0.1兆帕，设置消火栓最小支管管径不应小于100毫米，规划区根据同一时间火灾次数2次，每次火灾供水流量30升/秒左右。</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.在各分厂分别设置室内消防水池和泵站，火灾时，由泵站内消防主泵向室内消防给水管网加压供水以满足消防水量和水压要求，平时则由消防稳压装置或高位消防水箱供水满足室内消防给水管网供水压力要求。</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5）消防供电</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规划区供水、供电、供气、通信、医疗、消防等重要部门均应双电源供电。</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消防供电的安全对城市消防安全影响较大，电力部门应在加强城市电网建设的同时，加强消防电源的建设，确保城市消防设施的供电可靠性。</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在设计、施工、运行、管理中严格执行“用电负荷等级分类”的有关规定，确保建筑消防供电的可靠性，确保建筑内部消防和疏散设备在火灾时能正常启动。</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电气设备的安装与使用必须符合防火规定；对于易燃易爆场所必须采用密闭型和防爆型电器；特别场所要采用防静电火灾的措施。</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5.消防水泵、火灾自动报警系统、火灾应急照明及疏散指示均按二级负荷供电，在高压配电室、低压配电室、主控制室、疏散通道设置火灾应急照明，应急照明设置在墙面或顶棚上。</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）消防通道</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快速路、主干路连通不同的消防站责任区，在大的火灾事故时，使不同的消防站可以协同作战，同时起到火灾时疏散作用。</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次干路应当覆盖整个规划区，保证消防车能够接近每个区域和建筑。</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消防取水的天然水源和消防水池，应设消防通道。</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每个建筑周边应按消防要求建设消防通道，通行净空不低于</w:t>
      </w:r>
      <w:r>
        <w:rPr>
          <w:rFonts w:hint="eastAsia" w:ascii="宋体" w:hAnsi="宋体" w:eastAsia="宋体" w:cs="宋体"/>
          <w:color w:val="000000" w:themeColor="text1"/>
          <w:sz w:val="28"/>
          <w:szCs w:val="28"/>
          <w:shd w:val="clear" w:color="auto" w:fill="FFFFFF"/>
          <w14:textFill>
            <w14:solidFill>
              <w14:schemeClr w14:val="tx1"/>
            </w14:solidFill>
          </w14:textFill>
        </w:rPr>
        <w:t>4*4米，转弯半径不小于12米。</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14:textFill>
            <w14:solidFill>
              <w14:schemeClr w14:val="tx1"/>
            </w14:solidFill>
          </w14:textFill>
        </w:rPr>
        <w:t>工厂仓库甲乙丙类厂房的占地超过3000平方米或乙丙类库房占地超过1500平方米应设环形车道。十层或十层以上的住宅建筑或建筑高度超过24米的高层建筑应满足有关消防要求。</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71" w:name="_Toc317754709"/>
      <w:bookmarkStart w:id="72" w:name="_Toc346179229"/>
      <w:bookmarkStart w:id="73" w:name="_Toc42528396"/>
      <w:bookmarkStart w:id="74" w:name="_Toc385411871"/>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）防震工程</w:t>
      </w:r>
      <w:bookmarkEnd w:id="71"/>
      <w:bookmarkEnd w:id="72"/>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w:t>
      </w:r>
      <w:bookmarkEnd w:id="73"/>
      <w:bookmarkEnd w:id="74"/>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bookmarkStart w:id="75" w:name="_Toc385411876"/>
      <w:bookmarkStart w:id="76" w:name="_Toc346179232"/>
      <w:bookmarkStart w:id="77" w:name="_Toc317754712"/>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）抗震减灾规划</w:t>
      </w:r>
      <w:bookmarkEnd w:id="75"/>
    </w:p>
    <w:p>
      <w:pPr>
        <w:spacing w:line="360" w:lineRule="auto"/>
        <w:ind w:firstLine="560" w:firstLineChars="200"/>
        <w:outlineLvl w:val="5"/>
        <w:rPr>
          <w:rFonts w:ascii="宋体" w:hAnsi="宋体" w:eastAsia="宋体" w:cs="宋体"/>
          <w:color w:val="000000" w:themeColor="text1"/>
          <w:sz w:val="28"/>
          <w:szCs w:val="28"/>
          <w:shd w:val="clear" w:color="auto" w:fill="FFFFFF"/>
          <w:lang w:val="zh-CN"/>
          <w14:textFill>
            <w14:solidFill>
              <w14:schemeClr w14:val="tx1"/>
            </w14:solidFill>
          </w14:textFill>
        </w:rPr>
      </w:pPr>
      <w:bookmarkStart w:id="78" w:name="_Toc385411877"/>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抗震设防标准</w:t>
      </w:r>
      <w:bookmarkEnd w:id="76"/>
      <w:bookmarkEnd w:id="77"/>
      <w:bookmarkEnd w:id="78"/>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依据《中国地震动参数区划图》（GB18306—2015），规划区对应地震基本烈度为</w:t>
      </w:r>
      <w:r>
        <w:rPr>
          <w:rFonts w:hint="eastAsia" w:ascii="宋体" w:hAnsi="宋体" w:eastAsia="宋体" w:cs="宋体"/>
          <w:color w:val="000000" w:themeColor="text1"/>
          <w:sz w:val="28"/>
          <w:szCs w:val="28"/>
          <w:shd w:val="clear" w:color="auto" w:fill="FFFFFF"/>
          <w14:textFill>
            <w14:solidFill>
              <w14:schemeClr w14:val="tx1"/>
            </w14:solidFill>
          </w14:textFill>
        </w:rPr>
        <w:t>8</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度，规划区城市规划与建设应据此进行抗震设防。对规划区超限高层建筑工程、生命线工程、重大（重点）工程、可能产生严重次生灾害的工程、大型公共建筑工程等应进行抗震设防专项审查。 </w:t>
      </w:r>
      <w:bookmarkStart w:id="79" w:name="_Toc317754713"/>
      <w:bookmarkStart w:id="80" w:name="_Toc346179233"/>
    </w:p>
    <w:p>
      <w:pPr>
        <w:spacing w:line="360" w:lineRule="auto"/>
        <w:ind w:firstLine="560" w:firstLineChars="200"/>
        <w:outlineLvl w:val="5"/>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避震疏散规划</w:t>
      </w:r>
      <w:bookmarkEnd w:id="79"/>
      <w:bookmarkEnd w:id="80"/>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疏散通道原则上应使居民的疏散救护便捷安全，保证主要道路畅通无阻。对外交通道路应保证较宽路幅，使道路的机动车道和对非机动车道在救灾中畅通无阻。城市公园、绿地、广场、停车场、运动场等也都是受灾时的主要疏散场地，应加以严格控制，建设时结合平常灾时两用的需要进行建设。</w:t>
      </w:r>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3）地震应急避难场所</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为了应对地震突发事件，防御与减轻地震灾害，应本着“统一规划、平震结合、因地制宜、综合利用、就近疏散、安全与通达”的原则，科学合理地建设地震应急避难场所，为居民提供应急避险空间，快速有序地疏散安置居民。</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避震疏散场地的选择应坚持平时与震时相结合，就近疏散的原则。可以利用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公园、</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路旁绿化带、小游园等</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设置避难场所</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。详见6.</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12综合防灾</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规划图</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生命线工程抗震规划</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生命线工程是园区整体抗震能力的重要组成部分，各部门应该做好震灾时的应急补救措施，对重要项目还应在小区域地震安全性评估基础上提高设防标准，以提高抗震能力。</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防止次生灾害</w:t>
      </w:r>
    </w:p>
    <w:p>
      <w:pPr>
        <w:spacing w:line="360" w:lineRule="auto"/>
        <w:ind w:firstLine="560" w:firstLineChars="200"/>
        <w:rPr>
          <w:rFonts w:ascii="宋体" w:hAnsi="宋体" w:eastAsia="宋体" w:cs="宋体"/>
          <w:b/>
          <w:bCs/>
          <w:color w:val="FF0000"/>
          <w:sz w:val="24"/>
          <w:shd w:val="clear" w:color="auto" w:fill="FFFFFF"/>
          <w:lang w:val="zh-CN"/>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高度重视可能发生次生灾害部门的抗震设防，如化工系统、燃气系统、供电系统、危险品仓库、供水系统等，防止地震诱发滑坡、泥石流、火灾、爆炸、泄污等次生灾害所造成的灾害。</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81" w:name="_Toc385411879"/>
      <w:bookmarkStart w:id="82" w:name="_Toc317754714"/>
      <w:bookmarkStart w:id="83" w:name="_Toc42528397"/>
      <w:bookmarkStart w:id="84" w:name="_Toc346179234"/>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）人防工程规划</w:t>
      </w:r>
      <w:bookmarkEnd w:id="81"/>
      <w:bookmarkEnd w:id="82"/>
      <w:bookmarkEnd w:id="83"/>
      <w:bookmarkEnd w:id="84"/>
    </w:p>
    <w:p>
      <w:p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bookmarkStart w:id="85" w:name="_Toc346179236"/>
      <w:bookmarkStart w:id="86" w:name="_Toc317754716"/>
      <w:bookmarkStart w:id="87" w:name="_Toc385411882"/>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）人防规划原则与目标</w:t>
      </w:r>
      <w:bookmarkEnd w:id="85"/>
      <w:bookmarkEnd w:id="86"/>
      <w:bookmarkEnd w:id="87"/>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根据“长期准备、重点建设、平战结合”的方针，总体防护应遵照“区片防护基础配套、分层布局，平战结合”的要求，通过人防建设与城市建设的紧密结合，实现城市建设符合防空要求，人防建设促进经济发展，从而达到战备效益和经济效益同步提高，平战功能健全的目标。</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遵循“从实际出发，统一规划，突出重点，平战结合，同步实施”的原则，充分发挥人防工事的战备效益、社会效益和经济效益。</w:t>
      </w:r>
    </w:p>
    <w:p>
      <w:pPr>
        <w:numPr>
          <w:ilvl w:val="0"/>
          <w:numId w:val="13"/>
        </w:numPr>
        <w:spacing w:line="360" w:lineRule="auto"/>
        <w:ind w:firstLine="560" w:firstLineChars="200"/>
        <w:outlineLvl w:val="4"/>
        <w:rPr>
          <w:rFonts w:ascii="宋体" w:hAnsi="宋体" w:eastAsia="宋体" w:cs="宋体"/>
          <w:color w:val="000000" w:themeColor="text1"/>
          <w:sz w:val="28"/>
          <w:szCs w:val="28"/>
          <w:shd w:val="clear" w:color="auto" w:fill="FFFFFF"/>
          <w:lang w:val="zh-CN"/>
          <w14:textFill>
            <w14:solidFill>
              <w14:schemeClr w14:val="tx1"/>
            </w14:solidFill>
          </w14:textFill>
        </w:rPr>
      </w:pPr>
      <w:bookmarkStart w:id="88" w:name="_Toc346179238"/>
      <w:bookmarkStart w:id="89" w:name="_Toc317754718"/>
      <w:bookmarkStart w:id="90" w:name="_Toc385411884"/>
      <w:r>
        <w:rPr>
          <w:rFonts w:hint="eastAsia" w:ascii="宋体" w:hAnsi="宋体" w:eastAsia="宋体" w:cs="宋体"/>
          <w:color w:val="000000" w:themeColor="text1"/>
          <w:sz w:val="28"/>
          <w:szCs w:val="28"/>
          <w:shd w:val="clear" w:color="auto" w:fill="FFFFFF"/>
          <w:lang w:val="zh-CN"/>
          <w14:textFill>
            <w14:solidFill>
              <w14:schemeClr w14:val="tx1"/>
            </w14:solidFill>
          </w14:textFill>
        </w:rPr>
        <w:t>人防工程建设</w:t>
      </w:r>
      <w:bookmarkEnd w:id="88"/>
      <w:bookmarkEnd w:id="89"/>
      <w:bookmarkEnd w:id="90"/>
      <w:r>
        <w:rPr>
          <w:rFonts w:hint="eastAsia" w:ascii="宋体" w:hAnsi="宋体" w:eastAsia="宋体" w:cs="宋体"/>
          <w:color w:val="000000" w:themeColor="text1"/>
          <w:sz w:val="28"/>
          <w:szCs w:val="28"/>
          <w:shd w:val="clear" w:color="auto" w:fill="FFFFFF"/>
          <w:lang w:val="zh-CN"/>
          <w14:textFill>
            <w14:solidFill>
              <w14:schemeClr w14:val="tx1"/>
            </w14:solidFill>
          </w14:textFill>
        </w:rPr>
        <w:t>标准</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人防工程建设标准按照人防工程行政主管部门相关政策要求执行</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9" w:hRule="atLeast"/>
          <w:jc w:val="center"/>
        </w:trPr>
        <w:tc>
          <w:tcPr>
            <w:tcW w:w="8640" w:type="dxa"/>
            <w:tcBorders>
              <w:top w:val="nil"/>
              <w:left w:val="nil"/>
              <w:bottom w:val="nil"/>
              <w:right w:val="nil"/>
            </w:tcBorders>
          </w:tcPr>
          <w:p>
            <w:pPr>
              <w:spacing w:line="360" w:lineRule="auto"/>
              <w:jc w:val="center"/>
              <w:rPr>
                <w:rFonts w:hint="eastAsia" w:ascii="宋体" w:hAnsi="宋体" w:eastAsia="宋体" w:cs="宋体"/>
                <w:color w:val="000000" w:themeColor="text1"/>
                <w:sz w:val="21"/>
                <w:szCs w:val="21"/>
                <w:shd w:val="clear" w:color="auto" w:fill="FFFFFF"/>
                <w:vertAlign w:val="baseline"/>
                <w:lang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eastAsia="zh-CN"/>
                <w14:textFill>
                  <w14:solidFill>
                    <w14:schemeClr w14:val="tx1"/>
                  </w14:solidFill>
                </w14:textFill>
              </w:rPr>
              <w:drawing>
                <wp:inline distT="0" distB="0" distL="114300" distR="114300">
                  <wp:extent cx="4765675" cy="2763520"/>
                  <wp:effectExtent l="0" t="0" r="0" b="0"/>
                  <wp:docPr id="30" name="图片 30" descr="E:\2023年\工业园区\工业园区最终成果\罗汉山工业园区成果\规划图\规划图纸文本说明书\规划\24综合防灾规划图.jpg24综合防灾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2023年\工业园区\工业园区最终成果\罗汉山工业园区成果\规划图\规划图纸文本说明书\规划\24综合防灾规划图.jpg24综合防灾规划图"/>
                          <pic:cNvPicPr>
                            <a:picLocks noChangeAspect="1"/>
                          </pic:cNvPicPr>
                        </pic:nvPicPr>
                        <pic:blipFill>
                          <a:blip r:embed="rId36"/>
                          <a:srcRect l="441" t="13519" r="717" b="5333"/>
                          <a:stretch>
                            <a:fillRect/>
                          </a:stretch>
                        </pic:blipFill>
                        <pic:spPr>
                          <a:xfrm>
                            <a:off x="0" y="0"/>
                            <a:ext cx="4765675" cy="2763520"/>
                          </a:xfrm>
                          <a:prstGeom prst="rect">
                            <a:avLst/>
                          </a:prstGeom>
                        </pic:spPr>
                      </pic:pic>
                    </a:graphicData>
                  </a:graphic>
                </wp:inline>
              </w:drawing>
            </w:r>
          </w:p>
          <w:p>
            <w:pPr>
              <w:spacing w:line="360" w:lineRule="auto"/>
              <w:jc w:val="center"/>
              <w:rPr>
                <w:rFonts w:hint="eastAsia" w:ascii="宋体" w:hAnsi="宋体" w:eastAsia="宋体" w:cs="宋体"/>
                <w:color w:val="000000" w:themeColor="text1"/>
                <w:sz w:val="21"/>
                <w:szCs w:val="21"/>
                <w:shd w:val="clear" w:color="auto" w:fill="FFFFFF"/>
                <w:vertAlign w:val="baseline"/>
                <w:lang w:eastAsia="zh-CN"/>
                <w14:textFill>
                  <w14:solidFill>
                    <w14:schemeClr w14:val="tx1"/>
                  </w14:solidFill>
                </w14:textFill>
              </w:rPr>
            </w:pPr>
            <w:r>
              <w:rPr>
                <w:rFonts w:hint="eastAsia" w:ascii="宋体" w:hAnsi="宋体" w:eastAsia="宋体" w:cs="宋体"/>
                <w:sz w:val="21"/>
                <w:szCs w:val="21"/>
                <w:shd w:val="clear" w:color="auto" w:fill="FFFFFF"/>
                <w:lang w:val="zh-CN"/>
              </w:rPr>
              <w:t>详见</w:t>
            </w:r>
            <w:r>
              <w:rPr>
                <w:rFonts w:hint="eastAsia" w:ascii="宋体" w:hAnsi="宋体" w:eastAsia="宋体" w:cs="宋体"/>
                <w:sz w:val="21"/>
                <w:szCs w:val="21"/>
                <w:shd w:val="clear" w:color="auto" w:fill="FFFFFF"/>
                <w:lang w:val="en-US" w:eastAsia="zh-CN"/>
              </w:rPr>
              <w:t>6.12综合防灾</w:t>
            </w:r>
            <w:r>
              <w:rPr>
                <w:rFonts w:hint="eastAsia" w:ascii="宋体" w:hAnsi="宋体" w:eastAsia="宋体" w:cs="宋体"/>
                <w:sz w:val="21"/>
                <w:szCs w:val="21"/>
                <w:shd w:val="clear" w:color="auto" w:fill="FFFFFF"/>
                <w:lang w:val="zh-CN"/>
              </w:rPr>
              <w:t>规划图</w:t>
            </w:r>
          </w:p>
        </w:tc>
      </w:tr>
    </w:tbl>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sectPr>
          <w:footerReference r:id="rId8" w:type="default"/>
          <w:pgSz w:w="23811" w:h="16838" w:orient="landscape"/>
          <w:pgMar w:top="1800" w:right="1440" w:bottom="1800" w:left="1440" w:header="851" w:footer="992" w:gutter="0"/>
          <w:pgNumType w:fmt="decimal"/>
          <w:cols w:space="840" w:num="2"/>
          <w:docGrid w:type="lines" w:linePitch="312" w:charSpace="0"/>
        </w:sectPr>
      </w:pPr>
    </w:p>
    <w:p>
      <w:pPr>
        <w:pStyle w:val="2"/>
        <w:numPr>
          <w:ilvl w:val="0"/>
          <w:numId w:val="1"/>
        </w:numPr>
        <w:jc w:val="center"/>
        <w:rPr>
          <w:color w:val="000000" w:themeColor="text1"/>
          <w14:textFill>
            <w14:solidFill>
              <w14:schemeClr w14:val="tx1"/>
            </w14:solidFill>
          </w14:textFill>
        </w:rPr>
      </w:pPr>
      <w:bookmarkStart w:id="91" w:name="_Toc353"/>
      <w:r>
        <w:rPr>
          <w:rFonts w:hint="eastAsia"/>
          <w:color w:val="000000" w:themeColor="text1"/>
          <w14:textFill>
            <w14:solidFill>
              <w14:schemeClr w14:val="tx1"/>
            </w14:solidFill>
          </w14:textFill>
        </w:rPr>
        <w:t>地块指标控制</w:t>
      </w:r>
      <w:bookmarkEnd w:id="91"/>
    </w:p>
    <w:p>
      <w:pPr>
        <w:pStyle w:val="4"/>
        <w:numPr>
          <w:ilvl w:val="0"/>
          <w:numId w:val="0"/>
        </w:numPr>
        <w:ind w:left="420" w:leftChars="0" w:firstLine="643" w:firstLineChars="200"/>
        <w:outlineLvl w:val="1"/>
        <w:rPr>
          <w:color w:val="000000" w:themeColor="text1"/>
          <w14:textFill>
            <w14:solidFill>
              <w14:schemeClr w14:val="tx1"/>
            </w14:solidFill>
          </w14:textFill>
        </w:rPr>
      </w:pPr>
      <w:bookmarkStart w:id="92" w:name="_Toc21603"/>
      <w:r>
        <w:rPr>
          <w:rFonts w:hint="eastAsia"/>
          <w:color w:val="000000" w:themeColor="text1"/>
          <w:lang w:val="en-US" w:eastAsia="zh-CN"/>
          <w14:textFill>
            <w14:solidFill>
              <w14:schemeClr w14:val="tx1"/>
            </w14:solidFill>
          </w14:textFill>
        </w:rPr>
        <w:t>一、</w:t>
      </w:r>
      <w:r>
        <w:rPr>
          <w:rFonts w:hint="eastAsia"/>
          <w:color w:val="000000" w:themeColor="text1"/>
          <w14:textFill>
            <w14:solidFill>
              <w14:schemeClr w14:val="tx1"/>
            </w14:solidFill>
          </w14:textFill>
        </w:rPr>
        <w:t>单元地块划分与编码</w:t>
      </w:r>
      <w:bookmarkEnd w:id="92"/>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一</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）单元划分</w:t>
      </w:r>
    </w:p>
    <w:p>
      <w:pPr>
        <w:spacing w:line="360" w:lineRule="auto"/>
        <w:ind w:firstLine="560" w:firstLineChars="200"/>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为便于规划管理和实施操作，规划根据实际情况，结合片区路网规划进行管理单元划分。规划按照《曲靖市中心城区管理单元划分》成果，</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共分Q-29、Q-32个单元，3个街坊。详见图7.1编制单元及街区划分图</w:t>
      </w:r>
    </w:p>
    <w:p>
      <w:pPr>
        <w:spacing w:line="360" w:lineRule="auto"/>
        <w:ind w:firstLine="560" w:firstLineChars="200"/>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Q-29-</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01街坊：蓟河路路以南、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寥廓南路</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以东、</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海河</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路以北、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曲陆高速</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以西</w:t>
      </w:r>
    </w:p>
    <w:p>
      <w:pPr>
        <w:spacing w:line="360" w:lineRule="auto"/>
        <w:ind w:firstLine="560" w:firstLineChars="200"/>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Q-32-</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02街坊：</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海</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河路以南、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寥廓南路</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以东、</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南绕城高速</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路以北、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曲陆</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路以西</w:t>
      </w:r>
    </w:p>
    <w:p>
      <w:pPr>
        <w:spacing w:line="360" w:lineRule="auto"/>
        <w:ind w:firstLine="560" w:firstLineChars="200"/>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Q-32-</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0</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街坊：快速路以南、寥廓南路以东、靖宁西路以北、麒麟南路以西</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二</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）地块划分</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本规划以单元划分为基础，并结合自然分界、道路划分、用地布局特征，进行合理的街坊划分。主要遵从以下原则：第一，保证地块的完整性，便于用地使用；第二，保证地块内用地性质的相对单一，避免不相容使用性质用地之间的干扰；第三，有利于下一层次规划的编制和土地出让与开发建设。</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）地块编码</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按上述原则，地块编码由“行政区代码—编制单元代码—地块代码”代码组成，按自西向东、由北向南的顺序划分，共分</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个</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街坊</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单元，</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个地块。</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7" w:hRule="atLeast"/>
          <w:jc w:val="center"/>
        </w:trPr>
        <w:tc>
          <w:tcPr>
            <w:tcW w:w="8700" w:type="dxa"/>
            <w:tcBorders>
              <w:top w:val="nil"/>
              <w:left w:val="nil"/>
              <w:bottom w:val="nil"/>
              <w:right w:val="nil"/>
            </w:tcBorders>
          </w:tcPr>
          <w:p>
            <w:pPr>
              <w:spacing w:line="360" w:lineRule="auto"/>
              <w:jc w:val="center"/>
              <w:rPr>
                <w:rFonts w:hint="eastAsia" w:ascii="宋体" w:hAnsi="宋体" w:eastAsia="宋体" w:cs="宋体"/>
                <w:color w:val="000000" w:themeColor="text1"/>
                <w:sz w:val="28"/>
                <w:szCs w:val="28"/>
                <w:shd w:val="clear" w:color="auto" w:fill="FFFFFF"/>
                <w:vertAlign w:val="baseline"/>
                <w:lang w:val="zh-CN"/>
                <w14:textFill>
                  <w14:solidFill>
                    <w14:schemeClr w14:val="tx1"/>
                  </w14:solidFill>
                </w14:textFill>
              </w:rPr>
            </w:pPr>
            <w:r>
              <w:rPr>
                <w:rFonts w:hint="eastAsia" w:ascii="宋体" w:hAnsi="宋体" w:eastAsia="宋体" w:cs="宋体"/>
                <w:color w:val="000000" w:themeColor="text1"/>
                <w:sz w:val="28"/>
                <w:szCs w:val="28"/>
                <w:shd w:val="clear" w:color="auto" w:fill="FFFFFF"/>
                <w:vertAlign w:val="baseline"/>
                <w:lang w:val="zh-CN"/>
                <w14:textFill>
                  <w14:solidFill>
                    <w14:schemeClr w14:val="tx1"/>
                  </w14:solidFill>
                </w14:textFill>
              </w:rPr>
              <w:drawing>
                <wp:inline distT="0" distB="0" distL="114300" distR="114300">
                  <wp:extent cx="5172075" cy="2979420"/>
                  <wp:effectExtent l="0" t="0" r="0" b="0"/>
                  <wp:docPr id="4" name="图片 4" descr="E:\2023年\工业园区\工业园区最终成果\罗汉山工业园区成果\规划图\规划图纸文本说明书\规划\25编制单元及街区划分.jpg25编制单元及街区划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3年\工业园区\工业园区最终成果\罗汉山工业园区成果\规划图\规划图纸文本说明书\规划\25编制单元及街区划分.jpg25编制单元及街区划分"/>
                          <pic:cNvPicPr>
                            <a:picLocks noChangeAspect="1"/>
                          </pic:cNvPicPr>
                        </pic:nvPicPr>
                        <pic:blipFill>
                          <a:blip r:embed="rId37"/>
                          <a:srcRect t="13193" b="5269"/>
                          <a:stretch>
                            <a:fillRect/>
                          </a:stretch>
                        </pic:blipFill>
                        <pic:spPr>
                          <a:xfrm>
                            <a:off x="0" y="0"/>
                            <a:ext cx="5172075" cy="2979420"/>
                          </a:xfrm>
                          <a:prstGeom prst="rect">
                            <a:avLst/>
                          </a:prstGeom>
                        </pic:spPr>
                      </pic:pic>
                    </a:graphicData>
                  </a:graphic>
                </wp:inline>
              </w:drawing>
            </w:r>
          </w:p>
          <w:p>
            <w:pPr>
              <w:spacing w:line="360" w:lineRule="auto"/>
              <w:jc w:val="center"/>
              <w:rPr>
                <w:rFonts w:hint="eastAsia" w:ascii="宋体" w:hAnsi="宋体" w:eastAsia="宋体" w:cs="宋体"/>
                <w:color w:val="000000" w:themeColor="text1"/>
                <w:sz w:val="28"/>
                <w:szCs w:val="28"/>
                <w:shd w:val="clear" w:color="auto" w:fill="FFFFFF"/>
                <w:vertAlign w:val="baseline"/>
                <w:lang w:val="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图7.1编制单元及街区划分图</w:t>
            </w:r>
          </w:p>
        </w:tc>
      </w:tr>
    </w:tbl>
    <w:p>
      <w:pPr>
        <w:pStyle w:val="4"/>
        <w:numPr>
          <w:ilvl w:val="0"/>
          <w:numId w:val="0"/>
        </w:numPr>
        <w:ind w:firstLine="643" w:firstLineChars="200"/>
        <w:outlineLvl w:val="1"/>
        <w:rPr>
          <w:color w:val="000000" w:themeColor="text1"/>
          <w14:textFill>
            <w14:solidFill>
              <w14:schemeClr w14:val="tx1"/>
            </w14:solidFill>
          </w14:textFill>
        </w:rPr>
      </w:pPr>
      <w:bookmarkStart w:id="93" w:name="_Toc5594"/>
      <w:r>
        <w:rPr>
          <w:rFonts w:hint="eastAsia"/>
          <w:color w:val="000000" w:themeColor="text1"/>
          <w:lang w:val="en-US" w:eastAsia="zh-CN"/>
          <w14:textFill>
            <w14:solidFill>
              <w14:schemeClr w14:val="tx1"/>
            </w14:solidFill>
          </w14:textFill>
        </w:rPr>
        <w:t>二、</w:t>
      </w:r>
      <w:r>
        <w:rPr>
          <w:rFonts w:hint="eastAsia"/>
          <w:color w:val="000000" w:themeColor="text1"/>
          <w14:textFill>
            <w14:solidFill>
              <w14:schemeClr w14:val="tx1"/>
            </w14:solidFill>
          </w14:textFill>
        </w:rPr>
        <w:t xml:space="preserve"> 单元控制</w:t>
      </w:r>
      <w:bookmarkEnd w:id="93"/>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）弹性</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重点控制城市空间用地整体发展形态与功能布局结构，确定开发强度分区，按开发强度分区制定具有一定弹性空间的控制指标。</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）刚性</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确定单元主导的土地用途、容积率、建筑高度、建筑密度、绿地率、公共绿地面积、主要市政基础设施和公用设施等内容，作为编制控制性详细规划的刚性要求。其中，独立占地的设施必须严格控制，非独立占地的设施可在地块内灵活布置。</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）引导性</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提出重点地段城市设计、开发建设要点与策略等指导性原则与要求，指导下一步规划的编制和基础设施的规划与建设。</w:t>
      </w:r>
    </w:p>
    <w:p>
      <w:pPr>
        <w:pStyle w:val="4"/>
        <w:numPr>
          <w:ilvl w:val="0"/>
          <w:numId w:val="0"/>
        </w:numPr>
        <w:ind w:left="420" w:leftChars="0" w:firstLine="643" w:firstLineChars="200"/>
        <w:outlineLvl w:val="1"/>
        <w:rPr>
          <w:color w:val="000000" w:themeColor="text1"/>
          <w14:textFill>
            <w14:solidFill>
              <w14:schemeClr w14:val="tx1"/>
            </w14:solidFill>
          </w14:textFill>
        </w:rPr>
      </w:pPr>
      <w:bookmarkStart w:id="94" w:name="_Toc21999"/>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地块用地性质</w:t>
      </w:r>
      <w:bookmarkEnd w:id="94"/>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用地分类</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本次规划用地分类按照《国土空间调查、规划、用途管制用地用海分类指南（试行）》执行。</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）强制性规定</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下列用地为强制性用地，禁止任何单位和个人侵占或者改变其使用性质。</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en-US" w:eastAsia="zh-CN"/>
        </w:rPr>
        <w:t>1）</w:t>
      </w:r>
      <w:r>
        <w:rPr>
          <w:rFonts w:hint="eastAsia" w:ascii="宋体" w:hAnsi="宋体" w:eastAsia="宋体" w:cs="宋体"/>
          <w:sz w:val="28"/>
          <w:szCs w:val="28"/>
          <w:shd w:val="clear" w:color="auto" w:fill="FFFFFF"/>
          <w:lang w:val="zh-CN"/>
        </w:rPr>
        <w:t>工矿用地：指用于工业生产的土地。</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en-US" w:eastAsia="zh-CN"/>
        </w:rPr>
        <w:t>2</w:t>
      </w:r>
      <w:r>
        <w:rPr>
          <w:rFonts w:hint="eastAsia" w:ascii="宋体" w:hAnsi="宋体" w:eastAsia="宋体" w:cs="宋体"/>
          <w:sz w:val="28"/>
          <w:szCs w:val="28"/>
          <w:shd w:val="clear" w:color="auto" w:fill="FFFFFF"/>
          <w:lang w:val="zh-CN"/>
        </w:rPr>
        <w:t>）城市道路交通用地：城市主、次干路、公共交通场站、加油站等。</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en-US" w:eastAsia="zh-CN"/>
        </w:rPr>
        <w:t>3</w:t>
      </w:r>
      <w:r>
        <w:rPr>
          <w:rFonts w:hint="eastAsia" w:ascii="宋体" w:hAnsi="宋体" w:eastAsia="宋体" w:cs="宋体"/>
          <w:sz w:val="28"/>
          <w:szCs w:val="28"/>
          <w:shd w:val="clear" w:color="auto" w:fill="FFFFFF"/>
          <w:lang w:val="zh-CN"/>
        </w:rPr>
        <w:t>）城市绿地及水面：公园绿地、道路绿化、防护绿地、广场等。</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其它用地为引导性用地，其用地性质可按各地块用地的适建要求，选择执行。</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）用地性质变更</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在开发过程中，除强制性用地外，其他用地由于现实原因或特殊要求，确需变更规划用地性质的，按</w:t>
      </w:r>
      <w:r>
        <w:rPr>
          <w:rFonts w:hint="eastAsia" w:ascii="宋体" w:hAnsi="宋体" w:eastAsia="宋体" w:cs="宋体"/>
          <w:color w:val="000000" w:themeColor="text1"/>
          <w:sz w:val="28"/>
          <w:szCs w:val="28"/>
          <w:shd w:val="clear" w:color="auto" w:fill="FFFFFF"/>
          <w14:textFill>
            <w14:solidFill>
              <w14:schemeClr w14:val="tx1"/>
            </w14:solidFill>
          </w14:textFill>
        </w:rPr>
        <w:t>《国土空间调查、规划、用途管制用地用海分类指南（实行）》</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，大类性质原则上禁止变更；中类性质变更需要有相关分析论证，经专家评审和规划主管部门核准后，方可变更；小类性质变更必须经规划主管部门核准。</w:t>
      </w:r>
    </w:p>
    <w:p>
      <w:pPr>
        <w:pStyle w:val="4"/>
        <w:numPr>
          <w:ilvl w:val="0"/>
          <w:numId w:val="0"/>
        </w:numPr>
        <w:ind w:firstLine="643" w:firstLineChars="200"/>
        <w:outlineLvl w:val="1"/>
        <w:rPr>
          <w:color w:val="000000" w:themeColor="text1"/>
          <w14:textFill>
            <w14:solidFill>
              <w14:schemeClr w14:val="tx1"/>
            </w14:solidFill>
          </w14:textFill>
        </w:rPr>
      </w:pPr>
      <w:bookmarkStart w:id="95" w:name="_Toc11374"/>
      <w:r>
        <w:rPr>
          <w:rFonts w:hint="eastAsia"/>
          <w:color w:val="000000" w:themeColor="text1"/>
          <w:lang w:val="en-US" w:eastAsia="zh-CN"/>
          <w14:textFill>
            <w14:solidFill>
              <w14:schemeClr w14:val="tx1"/>
            </w14:solidFill>
          </w14:textFill>
        </w:rPr>
        <w:t>四、</w:t>
      </w:r>
      <w:r>
        <w:rPr>
          <w:rFonts w:hint="eastAsia"/>
          <w:color w:val="000000" w:themeColor="text1"/>
          <w14:textFill>
            <w14:solidFill>
              <w14:schemeClr w14:val="tx1"/>
            </w14:solidFill>
          </w14:textFill>
        </w:rPr>
        <w:t>建筑规划管理</w:t>
      </w:r>
      <w:bookmarkEnd w:id="95"/>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）建筑间距</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规划建筑间距应满足日照、采光、通风、视线卫生、防灾、工程管线、空间景观和建筑保护等方面的要求，并符合《曲靖中心城区规划管理技术规定》的相关规定。</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）建筑高度</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建筑高度计算按照《曲靖中心城区规划管理技术规定》</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和《工业项目建设用地控制指标》</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执行。</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结合城市设计要求，依据各地块不同的景观环境特征，规划片区划分为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个高度分区，局部突出屋面的楼梯间、电梯机房、水箱间、烟囱等，在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规划片区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可不计入控制高度。详见图</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建筑高度控制图</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（1）建筑限高≤</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18</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米，为公共管理与公共服务设施用地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和交通场站用地</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建筑限高≤</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米，为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仓储用地和工矿</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用</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地</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）建筑限高≤</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80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米，为商业服务业用地。</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在各高度分区外划定严格控制区：包括各类绿地和公用设施，绿地内应严格控制景观建筑和服务设施高度，各类公用设施用地按其有关要求控制建筑高度。</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6" w:hRule="atLeast"/>
          <w:jc w:val="center"/>
        </w:trPr>
        <w:tc>
          <w:tcPr>
            <w:tcW w:w="7800" w:type="dxa"/>
          </w:tcPr>
          <w:p>
            <w:pPr>
              <w:spacing w:line="360" w:lineRule="auto"/>
              <w:jc w:val="center"/>
              <w:rPr>
                <w:rFonts w:ascii="宋体" w:hAnsi="宋体" w:eastAsia="宋体" w:cs="宋体"/>
                <w:b/>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14:textFill>
                  <w14:solidFill>
                    <w14:schemeClr w14:val="tx1"/>
                  </w14:solidFill>
                </w14:textFill>
              </w:rPr>
              <w:drawing>
                <wp:inline distT="0" distB="0" distL="0" distR="0">
                  <wp:extent cx="4289425" cy="2518410"/>
                  <wp:effectExtent l="0" t="0" r="0" b="0"/>
                  <wp:docPr id="15" name="图片 15" descr="E:\2023年\工业园区\工业园区最终成果\罗汉山工业园区成果\规划图\规划图纸文本说明书\规划\26建筑高度控制图.jpg26建筑高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2023年\工业园区\工业园区最终成果\罗汉山工业园区成果\规划图\规划图纸文本说明书\规划\26建筑高度控制图.jpg26建筑高度控制图"/>
                          <pic:cNvPicPr>
                            <a:picLocks noChangeAspect="1"/>
                          </pic:cNvPicPr>
                        </pic:nvPicPr>
                        <pic:blipFill>
                          <a:blip r:embed="rId38"/>
                          <a:srcRect l="698" t="12865" r="1004" b="5450"/>
                          <a:stretch>
                            <a:fillRect/>
                          </a:stretch>
                        </pic:blipFill>
                        <pic:spPr>
                          <a:xfrm>
                            <a:off x="0" y="0"/>
                            <a:ext cx="4289425" cy="2518410"/>
                          </a:xfrm>
                          <a:prstGeom prst="rect">
                            <a:avLst/>
                          </a:prstGeom>
                          <a:ln>
                            <a:noFill/>
                          </a:ln>
                        </pic:spPr>
                      </pic:pic>
                    </a:graphicData>
                  </a:graphic>
                </wp:inline>
              </w:drawing>
            </w:r>
          </w:p>
          <w:p>
            <w:pPr>
              <w:spacing w:line="360" w:lineRule="auto"/>
              <w:jc w:val="center"/>
              <w:rPr>
                <w:rFonts w:hint="default" w:ascii="宋体" w:hAnsi="宋体" w:eastAsia="宋体" w:cs="宋体"/>
                <w:b/>
                <w:color w:val="000000" w:themeColor="text1"/>
                <w:sz w:val="24"/>
                <w:shd w:val="clear" w:color="auto" w:fill="FFFFFF"/>
                <w:lang w:val="en-US" w:eastAsia="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7.2建筑高度控制图</w:t>
            </w:r>
          </w:p>
        </w:tc>
      </w:tr>
    </w:tbl>
    <w:p>
      <w:pPr>
        <w:numPr>
          <w:ilvl w:val="0"/>
          <w:numId w:val="14"/>
        </w:num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建筑退</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让、间距</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按照《曲靖中心城区规划管理技术规定》的相关规定执行。</w:t>
      </w:r>
    </w:p>
    <w:p>
      <w:pPr>
        <w:spacing w:line="360" w:lineRule="auto"/>
        <w:ind w:firstLine="560" w:firstLineChars="200"/>
        <w:outlineLvl w:val="2"/>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rPr>
        <w:t>4</w:t>
      </w:r>
      <w:r>
        <w:rPr>
          <w:rFonts w:hint="eastAsia" w:ascii="宋体" w:hAnsi="宋体" w:eastAsia="宋体" w:cs="宋体"/>
          <w:sz w:val="28"/>
          <w:szCs w:val="28"/>
          <w:shd w:val="clear" w:color="auto" w:fill="FFFFFF"/>
          <w:lang w:val="zh-CN"/>
        </w:rPr>
        <w:t>）开发强度控制</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容积率：一定地块内，建筑面积和建设用地面积的比值。</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本次规划以用地性质、用地规模、所处区域为基本前提，具体考虑本地区经济基础与开发环境，依据《曲靖中心城区规划管理技术规定》确定各地块容积率，并形成</w:t>
      </w:r>
      <w:r>
        <w:rPr>
          <w:rFonts w:hint="eastAsia" w:ascii="宋体" w:hAnsi="宋体" w:eastAsia="宋体" w:cs="宋体"/>
          <w:sz w:val="28"/>
          <w:szCs w:val="28"/>
          <w:shd w:val="clear" w:color="auto" w:fill="FFFFFF"/>
          <w:lang w:val="en-US" w:eastAsia="zh-CN"/>
        </w:rPr>
        <w:t>4</w:t>
      </w:r>
      <w:r>
        <w:rPr>
          <w:rFonts w:hint="eastAsia" w:ascii="宋体" w:hAnsi="宋体" w:eastAsia="宋体" w:cs="宋体"/>
          <w:sz w:val="28"/>
          <w:szCs w:val="28"/>
          <w:shd w:val="clear" w:color="auto" w:fill="FFFFFF"/>
          <w:lang w:val="zh-CN"/>
        </w:rPr>
        <w:t>个容积率控制分区，详见图</w:t>
      </w:r>
      <w:r>
        <w:rPr>
          <w:rFonts w:hint="eastAsia" w:ascii="宋体" w:hAnsi="宋体" w:eastAsia="宋体" w:cs="宋体"/>
          <w:sz w:val="28"/>
          <w:szCs w:val="28"/>
          <w:shd w:val="clear" w:color="auto" w:fill="FFFFFF"/>
          <w:lang w:val="en-US" w:eastAsia="zh-CN"/>
        </w:rPr>
        <w:t>7.3</w:t>
      </w:r>
      <w:r>
        <w:rPr>
          <w:rFonts w:hint="eastAsia" w:ascii="宋体" w:hAnsi="宋体" w:eastAsia="宋体" w:cs="宋体"/>
          <w:sz w:val="28"/>
          <w:szCs w:val="28"/>
          <w:shd w:val="clear" w:color="auto" w:fill="FFFFFF"/>
          <w:lang w:val="zh-CN"/>
        </w:rPr>
        <w:t>土地开发强度控制图</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1）低强度建设区：容积率≤1.</w:t>
      </w:r>
      <w:r>
        <w:rPr>
          <w:rFonts w:hint="eastAsia" w:ascii="宋体" w:hAnsi="宋体" w:eastAsia="宋体" w:cs="宋体"/>
          <w:sz w:val="28"/>
          <w:szCs w:val="28"/>
          <w:shd w:val="clear" w:color="auto" w:fill="FFFFFF"/>
          <w:lang w:val="en-US" w:eastAsia="zh-CN"/>
        </w:rPr>
        <w:t>2</w:t>
      </w:r>
      <w:r>
        <w:rPr>
          <w:rFonts w:hint="eastAsia" w:ascii="宋体" w:hAnsi="宋体" w:eastAsia="宋体" w:cs="宋体"/>
          <w:sz w:val="28"/>
          <w:szCs w:val="28"/>
          <w:shd w:val="clear" w:color="auto" w:fill="FFFFFF"/>
          <w:lang w:val="zh-CN"/>
        </w:rPr>
        <w:t>，主要为公共管理与公共服务设施用地和交通场站用地；</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2）中等强度建设区：0.5≤</w:t>
      </w:r>
      <w:r>
        <w:rPr>
          <w:rFonts w:hint="eastAsia" w:ascii="宋体" w:hAnsi="宋体" w:eastAsia="宋体" w:cs="宋体"/>
          <w:sz w:val="28"/>
          <w:szCs w:val="28"/>
          <w:shd w:val="clear" w:color="auto" w:fill="FFFFFF"/>
          <w:lang w:val="en-US" w:eastAsia="zh-CN"/>
        </w:rPr>
        <w:t>容积率</w:t>
      </w:r>
      <w:r>
        <w:rPr>
          <w:rFonts w:hint="eastAsia" w:ascii="宋体" w:hAnsi="宋体" w:eastAsia="宋体" w:cs="宋体"/>
          <w:sz w:val="28"/>
          <w:szCs w:val="28"/>
          <w:shd w:val="clear" w:color="auto" w:fill="FFFFFF"/>
          <w:lang w:val="zh-CN"/>
        </w:rPr>
        <w:t>≤1.0，主要是</w:t>
      </w:r>
      <w:r>
        <w:rPr>
          <w:rFonts w:hint="eastAsia" w:ascii="宋体" w:hAnsi="宋体" w:eastAsia="宋体" w:cs="宋体"/>
          <w:sz w:val="28"/>
          <w:szCs w:val="28"/>
          <w:shd w:val="clear" w:color="auto" w:fill="FFFFFF"/>
          <w:lang w:val="en-US" w:eastAsia="zh-CN"/>
        </w:rPr>
        <w:t>仓储</w:t>
      </w:r>
      <w:r>
        <w:rPr>
          <w:rFonts w:hint="eastAsia" w:ascii="宋体" w:hAnsi="宋体" w:eastAsia="宋体" w:cs="宋体"/>
          <w:sz w:val="28"/>
          <w:szCs w:val="28"/>
          <w:shd w:val="clear" w:color="auto" w:fill="FFFFFF"/>
          <w:lang w:val="zh-CN"/>
        </w:rPr>
        <w:t>用地；</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3）中高强度建设区：容积率</w:t>
      </w:r>
      <w:r>
        <w:rPr>
          <w:rFonts w:hint="eastAsia" w:ascii="宋体" w:hAnsi="宋体" w:eastAsia="宋体" w:cs="宋体"/>
          <w:sz w:val="28"/>
          <w:szCs w:val="28"/>
          <w:shd w:val="clear" w:color="auto" w:fill="FFFFFF"/>
          <w:lang w:val="en-US" w:eastAsia="zh-CN"/>
        </w:rPr>
        <w:t>≥1.0</w:t>
      </w:r>
      <w:r>
        <w:rPr>
          <w:rFonts w:hint="eastAsia" w:ascii="宋体" w:hAnsi="宋体" w:eastAsia="宋体" w:cs="宋体"/>
          <w:sz w:val="28"/>
          <w:szCs w:val="28"/>
          <w:shd w:val="clear" w:color="auto" w:fill="FFFFFF"/>
          <w:lang w:val="zh-CN"/>
        </w:rPr>
        <w:t>，主要是</w:t>
      </w:r>
      <w:r>
        <w:rPr>
          <w:rFonts w:hint="eastAsia" w:ascii="宋体" w:hAnsi="宋体" w:eastAsia="宋体" w:cs="宋体"/>
          <w:sz w:val="28"/>
          <w:szCs w:val="28"/>
          <w:shd w:val="clear" w:color="auto" w:fill="FFFFFF"/>
          <w:lang w:val="en-US" w:eastAsia="zh-CN"/>
        </w:rPr>
        <w:t>工矿用地</w:t>
      </w:r>
      <w:r>
        <w:rPr>
          <w:rFonts w:hint="eastAsia" w:ascii="宋体" w:hAnsi="宋体" w:eastAsia="宋体" w:cs="宋体"/>
          <w:sz w:val="28"/>
          <w:szCs w:val="28"/>
          <w:shd w:val="clear" w:color="auto" w:fill="FFFFFF"/>
          <w:lang w:val="zh-CN"/>
        </w:rPr>
        <w:t>；</w:t>
      </w:r>
    </w:p>
    <w:p>
      <w:pPr>
        <w:spacing w:line="360" w:lineRule="auto"/>
        <w:ind w:firstLine="560" w:firstLineChars="200"/>
        <w:rPr>
          <w:rFonts w:hint="default" w:ascii="宋体" w:hAnsi="宋体" w:eastAsia="宋体" w:cs="宋体"/>
          <w:sz w:val="28"/>
          <w:szCs w:val="28"/>
          <w:shd w:val="clear" w:color="auto" w:fill="FFFFFF"/>
          <w:lang w:val="en-US"/>
        </w:rPr>
      </w:pPr>
      <w:r>
        <w:rPr>
          <w:rFonts w:hint="eastAsia" w:ascii="宋体" w:hAnsi="宋体" w:eastAsia="宋体" w:cs="宋体"/>
          <w:sz w:val="28"/>
          <w:szCs w:val="28"/>
          <w:shd w:val="clear" w:color="auto" w:fill="FFFFFF"/>
          <w:lang w:val="en-US" w:eastAsia="zh-CN"/>
        </w:rPr>
        <w:t>4）高强度建设区：</w:t>
      </w:r>
      <w:r>
        <w:rPr>
          <w:rFonts w:hint="eastAsia" w:ascii="宋体" w:hAnsi="宋体" w:eastAsia="宋体" w:cs="宋体"/>
          <w:sz w:val="28"/>
          <w:szCs w:val="28"/>
          <w:shd w:val="clear" w:color="auto" w:fill="FFFFFF"/>
          <w:lang w:val="zh-CN"/>
        </w:rPr>
        <w:t>容积率≤</w:t>
      </w:r>
      <w:r>
        <w:rPr>
          <w:rFonts w:hint="eastAsia" w:ascii="宋体" w:hAnsi="宋体" w:eastAsia="宋体" w:cs="宋体"/>
          <w:sz w:val="28"/>
          <w:szCs w:val="28"/>
          <w:shd w:val="clear" w:color="auto" w:fill="FFFFFF"/>
          <w:lang w:val="en-US" w:eastAsia="zh-CN"/>
        </w:rPr>
        <w:t>3.5</w:t>
      </w:r>
      <w:r>
        <w:rPr>
          <w:rFonts w:hint="eastAsia" w:ascii="宋体" w:hAnsi="宋体" w:eastAsia="宋体" w:cs="宋体"/>
          <w:sz w:val="28"/>
          <w:szCs w:val="28"/>
          <w:shd w:val="clear" w:color="auto" w:fill="FFFFFF"/>
          <w:lang w:val="zh-CN"/>
        </w:rPr>
        <w:t>，主要是商业服务业用地。</w:t>
      </w:r>
    </w:p>
    <w:p>
      <w:pPr>
        <w:spacing w:line="360" w:lineRule="auto"/>
        <w:ind w:firstLine="560" w:firstLineChars="200"/>
        <w:rPr>
          <w:rFonts w:hint="eastAsia"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已批地块的容积率原则上不得突破，确需突破的，应按法定程序核准后，方可实行。</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7" w:hRule="atLeast"/>
          <w:jc w:val="center"/>
        </w:trPr>
        <w:tc>
          <w:tcPr>
            <w:tcW w:w="8380" w:type="dxa"/>
            <w:tcBorders>
              <w:top w:val="nil"/>
              <w:left w:val="nil"/>
              <w:bottom w:val="nil"/>
              <w:right w:val="nil"/>
            </w:tcBorders>
          </w:tcPr>
          <w:p>
            <w:pPr>
              <w:spacing w:line="360" w:lineRule="auto"/>
              <w:jc w:val="center"/>
              <w:rPr>
                <w:rFonts w:hint="eastAsia" w:ascii="宋体" w:hAnsi="宋体" w:eastAsia="宋体" w:cs="宋体"/>
                <w:sz w:val="28"/>
                <w:szCs w:val="28"/>
                <w:shd w:val="clear" w:color="auto" w:fill="FFFFFF"/>
                <w:vertAlign w:val="baseline"/>
                <w:lang w:val="zh-CN"/>
              </w:rPr>
            </w:pPr>
            <w:r>
              <w:rPr>
                <w:rFonts w:hint="eastAsia" w:ascii="宋体" w:hAnsi="宋体" w:eastAsia="宋体" w:cs="宋体"/>
                <w:sz w:val="28"/>
                <w:szCs w:val="28"/>
                <w:shd w:val="clear" w:color="auto" w:fill="FFFFFF"/>
                <w:vertAlign w:val="baseline"/>
                <w:lang w:val="zh-CN"/>
              </w:rPr>
              <w:drawing>
                <wp:inline distT="0" distB="0" distL="114300" distR="114300">
                  <wp:extent cx="4475480" cy="2574290"/>
                  <wp:effectExtent l="0" t="0" r="1270" b="16510"/>
                  <wp:docPr id="24" name="图片 24" descr="E:\2023年\工业园区\工业园区最终成果\罗汉山工业园区成果\规划图\规划图纸文本说明书\规划\27开发强度控制图.jpg27开发强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2023年\工业园区\工业园区最终成果\罗汉山工业园区成果\规划图\规划图纸文本说明书\规划\27开发强度控制图.jpg27开发强度控制图"/>
                          <pic:cNvPicPr>
                            <a:picLocks noChangeAspect="1"/>
                          </pic:cNvPicPr>
                        </pic:nvPicPr>
                        <pic:blipFill>
                          <a:blip r:embed="rId39"/>
                          <a:srcRect t="13203" b="5382"/>
                          <a:stretch>
                            <a:fillRect/>
                          </a:stretch>
                        </pic:blipFill>
                        <pic:spPr>
                          <a:xfrm>
                            <a:off x="0" y="0"/>
                            <a:ext cx="4475480" cy="2574290"/>
                          </a:xfrm>
                          <a:prstGeom prst="rect">
                            <a:avLst/>
                          </a:prstGeom>
                        </pic:spPr>
                      </pic:pic>
                    </a:graphicData>
                  </a:graphic>
                </wp:inline>
              </w:drawing>
            </w:r>
          </w:p>
          <w:p>
            <w:pPr>
              <w:spacing w:line="360" w:lineRule="auto"/>
              <w:jc w:val="center"/>
              <w:rPr>
                <w:rFonts w:hint="eastAsia" w:ascii="宋体" w:hAnsi="宋体" w:eastAsia="宋体" w:cs="宋体"/>
                <w:sz w:val="28"/>
                <w:szCs w:val="28"/>
                <w:shd w:val="clear" w:color="auto" w:fill="FFFFFF"/>
                <w:vertAlign w:val="baseline"/>
                <w:lang w:val="zh-CN"/>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7.3开发强度控制图</w:t>
            </w:r>
          </w:p>
        </w:tc>
      </w:tr>
    </w:tbl>
    <w:p>
      <w:pPr>
        <w:spacing w:line="360" w:lineRule="auto"/>
        <w:ind w:firstLine="560" w:firstLineChars="200"/>
        <w:outlineLvl w:val="2"/>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lang w:val="en-US" w:eastAsia="zh-CN"/>
        </w:rPr>
        <w:t>5</w:t>
      </w:r>
      <w:r>
        <w:rPr>
          <w:rFonts w:hint="eastAsia" w:ascii="宋体" w:hAnsi="宋体" w:eastAsia="宋体" w:cs="宋体"/>
          <w:sz w:val="28"/>
          <w:szCs w:val="28"/>
          <w:shd w:val="clear" w:color="auto" w:fill="FFFFFF"/>
          <w:lang w:val="zh-CN"/>
        </w:rPr>
        <w:t>）建筑密度控制规定</w:t>
      </w:r>
    </w:p>
    <w:p>
      <w:pPr>
        <w:spacing w:line="360" w:lineRule="auto"/>
        <w:ind w:firstLine="560" w:firstLineChars="200"/>
        <w:jc w:val="both"/>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建筑密度是指地块内建筑基底面积与建筑基地面积之比，以百分比表示。各地块用地建筑密度的控制应符合相关的规定。本次规划局部地块在建设过程中有难度的可适当突破，</w:t>
      </w:r>
      <w:r>
        <w:rPr>
          <w:rFonts w:hint="eastAsia" w:ascii="宋体" w:hAnsi="宋体" w:eastAsia="宋体" w:cs="宋体"/>
          <w:sz w:val="28"/>
          <w:szCs w:val="28"/>
          <w:shd w:val="clear" w:color="auto" w:fill="FFFFFF"/>
          <w:lang w:val="en-US" w:eastAsia="zh-CN"/>
        </w:rPr>
        <w:t>商业建筑密度≤</w:t>
      </w:r>
      <w:r>
        <w:rPr>
          <w:rFonts w:hint="default" w:ascii="宋体" w:hAnsi="宋体" w:eastAsia="宋体" w:cs="宋体"/>
          <w:sz w:val="28"/>
          <w:szCs w:val="28"/>
          <w:shd w:val="clear" w:color="auto" w:fill="FFFFFF"/>
          <w:lang w:val="en-US" w:eastAsia="zh-CN"/>
        </w:rPr>
        <w:t>6</w:t>
      </w:r>
      <w:r>
        <w:rPr>
          <w:rFonts w:hint="eastAsia" w:ascii="宋体" w:hAnsi="宋体" w:eastAsia="宋体" w:cs="宋体"/>
          <w:sz w:val="28"/>
          <w:szCs w:val="28"/>
          <w:shd w:val="clear" w:color="auto" w:fill="FFFFFF"/>
          <w:lang w:val="en-US" w:eastAsia="zh-CN"/>
        </w:rPr>
        <w:t>0%；</w:t>
      </w:r>
      <w:r>
        <w:rPr>
          <w:rFonts w:hint="eastAsia" w:ascii="宋体" w:hAnsi="宋体" w:eastAsia="宋体" w:cs="宋体"/>
          <w:sz w:val="28"/>
          <w:szCs w:val="28"/>
          <w:shd w:val="clear" w:color="auto" w:fill="FFFFFF"/>
          <w:lang w:val="zh-CN"/>
        </w:rPr>
        <w:t>工业建筑密度</w:t>
      </w:r>
      <w:r>
        <w:rPr>
          <w:rFonts w:hint="eastAsia" w:ascii="宋体" w:hAnsi="宋体" w:eastAsia="宋体" w:cs="宋体"/>
          <w:sz w:val="28"/>
          <w:szCs w:val="28"/>
          <w:shd w:val="clear" w:color="auto" w:fill="FFFFFF"/>
          <w:lang w:val="en-US" w:eastAsia="zh-CN"/>
        </w:rPr>
        <w:t>≥</w:t>
      </w:r>
      <w:r>
        <w:rPr>
          <w:rFonts w:hint="eastAsia" w:ascii="宋体" w:hAnsi="宋体" w:eastAsia="宋体" w:cs="宋体"/>
          <w:sz w:val="28"/>
          <w:szCs w:val="28"/>
          <w:shd w:val="clear" w:color="auto" w:fill="FFFFFF"/>
          <w:lang w:val="zh-CN"/>
        </w:rPr>
        <w:t>40%；</w:t>
      </w:r>
      <w:r>
        <w:rPr>
          <w:rFonts w:hint="eastAsia" w:ascii="宋体" w:hAnsi="宋体" w:eastAsia="宋体" w:cs="宋体"/>
          <w:sz w:val="28"/>
          <w:szCs w:val="28"/>
          <w:shd w:val="clear" w:color="auto" w:fill="FFFFFF"/>
          <w:lang w:val="en-US" w:eastAsia="zh-CN"/>
        </w:rPr>
        <w:t>仓储</w:t>
      </w:r>
      <w:r>
        <w:rPr>
          <w:rFonts w:hint="eastAsia" w:ascii="宋体" w:hAnsi="宋体" w:eastAsia="宋体" w:cs="宋体"/>
          <w:sz w:val="28"/>
          <w:szCs w:val="28"/>
          <w:shd w:val="clear" w:color="auto" w:fill="FFFFFF"/>
          <w:lang w:val="zh-CN"/>
        </w:rPr>
        <w:t>建筑密度</w:t>
      </w:r>
      <w:r>
        <w:rPr>
          <w:rFonts w:hint="eastAsia" w:ascii="宋体" w:hAnsi="宋体" w:eastAsia="宋体" w:cs="宋体"/>
          <w:sz w:val="28"/>
          <w:szCs w:val="28"/>
          <w:shd w:val="clear" w:color="auto" w:fill="FFFFFF"/>
          <w:lang w:val="en-US" w:eastAsia="zh-CN"/>
        </w:rPr>
        <w:t>≤</w:t>
      </w:r>
      <w:r>
        <w:rPr>
          <w:rFonts w:hint="eastAsia" w:ascii="宋体" w:hAnsi="宋体" w:eastAsia="宋体" w:cs="宋体"/>
          <w:sz w:val="28"/>
          <w:szCs w:val="28"/>
          <w:shd w:val="clear" w:color="auto" w:fill="FFFFFF"/>
          <w:lang w:val="zh-CN"/>
        </w:rPr>
        <w:t>40%；</w:t>
      </w:r>
      <w:r>
        <w:rPr>
          <w:rFonts w:hint="eastAsia" w:ascii="宋体" w:hAnsi="宋体" w:eastAsia="宋体" w:cs="宋体"/>
          <w:sz w:val="28"/>
          <w:szCs w:val="28"/>
          <w:shd w:val="clear" w:color="auto" w:fill="FFFFFF"/>
          <w:lang w:val="en-US" w:eastAsia="zh-CN"/>
        </w:rPr>
        <w:t>行政办公</w:t>
      </w:r>
      <w:r>
        <w:rPr>
          <w:rFonts w:hint="eastAsia" w:ascii="宋体" w:hAnsi="宋体" w:eastAsia="宋体" w:cs="宋体"/>
          <w:sz w:val="28"/>
          <w:szCs w:val="28"/>
          <w:shd w:val="clear" w:color="auto" w:fill="FFFFFF"/>
          <w:lang w:val="zh-CN"/>
        </w:rPr>
        <w:t>建筑密度</w:t>
      </w:r>
      <w:r>
        <w:rPr>
          <w:rFonts w:hint="eastAsia" w:ascii="宋体" w:hAnsi="宋体" w:eastAsia="宋体" w:cs="宋体"/>
          <w:sz w:val="28"/>
          <w:szCs w:val="28"/>
          <w:shd w:val="clear" w:color="auto" w:fill="FFFFFF"/>
          <w:lang w:val="en-US" w:eastAsia="zh-CN"/>
        </w:rPr>
        <w:t>≤40</w:t>
      </w: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lang w:val="en-US" w:eastAsia="zh-CN"/>
        </w:rPr>
        <w:t>其他建筑≤25%。</w:t>
      </w:r>
      <w:r>
        <w:rPr>
          <w:rFonts w:hint="eastAsia" w:ascii="宋体" w:hAnsi="宋体" w:eastAsia="宋体" w:cs="宋体"/>
          <w:sz w:val="28"/>
          <w:szCs w:val="28"/>
          <w:shd w:val="clear" w:color="auto" w:fill="FFFFFF"/>
          <w:lang w:val="zh-CN"/>
        </w:rPr>
        <w:t>具体详细地块根据图则中规定执行。详见图7.</w:t>
      </w:r>
      <w:r>
        <w:rPr>
          <w:rFonts w:hint="eastAsia" w:ascii="宋体" w:hAnsi="宋体" w:eastAsia="宋体" w:cs="宋体"/>
          <w:sz w:val="28"/>
          <w:szCs w:val="28"/>
          <w:shd w:val="clear" w:color="auto" w:fill="FFFFFF"/>
          <w:lang w:val="en-US" w:eastAsia="zh-CN"/>
        </w:rPr>
        <w:t>4建筑密度</w:t>
      </w:r>
      <w:r>
        <w:rPr>
          <w:rFonts w:hint="eastAsia" w:ascii="宋体" w:hAnsi="宋体" w:eastAsia="宋体" w:cs="宋体"/>
          <w:sz w:val="28"/>
          <w:szCs w:val="28"/>
          <w:shd w:val="clear" w:color="auto" w:fill="FFFFFF"/>
          <w:lang w:val="zh-CN"/>
        </w:rPr>
        <w:t>控制图</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9" w:hRule="atLeast"/>
          <w:jc w:val="center"/>
        </w:trPr>
        <w:tc>
          <w:tcPr>
            <w:tcW w:w="9300" w:type="dxa"/>
            <w:tcBorders>
              <w:top w:val="nil"/>
              <w:left w:val="nil"/>
              <w:bottom w:val="nil"/>
              <w:right w:val="nil"/>
            </w:tcBorders>
          </w:tcPr>
          <w:p>
            <w:pPr>
              <w:spacing w:line="360" w:lineRule="auto"/>
              <w:jc w:val="center"/>
              <w:rPr>
                <w:rFonts w:ascii="宋体" w:hAnsi="宋体" w:eastAsia="宋体" w:cs="宋体"/>
                <w:sz w:val="28"/>
                <w:szCs w:val="28"/>
                <w:shd w:val="clear" w:color="auto" w:fill="FFFFFF"/>
                <w:vertAlign w:val="baseline"/>
                <w:lang w:val="zh-CN"/>
              </w:rPr>
            </w:pPr>
            <w:r>
              <w:rPr>
                <w:rFonts w:ascii="宋体" w:hAnsi="宋体" w:eastAsia="宋体" w:cs="宋体"/>
                <w:sz w:val="28"/>
                <w:szCs w:val="28"/>
                <w:shd w:val="clear" w:color="auto" w:fill="FFFFFF"/>
                <w:vertAlign w:val="baseline"/>
                <w:lang w:val="zh-CN"/>
              </w:rPr>
              <w:drawing>
                <wp:inline distT="0" distB="0" distL="114300" distR="114300">
                  <wp:extent cx="5730875" cy="3282315"/>
                  <wp:effectExtent l="0" t="0" r="3175" b="13335"/>
                  <wp:docPr id="17" name="图片 17" descr="E:\2023年\工业园区\工业园区最终成果\罗汉山工业园区成果\规划图\规划图纸文本说明书\规划\28建筑密度控制图.jpg28建筑密度控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23年\工业园区\工业园区最终成果\罗汉山工业园区成果\规划图\规划图纸文本说明书\规划\28建筑密度控制图.jpg28建筑密度控制图"/>
                          <pic:cNvPicPr>
                            <a:picLocks noChangeAspect="1"/>
                          </pic:cNvPicPr>
                        </pic:nvPicPr>
                        <pic:blipFill>
                          <a:blip r:embed="rId40"/>
                          <a:srcRect t="13537" b="5397"/>
                          <a:stretch>
                            <a:fillRect/>
                          </a:stretch>
                        </pic:blipFill>
                        <pic:spPr>
                          <a:xfrm>
                            <a:off x="0" y="0"/>
                            <a:ext cx="5730875" cy="3282315"/>
                          </a:xfrm>
                          <a:prstGeom prst="rect">
                            <a:avLst/>
                          </a:prstGeom>
                        </pic:spPr>
                      </pic:pic>
                    </a:graphicData>
                  </a:graphic>
                </wp:inline>
              </w:drawing>
            </w:r>
          </w:p>
          <w:p>
            <w:pPr>
              <w:spacing w:line="360" w:lineRule="auto"/>
              <w:jc w:val="center"/>
              <w:rPr>
                <w:rFonts w:ascii="宋体" w:hAnsi="宋体" w:eastAsia="宋体" w:cs="宋体"/>
                <w:sz w:val="28"/>
                <w:szCs w:val="28"/>
                <w:shd w:val="clear" w:color="auto" w:fill="FFFFFF"/>
                <w:vertAlign w:val="baseline"/>
                <w:lang w:val="zh-CN"/>
              </w:rPr>
            </w:pPr>
            <w:r>
              <w:rPr>
                <w:rFonts w:hint="eastAsia" w:ascii="宋体" w:hAnsi="宋体" w:eastAsia="宋体" w:cs="宋体"/>
                <w:sz w:val="21"/>
                <w:szCs w:val="21"/>
                <w:shd w:val="clear" w:color="auto" w:fill="FFFFFF"/>
                <w:lang w:val="zh-CN"/>
              </w:rPr>
              <w:t>图7.</w:t>
            </w:r>
            <w:r>
              <w:rPr>
                <w:rFonts w:hint="eastAsia" w:ascii="宋体" w:hAnsi="宋体" w:eastAsia="宋体" w:cs="宋体"/>
                <w:sz w:val="21"/>
                <w:szCs w:val="21"/>
                <w:shd w:val="clear" w:color="auto" w:fill="FFFFFF"/>
                <w:lang w:val="en-US" w:eastAsia="zh-CN"/>
              </w:rPr>
              <w:t>4建筑密度</w:t>
            </w:r>
            <w:r>
              <w:rPr>
                <w:rFonts w:hint="eastAsia" w:ascii="宋体" w:hAnsi="宋体" w:eastAsia="宋体" w:cs="宋体"/>
                <w:sz w:val="21"/>
                <w:szCs w:val="21"/>
                <w:shd w:val="clear" w:color="auto" w:fill="FFFFFF"/>
                <w:lang w:val="zh-CN"/>
              </w:rPr>
              <w:t>控制图</w:t>
            </w:r>
          </w:p>
        </w:tc>
      </w:tr>
    </w:tbl>
    <w:p>
      <w:pPr>
        <w:spacing w:line="360" w:lineRule="auto"/>
        <w:ind w:firstLine="560" w:firstLineChars="200"/>
        <w:outlineLvl w:val="2"/>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w:t>
      </w:r>
      <w:r>
        <w:rPr>
          <w:rFonts w:hint="eastAsia" w:ascii="宋体" w:hAnsi="宋体" w:eastAsia="宋体" w:cs="宋体"/>
          <w:sz w:val="28"/>
          <w:szCs w:val="28"/>
          <w:shd w:val="clear" w:color="auto" w:fill="FFFFFF"/>
          <w:lang w:val="en-US" w:eastAsia="zh-CN"/>
        </w:rPr>
        <w:t>6</w:t>
      </w:r>
      <w:r>
        <w:rPr>
          <w:rFonts w:hint="eastAsia" w:ascii="宋体" w:hAnsi="宋体" w:eastAsia="宋体" w:cs="宋体"/>
          <w:sz w:val="28"/>
          <w:szCs w:val="28"/>
          <w:shd w:val="clear" w:color="auto" w:fill="FFFFFF"/>
          <w:lang w:val="zh-CN"/>
        </w:rPr>
        <w:t>）绿地率控制规定</w:t>
      </w:r>
    </w:p>
    <w:p>
      <w:pPr>
        <w:spacing w:line="360" w:lineRule="auto"/>
        <w:ind w:firstLine="560" w:firstLineChars="200"/>
        <w:jc w:val="both"/>
        <w:rPr>
          <w:rFonts w:ascii="宋体" w:hAnsi="宋体" w:eastAsia="宋体" w:cs="宋体"/>
          <w:sz w:val="28"/>
          <w:szCs w:val="28"/>
          <w:shd w:val="clear" w:color="auto" w:fill="FFFFFF"/>
          <w:lang w:val="zh-CN"/>
        </w:rPr>
      </w:pPr>
      <w:r>
        <w:rPr>
          <w:rFonts w:hint="eastAsia" w:ascii="宋体" w:hAnsi="宋体" w:eastAsia="宋体" w:cs="宋体"/>
          <w:sz w:val="28"/>
          <w:szCs w:val="28"/>
          <w:shd w:val="clear" w:color="auto" w:fill="FFFFFF"/>
          <w:lang w:val="zh-CN"/>
        </w:rPr>
        <w:t>绿地率是指规划用地中绿地总面积与地块面积之比，以百分数表示。</w:t>
      </w:r>
      <w:r>
        <w:rPr>
          <w:rFonts w:hint="eastAsia" w:ascii="宋体" w:hAnsi="宋体" w:eastAsia="宋体" w:cs="宋体"/>
          <w:sz w:val="28"/>
          <w:szCs w:val="28"/>
          <w:shd w:val="clear" w:color="auto" w:fill="FFFFFF"/>
          <w:lang w:val="en-US" w:eastAsia="zh-CN"/>
        </w:rPr>
        <w:t>本次规划</w:t>
      </w:r>
      <w:r>
        <w:rPr>
          <w:rFonts w:hint="eastAsia" w:ascii="宋体" w:hAnsi="宋体" w:eastAsia="宋体" w:cs="宋体"/>
          <w:sz w:val="28"/>
          <w:szCs w:val="28"/>
          <w:shd w:val="clear" w:color="auto" w:fill="FFFFFF"/>
          <w:lang w:val="zh-CN"/>
        </w:rPr>
        <w:t>根据《曲靖中心城区园林绿化管理实施办法》新建工业企业、交通枢纽、仓储、商业中心、专业市场等项目绿地率不低于20%，详细要求则应根据图则中规定执行。详见</w:t>
      </w:r>
      <w:r>
        <w:rPr>
          <w:rFonts w:hint="eastAsia" w:ascii="宋体" w:hAnsi="宋体" w:eastAsia="宋体" w:cs="宋体"/>
          <w:sz w:val="28"/>
          <w:szCs w:val="28"/>
          <w:shd w:val="clear" w:color="auto" w:fill="FFFFFF"/>
          <w:lang w:val="en-US" w:eastAsia="zh-CN"/>
        </w:rPr>
        <w:t>表7.1建设用地绿地率控制指标表、</w:t>
      </w:r>
      <w:r>
        <w:rPr>
          <w:rFonts w:hint="eastAsia" w:ascii="宋体" w:hAnsi="宋体" w:eastAsia="宋体" w:cs="宋体"/>
          <w:sz w:val="28"/>
          <w:szCs w:val="28"/>
          <w:shd w:val="clear" w:color="auto" w:fill="FFFFFF"/>
          <w:lang w:val="zh-CN"/>
        </w:rPr>
        <w:t>图7.</w:t>
      </w:r>
      <w:r>
        <w:rPr>
          <w:rFonts w:hint="eastAsia" w:ascii="宋体" w:hAnsi="宋体" w:eastAsia="宋体" w:cs="宋体"/>
          <w:sz w:val="28"/>
          <w:szCs w:val="28"/>
          <w:shd w:val="clear" w:color="auto" w:fill="FFFFFF"/>
          <w:lang w:val="en-US" w:eastAsia="zh-CN"/>
        </w:rPr>
        <w:t>5绿地率规划</w:t>
      </w:r>
      <w:r>
        <w:rPr>
          <w:rFonts w:hint="eastAsia" w:ascii="宋体" w:hAnsi="宋体" w:eastAsia="宋体" w:cs="宋体"/>
          <w:sz w:val="28"/>
          <w:szCs w:val="28"/>
          <w:shd w:val="clear" w:color="auto" w:fill="FFFFFF"/>
          <w:lang w:val="zh-CN"/>
        </w:rPr>
        <w:t>图</w:t>
      </w:r>
    </w:p>
    <w:p>
      <w:pPr>
        <w:spacing w:line="360" w:lineRule="auto"/>
        <w:jc w:val="center"/>
        <w:rPr>
          <w:b/>
          <w:sz w:val="24"/>
          <w:lang w:val="zh-CN"/>
        </w:rPr>
      </w:pPr>
      <w:r>
        <w:rPr>
          <w:rFonts w:hint="eastAsia"/>
          <w:b/>
          <w:sz w:val="24"/>
          <w:lang w:val="zh-CN"/>
        </w:rPr>
        <w:t>表7.</w:t>
      </w:r>
      <w:r>
        <w:rPr>
          <w:b/>
          <w:sz w:val="24"/>
          <w:lang w:val="zh-CN"/>
        </w:rPr>
        <w:t>1</w:t>
      </w:r>
      <w:r>
        <w:rPr>
          <w:rFonts w:hint="eastAsia"/>
          <w:b/>
          <w:sz w:val="24"/>
          <w:lang w:val="zh-CN"/>
        </w:rPr>
        <w:t>地块控制指标一览表</w:t>
      </w:r>
    </w:p>
    <w:tbl>
      <w:tblPr>
        <w:tblStyle w:val="13"/>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4270"/>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项目类别</w:t>
            </w:r>
          </w:p>
        </w:tc>
        <w:tc>
          <w:tcPr>
            <w:tcW w:w="4270" w:type="dxa"/>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代码</w:t>
            </w:r>
          </w:p>
        </w:tc>
        <w:tc>
          <w:tcPr>
            <w:tcW w:w="2849" w:type="dxa"/>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ascii="宋体" w:hAnsi="宋体" w:eastAsia="宋体" w:cs="宋体"/>
                <w:sz w:val="24"/>
                <w:szCs w:val="24"/>
                <w:shd w:val="clear" w:color="auto" w:fill="FFFFFF"/>
                <w:vertAlign w:val="baseline"/>
                <w:lang w:val="zh-CN"/>
              </w:rPr>
            </w:pPr>
            <w:r>
              <w:rPr>
                <w:rFonts w:hint="eastAsia" w:ascii="宋体" w:hAnsi="宋体" w:eastAsia="宋体" w:cs="宋体"/>
                <w:b w:val="0"/>
                <w:bCs w:val="0"/>
                <w:i w:val="0"/>
                <w:iCs w:val="0"/>
                <w:color w:val="000000"/>
                <w:kern w:val="0"/>
                <w:sz w:val="24"/>
                <w:szCs w:val="24"/>
                <w:u w:val="none"/>
                <w:lang w:val="en-US" w:eastAsia="zh-CN" w:bidi="ar"/>
              </w:rPr>
              <w:t>机关团体用地</w:t>
            </w:r>
          </w:p>
        </w:tc>
        <w:tc>
          <w:tcPr>
            <w:tcW w:w="4270"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0801</w:t>
            </w:r>
          </w:p>
        </w:tc>
        <w:tc>
          <w:tcPr>
            <w:tcW w:w="2849" w:type="dxa"/>
          </w:tcPr>
          <w:p>
            <w:pPr>
              <w:spacing w:line="360" w:lineRule="auto"/>
              <w:jc w:val="center"/>
              <w:rPr>
                <w:rFonts w:hint="eastAsia" w:ascii="宋体" w:hAnsi="宋体" w:eastAsia="宋体" w:cs="宋体"/>
                <w:sz w:val="24"/>
                <w:szCs w:val="24"/>
                <w:shd w:val="clear" w:color="auto" w:fill="FFFFFF"/>
                <w:vertAlign w:val="baseline"/>
                <w:lang w:val="zh-CN" w:eastAsia="zh-CN"/>
              </w:rPr>
            </w:pPr>
            <w:r>
              <w:rPr>
                <w:rFonts w:hint="eastAsia" w:ascii="宋体" w:hAnsi="宋体" w:eastAsia="宋体" w:cs="宋体"/>
                <w:sz w:val="24"/>
                <w:szCs w:val="24"/>
                <w:shd w:val="clear" w:color="auto" w:fill="FFFFFF"/>
                <w:vertAlign w:val="baseline"/>
                <w:lang w:val="en-US" w:eastAsia="zh-CN"/>
              </w:rPr>
              <w:t>≥35</w:t>
            </w:r>
            <w:r>
              <w:rPr>
                <w:rFonts w:hint="default" w:ascii="宋体" w:hAnsi="宋体" w:eastAsia="宋体" w:cs="宋体"/>
                <w:sz w:val="24"/>
                <w:szCs w:val="24"/>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ascii="宋体" w:hAnsi="宋体" w:eastAsia="宋体" w:cs="宋体"/>
                <w:sz w:val="24"/>
                <w:szCs w:val="24"/>
                <w:shd w:val="clear" w:color="auto" w:fill="FFFFFF"/>
                <w:vertAlign w:val="baseline"/>
                <w:lang w:val="zh-CN"/>
              </w:rPr>
            </w:pPr>
            <w:r>
              <w:rPr>
                <w:rFonts w:hint="eastAsia" w:ascii="宋体" w:hAnsi="宋体" w:eastAsia="宋体" w:cs="宋体"/>
                <w:b w:val="0"/>
                <w:bCs w:val="0"/>
                <w:i w:val="0"/>
                <w:iCs w:val="0"/>
                <w:color w:val="000000"/>
                <w:kern w:val="0"/>
                <w:sz w:val="24"/>
                <w:szCs w:val="24"/>
                <w:u w:val="none"/>
                <w:lang w:val="en-US" w:eastAsia="zh-CN" w:bidi="ar"/>
              </w:rPr>
              <w:t>商业用地</w:t>
            </w:r>
          </w:p>
        </w:tc>
        <w:tc>
          <w:tcPr>
            <w:tcW w:w="4270"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0901</w:t>
            </w:r>
          </w:p>
        </w:tc>
        <w:tc>
          <w:tcPr>
            <w:tcW w:w="2849"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≥20</w:t>
            </w:r>
            <w:r>
              <w:rPr>
                <w:rFonts w:hint="default" w:ascii="宋体" w:hAnsi="宋体" w:eastAsia="宋体" w:cs="宋体"/>
                <w:sz w:val="24"/>
                <w:szCs w:val="24"/>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ascii="宋体" w:hAnsi="宋体" w:eastAsia="宋体" w:cs="宋体"/>
                <w:sz w:val="24"/>
                <w:szCs w:val="24"/>
                <w:shd w:val="clear" w:color="auto" w:fill="FFFFFF"/>
                <w:vertAlign w:val="baseline"/>
                <w:lang w:val="zh-CN"/>
              </w:rPr>
            </w:pPr>
            <w:r>
              <w:rPr>
                <w:rFonts w:hint="eastAsia" w:ascii="宋体" w:hAnsi="宋体" w:eastAsia="宋体" w:cs="宋体"/>
                <w:b w:val="0"/>
                <w:bCs w:val="0"/>
                <w:i w:val="0"/>
                <w:iCs w:val="0"/>
                <w:color w:val="000000"/>
                <w:kern w:val="0"/>
                <w:sz w:val="24"/>
                <w:szCs w:val="24"/>
                <w:u w:val="none"/>
                <w:lang w:val="en-US" w:eastAsia="zh-CN" w:bidi="ar"/>
              </w:rPr>
              <w:t>工矿用地</w:t>
            </w:r>
          </w:p>
        </w:tc>
        <w:tc>
          <w:tcPr>
            <w:tcW w:w="4270"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1001</w:t>
            </w:r>
          </w:p>
        </w:tc>
        <w:tc>
          <w:tcPr>
            <w:tcW w:w="2849" w:type="dxa"/>
          </w:tcPr>
          <w:p>
            <w:pPr>
              <w:spacing w:line="360" w:lineRule="auto"/>
              <w:jc w:val="center"/>
              <w:rPr>
                <w:rFonts w:hint="eastAsia" w:ascii="宋体" w:hAnsi="宋体" w:eastAsia="宋体" w:cs="宋体"/>
                <w:sz w:val="24"/>
                <w:szCs w:val="24"/>
                <w:shd w:val="clear" w:color="auto" w:fill="FFFFFF"/>
                <w:vertAlign w:val="baseline"/>
                <w:lang w:val="zh-CN" w:eastAsia="zh-CN"/>
              </w:rPr>
            </w:pPr>
            <w:r>
              <w:rPr>
                <w:rFonts w:hint="eastAsia" w:ascii="宋体" w:hAnsi="宋体" w:eastAsia="宋体" w:cs="宋体"/>
                <w:sz w:val="24"/>
                <w:szCs w:val="24"/>
                <w:shd w:val="clear" w:color="auto" w:fill="FFFFFF"/>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hint="default" w:ascii="宋体" w:hAnsi="宋体" w:eastAsia="宋体" w:cs="宋体"/>
                <w:sz w:val="24"/>
                <w:szCs w:val="24"/>
                <w:shd w:val="clear" w:color="auto" w:fill="FFFFFF"/>
                <w:vertAlign w:val="baseline"/>
                <w:lang w:val="en-US"/>
              </w:rPr>
            </w:pPr>
            <w:r>
              <w:rPr>
                <w:rFonts w:hint="eastAsia" w:ascii="宋体" w:hAnsi="宋体" w:eastAsia="宋体" w:cs="宋体"/>
                <w:b w:val="0"/>
                <w:bCs w:val="0"/>
                <w:i w:val="0"/>
                <w:iCs w:val="0"/>
                <w:color w:val="000000"/>
                <w:kern w:val="0"/>
                <w:sz w:val="24"/>
                <w:szCs w:val="24"/>
                <w:u w:val="none"/>
                <w:lang w:val="en-US" w:eastAsia="zh-CN" w:bidi="ar"/>
              </w:rPr>
              <w:t>一类物流仓储用地</w:t>
            </w:r>
          </w:p>
        </w:tc>
        <w:tc>
          <w:tcPr>
            <w:tcW w:w="4270"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110101</w:t>
            </w:r>
          </w:p>
        </w:tc>
        <w:tc>
          <w:tcPr>
            <w:tcW w:w="2849" w:type="dxa"/>
          </w:tcPr>
          <w:p>
            <w:pPr>
              <w:spacing w:line="360" w:lineRule="auto"/>
              <w:jc w:val="center"/>
              <w:rPr>
                <w:rFonts w:ascii="宋体" w:hAnsi="宋体" w:eastAsia="宋体" w:cs="宋体"/>
                <w:sz w:val="24"/>
                <w:szCs w:val="24"/>
                <w:shd w:val="clear" w:color="auto" w:fill="FFFFFF"/>
                <w:vertAlign w:val="baseline"/>
                <w:lang w:val="zh-CN"/>
              </w:rPr>
            </w:pPr>
            <w:r>
              <w:rPr>
                <w:rFonts w:hint="eastAsia" w:ascii="宋体" w:hAnsi="宋体" w:eastAsia="宋体" w:cs="宋体"/>
                <w:sz w:val="24"/>
                <w:szCs w:val="24"/>
                <w:shd w:val="clear" w:color="auto" w:fill="FFFFFF"/>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ascii="宋体" w:hAnsi="宋体" w:eastAsia="宋体" w:cs="宋体"/>
                <w:sz w:val="24"/>
                <w:szCs w:val="24"/>
                <w:shd w:val="clear" w:color="auto" w:fill="FFFFFF"/>
                <w:vertAlign w:val="baseline"/>
                <w:lang w:val="zh-CN"/>
              </w:rPr>
            </w:pPr>
            <w:r>
              <w:rPr>
                <w:rFonts w:hint="eastAsia" w:ascii="宋体" w:hAnsi="宋体" w:eastAsia="宋体" w:cs="宋体"/>
                <w:b w:val="0"/>
                <w:bCs w:val="0"/>
                <w:i w:val="0"/>
                <w:iCs w:val="0"/>
                <w:color w:val="000000"/>
                <w:kern w:val="0"/>
                <w:sz w:val="24"/>
                <w:szCs w:val="24"/>
                <w:u w:val="none"/>
                <w:lang w:val="en-US" w:eastAsia="zh-CN" w:bidi="ar"/>
              </w:rPr>
              <w:t>交通场站用地</w:t>
            </w:r>
          </w:p>
        </w:tc>
        <w:tc>
          <w:tcPr>
            <w:tcW w:w="4270"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1208</w:t>
            </w:r>
          </w:p>
        </w:tc>
        <w:tc>
          <w:tcPr>
            <w:tcW w:w="2849" w:type="dxa"/>
          </w:tcPr>
          <w:p>
            <w:pPr>
              <w:spacing w:line="360" w:lineRule="auto"/>
              <w:jc w:val="center"/>
              <w:rPr>
                <w:rFonts w:ascii="宋体" w:hAnsi="宋体" w:eastAsia="宋体" w:cs="宋体"/>
                <w:sz w:val="24"/>
                <w:szCs w:val="24"/>
                <w:shd w:val="clear" w:color="auto" w:fill="FFFFFF"/>
                <w:vertAlign w:val="baseline"/>
                <w:lang w:val="zh-CN"/>
              </w:rPr>
            </w:pPr>
            <w:r>
              <w:rPr>
                <w:rFonts w:hint="eastAsia" w:ascii="宋体" w:hAnsi="宋体" w:eastAsia="宋体" w:cs="宋体"/>
                <w:sz w:val="24"/>
                <w:szCs w:val="24"/>
                <w:shd w:val="clear" w:color="auto" w:fill="FFFFFF"/>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公园绿地</w:t>
            </w:r>
          </w:p>
        </w:tc>
        <w:tc>
          <w:tcPr>
            <w:tcW w:w="4270"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1401</w:t>
            </w:r>
          </w:p>
        </w:tc>
        <w:tc>
          <w:tcPr>
            <w:tcW w:w="2849" w:type="dxa"/>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419" w:type="dxa"/>
          </w:tcPr>
          <w:p>
            <w:pPr>
              <w:spacing w:line="360" w:lineRule="auto"/>
              <w:jc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防护绿地</w:t>
            </w:r>
          </w:p>
        </w:tc>
        <w:tc>
          <w:tcPr>
            <w:tcW w:w="4270" w:type="dxa"/>
          </w:tcPr>
          <w:p>
            <w:pPr>
              <w:spacing w:line="360" w:lineRule="auto"/>
              <w:jc w:val="center"/>
              <w:rPr>
                <w:rFonts w:hint="default"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1402</w:t>
            </w:r>
          </w:p>
        </w:tc>
        <w:tc>
          <w:tcPr>
            <w:tcW w:w="2849" w:type="dxa"/>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5" w:hRule="atLeast"/>
          <w:jc w:val="center"/>
        </w:trPr>
        <w:tc>
          <w:tcPr>
            <w:tcW w:w="9538" w:type="dxa"/>
            <w:gridSpan w:val="3"/>
            <w:tcBorders>
              <w:top w:val="nil"/>
              <w:left w:val="nil"/>
              <w:bottom w:val="nil"/>
              <w:right w:val="nil"/>
            </w:tcBorders>
          </w:tcPr>
          <w:p>
            <w:pPr>
              <w:spacing w:line="360" w:lineRule="auto"/>
              <w:jc w:val="center"/>
              <w:rPr>
                <w:rFonts w:ascii="宋体" w:hAnsi="宋体" w:eastAsia="宋体" w:cs="宋体"/>
                <w:sz w:val="28"/>
                <w:szCs w:val="28"/>
                <w:shd w:val="clear" w:color="auto" w:fill="FFFFFF"/>
                <w:vertAlign w:val="baseline"/>
                <w:lang w:val="zh-CN"/>
              </w:rPr>
            </w:pPr>
            <w:r>
              <w:rPr>
                <w:rFonts w:ascii="宋体" w:hAnsi="宋体" w:eastAsia="宋体" w:cs="宋体"/>
                <w:sz w:val="28"/>
                <w:szCs w:val="28"/>
                <w:shd w:val="clear" w:color="auto" w:fill="FFFFFF"/>
                <w:vertAlign w:val="baseline"/>
                <w:lang w:val="zh-CN"/>
              </w:rPr>
              <w:drawing>
                <wp:inline distT="0" distB="0" distL="114300" distR="114300">
                  <wp:extent cx="5919470" cy="3411855"/>
                  <wp:effectExtent l="0" t="0" r="0" b="0"/>
                  <wp:docPr id="20" name="图片 20" descr="E:\2023年\工业园区\工业园区最终成果\罗汉山工业园区成果\规划图\规划图纸文本说明书\规划\29绿地率规划图.jpg29绿地率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2023年\工业园区\工业园区最终成果\罗汉山工业园区成果\规划图\规划图纸文本说明书\规划\29绿地率规划图.jpg29绿地率规划图"/>
                          <pic:cNvPicPr>
                            <a:picLocks noChangeAspect="1"/>
                          </pic:cNvPicPr>
                        </pic:nvPicPr>
                        <pic:blipFill>
                          <a:blip r:embed="rId41"/>
                          <a:srcRect t="13200" b="5213"/>
                          <a:stretch>
                            <a:fillRect/>
                          </a:stretch>
                        </pic:blipFill>
                        <pic:spPr>
                          <a:xfrm>
                            <a:off x="0" y="0"/>
                            <a:ext cx="5919470" cy="3411855"/>
                          </a:xfrm>
                          <a:prstGeom prst="rect">
                            <a:avLst/>
                          </a:prstGeom>
                        </pic:spPr>
                      </pic:pic>
                    </a:graphicData>
                  </a:graphic>
                </wp:inline>
              </w:drawing>
            </w:r>
          </w:p>
          <w:p>
            <w:pPr>
              <w:spacing w:line="360" w:lineRule="auto"/>
              <w:jc w:val="center"/>
              <w:rPr>
                <w:rFonts w:ascii="宋体" w:hAnsi="宋体" w:eastAsia="宋体" w:cs="宋体"/>
                <w:sz w:val="28"/>
                <w:szCs w:val="28"/>
                <w:shd w:val="clear" w:color="auto" w:fill="FFFFFF"/>
                <w:vertAlign w:val="baseline"/>
                <w:lang w:val="zh-CN"/>
              </w:rPr>
            </w:pPr>
            <w:r>
              <w:rPr>
                <w:rFonts w:hint="eastAsia" w:ascii="宋体" w:hAnsi="宋体" w:eastAsia="宋体" w:cs="宋体"/>
                <w:sz w:val="21"/>
                <w:szCs w:val="21"/>
                <w:shd w:val="clear" w:color="auto" w:fill="FFFFFF"/>
                <w:lang w:val="zh-CN"/>
              </w:rPr>
              <w:t>图7.</w:t>
            </w:r>
            <w:r>
              <w:rPr>
                <w:rFonts w:hint="eastAsia" w:ascii="宋体" w:hAnsi="宋体" w:eastAsia="宋体" w:cs="宋体"/>
                <w:sz w:val="21"/>
                <w:szCs w:val="21"/>
                <w:shd w:val="clear" w:color="auto" w:fill="FFFFFF"/>
                <w:lang w:val="en-US" w:eastAsia="zh-CN"/>
              </w:rPr>
              <w:t>5绿地率规划</w:t>
            </w:r>
            <w:r>
              <w:rPr>
                <w:rFonts w:hint="eastAsia" w:ascii="宋体" w:hAnsi="宋体" w:eastAsia="宋体" w:cs="宋体"/>
                <w:sz w:val="21"/>
                <w:szCs w:val="21"/>
                <w:shd w:val="clear" w:color="auto" w:fill="FFFFFF"/>
                <w:lang w:val="zh-CN"/>
              </w:rPr>
              <w:t>图</w:t>
            </w:r>
          </w:p>
        </w:tc>
      </w:tr>
    </w:tbl>
    <w:p>
      <w:pPr>
        <w:pStyle w:val="4"/>
        <w:numPr>
          <w:ilvl w:val="0"/>
          <w:numId w:val="0"/>
        </w:numPr>
        <w:ind w:firstLine="643" w:firstLineChars="200"/>
        <w:outlineLvl w:val="1"/>
        <w:rPr>
          <w:color w:val="000000" w:themeColor="text1"/>
          <w14:textFill>
            <w14:solidFill>
              <w14:schemeClr w14:val="tx1"/>
            </w14:solidFill>
          </w14:textFill>
        </w:rPr>
      </w:pPr>
      <w:bookmarkStart w:id="96" w:name="_Toc14375"/>
      <w:r>
        <w:rPr>
          <w:rFonts w:hint="eastAsia"/>
          <w:color w:val="000000" w:themeColor="text1"/>
          <w:lang w:val="en-US" w:eastAsia="zh-CN"/>
          <w14:textFill>
            <w14:solidFill>
              <w14:schemeClr w14:val="tx1"/>
            </w14:solidFill>
          </w14:textFill>
        </w:rPr>
        <w:t>五、</w:t>
      </w:r>
      <w:r>
        <w:rPr>
          <w:rFonts w:hint="eastAsia"/>
          <w:color w:val="000000" w:themeColor="text1"/>
          <w:lang w:val="zh-CN"/>
          <w14:textFill>
            <w14:solidFill>
              <w14:schemeClr w14:val="tx1"/>
            </w14:solidFill>
          </w14:textFill>
        </w:rPr>
        <w:t>四线规划控制</w:t>
      </w:r>
      <w:bookmarkEnd w:id="96"/>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按照《城市、镇控制性详细规划编制审批办法》，控制性详细规划应当包括“四线”及控制要求，“四线”分别为基础设施用地的控制界线（黄线）、各类绿地范围的控制线（绿线）、历史文化街区和历史建筑的保护范围界线（紫线）、地表水体保护和控制的地域界线（蓝线）。</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详见</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图7.</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6城市四线</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规划图</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）城市黄线规划控制</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城市黄线，是指对城市发展全局有影响的、城市规划中确定的必须控制的城市基础设施用地的控制界线。</w:t>
      </w:r>
    </w:p>
    <w:p>
      <w:pPr>
        <w:spacing w:line="360" w:lineRule="auto"/>
        <w:ind w:firstLine="560" w:firstLineChars="200"/>
        <w:outlineLvl w:val="3"/>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1）城市黄线标定内容</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本次规划拟控制城市黄线包括：</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规划公用设施用地、交通场站用地。</w:t>
      </w:r>
    </w:p>
    <w:p>
      <w:pPr>
        <w:spacing w:line="360" w:lineRule="auto"/>
        <w:ind w:firstLine="560" w:firstLineChars="200"/>
        <w:outlineLvl w:val="3"/>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2）城市黄线控制要求</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城市黄线应当作为城市规划的强制性内容，与城市规划一并报批。城市黄线一经批准，不得擅自调整。</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在城市黄线范围内禁止下列活动：</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①违反城市规划要求，进行建筑物、构筑物及其他设施的建设；</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②违反国家有关技术标准和规范进行建设；</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③未经批准，改装、迁移或拆毁原有城市基础设施；</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④其他损坏城市基础设施或影响基础设施安全和正常运转的行为。</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）城市绿地规划控制</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城市绿线，是指城市各类绿地范围的控制线。</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1）城市绿线标定内容</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本规划区涉及的“绿线”依据</w:t>
      </w:r>
      <w:r>
        <w:rPr>
          <w:rFonts w:hint="eastAsia" w:ascii="宋体" w:hAnsi="宋体" w:eastAsia="宋体" w:cs="宋体"/>
          <w:color w:val="000000" w:themeColor="text1"/>
          <w:sz w:val="28"/>
          <w:szCs w:val="28"/>
          <w:shd w:val="clear" w:color="auto" w:fill="FFFFFF"/>
          <w14:textFill>
            <w14:solidFill>
              <w14:schemeClr w14:val="tx1"/>
            </w14:solidFill>
          </w14:textFill>
        </w:rPr>
        <w:t>《国土空间调查、规划、用途管制用地用海分类指南（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试</w:t>
      </w:r>
      <w:r>
        <w:rPr>
          <w:rFonts w:hint="eastAsia" w:ascii="宋体" w:hAnsi="宋体" w:eastAsia="宋体" w:cs="宋体"/>
          <w:color w:val="000000" w:themeColor="text1"/>
          <w:sz w:val="28"/>
          <w:szCs w:val="28"/>
          <w:shd w:val="clear" w:color="auto" w:fill="FFFFFF"/>
          <w14:textFill>
            <w14:solidFill>
              <w14:schemeClr w14:val="tx1"/>
            </w14:solidFill>
          </w14:textFill>
        </w:rPr>
        <w:t>行）》</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划定，规划对公园绿地、防护绿地、广场用地等划定的保护范围。</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2）城市绿线控制要求</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城市绿线内的用地，不得改作他用，不得违反法律法规、强制性标准以及批准的规划进行开发建设。有关部门不得违反规定，批准在城市绿地范围内进行建设。</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因建设或者其他特殊情况，需要临时占用城市绿线内用地的，必须依法办理相关审批手续。</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在城市绿地范围内，不符合规划要求的建筑物、构筑物及其他设施应当限期迁出。</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任何单位和个人不得在城市绿地范围内进行拦河截溪、取土采石、设置垃圾堆场、排放污水以及其他队生态环境构成破坏的活动。</w:t>
      </w:r>
    </w:p>
    <w:p>
      <w:pPr>
        <w:numPr>
          <w:ilvl w:val="0"/>
          <w:numId w:val="0"/>
        </w:numPr>
        <w:spacing w:line="360" w:lineRule="auto"/>
        <w:ind w:left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）城市蓝线规划控制</w:t>
      </w:r>
    </w:p>
    <w:p>
      <w:pPr>
        <w:numPr>
          <w:ilvl w:val="0"/>
          <w:numId w:val="0"/>
        </w:num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城市蓝线，是指城市规划确定的江、河、湖、库、渠和湿地等城市地表水体保护和控制的地域界线。</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1）城市蓝线标定内容</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西冲水库、南干渠</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等水系及周边水体须保留水体经水系整理后按景观或流量要求划定蓝线控制范围。</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2）城市蓝线控制要求</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城市蓝线应当与城市规划一并报批。城市蓝线已经批准，不得擅自调整。</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）在城市蓝线范围内禁止下列活动：</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①违反城市蓝线保护和控制要求的建设活动；</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②擅自填埋、占用城市蓝线内水域；</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③影响水系安全的爆破、采石、取土；</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④擅自建设各类排污设施；</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⑤其他对城市水系保护构成破坏的活动。</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）城市紫线规划控制</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规划区内因未发现文化古迹，暂未划定文化古迹用地。</w:t>
      </w: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4" w:hRule="atLeast"/>
          <w:jc w:val="center"/>
        </w:trPr>
        <w:tc>
          <w:tcPr>
            <w:tcW w:w="8360" w:type="dxa"/>
          </w:tcPr>
          <w:p>
            <w:pPr>
              <w:spacing w:line="360" w:lineRule="auto"/>
              <w:jc w:val="center"/>
              <w:rPr>
                <w:rFonts w:ascii="宋体" w:hAnsi="宋体" w:eastAsia="宋体" w:cs="宋体"/>
                <w:b/>
                <w:color w:val="000000" w:themeColor="text1"/>
                <w:sz w:val="24"/>
                <w:shd w:val="clear" w:color="auto" w:fill="FFFFFF"/>
                <w14:textFill>
                  <w14:solidFill>
                    <w14:schemeClr w14:val="tx1"/>
                  </w14:solidFill>
                </w14:textFill>
              </w:rPr>
            </w:pPr>
            <w:r>
              <w:drawing>
                <wp:inline distT="0" distB="0" distL="0" distR="0">
                  <wp:extent cx="5059680" cy="2929255"/>
                  <wp:effectExtent l="0" t="0" r="0" b="0"/>
                  <wp:docPr id="22" name="图片 22" descr="E:\2023年\工业园区\工业园区最终成果\罗汉山工业园区成果\规划图\规划图纸文本说明书\规划\30四线规划图.jpg30四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23年\工业园区\工业园区最终成果\罗汉山工业园区成果\规划图\规划图纸文本说明书\规划\30四线规划图.jpg30四线规划图"/>
                          <pic:cNvPicPr>
                            <a:picLocks noChangeAspect="1"/>
                          </pic:cNvPicPr>
                        </pic:nvPicPr>
                        <pic:blipFill>
                          <a:blip r:embed="rId42"/>
                          <a:srcRect l="683" t="13149" r="-28" b="5436"/>
                          <a:stretch>
                            <a:fillRect/>
                          </a:stretch>
                        </pic:blipFill>
                        <pic:spPr>
                          <a:xfrm>
                            <a:off x="0" y="0"/>
                            <a:ext cx="5059680" cy="2929255"/>
                          </a:xfrm>
                          <a:prstGeom prst="rect">
                            <a:avLst/>
                          </a:prstGeom>
                          <a:ln>
                            <a:noFill/>
                          </a:ln>
                        </pic:spPr>
                      </pic:pic>
                    </a:graphicData>
                  </a:graphic>
                </wp:inline>
              </w:drawing>
            </w:r>
          </w:p>
          <w:p>
            <w:pPr>
              <w:spacing w:line="360" w:lineRule="auto"/>
              <w:jc w:val="center"/>
              <w:rPr>
                <w:rFonts w:hint="default" w:ascii="宋体" w:hAnsi="宋体" w:eastAsia="宋体" w:cs="宋体"/>
                <w:b/>
                <w:color w:val="000000" w:themeColor="text1"/>
                <w:sz w:val="24"/>
                <w:shd w:val="clear" w:color="auto" w:fill="FFFFFF"/>
                <w:lang w:val="en-US" w:eastAsia="zh-CN"/>
                <w14:textFill>
                  <w14:solidFill>
                    <w14:schemeClr w14:val="tx1"/>
                  </w14:solidFill>
                </w14:textFill>
              </w:rPr>
            </w:pPr>
            <w:r>
              <w:rPr>
                <w:rFonts w:hint="eastAsia" w:ascii="宋体" w:hAnsi="宋体" w:eastAsia="宋体" w:cs="宋体"/>
                <w:b w:val="0"/>
                <w:bCs w:val="0"/>
                <w:color w:val="000000" w:themeColor="text1"/>
                <w:sz w:val="21"/>
                <w:szCs w:val="21"/>
                <w:shd w:val="clear" w:color="auto" w:fill="FFFFFF"/>
                <w:lang w:val="zh-CN"/>
                <w14:textFill>
                  <w14:solidFill>
                    <w14:schemeClr w14:val="tx1"/>
                  </w14:solidFill>
                </w14:textFill>
              </w:rPr>
              <w:t>图</w:t>
            </w:r>
            <w:r>
              <w:rPr>
                <w:rFonts w:hint="eastAsia" w:ascii="宋体" w:hAnsi="宋体" w:eastAsia="宋体" w:cs="宋体"/>
                <w:b w:val="0"/>
                <w:bCs w:val="0"/>
                <w:color w:val="000000" w:themeColor="text1"/>
                <w:sz w:val="21"/>
                <w:szCs w:val="21"/>
                <w:shd w:val="clear" w:color="auto" w:fill="FFFFFF"/>
                <w:lang w:val="en-US" w:eastAsia="zh-CN"/>
                <w14:textFill>
                  <w14:solidFill>
                    <w14:schemeClr w14:val="tx1"/>
                  </w14:solidFill>
                </w14:textFill>
              </w:rPr>
              <w:t>7.6城市四线控制图</w:t>
            </w:r>
          </w:p>
        </w:tc>
      </w:tr>
    </w:tbl>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sectPr>
          <w:footerReference r:id="rId9" w:type="default"/>
          <w:pgSz w:w="23811" w:h="16838" w:orient="landscape"/>
          <w:pgMar w:top="1800" w:right="1440" w:bottom="1800" w:left="1440" w:header="851" w:footer="992" w:gutter="0"/>
          <w:pgNumType w:fmt="decimal"/>
          <w:cols w:space="840" w:num="2"/>
          <w:docGrid w:type="lines" w:linePitch="312" w:charSpace="0"/>
        </w:sectPr>
      </w:pPr>
    </w:p>
    <w:p>
      <w:pPr>
        <w:pStyle w:val="2"/>
        <w:numPr>
          <w:ilvl w:val="0"/>
          <w:numId w:val="1"/>
        </w:numPr>
        <w:jc w:val="center"/>
        <w:rPr>
          <w:color w:val="000000" w:themeColor="text1"/>
          <w14:textFill>
            <w14:solidFill>
              <w14:schemeClr w14:val="tx1"/>
            </w14:solidFill>
          </w14:textFill>
        </w:rPr>
      </w:pPr>
      <w:bookmarkStart w:id="97" w:name="_Toc11533"/>
      <w:r>
        <w:rPr>
          <w:rFonts w:hint="eastAsia"/>
          <w:color w:val="000000" w:themeColor="text1"/>
          <w14:textFill>
            <w14:solidFill>
              <w14:schemeClr w14:val="tx1"/>
            </w14:solidFill>
          </w14:textFill>
        </w:rPr>
        <w:t>城市设计引导</w:t>
      </w:r>
      <w:bookmarkEnd w:id="97"/>
    </w:p>
    <w:p>
      <w:pPr>
        <w:pStyle w:val="4"/>
        <w:numPr>
          <w:ilvl w:val="0"/>
          <w:numId w:val="0"/>
        </w:numPr>
        <w:ind w:firstLine="643" w:firstLineChars="200"/>
        <w:outlineLvl w:val="1"/>
        <w:rPr>
          <w:color w:val="000000" w:themeColor="text1"/>
          <w:lang w:val="zh-CN"/>
          <w14:textFill>
            <w14:solidFill>
              <w14:schemeClr w14:val="tx1"/>
            </w14:solidFill>
          </w14:textFill>
        </w:rPr>
      </w:pPr>
      <w:bookmarkStart w:id="98" w:name="_Toc29982"/>
      <w:r>
        <w:rPr>
          <w:rFonts w:hint="eastAsia"/>
          <w:color w:val="000000" w:themeColor="text1"/>
          <w:lang w:val="en-US" w:eastAsia="zh-CN"/>
          <w14:textFill>
            <w14:solidFill>
              <w14:schemeClr w14:val="tx1"/>
            </w14:solidFill>
          </w14:textFill>
        </w:rPr>
        <w:t>一、</w:t>
      </w:r>
      <w:r>
        <w:rPr>
          <w:rFonts w:hint="eastAsia"/>
          <w:color w:val="000000" w:themeColor="text1"/>
          <w:lang w:val="zh-CN"/>
          <w14:textFill>
            <w14:solidFill>
              <w14:schemeClr w14:val="tx1"/>
            </w14:solidFill>
          </w14:textFill>
        </w:rPr>
        <w:t>规划目标与总体形象控制</w:t>
      </w:r>
      <w:bookmarkEnd w:id="98"/>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规划围绕</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罗汉山立交</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温泉旅游小镇</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南绕城高速</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交通视点等环境资源背景，从城市形态空间的现实体验、城市建成环境与自然环境的协调性为出发点，加强与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产业园区商业建筑契合</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，塑造</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片区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城市山水相依的空间格局，提升片区景观风貌和</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南部新城</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门户形象。</w:t>
      </w:r>
    </w:p>
    <w:p>
      <w:pPr>
        <w:pStyle w:val="4"/>
        <w:numPr>
          <w:ilvl w:val="0"/>
          <w:numId w:val="0"/>
        </w:numPr>
        <w:ind w:firstLine="643" w:firstLineChars="200"/>
        <w:outlineLvl w:val="1"/>
        <w:rPr>
          <w:color w:val="000000" w:themeColor="text1"/>
          <w:lang w:val="zh-CN"/>
          <w14:textFill>
            <w14:solidFill>
              <w14:schemeClr w14:val="tx1"/>
            </w14:solidFill>
          </w14:textFill>
        </w:rPr>
      </w:pPr>
      <w:bookmarkStart w:id="99" w:name="_Toc17645665"/>
      <w:bookmarkStart w:id="100" w:name="_Toc42528409"/>
      <w:bookmarkStart w:id="101" w:name="_Toc7121"/>
      <w:r>
        <w:rPr>
          <w:rFonts w:hint="eastAsia"/>
          <w:color w:val="000000" w:themeColor="text1"/>
          <w:lang w:val="en-US" w:eastAsia="zh-CN"/>
          <w14:textFill>
            <w14:solidFill>
              <w14:schemeClr w14:val="tx1"/>
            </w14:solidFill>
          </w14:textFill>
        </w:rPr>
        <w:t>二、</w:t>
      </w:r>
      <w:r>
        <w:rPr>
          <w:rFonts w:hint="eastAsia"/>
          <w:color w:val="000000" w:themeColor="text1"/>
          <w:lang w:val="zh-CN"/>
          <w14:textFill>
            <w14:solidFill>
              <w14:schemeClr w14:val="tx1"/>
            </w14:solidFill>
          </w14:textFill>
        </w:rPr>
        <w:t>规划原则</w:t>
      </w:r>
      <w:bookmarkEnd w:id="99"/>
      <w:bookmarkEnd w:id="100"/>
      <w:bookmarkEnd w:id="101"/>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）景观中心渗透原则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通过增设开发地块内的开敞空间廊道，加强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与西冲水库、南干渠</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滨水空间、</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周官</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山山体景观渗透率。通过在空间上的退让和交错，形成独特的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景观</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效果</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）景观视线开放原则</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围绕交通视点与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之间的关系，强化景观视线引导，构筑多条景观轴线，塑造并强化</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罗汉山立交</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周边地块标志性建筑景观节点的空间感知，形成复合式的建筑景观标识系统，提升门户景观形象。</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）场所特色导向原则</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以上位城市设计为导向，指导规划区的各项建设，通过建筑风格、建筑布局、立面控制等措施，于传承中进行创新，营造“现代多元”的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风貌。</w:t>
      </w:r>
    </w:p>
    <w:p>
      <w:pPr>
        <w:pStyle w:val="4"/>
        <w:numPr>
          <w:ilvl w:val="0"/>
          <w:numId w:val="0"/>
        </w:numPr>
        <w:ind w:firstLine="643" w:firstLineChars="200"/>
        <w:outlineLvl w:val="1"/>
        <w:rPr>
          <w:color w:val="000000" w:themeColor="text1"/>
          <w:lang w:val="zh-CN"/>
          <w14:textFill>
            <w14:solidFill>
              <w14:schemeClr w14:val="tx1"/>
            </w14:solidFill>
          </w14:textFill>
        </w:rPr>
      </w:pPr>
      <w:bookmarkStart w:id="102" w:name="_Toc42528411"/>
      <w:bookmarkStart w:id="103" w:name="_Toc17645667"/>
      <w:bookmarkStart w:id="104" w:name="_Toc4469"/>
      <w:r>
        <w:rPr>
          <w:rFonts w:hint="eastAsia"/>
          <w:color w:val="000000" w:themeColor="text1"/>
          <w:lang w:val="en-US" w:eastAsia="zh-CN"/>
          <w14:textFill>
            <w14:solidFill>
              <w14:schemeClr w14:val="tx1"/>
            </w14:solidFill>
          </w14:textFill>
        </w:rPr>
        <w:t>三、</w:t>
      </w:r>
      <w:r>
        <w:rPr>
          <w:rFonts w:hint="eastAsia"/>
          <w:color w:val="000000" w:themeColor="text1"/>
          <w:lang w:val="zh-CN"/>
          <w14:textFill>
            <w14:solidFill>
              <w14:schemeClr w14:val="tx1"/>
            </w14:solidFill>
          </w14:textFill>
        </w:rPr>
        <w:t>控制要素</w:t>
      </w:r>
      <w:bookmarkEnd w:id="102"/>
      <w:bookmarkEnd w:id="103"/>
      <w:bookmarkEnd w:id="104"/>
      <w:r>
        <w:rPr>
          <w:rFonts w:hint="eastAsia"/>
          <w:color w:val="000000" w:themeColor="text1"/>
          <w:lang w:val="zh-CN"/>
          <w14:textFill>
            <w14:solidFill>
              <w14:schemeClr w14:val="tx1"/>
            </w14:solidFill>
          </w14:textFill>
        </w:rPr>
        <w:t xml:space="preserve"> </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）建筑控制</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各建筑物的立面设计与平、剖面统一考虑，整个建筑体型在满足生产工艺和相关功能要求的前提下，力求达到整体的统一，使之具有简洁、大方的外观效果，体现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产业园区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美观、现代的特点。</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）界面</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1）山体界面</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西</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部山体绿化郁葱，与规划区山城相融。群山叠翠，连绵起伏，形成整个园区壮观的天际线。</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道路界面</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道路为城市主要交通界面。通过</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带状公园</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及带状街头绿地构筑路径两侧的第一界面，道路两侧建筑群是路径两侧的第二界面。</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）轴线</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以城市的主要道路为景观轴线，规划以园区产业</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防护绿地</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为主要景观轴，以道路绿带、绿化隔离公园、两侧建筑群体形象控制为景观构成要素。</w:t>
      </w:r>
    </w:p>
    <w:p>
      <w:pPr>
        <w:spacing w:line="360" w:lineRule="auto"/>
        <w:ind w:firstLine="560" w:firstLineChars="200"/>
        <w:outlineLvl w:val="2"/>
        <w:rPr>
          <w:rFonts w:hint="default"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）标志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性节点</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将</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商业办公</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建筑打造成为片区地标性建筑。通过建筑设计、环境设计、竖向设计、文化策划，使之成为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片区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城市景观标志</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点</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）通廊</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在城市设计中，要注重廊道建筑的高低设计、空间设计，保证空间的延续性、可视性和景观性，同时在各区域标志建筑之间也要构筑视线通廊联系。</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）片区街道景观联动</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强化规划区与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南部新城</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片区的街道景观连续性构成，通过</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曲陆高速</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路的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景观塑造城市</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景观</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联动，推动</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片区产、城、人高度融合的空间脉络体系。</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）建筑高度</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规划通过对罗汉山产业园区城市设计空间形态的研究，确定规划区建筑高度分为三个层次，高度≤18米，主要为</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公共管理与公共服务用地</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；高度≤24米，物流仓储、工业用地；高度≤</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8</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0米，商业服务设施用地。</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8</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）建筑色彩</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考虑到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城市特色与园区特色的结合，经实地研究，决定园区建筑色彩规划应本着“简洁、明快、大气、温暖”的原则，确定园区总体色彩以暖色系为主基调，在此基础上，调整变化颜色的色相、明度和饱和度作为辅助色和点缀色，并适当结合冷色调的运用，形成色彩丰富又统一和谐的建筑色调。</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在园区确定</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现代化工业厂房采用亮色调，丰富色彩系列，改善了工作环境，使人精力充沛、情绪饱满、热情、乐观，有利于提高生产率。色彩的色相、明度、纯度均能让人产生冷暖的感觉。在色相上，红与黄色给人温暖的感觉,蓝色给人寒冷的感觉。如工业建筑中的水管及其水龙头分别为红色与蓝色，不用任何文字说明，表示冷热两种水。在明度上，明度高的色彩比明度低色彩有凉爽感觉，如淡蓝色比深蓝色更有凉爽感；与明度相比，暗色更有温暖感。</w:t>
      </w:r>
    </w:p>
    <w:p>
      <w:pPr>
        <w:spacing w:line="360" w:lineRule="auto"/>
        <w:ind w:firstLine="560" w:firstLineChars="200"/>
        <w:rPr>
          <w:rFonts w:hint="eastAsia" w:ascii="宋体" w:hAnsi="宋体" w:eastAsia="宋体" w:cs="宋体"/>
          <w:color w:val="000000" w:themeColor="text1"/>
          <w:sz w:val="28"/>
          <w:szCs w:val="28"/>
          <w:shd w:val="clear" w:color="auto" w:fill="FFFFFF"/>
          <w:lang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园区指引色彩以</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草绿、红、深蓝、深灰色等</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为主</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能调节工作人员的色感，以创造良好的工作环境，提高工作效率。适当的色彩对比可调节空间效果,创造空间层次,增加室内丰富感和趣味性,在需要向前的部分采用明亮的暖色调,在需要后退的部分，采用低沉的冷色调。</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9</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）建筑风貌</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建筑是城市风貌特色构成的基本元素，建筑形式要体现时代特色和地域特色。产业新区本身就是展现先进工业文明的体现，产业新区的建筑形式的选择同样要反映时代的先进理念。建筑色彩要体现</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曲靖市</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的地域特色，借鉴</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一些发展</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城市中的</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工业风貌控制</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体系。</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本规划片</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区的建筑色彩要突出自然环境和人文环境特征，结合</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曲靖</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市建筑风貌及相关的特色研究，确定</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展现清新明亮、简约大气的现代产业</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园区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建筑风貌。</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建筑风貌分区:在整体风貌定位的基础上，结合园区发展目标、空间结构及环境特征，将规划范围内的建筑划定为工业风貌区、仓储组团风貌区、商业办公组团风貌区3个风貌分区。</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各</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形式、功能内涵与文化内涵，采用不同建筑色彩。根据土地使用功能划分风貌区，分别为工业风貌区、仓储组团风貌区，商业办公组团风貌区。各风貌区建筑和环境需结合本风貌区的功能，统一建筑风格、色调、环境配置，体现美观、现代的特点。</w:t>
      </w:r>
    </w:p>
    <w:p>
      <w:pPr>
        <w:pStyle w:val="4"/>
        <w:numPr>
          <w:ilvl w:val="0"/>
          <w:numId w:val="0"/>
        </w:numPr>
        <w:ind w:firstLine="643" w:firstLineChars="200"/>
        <w:outlineLvl w:val="1"/>
        <w:rPr>
          <w:color w:val="000000" w:themeColor="text1"/>
          <w:lang w:val="zh-CN"/>
          <w14:textFill>
            <w14:solidFill>
              <w14:schemeClr w14:val="tx1"/>
            </w14:solidFill>
          </w14:textFill>
        </w:rPr>
      </w:pPr>
      <w:bookmarkStart w:id="105" w:name="_Toc7"/>
      <w:bookmarkStart w:id="106" w:name="_Toc17645668"/>
      <w:bookmarkStart w:id="107" w:name="_Toc42528412"/>
      <w:r>
        <w:rPr>
          <w:rFonts w:hint="eastAsia"/>
          <w:color w:val="000000" w:themeColor="text1"/>
          <w:lang w:val="en-US" w:eastAsia="zh-CN"/>
          <w14:textFill>
            <w14:solidFill>
              <w14:schemeClr w14:val="tx1"/>
            </w14:solidFill>
          </w14:textFill>
        </w:rPr>
        <w:t>四、</w:t>
      </w:r>
      <w:r>
        <w:rPr>
          <w:rFonts w:hint="eastAsia"/>
          <w:color w:val="000000" w:themeColor="text1"/>
          <w:lang w:val="zh-CN"/>
          <w14:textFill>
            <w14:solidFill>
              <w14:schemeClr w14:val="tx1"/>
            </w14:solidFill>
          </w14:textFill>
        </w:rPr>
        <w:t>公共空间设计</w:t>
      </w:r>
      <w:bookmarkEnd w:id="105"/>
      <w:bookmarkEnd w:id="106"/>
      <w:bookmarkEnd w:id="107"/>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）公共空间的定义</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公共空间即规划为公众开放的空间，主要组成内容有：公园、广场、绿地、步行道用地、其他公众可使用的设施、建筑室内的公众通道或空间。</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）公共空间设计原则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为了将消费、居住、休闲、文化娱乐等城市活动有机融合在一起，并创造规划区具有一定地方特色的公共空间，特定如下原则：</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1）利用预留的绿化广场用地，创造大型的开放空间，强调地标性，提高城市的环境品质；</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2）组织空间，形成视觉景观轴线；</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3）创造具有传统地方特色的街道空间，并提供文化表演的活动空间；</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4）形成完善、安全、舒适的步行系统，联系区内外各街坊和功能区，并以此系统组织展示环境品质的空间序列。</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5）运用绿化种植或建筑的使用功能，塑造街道的个性。</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bookmarkStart w:id="108" w:name="_Toc42528413"/>
      <w:bookmarkStart w:id="109" w:name="_Toc17645669"/>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）建筑及其环境空间设计</w:t>
      </w:r>
      <w:bookmarkEnd w:id="108"/>
      <w:bookmarkEnd w:id="109"/>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bookmarkStart w:id="110" w:name="_Toc533092014"/>
      <w:bookmarkStart w:id="111" w:name="_Toc5771_WPSOffice_Level2"/>
      <w:bookmarkStart w:id="112" w:name="_Toc31959_WPSOffice_Level2"/>
      <w:bookmarkStart w:id="113" w:name="_Toc23990_WPSOffice_Level2"/>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建筑退让空间：为确保城市道路系统的景观和功能完整性，建筑退让道路红线空间内应优先以绿化景观为主。</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）建筑高度</w:t>
      </w:r>
    </w:p>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1）建筑高度控制要求：</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有利于形成本区的空间整体设计。</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有利于突出城市重点地区，形成城市外部空间的区位标志。</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有利于产生空间轴线和街景轮廓。</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建筑物高度应符合建筑间距、城市景观要求，并且建筑高度控制应满足分图图则的要求。</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工业用地建筑限高是指根据特定条件要求，对建筑高度进行限定。</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具体情况包括：应按规划要求限制高度，保护区范围内、风景区范围内的建筑，应按规划要求限制高度﹔保护区范围内、视线景观走廊及风景区范围内的建筑，周围的建筑物均应考虑高度限制。局部突出屋面的楼梯间、电梯机房、水箱间、烟囱等，在城市一般地区可不计入控制高度；在保护区、控制区内应计入高度。</w:t>
      </w:r>
    </w:p>
    <w:bookmarkEnd w:id="110"/>
    <w:bookmarkEnd w:id="111"/>
    <w:bookmarkEnd w:id="112"/>
    <w:bookmarkEnd w:id="113"/>
    <w:p>
      <w:pPr>
        <w:spacing w:line="360" w:lineRule="auto"/>
        <w:ind w:firstLine="560" w:firstLineChars="200"/>
        <w:outlineLvl w:val="3"/>
        <w:rPr>
          <w:rFonts w:ascii="宋体" w:hAnsi="宋体" w:eastAsia="宋体" w:cs="宋体"/>
          <w:color w:val="000000" w:themeColor="text1"/>
          <w:sz w:val="28"/>
          <w:szCs w:val="28"/>
          <w:shd w:val="clear" w:color="auto" w:fill="FFFFFF"/>
          <w:lang w:val="zh-CN"/>
          <w14:textFill>
            <w14:solidFill>
              <w14:schemeClr w14:val="tx1"/>
            </w14:solidFill>
          </w14:textFill>
        </w:rPr>
      </w:pPr>
      <w:bookmarkStart w:id="114" w:name="_Toc17645670"/>
      <w:bookmarkStart w:id="115" w:name="_Toc42528414"/>
      <w:r>
        <w:rPr>
          <w:rFonts w:hint="eastAsia" w:ascii="宋体" w:hAnsi="宋体" w:eastAsia="宋体" w:cs="宋体"/>
          <w:color w:val="000000" w:themeColor="text1"/>
          <w:sz w:val="28"/>
          <w:szCs w:val="28"/>
          <w:shd w:val="clear" w:color="auto" w:fill="FFFFFF"/>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建筑实体控制</w:t>
      </w:r>
      <w:bookmarkEnd w:id="114"/>
      <w:bookmarkEnd w:id="115"/>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w:t>
      </w:r>
    </w:p>
    <w:p>
      <w:pPr>
        <w:spacing w:line="360" w:lineRule="auto"/>
        <w:ind w:firstLine="560" w:firstLineChars="200"/>
        <w:rPr>
          <w:rFonts w:hint="eastAsia" w:ascii="宋体" w:hAnsi="宋体" w:eastAsia="宋体" w:cs="宋体"/>
          <w:color w:val="000000" w:themeColor="text1"/>
          <w:sz w:val="28"/>
          <w:szCs w:val="28"/>
          <w:shd w:val="clear" w:color="auto" w:fill="FFFFFF"/>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规划建筑重点突出、主次分明、形成丰富轮廓天际线，规划中</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与周边山体相呼应，</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建筑限高最高</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为80</w:t>
      </w:r>
      <w:r>
        <w:rPr>
          <w:rFonts w:hint="eastAsia" w:ascii="宋体" w:hAnsi="宋体" w:eastAsia="宋体" w:cs="宋体"/>
          <w:color w:val="000000" w:themeColor="text1"/>
          <w:sz w:val="28"/>
          <w:szCs w:val="28"/>
          <w:shd w:val="clear" w:color="auto" w:fill="FFFFFF"/>
          <w14:textFill>
            <w14:solidFill>
              <w14:schemeClr w14:val="tx1"/>
            </w14:solidFill>
          </w14:textFill>
        </w:rPr>
        <w:t>米。</w:t>
      </w:r>
    </w:p>
    <w:p>
      <w:pPr>
        <w:spacing w:line="360" w:lineRule="auto"/>
        <w:ind w:firstLine="560" w:firstLineChars="200"/>
        <w:outlineLvl w:val="2"/>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）建筑照明</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突出标志性建筑，形成连续统一、和谐的都市夜景。建筑入口和标志做照明，亮度高于楼体平均亮度。玻璃幕墙禁止泛光照明，防止光污染。重要建筑做通体照明，一般建筑檐口轮廓照明。</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sectPr>
          <w:pgSz w:w="23811" w:h="16838" w:orient="landscape"/>
          <w:pgMar w:top="1800" w:right="1440" w:bottom="1800" w:left="1440" w:header="851" w:footer="992" w:gutter="0"/>
          <w:pgNumType w:fmt="decimal"/>
          <w:cols w:space="840" w:num="2"/>
          <w:docGrid w:type="lines" w:linePitch="312" w:charSpace="0"/>
        </w:sectPr>
      </w:pPr>
    </w:p>
    <w:p>
      <w:pPr>
        <w:pStyle w:val="2"/>
        <w:numPr>
          <w:ilvl w:val="0"/>
          <w:numId w:val="1"/>
        </w:numPr>
        <w:jc w:val="center"/>
        <w:rPr>
          <w:color w:val="000000" w:themeColor="text1"/>
          <w14:textFill>
            <w14:solidFill>
              <w14:schemeClr w14:val="tx1"/>
            </w14:solidFill>
          </w14:textFill>
        </w:rPr>
      </w:pPr>
      <w:bookmarkStart w:id="116" w:name="_Toc24519"/>
      <w:r>
        <w:rPr>
          <w:rFonts w:hint="eastAsia"/>
          <w:color w:val="000000" w:themeColor="text1"/>
          <w:lang w:val="en-US" w:eastAsia="zh-CN"/>
          <w14:textFill>
            <w14:solidFill>
              <w14:schemeClr w14:val="tx1"/>
            </w14:solidFill>
          </w14:textFill>
        </w:rPr>
        <w:t>分期建设</w:t>
      </w:r>
      <w:r>
        <w:rPr>
          <w:rFonts w:hint="eastAsia"/>
          <w:color w:val="000000" w:themeColor="text1"/>
          <w14:textFill>
            <w14:solidFill>
              <w14:schemeClr w14:val="tx1"/>
            </w14:solidFill>
          </w14:textFill>
        </w:rPr>
        <w:t>规划</w:t>
      </w:r>
      <w:bookmarkEnd w:id="116"/>
    </w:p>
    <w:p>
      <w:pPr>
        <w:pStyle w:val="4"/>
        <w:numPr>
          <w:ilvl w:val="0"/>
          <w:numId w:val="0"/>
        </w:numPr>
        <w:ind w:firstLine="643" w:firstLineChars="200"/>
        <w:outlineLvl w:val="1"/>
        <w:rPr>
          <w:rFonts w:hint="eastAsia"/>
          <w:color w:val="000000" w:themeColor="text1"/>
          <w:lang w:val="en-US" w:eastAsia="zh-CN"/>
          <w14:textFill>
            <w14:solidFill>
              <w14:schemeClr w14:val="tx1"/>
            </w14:solidFill>
          </w14:textFill>
        </w:rPr>
      </w:pPr>
      <w:bookmarkStart w:id="117" w:name="_Toc12368"/>
      <w:r>
        <w:rPr>
          <w:rFonts w:hint="eastAsia"/>
          <w:color w:val="000000" w:themeColor="text1"/>
          <w:lang w:val="en-US" w:eastAsia="zh-CN"/>
          <w14:textFill>
            <w14:solidFill>
              <w14:schemeClr w14:val="tx1"/>
            </w14:solidFill>
          </w14:textFill>
        </w:rPr>
        <w:t>一、分期建设策略</w:t>
      </w:r>
      <w:bookmarkEnd w:id="117"/>
      <w:r>
        <w:rPr>
          <w:rFonts w:hint="eastAsia"/>
          <w:color w:val="000000" w:themeColor="text1"/>
          <w:lang w:val="en-US" w:eastAsia="zh-CN"/>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2"/>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（1）统一规划、分期实施、同步或优先启动公共配套设施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 xml:space="preserve">首先搞好市政基础设施、交通环境及绿化环境建设，优先保证项目快速落地，加强招商引资工作，以进一步吸引建设投资，提升园区开发的经济运作，确保园区建设的高标准、高起点，促进可持续发展。 </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（2）产业升级、滚动发展 </w:t>
      </w:r>
    </w:p>
    <w:p>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园区的建设发展应符合产业发展逐渐升级的规律，形成工业园建设的良性循环，促进园区的发展壮大，达到最大的经营效益，产生更大的经济效益和社会效益。</w:t>
      </w:r>
    </w:p>
    <w:p>
      <w:pPr>
        <w:pStyle w:val="4"/>
        <w:numPr>
          <w:ilvl w:val="0"/>
          <w:numId w:val="0"/>
        </w:numPr>
        <w:ind w:firstLine="643" w:firstLineChars="200"/>
        <w:outlineLvl w:val="1"/>
        <w:rPr>
          <w:rFonts w:hint="eastAsia"/>
          <w:color w:val="000000" w:themeColor="text1"/>
          <w:lang w:val="en-US" w:eastAsia="zh-CN"/>
          <w14:textFill>
            <w14:solidFill>
              <w14:schemeClr w14:val="tx1"/>
            </w14:solidFill>
          </w14:textFill>
        </w:rPr>
      </w:pPr>
      <w:bookmarkStart w:id="118" w:name="_Toc22723"/>
      <w:r>
        <w:rPr>
          <w:rFonts w:hint="eastAsia"/>
          <w:color w:val="000000" w:themeColor="text1"/>
          <w:lang w:val="en-US" w:eastAsia="zh-CN"/>
          <w14:textFill>
            <w14:solidFill>
              <w14:schemeClr w14:val="tx1"/>
            </w14:solidFill>
          </w14:textFill>
        </w:rPr>
        <w:t>二、分期建设构想</w:t>
      </w:r>
      <w:bookmarkEnd w:id="118"/>
      <w:r>
        <w:rPr>
          <w:rFonts w:hint="eastAsia"/>
          <w:color w:val="000000" w:themeColor="text1"/>
          <w:lang w:val="en-US" w:eastAsia="zh-CN"/>
          <w14:textFill>
            <w14:solidFill>
              <w14:schemeClr w14:val="tx1"/>
            </w14:solidFill>
          </w14:textFill>
        </w:rPr>
        <w:t xml:space="preserve"> </w:t>
      </w:r>
    </w:p>
    <w:p>
      <w:pPr>
        <w:keepNext w:val="0"/>
        <w:keepLines w:val="0"/>
        <w:widowControl/>
        <w:suppressLineNumbers w:val="0"/>
        <w:ind w:firstLine="560" w:firstLineChars="200"/>
        <w:jc w:val="left"/>
        <w:rPr>
          <w:rFonts w:hint="default" w:ascii="宋体" w:hAnsi="宋体" w:eastAsia="宋体" w:cs="宋体"/>
          <w:sz w:val="28"/>
          <w:szCs w:val="28"/>
          <w:lang w:val="en-US"/>
        </w:rPr>
      </w:pPr>
      <w:r>
        <w:rPr>
          <w:rFonts w:hint="eastAsia" w:ascii="宋体" w:hAnsi="宋体" w:eastAsia="宋体" w:cs="宋体"/>
          <w:color w:val="000000"/>
          <w:kern w:val="0"/>
          <w:sz w:val="28"/>
          <w:szCs w:val="28"/>
          <w:lang w:val="en-US" w:eastAsia="zh-CN" w:bidi="ar"/>
        </w:rPr>
        <w:t>规划建设期限为2023年—2035年，分为三个阶段。 详见图9.1分期建设图</w:t>
      </w:r>
    </w:p>
    <w:p>
      <w:pPr>
        <w:spacing w:line="360" w:lineRule="auto"/>
        <w:ind w:firstLine="560" w:firstLineChars="200"/>
        <w:outlineLvl w:val="2"/>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（1）一期建设 </w:t>
      </w:r>
    </w:p>
    <w:p>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 xml:space="preserve">规划建设期限2023—2025年：规划范围为蓟河路以南、规划横二路以北、曲陆高速以西、寥廓南路以用地区域，工作重点是加强基础设施建设，保证凯佳食品产业园项目快速落实，从而创造良好的投资环境，引进重点经营企业，培育新兴产业，争取在较短的时间内形成初步规模，聚集人气，达到启动开发作用。规划面积约126.2公顷。 </w:t>
      </w:r>
    </w:p>
    <w:p>
      <w:pPr>
        <w:numPr>
          <w:ilvl w:val="0"/>
          <w:numId w:val="0"/>
        </w:numPr>
        <w:spacing w:line="360" w:lineRule="auto"/>
        <w:ind w:firstLine="560" w:firstLineChars="200"/>
        <w:outlineLvl w:val="2"/>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（2）二期建设</w:t>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规划建设期限2025—2030年：逐步向南扩大园区建设，继续向南延伸南北向寥廓南路延长线下穿曲陆高速后接水石路，对园区各功能配套设施用地进行完善，进一步提升园区产业层次和知名度。规划面积约50.5公顷。 </w:t>
      </w:r>
    </w:p>
    <w:p>
      <w:pPr>
        <w:numPr>
          <w:ilvl w:val="0"/>
          <w:numId w:val="0"/>
        </w:numPr>
        <w:spacing w:line="360" w:lineRule="auto"/>
        <w:ind w:firstLine="560" w:firstLineChars="200"/>
        <w:outlineLvl w:val="2"/>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（3）三期建设 </w:t>
      </w:r>
    </w:p>
    <w:p>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 xml:space="preserve">规划建设期限2030—2035年：结合城市西环路的建设，温泉收费站的调整，带动园区向西南扩大，对园区各规划功能用地进行全部完善，进一步提升园区产业层次和知名度，逐步实现园区目标。规划面积约145.8公顷。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0" w:hRule="atLeast"/>
        </w:trPr>
        <w:tc>
          <w:tcPr>
            <w:tcW w:w="10140" w:type="dxa"/>
            <w:tcBorders>
              <w:top w:val="nil"/>
              <w:left w:val="nil"/>
              <w:bottom w:val="nil"/>
              <w:right w:val="nil"/>
            </w:tcBorders>
          </w:tcPr>
          <w:p>
            <w:pPr>
              <w:spacing w:line="360" w:lineRule="auto"/>
              <w:jc w:val="center"/>
              <w:rPr>
                <w:rFonts w:ascii="宋体" w:hAnsi="宋体" w:eastAsia="宋体" w:cs="宋体"/>
                <w:color w:val="000000" w:themeColor="text1"/>
                <w:sz w:val="21"/>
                <w:szCs w:val="21"/>
                <w:shd w:val="clear" w:color="auto" w:fill="FFFFFF"/>
                <w:vertAlign w:val="baseline"/>
                <w:lang w:val="zh-CN"/>
                <w14:textFill>
                  <w14:solidFill>
                    <w14:schemeClr w14:val="tx1"/>
                  </w14:solidFill>
                </w14:textFill>
              </w:rPr>
            </w:pPr>
            <w:r>
              <w:rPr>
                <w:rFonts w:ascii="宋体" w:hAnsi="宋体" w:eastAsia="宋体" w:cs="宋体"/>
                <w:color w:val="000000" w:themeColor="text1"/>
                <w:sz w:val="21"/>
                <w:szCs w:val="21"/>
                <w:shd w:val="clear" w:color="auto" w:fill="FFFFFF"/>
                <w:vertAlign w:val="baseline"/>
                <w:lang w:val="zh-CN"/>
                <w14:textFill>
                  <w14:solidFill>
                    <w14:schemeClr w14:val="tx1"/>
                  </w14:solidFill>
                </w14:textFill>
              </w:rPr>
              <w:drawing>
                <wp:inline distT="0" distB="0" distL="114300" distR="114300">
                  <wp:extent cx="6174740" cy="3553460"/>
                  <wp:effectExtent l="0" t="0" r="0" b="0"/>
                  <wp:docPr id="13" name="图片 13" descr="E:\2023年\工业园区\工业园区最终成果\罗汉山工业园区成果\规划图\规划图纸文本说明书\规划\31分期建设图.jpg31分期建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2023年\工业园区\工业园区最终成果\罗汉山工业园区成果\规划图\规划图纸文本说明书\规划\31分期建设图.jpg31分期建设图"/>
                          <pic:cNvPicPr>
                            <a:picLocks noChangeAspect="1"/>
                          </pic:cNvPicPr>
                        </pic:nvPicPr>
                        <pic:blipFill>
                          <a:blip r:embed="rId43"/>
                          <a:srcRect t="13273" b="5266"/>
                          <a:stretch>
                            <a:fillRect/>
                          </a:stretch>
                        </pic:blipFill>
                        <pic:spPr>
                          <a:xfrm>
                            <a:off x="0" y="0"/>
                            <a:ext cx="6174740" cy="3553460"/>
                          </a:xfrm>
                          <a:prstGeom prst="rect">
                            <a:avLst/>
                          </a:prstGeom>
                        </pic:spPr>
                      </pic:pic>
                    </a:graphicData>
                  </a:graphic>
                </wp:inline>
              </w:drawing>
            </w:r>
          </w:p>
          <w:p>
            <w:pPr>
              <w:spacing w:line="360" w:lineRule="auto"/>
              <w:jc w:val="center"/>
              <w:rPr>
                <w:rFonts w:ascii="宋体" w:hAnsi="宋体" w:eastAsia="宋体" w:cs="宋体"/>
                <w:color w:val="000000" w:themeColor="text1"/>
                <w:sz w:val="21"/>
                <w:szCs w:val="21"/>
                <w:shd w:val="clear" w:color="auto" w:fill="FFFFFF"/>
                <w:vertAlign w:val="baseline"/>
                <w:lang w:val="zh-CN"/>
                <w14:textFill>
                  <w14:solidFill>
                    <w14:schemeClr w14:val="tx1"/>
                  </w14:solidFill>
                </w14:textFill>
              </w:rPr>
            </w:pPr>
            <w:r>
              <w:rPr>
                <w:rFonts w:hint="eastAsia" w:ascii="宋体" w:hAnsi="宋体" w:eastAsia="宋体" w:cs="宋体"/>
                <w:color w:val="000000"/>
                <w:kern w:val="0"/>
                <w:sz w:val="21"/>
                <w:szCs w:val="21"/>
                <w:lang w:val="en-US" w:eastAsia="zh-CN" w:bidi="ar"/>
              </w:rPr>
              <w:t>图9.1分期建设图</w:t>
            </w:r>
          </w:p>
        </w:tc>
      </w:tr>
    </w:tbl>
    <w:p>
      <w:pPr>
        <w:spacing w:line="360" w:lineRule="auto"/>
        <w:rPr>
          <w:rFonts w:ascii="宋体" w:hAnsi="宋体" w:eastAsia="宋体" w:cs="宋体"/>
          <w:color w:val="000000" w:themeColor="text1"/>
          <w:sz w:val="28"/>
          <w:szCs w:val="28"/>
          <w:shd w:val="clear" w:color="auto" w:fill="FFFFFF"/>
          <w:lang w:val="zh-CN"/>
          <w14:textFill>
            <w14:solidFill>
              <w14:schemeClr w14:val="tx1"/>
            </w14:solidFill>
          </w14:textFill>
        </w:rPr>
      </w:pPr>
    </w:p>
    <w:p>
      <w:pPr>
        <w:spacing w:line="360" w:lineRule="auto"/>
        <w:rPr>
          <w:rFonts w:ascii="宋体" w:hAnsi="宋体" w:eastAsia="宋体" w:cs="宋体"/>
          <w:color w:val="000000" w:themeColor="text1"/>
          <w:sz w:val="28"/>
          <w:szCs w:val="28"/>
          <w:shd w:val="clear" w:color="auto" w:fill="FFFFFF"/>
          <w:lang w:val="zh-CN"/>
          <w14:textFill>
            <w14:solidFill>
              <w14:schemeClr w14:val="tx1"/>
            </w14:solidFill>
          </w14:textFill>
        </w:rPr>
        <w:sectPr>
          <w:pgSz w:w="23811" w:h="16838" w:orient="landscape"/>
          <w:pgMar w:top="1800" w:right="1440" w:bottom="1800" w:left="1440" w:header="851" w:footer="992" w:gutter="0"/>
          <w:pgNumType w:fmt="decimal"/>
          <w:cols w:space="840" w:num="2"/>
          <w:docGrid w:type="lines" w:linePitch="312" w:charSpace="0"/>
        </w:sectPr>
      </w:pPr>
    </w:p>
    <w:p>
      <w:pPr>
        <w:pStyle w:val="2"/>
        <w:numPr>
          <w:ilvl w:val="0"/>
          <w:numId w:val="1"/>
        </w:numPr>
        <w:jc w:val="center"/>
        <w:rPr>
          <w:color w:val="000000" w:themeColor="text1"/>
          <w14:textFill>
            <w14:solidFill>
              <w14:schemeClr w14:val="tx1"/>
            </w14:solidFill>
          </w14:textFill>
        </w:rPr>
      </w:pPr>
      <w:bookmarkStart w:id="119" w:name="_Toc5364"/>
      <w:r>
        <w:rPr>
          <w:rFonts w:hint="eastAsia"/>
          <w:color w:val="000000" w:themeColor="text1"/>
          <w14:textFill>
            <w14:solidFill>
              <w14:schemeClr w14:val="tx1"/>
            </w14:solidFill>
          </w14:textFill>
        </w:rPr>
        <w:t>实施建议</w:t>
      </w:r>
      <w:r>
        <w:rPr>
          <w:rFonts w:hint="eastAsia"/>
          <w:color w:val="000000" w:themeColor="text1"/>
          <w:lang w:val="en-US" w:eastAsia="zh-CN"/>
          <w14:textFill>
            <w14:solidFill>
              <w14:schemeClr w14:val="tx1"/>
            </w14:solidFill>
          </w14:textFill>
        </w:rPr>
        <w:t>与保障</w:t>
      </w:r>
      <w:r>
        <w:rPr>
          <w:rFonts w:hint="eastAsia"/>
          <w:color w:val="000000" w:themeColor="text1"/>
          <w14:textFill>
            <w14:solidFill>
              <w14:schemeClr w14:val="tx1"/>
            </w14:solidFill>
          </w14:textFill>
        </w:rPr>
        <w:t>措施</w:t>
      </w:r>
      <w:bookmarkEnd w:id="119"/>
    </w:p>
    <w:p>
      <w:pPr>
        <w:pStyle w:val="4"/>
        <w:numPr>
          <w:ilvl w:val="0"/>
          <w:numId w:val="0"/>
        </w:numPr>
        <w:ind w:firstLine="643" w:firstLineChars="200"/>
        <w:outlineLvl w:val="1"/>
        <w:rPr>
          <w:rFonts w:hint="eastAsia"/>
          <w:color w:val="000000" w:themeColor="text1"/>
          <w:lang w:val="zh-CN" w:eastAsia="zh-CN"/>
          <w14:textFill>
            <w14:solidFill>
              <w14:schemeClr w14:val="tx1"/>
            </w14:solidFill>
          </w14:textFill>
        </w:rPr>
      </w:pPr>
      <w:bookmarkStart w:id="120" w:name="_Toc29879"/>
      <w:r>
        <w:rPr>
          <w:rFonts w:hint="eastAsia"/>
          <w:color w:val="000000" w:themeColor="text1"/>
          <w:lang w:val="en-US" w:eastAsia="zh-CN"/>
          <w14:textFill>
            <w14:solidFill>
              <w14:schemeClr w14:val="tx1"/>
            </w14:solidFill>
          </w14:textFill>
        </w:rPr>
        <w:t>一</w:t>
      </w:r>
      <w:r>
        <w:rPr>
          <w:rFonts w:hint="eastAsia"/>
          <w:color w:val="000000" w:themeColor="text1"/>
          <w:lang w:val="zh-CN" w:eastAsia="zh-CN"/>
          <w14:textFill>
            <w14:solidFill>
              <w14:schemeClr w14:val="tx1"/>
            </w14:solidFill>
          </w14:textFill>
        </w:rPr>
        <w:t>、近期开发建设重点</w:t>
      </w:r>
      <w:bookmarkEnd w:id="120"/>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（1）基地应加快主要道路（</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海河路</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寥廓南路、规划纵一路与新建匝道</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）及相关基础设施建设（工业气体站、污水泵站、小型垃圾转运站、给水厂及高位水池等等）。</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（2）积极响应云南省层面战略部署，为加快项目快速落地，支撑产业园区未来发展，以具体项目来带动周边经济发展；</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具体落地项目是山东凯佳食品产业园。</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）加快推进村庄拆迁安置工作，同时位于工业生产区周边区域同步发展居住生活功能，公共服务设施作为补充，区内可适当安排</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商业</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、办公等功能混合利用。</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重点依托寥廓南路南延线的建设和温泉立交的改造连通，带动道路两侧用地的开发建设。加快启动北部两个产业组团区域的开发建设，聚集人群，园区从北部向南部逐步拓展。</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近期建设道路：海河路宽32米、长826.7米；规划纵一路宽24米、长1567.5米；新建匝道宽10米、长116.5米。</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近期建设用地规模为1</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7.45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公顷，对应分期建设规划中的一期，考虑到当前建设的诸多不确定因素，以及可持续发展的需要，规划以需要多少建设多少为原则，园区用地规模可在此基础上进行适当调整。 具体详见表1</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0.</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1。</w:t>
      </w:r>
    </w:p>
    <w:p>
      <w:pPr>
        <w:spacing w:line="360" w:lineRule="auto"/>
        <w:jc w:val="center"/>
        <w:rPr>
          <w:rFonts w:hint="eastAsia"/>
          <w:b/>
          <w:sz w:val="24"/>
          <w:lang w:val="zh-CN"/>
        </w:rPr>
      </w:pPr>
    </w:p>
    <w:p>
      <w:pPr>
        <w:spacing w:line="360" w:lineRule="auto"/>
        <w:jc w:val="center"/>
        <w:rPr>
          <w:rFonts w:hint="eastAsia"/>
          <w:b/>
          <w:sz w:val="24"/>
          <w:lang w:val="zh-CN"/>
        </w:rPr>
      </w:pPr>
    </w:p>
    <w:p>
      <w:pPr>
        <w:spacing w:line="360" w:lineRule="auto"/>
        <w:jc w:val="center"/>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b/>
          <w:sz w:val="24"/>
          <w:lang w:val="zh-CN"/>
        </w:rPr>
        <w:t>表</w:t>
      </w:r>
      <w:r>
        <w:rPr>
          <w:rFonts w:hint="eastAsia"/>
          <w:b/>
          <w:sz w:val="24"/>
          <w:lang w:val="en-US" w:eastAsia="zh-CN"/>
        </w:rPr>
        <w:t>10.</w:t>
      </w:r>
      <w:r>
        <w:rPr>
          <w:b/>
          <w:sz w:val="24"/>
          <w:lang w:val="zh-CN"/>
        </w:rPr>
        <w:t>1</w:t>
      </w:r>
      <w:r>
        <w:rPr>
          <w:rFonts w:hint="eastAsia"/>
          <w:b/>
          <w:sz w:val="24"/>
          <w:lang w:val="zh-CN"/>
        </w:rPr>
        <w:t>近期开发建设用地构成表</w:t>
      </w:r>
    </w:p>
    <w:tbl>
      <w:tblPr>
        <w:tblStyle w:val="12"/>
        <w:tblW w:w="9560" w:type="dxa"/>
        <w:jc w:val="center"/>
        <w:tblLayout w:type="autofit"/>
        <w:tblCellMar>
          <w:top w:w="0" w:type="dxa"/>
          <w:left w:w="108" w:type="dxa"/>
          <w:bottom w:w="0" w:type="dxa"/>
          <w:right w:w="108" w:type="dxa"/>
        </w:tblCellMar>
      </w:tblPr>
      <w:tblGrid>
        <w:gridCol w:w="1084"/>
        <w:gridCol w:w="1181"/>
        <w:gridCol w:w="1350"/>
        <w:gridCol w:w="2419"/>
        <w:gridCol w:w="1443"/>
        <w:gridCol w:w="2083"/>
      </w:tblGrid>
      <w:tr>
        <w:tblPrEx>
          <w:tblCellMar>
            <w:top w:w="0" w:type="dxa"/>
            <w:left w:w="108" w:type="dxa"/>
            <w:bottom w:w="0" w:type="dxa"/>
            <w:right w:w="108" w:type="dxa"/>
          </w:tblCellMar>
        </w:tblPrEx>
        <w:trPr>
          <w:trHeight w:val="353"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用地代码</w:t>
            </w:r>
          </w:p>
        </w:tc>
        <w:tc>
          <w:tcPr>
            <w:tcW w:w="24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用地名称</w:t>
            </w:r>
          </w:p>
        </w:tc>
        <w:tc>
          <w:tcPr>
            <w:tcW w:w="14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用地面积(hm²)</w:t>
            </w:r>
          </w:p>
        </w:tc>
        <w:tc>
          <w:tcPr>
            <w:tcW w:w="20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占城市建设用地比例(%)</w:t>
            </w:r>
          </w:p>
        </w:tc>
      </w:tr>
      <w:tr>
        <w:tblPrEx>
          <w:tblCellMar>
            <w:top w:w="0" w:type="dxa"/>
            <w:left w:w="108" w:type="dxa"/>
            <w:bottom w:w="0" w:type="dxa"/>
            <w:right w:w="108" w:type="dxa"/>
          </w:tblCellMar>
        </w:tblPrEx>
        <w:trPr>
          <w:trHeight w:val="678" w:hRule="atLeast"/>
          <w:jc w:val="center"/>
        </w:trPr>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一级类</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二级类</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三级类</w:t>
            </w:r>
          </w:p>
        </w:tc>
        <w:tc>
          <w:tcPr>
            <w:tcW w:w="24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val="0"/>
                <w:bCs/>
                <w:color w:val="000000"/>
                <w:kern w:val="0"/>
                <w:sz w:val="36"/>
                <w:szCs w:val="36"/>
              </w:rPr>
            </w:pPr>
          </w:p>
        </w:tc>
        <w:tc>
          <w:tcPr>
            <w:tcW w:w="14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val="0"/>
                <w:bCs/>
                <w:color w:val="000000"/>
                <w:kern w:val="0"/>
                <w:sz w:val="36"/>
                <w:szCs w:val="36"/>
              </w:rPr>
            </w:pPr>
          </w:p>
        </w:tc>
        <w:tc>
          <w:tcPr>
            <w:tcW w:w="20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val="0"/>
                <w:bCs/>
                <w:color w:val="000000"/>
                <w:kern w:val="0"/>
                <w:sz w:val="36"/>
                <w:szCs w:val="36"/>
              </w:rPr>
            </w:pPr>
          </w:p>
        </w:tc>
      </w:tr>
      <w:tr>
        <w:tblPrEx>
          <w:tblCellMar>
            <w:top w:w="0" w:type="dxa"/>
            <w:left w:w="108" w:type="dxa"/>
            <w:bottom w:w="0" w:type="dxa"/>
            <w:right w:w="108" w:type="dxa"/>
          </w:tblCellMar>
        </w:tblPrEx>
        <w:trPr>
          <w:trHeight w:val="234"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sz w:val="24"/>
                <w:szCs w:val="24"/>
                <w:u w:val="none"/>
                <w:lang w:val="en-US" w:eastAsia="zh-CN"/>
              </w:rPr>
              <w:t>10</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工矿用地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微软雅黑" w:hAnsi="微软雅黑" w:eastAsia="微软雅黑" w:cs="宋体"/>
                <w:b w:val="0"/>
                <w:bCs w:val="0"/>
                <w:color w:val="000000"/>
                <w:kern w:val="0"/>
                <w:sz w:val="24"/>
                <w:szCs w:val="24"/>
                <w:lang w:val="en-US"/>
              </w:rPr>
            </w:pPr>
            <w:r>
              <w:rPr>
                <w:rFonts w:hint="eastAsia" w:ascii="宋体" w:hAnsi="宋体" w:eastAsia="宋体" w:cs="宋体"/>
                <w:b w:val="0"/>
                <w:bCs w:val="0"/>
                <w:i w:val="0"/>
                <w:iCs w:val="0"/>
                <w:color w:val="000000"/>
                <w:kern w:val="0"/>
                <w:sz w:val="24"/>
                <w:szCs w:val="24"/>
                <w:u w:val="none"/>
                <w:lang w:val="en-US" w:eastAsia="zh-CN" w:bidi="ar"/>
              </w:rPr>
              <w:t>10.68</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61.20%</w:t>
            </w:r>
          </w:p>
        </w:tc>
      </w:tr>
      <w:tr>
        <w:tblPrEx>
          <w:tblCellMar>
            <w:top w:w="0" w:type="dxa"/>
            <w:left w:w="108" w:type="dxa"/>
            <w:bottom w:w="0" w:type="dxa"/>
            <w:right w:w="108" w:type="dxa"/>
          </w:tblCellMar>
        </w:tblPrEx>
        <w:trPr>
          <w:trHeight w:val="361"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t>1001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100102</w:t>
            </w: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二类工业用地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微软雅黑" w:hAnsi="微软雅黑" w:eastAsia="微软雅黑" w:cs="宋体"/>
                <w:b w:val="0"/>
                <w:bCs w:val="0"/>
                <w:color w:val="000000"/>
                <w:kern w:val="0"/>
                <w:sz w:val="24"/>
                <w:szCs w:val="24"/>
                <w:lang w:val="en-US"/>
              </w:rPr>
            </w:pPr>
            <w:r>
              <w:rPr>
                <w:rFonts w:hint="eastAsia" w:ascii="宋体" w:hAnsi="宋体" w:eastAsia="宋体" w:cs="宋体"/>
                <w:b w:val="0"/>
                <w:bCs w:val="0"/>
                <w:i w:val="0"/>
                <w:iCs w:val="0"/>
                <w:color w:val="000000"/>
                <w:kern w:val="0"/>
                <w:sz w:val="24"/>
                <w:szCs w:val="24"/>
                <w:u w:val="none"/>
                <w:lang w:val="en-US" w:eastAsia="zh-CN" w:bidi="ar"/>
              </w:rPr>
              <w:t>10.68</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61.20%</w:t>
            </w:r>
          </w:p>
        </w:tc>
      </w:tr>
      <w:tr>
        <w:tblPrEx>
          <w:tblCellMar>
            <w:top w:w="0" w:type="dxa"/>
            <w:left w:w="108" w:type="dxa"/>
            <w:bottom w:w="0" w:type="dxa"/>
            <w:right w:w="108" w:type="dxa"/>
          </w:tblCellMar>
        </w:tblPrEx>
        <w:trPr>
          <w:trHeight w:val="361"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12</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交通运输用地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微软雅黑" w:hAnsi="微软雅黑" w:eastAsia="微软雅黑" w:cs="宋体"/>
                <w:b w:val="0"/>
                <w:bCs w:val="0"/>
                <w:color w:val="000000"/>
                <w:kern w:val="0"/>
                <w:sz w:val="24"/>
                <w:szCs w:val="24"/>
                <w:lang w:val="en-US"/>
              </w:rPr>
            </w:pPr>
            <w:r>
              <w:rPr>
                <w:rFonts w:hint="eastAsia" w:ascii="宋体" w:hAnsi="宋体" w:eastAsia="宋体" w:cs="宋体"/>
                <w:b w:val="0"/>
                <w:bCs w:val="0"/>
                <w:i w:val="0"/>
                <w:iCs w:val="0"/>
                <w:color w:val="000000"/>
                <w:kern w:val="0"/>
                <w:sz w:val="24"/>
                <w:szCs w:val="24"/>
                <w:u w:val="none"/>
                <w:lang w:val="en-US" w:eastAsia="zh-CN" w:bidi="ar"/>
              </w:rPr>
              <w:t>6.77</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38.80%</w:t>
            </w:r>
          </w:p>
        </w:tc>
      </w:tr>
      <w:tr>
        <w:tblPrEx>
          <w:tblCellMar>
            <w:top w:w="0" w:type="dxa"/>
            <w:left w:w="108" w:type="dxa"/>
            <w:bottom w:w="0" w:type="dxa"/>
            <w:right w:w="108" w:type="dxa"/>
          </w:tblCellMar>
        </w:tblPrEx>
        <w:trPr>
          <w:trHeight w:val="234"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kern w:val="0"/>
                <w:sz w:val="24"/>
                <w:szCs w:val="24"/>
                <w:u w:val="none"/>
                <w:lang w:val="en-US" w:eastAsia="zh-CN" w:bidi="ar"/>
              </w:rPr>
              <w:t>1207</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城镇道路用地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 xml:space="preserve">6.77 </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kern w:val="0"/>
                <w:sz w:val="24"/>
                <w:szCs w:val="24"/>
                <w:u w:val="none"/>
                <w:lang w:val="en-US" w:eastAsia="zh-CN" w:bidi="ar"/>
              </w:rPr>
              <w:t>38.80%</w:t>
            </w:r>
          </w:p>
        </w:tc>
      </w:tr>
      <w:tr>
        <w:tblPrEx>
          <w:tblCellMar>
            <w:top w:w="0" w:type="dxa"/>
            <w:left w:w="108" w:type="dxa"/>
            <w:bottom w:w="0" w:type="dxa"/>
            <w:right w:w="108" w:type="dxa"/>
          </w:tblCellMar>
        </w:tblPrEx>
        <w:trPr>
          <w:trHeight w:val="247" w:hRule="atLeast"/>
          <w:jc w:val="center"/>
        </w:trPr>
        <w:tc>
          <w:tcPr>
            <w:tcW w:w="603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小计</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17.45</w:t>
            </w:r>
          </w:p>
        </w:tc>
        <w:tc>
          <w:tcPr>
            <w:tcW w:w="20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100%</w:t>
            </w:r>
          </w:p>
        </w:tc>
      </w:tr>
    </w:tbl>
    <w:p>
      <w:pPr>
        <w:pStyle w:val="4"/>
        <w:numPr>
          <w:ilvl w:val="0"/>
          <w:numId w:val="0"/>
        </w:numPr>
        <w:ind w:firstLine="643" w:firstLineChars="200"/>
        <w:outlineLvl w:val="1"/>
        <w:rPr>
          <w:rFonts w:hint="eastAsia"/>
          <w:color w:val="000000" w:themeColor="text1"/>
          <w:lang w:val="zh-CN" w:eastAsia="zh-CN"/>
          <w14:textFill>
            <w14:solidFill>
              <w14:schemeClr w14:val="tx1"/>
            </w14:solidFill>
          </w14:textFill>
        </w:rPr>
      </w:pPr>
      <w:bookmarkStart w:id="121" w:name="_Toc14746"/>
      <w:r>
        <w:rPr>
          <w:rFonts w:hint="eastAsia"/>
          <w:color w:val="000000" w:themeColor="text1"/>
          <w:lang w:val="en-US" w:eastAsia="zh-CN"/>
          <w14:textFill>
            <w14:solidFill>
              <w14:schemeClr w14:val="tx1"/>
            </w14:solidFill>
          </w14:textFill>
        </w:rPr>
        <w:t>二</w:t>
      </w: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规划设施建议</w:t>
      </w:r>
      <w:bookmarkEnd w:id="121"/>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（1）滚动开发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以</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高端绿色食品加工、生物医药和仓储物流</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等产业发展为重点，开发中相对集中资金，成熟一片，开发一片，滚动发展，形成一个城市建设的良性循环。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（2）合理运营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以具体项目来带动周边经济发展；通过落实上位规划要求，保证项目用地得到有效落实，结合省市级对片区规划定位，依托高速公路优势，积极推动片区土地开发利用，打造产、城、人高度融合的空间脉络。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（3）龙头带动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应充分利用政策优势，招商引进生猪屠宰；肉制品加工、销售等相关产业的大型龙头企业，发挥龙头企业的带动作用，从而推动整个区域的经济发展。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（4）环境优先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遵循环境优先的原则。必须严格把关，制定科学合理的入区门槛，确保企业在有效地推动地方经济发展的同时，</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严禁三类工业产业或高污染、高排放的企业入区，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不对本地生态环境造成严重的危害。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）产城融合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处理好</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南片区</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居住与产业开发的关系，力求实现利益共享。充分调动原有居民积极性，成为基地建设的重要参与者。</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）弹性开发 </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用地</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不宜硬性规定，确保弹性，规划建议近期在用地较为充裕的情况下，优先利用集中成片的用地，对于边角地考虑预留，待片区开发成熟之后，再考虑深入开发，见缝插针地利用这些边角地，实现弹性化发展。 </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探索混合用地、预留弹性空间</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探索混合用地、留白用地在本规划的应用，允许工业用地与物流仓储用地有适当比例的混合，为未来工业园区的发展预留充足的弹性空间。尤其是南绕城高速以南的用地。</w:t>
      </w:r>
    </w:p>
    <w:tbl>
      <w:tblPr>
        <w:tblStyle w:val="13"/>
        <w:tblW w:w="0" w:type="auto"/>
        <w:tblInd w:w="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2738"/>
        <w:gridCol w:w="2812"/>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87" w:type="dxa"/>
            <w:vAlign w:val="center"/>
          </w:tcPr>
          <w:p>
            <w:pPr>
              <w:spacing w:line="360" w:lineRule="auto"/>
              <w:jc w:val="center"/>
              <w:rPr>
                <w:rFonts w:hint="default"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t>混合类型</w:t>
            </w:r>
          </w:p>
        </w:tc>
        <w:tc>
          <w:tcPr>
            <w:tcW w:w="2738" w:type="dxa"/>
            <w:vAlign w:val="center"/>
          </w:tcPr>
          <w:p>
            <w:pPr>
              <w:spacing w:line="360" w:lineRule="auto"/>
              <w:jc w:val="center"/>
              <w:rPr>
                <w:rFonts w:hint="default"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t>一类工业用地</w:t>
            </w:r>
          </w:p>
        </w:tc>
        <w:tc>
          <w:tcPr>
            <w:tcW w:w="2812" w:type="dxa"/>
            <w:vAlign w:val="center"/>
          </w:tcPr>
          <w:p>
            <w:pPr>
              <w:spacing w:line="360" w:lineRule="auto"/>
              <w:jc w:val="center"/>
              <w:rPr>
                <w:rFonts w:hint="default"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t>工业研发用地</w:t>
            </w:r>
          </w:p>
        </w:tc>
        <w:tc>
          <w:tcPr>
            <w:tcW w:w="2771" w:type="dxa"/>
            <w:vAlign w:val="center"/>
          </w:tcPr>
          <w:p>
            <w:pPr>
              <w:spacing w:line="360" w:lineRule="auto"/>
              <w:jc w:val="center"/>
              <w:rPr>
                <w:rFonts w:hint="default"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t>物流及普通仓储用地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1687" w:type="dxa"/>
            <w:vAlign w:val="center"/>
          </w:tcPr>
          <w:p>
            <w:pPr>
              <w:spacing w:line="360" w:lineRule="auto"/>
              <w:jc w:val="center"/>
              <w:rPr>
                <w:rFonts w:hint="default"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t>允许混合</w:t>
            </w:r>
          </w:p>
        </w:tc>
        <w:tc>
          <w:tcPr>
            <w:tcW w:w="273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1.公共服务功能：文化设施、教育设施、体育设施、医疗卫生设施（涉及传染病、流行病类医疗设施除外）、社会福利设施等；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2.行政办公功能：社会团体、行政管理职能相关单位办公用房及相关设施；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3.商业配套功能：零售商业、餐饮、旅馆等；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4.商务办公功能：金融保险、艺术传媒、研发设计、贸易咨询等；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5.宿舍居住功能：租贷型集体宿舍、租贷公寓等；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6.普通物流仓储功能；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7.交通功能：轨道交通场站、地面公交场站、社会停车场；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8.市政功能：供应设施、环境设施、市政运行维护设施等；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9.安全防护功能：消防设施、防涝设施、防灾避难设施等；</w:t>
            </w:r>
          </w:p>
        </w:tc>
        <w:tc>
          <w:tcPr>
            <w:tcW w:w="2812"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1.公共服务功能：文化设施、教育设施、体育设施、医疗卫生设施（涉及传染病、流行病类医疗设施除外）、社会福利设施等；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2.行政办公功能：社会团体、行政管理职能相关单位办公用房及相关设施；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3.商业配套功能：零售商业、餐饮、旅馆等；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4.商务办公功能：金融保险、艺术传媒、研发设计、贸易咨询等；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5.宿舍居住功能：租贷型集体宿舍、租贷公寓等；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6.交通功能：轨道交通场站、地面公交场站、社会停车场；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7.市政功能：供应设施、环境设施、市政运行维护设施等；</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8.安全防护功能：消防设施、防涝设施、防灾避难设施等；</w:t>
            </w:r>
          </w:p>
        </w:tc>
        <w:tc>
          <w:tcPr>
            <w:tcW w:w="277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1.一类工业功能；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2.交通功能：轨道交通场站、地面公交场站、社会停车场；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3.市政功能：供应设施、环境设施、市政运行维护设施等；</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4.安全防护功能：消防设施、防涝设施、防灾避难设施等；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vAlign w:val="center"/>
          </w:tcPr>
          <w:p>
            <w:pPr>
              <w:spacing w:line="360" w:lineRule="auto"/>
              <w:jc w:val="center"/>
              <w:rPr>
                <w:rFonts w:hint="default"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FFFFFF"/>
                <w:vertAlign w:val="baseline"/>
                <w:lang w:val="en-US" w:eastAsia="zh-CN"/>
                <w14:textFill>
                  <w14:solidFill>
                    <w14:schemeClr w14:val="tx1"/>
                  </w14:solidFill>
                </w14:textFill>
              </w:rPr>
              <w:t>禁止混合</w:t>
            </w:r>
          </w:p>
        </w:tc>
        <w:tc>
          <w:tcPr>
            <w:tcW w:w="2738"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1.二类工业功能</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2.三类工业功能</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3.特殊仓储功能</w:t>
            </w:r>
          </w:p>
        </w:tc>
        <w:tc>
          <w:tcPr>
            <w:tcW w:w="2812"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1.二类工业功能</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2.三类工业功能</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3.特殊仓储功能</w:t>
            </w:r>
          </w:p>
        </w:tc>
        <w:tc>
          <w:tcPr>
            <w:tcW w:w="2771" w:type="dxa"/>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1.二类工业功能</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2.三类工业功能</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FFFFFF"/>
                <w:vertAlign w:val="baseline"/>
                <w:lang w:val="en-US" w:eastAsia="zh-CN"/>
                <w14:textFill>
                  <w14:solidFill>
                    <w14:schemeClr w14:val="tx1"/>
                  </w14:solidFill>
                </w14:textFill>
              </w:rPr>
              <w:t>3.特殊仓储功能</w:t>
            </w:r>
          </w:p>
        </w:tc>
      </w:tr>
    </w:tbl>
    <w:p>
      <w:pPr>
        <w:pStyle w:val="4"/>
        <w:numPr>
          <w:ilvl w:val="0"/>
          <w:numId w:val="0"/>
        </w:numPr>
        <w:ind w:firstLine="643" w:firstLineChars="200"/>
        <w:outlineLvl w:val="1"/>
        <w:rPr>
          <w:rFonts w:hint="default"/>
          <w:color w:val="000000" w:themeColor="text1"/>
          <w:lang w:val="en-US" w:eastAsia="zh-CN"/>
          <w14:textFill>
            <w14:solidFill>
              <w14:schemeClr w14:val="tx1"/>
            </w14:solidFill>
          </w14:textFill>
        </w:rPr>
      </w:pPr>
      <w:bookmarkStart w:id="122" w:name="_Toc6875"/>
      <w:r>
        <w:rPr>
          <w:rFonts w:hint="eastAsia"/>
          <w:color w:val="000000" w:themeColor="text1"/>
          <w:lang w:val="en-US" w:eastAsia="zh-CN"/>
          <w14:textFill>
            <w14:solidFill>
              <w14:schemeClr w14:val="tx1"/>
            </w14:solidFill>
          </w14:textFill>
        </w:rPr>
        <w:t>三</w:t>
      </w:r>
      <w:r>
        <w:rPr>
          <w:rFonts w:hint="eastAsia"/>
          <w:color w:val="000000" w:themeColor="text1"/>
          <w:lang w:val="zh-CN" w:eastAsia="zh-CN"/>
          <w14:textFill>
            <w14:solidFill>
              <w14:schemeClr w14:val="tx1"/>
            </w14:solidFill>
          </w14:textFill>
        </w:rPr>
        <w:t>、</w:t>
      </w:r>
      <w:r>
        <w:rPr>
          <w:rFonts w:hint="eastAsia"/>
          <w:color w:val="000000" w:themeColor="text1"/>
          <w:lang w:val="en-US" w:eastAsia="zh-CN"/>
          <w14:textFill>
            <w14:solidFill>
              <w14:schemeClr w14:val="tx1"/>
            </w14:solidFill>
          </w14:textFill>
        </w:rPr>
        <w:t>规划保障措施</w:t>
      </w:r>
      <w:bookmarkEnd w:id="122"/>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控制性详细规划一经批准，即具法律效力，要严格按照规划组织实施。完善规划管理程序，规划调整必须依照法律程序办理。要实行规划编制与调整实施的公示听证制度，加强规划实施的社会公众与媒体舆论的监督。</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2</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加大规划宣传力度，普及规划知识，进一步深化完善规划编制内容，及时组织和科学编制街区开发建设项目策划，分期进行街区层次的修建性详细规划指导具体地块的开发建设。抓好招商引资工作，开拓创新，制定并完善相关政策，引进民间资本，扩大筹资渠道，为城</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市</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建设注入新的活力。</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创新土地利用制度，探索土地利用管理政策的实施途径和方法创新；加强土地的用途管制和建设用地的审批管理。严格按照国家有关土地、环保、建设等政策细化规划管理原则，将地方发展与国家政策有机结合，制定符合本地实际发展情况的制度和措施。</w:t>
      </w:r>
    </w:p>
    <w:p>
      <w:pPr>
        <w:spacing w:line="360" w:lineRule="auto"/>
        <w:ind w:firstLine="560" w:firstLineChars="200"/>
        <w:rPr>
          <w:rFonts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）建立建设项目动态跟踪反馈机制，加强规划实施效果的年度总结与评析，为控规的调整完善奠定基础。</w:t>
      </w:r>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5</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）发挥积极的财政投入引导机制，建立财政投入项目库，优先建设城市道路交通、城市社会发展和公共服务设施、能源节约、生态建设和环境保护等四个大类的基础保障性设施。</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6）建立“政府规划，市场主导”的开发模式，鼓励产业园区及入驻企业与金融机构联合打造物流金融服务平台，形成多渠道、多层次的投融资环境，要适当放宽对产业园区投资强度和税收强度的要求，鼓励企业入驻园区。</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（7）加强规划执法管理工作，健全规划管理机构，以行政、法律、经济等手段提高规划管理水平，严格执行规划，依法管理，明确规划、建设的审批和修改办法、程序，有法可依、有法必依。</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（8）加强规划管理队伍的建设，重视人才培养、教育和引进。加快现代化技术手段在城市规划领域的应用，提高城市规划管理水平。</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9）在现状产权及制度的基础上，以置换、租赁、抵押等形式流转土地使用权，实现整合用地、提升整体功能的目标。发挥政府规划的调控作用，管理土地的整理，置换导引，前期政策扶持，鼓励企业进驻，中后期通过市场机制优化地租，将低效益企业外迁。</w:t>
      </w:r>
    </w:p>
    <w:p>
      <w:pPr>
        <w:spacing w:line="360" w:lineRule="auto"/>
        <w:ind w:firstLine="560" w:firstLineChars="200"/>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sectPr>
          <w:pgSz w:w="23811" w:h="16838" w:orient="landscape"/>
          <w:pgMar w:top="1800" w:right="1440" w:bottom="1800" w:left="1440" w:header="851" w:footer="992" w:gutter="0"/>
          <w:pgNumType w:fmt="decimal"/>
          <w:cols w:space="840" w:num="2"/>
          <w:docGrid w:type="lines" w:linePitch="312" w:charSpace="0"/>
        </w:sectPr>
      </w:pPr>
    </w:p>
    <w:p>
      <w:pPr>
        <w:pStyle w:val="2"/>
        <w:rPr>
          <w:color w:val="000000" w:themeColor="text1"/>
          <w:lang w:val="zh-CN"/>
          <w14:textFill>
            <w14:solidFill>
              <w14:schemeClr w14:val="tx1"/>
            </w14:solidFill>
          </w14:textFill>
        </w:rPr>
      </w:pPr>
      <w:bookmarkStart w:id="123" w:name="_Toc4615"/>
      <w:r>
        <w:rPr>
          <w:rFonts w:hint="eastAsia"/>
          <w:color w:val="000000" w:themeColor="text1"/>
          <w:lang w:val="zh-CN"/>
          <w14:textFill>
            <w14:solidFill>
              <w14:schemeClr w14:val="tx1"/>
            </w14:solidFill>
          </w14:textFill>
        </w:rPr>
        <w:t>附表</w:t>
      </w:r>
      <w:bookmarkEnd w:id="123"/>
    </w:p>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14:textFill>
            <w14:solidFill>
              <w14:schemeClr w14:val="tx1"/>
            </w14:solidFill>
          </w14:textFill>
        </w:rPr>
        <w:t>附表</w:t>
      </w:r>
      <w:r>
        <w:rPr>
          <w:rFonts w:hint="eastAsia" w:ascii="宋体" w:hAnsi="宋体" w:eastAsia="宋体" w:cs="宋体"/>
          <w:color w:val="000000" w:themeColor="text1"/>
          <w:sz w:val="28"/>
          <w:szCs w:val="28"/>
          <w:shd w:val="clear" w:color="auto" w:fill="FFFFFF"/>
          <w14:textFill>
            <w14:solidFill>
              <w14:schemeClr w14:val="tx1"/>
            </w14:solidFill>
          </w14:textFill>
        </w:rPr>
        <w:t>1</w:t>
      </w:r>
      <w:r>
        <w:rPr>
          <w:rFonts w:hint="eastAsia" w:ascii="宋体" w:hAnsi="宋体" w:eastAsia="宋体" w:cs="宋体"/>
          <w:color w:val="000000" w:themeColor="text1"/>
          <w:sz w:val="28"/>
          <w:szCs w:val="28"/>
          <w:shd w:val="clear" w:color="auto" w:fill="FFFFFF"/>
          <w:lang w:val="zh-CN"/>
          <w14:textFill>
            <w14:solidFill>
              <w14:schemeClr w14:val="tx1"/>
            </w14:solidFill>
          </w14:textFill>
        </w:rPr>
        <w:t xml:space="preserve">  规划用地用海分类指标一览表</w:t>
      </w:r>
    </w:p>
    <w:tbl>
      <w:tblPr>
        <w:tblStyle w:val="12"/>
        <w:tblW w:w="9560" w:type="dxa"/>
        <w:jc w:val="center"/>
        <w:tblLayout w:type="autofit"/>
        <w:tblCellMar>
          <w:top w:w="0" w:type="dxa"/>
          <w:left w:w="108" w:type="dxa"/>
          <w:bottom w:w="0" w:type="dxa"/>
          <w:right w:w="108" w:type="dxa"/>
        </w:tblCellMar>
      </w:tblPr>
      <w:tblGrid>
        <w:gridCol w:w="1084"/>
        <w:gridCol w:w="1181"/>
        <w:gridCol w:w="1350"/>
        <w:gridCol w:w="2419"/>
        <w:gridCol w:w="1443"/>
        <w:gridCol w:w="2083"/>
      </w:tblGrid>
      <w:tr>
        <w:tblPrEx>
          <w:tblCellMar>
            <w:top w:w="0" w:type="dxa"/>
            <w:left w:w="108" w:type="dxa"/>
            <w:bottom w:w="0" w:type="dxa"/>
            <w:right w:w="108" w:type="dxa"/>
          </w:tblCellMar>
        </w:tblPrEx>
        <w:trPr>
          <w:trHeight w:val="353" w:hRule="atLeast"/>
          <w:jc w:val="center"/>
        </w:trPr>
        <w:tc>
          <w:tcPr>
            <w:tcW w:w="36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用地代码</w:t>
            </w:r>
          </w:p>
        </w:tc>
        <w:tc>
          <w:tcPr>
            <w:tcW w:w="24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用地名称</w:t>
            </w:r>
          </w:p>
        </w:tc>
        <w:tc>
          <w:tcPr>
            <w:tcW w:w="14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用地面积(hm²)</w:t>
            </w:r>
          </w:p>
        </w:tc>
        <w:tc>
          <w:tcPr>
            <w:tcW w:w="20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占城市建设用地比例(%)</w:t>
            </w:r>
          </w:p>
        </w:tc>
      </w:tr>
      <w:tr>
        <w:tblPrEx>
          <w:tblCellMar>
            <w:top w:w="0" w:type="dxa"/>
            <w:left w:w="108" w:type="dxa"/>
            <w:bottom w:w="0" w:type="dxa"/>
            <w:right w:w="108" w:type="dxa"/>
          </w:tblCellMar>
        </w:tblPrEx>
        <w:trPr>
          <w:trHeight w:val="678" w:hRule="atLeast"/>
          <w:jc w:val="center"/>
        </w:trPr>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一级类</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二级类</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center"/>
              <w:rPr>
                <w:rFonts w:ascii="宋体" w:hAnsi="宋体" w:eastAsia="宋体" w:cs="宋体"/>
                <w:b w:val="0"/>
                <w:bCs/>
                <w:color w:val="000000" w:themeColor="text1"/>
                <w:kern w:val="0"/>
                <w:sz w:val="24"/>
                <w:lang w:bidi="ar"/>
                <w14:textFill>
                  <w14:solidFill>
                    <w14:schemeClr w14:val="tx1"/>
                  </w14:solidFill>
                </w14:textFill>
              </w:rPr>
            </w:pPr>
            <w:r>
              <w:rPr>
                <w:rFonts w:hint="eastAsia" w:ascii="宋体" w:hAnsi="宋体" w:eastAsia="宋体" w:cs="宋体"/>
                <w:b w:val="0"/>
                <w:bCs/>
                <w:color w:val="000000" w:themeColor="text1"/>
                <w:kern w:val="0"/>
                <w:sz w:val="24"/>
                <w:lang w:bidi="ar"/>
                <w14:textFill>
                  <w14:solidFill>
                    <w14:schemeClr w14:val="tx1"/>
                  </w14:solidFill>
                </w14:textFill>
              </w:rPr>
              <w:t>三级类</w:t>
            </w:r>
          </w:p>
        </w:tc>
        <w:tc>
          <w:tcPr>
            <w:tcW w:w="24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val="0"/>
                <w:bCs/>
                <w:color w:val="000000"/>
                <w:kern w:val="0"/>
                <w:sz w:val="36"/>
                <w:szCs w:val="36"/>
              </w:rPr>
            </w:pPr>
          </w:p>
        </w:tc>
        <w:tc>
          <w:tcPr>
            <w:tcW w:w="14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val="0"/>
                <w:bCs/>
                <w:color w:val="000000"/>
                <w:kern w:val="0"/>
                <w:sz w:val="36"/>
                <w:szCs w:val="36"/>
              </w:rPr>
            </w:pPr>
          </w:p>
        </w:tc>
        <w:tc>
          <w:tcPr>
            <w:tcW w:w="20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微软雅黑" w:hAnsi="微软雅黑" w:eastAsia="微软雅黑" w:cs="宋体"/>
                <w:b w:val="0"/>
                <w:bCs/>
                <w:color w:val="000000"/>
                <w:kern w:val="0"/>
                <w:sz w:val="36"/>
                <w:szCs w:val="36"/>
              </w:rPr>
            </w:pPr>
          </w:p>
        </w:tc>
      </w:tr>
      <w:tr>
        <w:tblPrEx>
          <w:tblCellMar>
            <w:top w:w="0" w:type="dxa"/>
            <w:left w:w="108" w:type="dxa"/>
            <w:bottom w:w="0" w:type="dxa"/>
            <w:right w:w="108" w:type="dxa"/>
          </w:tblCellMar>
        </w:tblPrEx>
        <w:trPr>
          <w:trHeight w:val="528"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08</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公共管理与公共服务用地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1.68</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0.52%</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0801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机关团体用地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1.68</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0.52%</w:t>
            </w:r>
          </w:p>
        </w:tc>
      </w:tr>
      <w:tr>
        <w:tblPrEx>
          <w:tblCellMar>
            <w:top w:w="0" w:type="dxa"/>
            <w:left w:w="108" w:type="dxa"/>
            <w:bottom w:w="0" w:type="dxa"/>
            <w:right w:w="108" w:type="dxa"/>
          </w:tblCellMar>
        </w:tblPrEx>
        <w:trPr>
          <w:trHeight w:val="340"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09</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商业服务业用地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19.64</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6.09%</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0901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商业用地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19.64</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6.09%</w:t>
            </w:r>
          </w:p>
        </w:tc>
      </w:tr>
      <w:tr>
        <w:tblPrEx>
          <w:tblCellMar>
            <w:top w:w="0" w:type="dxa"/>
            <w:left w:w="108" w:type="dxa"/>
            <w:bottom w:w="0" w:type="dxa"/>
            <w:right w:w="108" w:type="dxa"/>
          </w:tblCellMar>
        </w:tblPrEx>
        <w:trPr>
          <w:trHeight w:val="340"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10</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工矿用地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127.03</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39.39%</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100101</w:t>
            </w: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一类工业用地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76.93</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23.85%</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100102</w:t>
            </w: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二类工业用地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50.10</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15.54%</w:t>
            </w:r>
          </w:p>
        </w:tc>
      </w:tr>
      <w:tr>
        <w:tblPrEx>
          <w:tblCellMar>
            <w:top w:w="0" w:type="dxa"/>
            <w:left w:w="108" w:type="dxa"/>
            <w:bottom w:w="0" w:type="dxa"/>
            <w:right w:w="108" w:type="dxa"/>
          </w:tblCellMar>
        </w:tblPrEx>
        <w:trPr>
          <w:trHeight w:val="340"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11</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仓储用地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63.40</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19.66%</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1101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110101</w:t>
            </w: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一类物流仓储用地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63.40</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19.66%</w:t>
            </w:r>
          </w:p>
        </w:tc>
      </w:tr>
      <w:tr>
        <w:tblPrEx>
          <w:tblCellMar>
            <w:top w:w="0" w:type="dxa"/>
            <w:left w:w="108" w:type="dxa"/>
            <w:bottom w:w="0" w:type="dxa"/>
            <w:right w:w="108" w:type="dxa"/>
          </w:tblCellMar>
        </w:tblPrEx>
        <w:trPr>
          <w:trHeight w:val="340"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交通运输用地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55.83</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17.31%</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1207</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城镇道路用地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50.89</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15.78%</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1208</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120803</w:t>
            </w:r>
          </w:p>
        </w:tc>
        <w:tc>
          <w:tcPr>
            <w:tcW w:w="24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社会停车场用地</w:t>
            </w:r>
          </w:p>
        </w:tc>
        <w:tc>
          <w:tcPr>
            <w:tcW w:w="14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4.94</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微软雅黑" w:hAnsi="微软雅黑" w:eastAsia="微软雅黑" w:cs="宋体"/>
                <w:b w:val="0"/>
                <w:bCs w:val="0"/>
                <w:color w:val="000000"/>
                <w:kern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1.53%</w:t>
            </w:r>
          </w:p>
        </w:tc>
      </w:tr>
      <w:tr>
        <w:tblPrEx>
          <w:tblCellMar>
            <w:top w:w="0" w:type="dxa"/>
            <w:left w:w="108" w:type="dxa"/>
            <w:bottom w:w="0" w:type="dxa"/>
            <w:right w:w="108" w:type="dxa"/>
          </w:tblCellMar>
        </w:tblPrEx>
        <w:trPr>
          <w:trHeight w:val="340" w:hRule="atLeast"/>
          <w:jc w:val="center"/>
        </w:trPr>
        <w:tc>
          <w:tcPr>
            <w:tcW w:w="10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sz w:val="24"/>
                <w:szCs w:val="24"/>
              </w:rPr>
            </w:pPr>
          </w:p>
        </w:tc>
        <w:tc>
          <w:tcPr>
            <w:tcW w:w="24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绿地与开敞空间用地</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51.41</w:t>
            </w:r>
          </w:p>
        </w:tc>
        <w:tc>
          <w:tcPr>
            <w:tcW w:w="20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15.94%</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1401</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公园绿地</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16.66</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5.17%</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1402</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sz w:val="24"/>
                <w:szCs w:val="24"/>
              </w:rPr>
            </w:pPr>
          </w:p>
        </w:tc>
        <w:tc>
          <w:tcPr>
            <w:tcW w:w="24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防护绿地</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34.75</w:t>
            </w:r>
          </w:p>
        </w:tc>
        <w:tc>
          <w:tcPr>
            <w:tcW w:w="20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10.77%</w:t>
            </w:r>
          </w:p>
        </w:tc>
      </w:tr>
      <w:tr>
        <w:tblPrEx>
          <w:tblCellMar>
            <w:top w:w="0" w:type="dxa"/>
            <w:left w:w="108" w:type="dxa"/>
            <w:bottom w:w="0" w:type="dxa"/>
            <w:right w:w="108" w:type="dxa"/>
          </w:tblCellMar>
        </w:tblPrEx>
        <w:trPr>
          <w:trHeight w:val="340" w:hRule="atLeast"/>
          <w:jc w:val="center"/>
        </w:trPr>
        <w:tc>
          <w:tcPr>
            <w:tcW w:w="108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17</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24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sz w:val="24"/>
                <w:szCs w:val="24"/>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陆地水域</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b w:val="0"/>
                <w:bCs w:val="0"/>
                <w:color w:val="000000" w:themeColor="text1"/>
                <w:kern w:val="0"/>
                <w:sz w:val="24"/>
                <w:szCs w:val="24"/>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3.51</w:t>
            </w:r>
          </w:p>
        </w:tc>
        <w:tc>
          <w:tcPr>
            <w:tcW w:w="20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1.09%</w:t>
            </w:r>
          </w:p>
        </w:tc>
      </w:tr>
      <w:tr>
        <w:tblPrEx>
          <w:tblCellMar>
            <w:top w:w="0" w:type="dxa"/>
            <w:left w:w="108" w:type="dxa"/>
            <w:bottom w:w="0" w:type="dxa"/>
            <w:right w:w="108" w:type="dxa"/>
          </w:tblCellMar>
        </w:tblPrEx>
        <w:trPr>
          <w:trHeight w:val="340" w:hRule="atLeast"/>
          <w:jc w:val="center"/>
        </w:trPr>
        <w:tc>
          <w:tcPr>
            <w:tcW w:w="10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sz w:val="24"/>
                <w:szCs w:val="24"/>
              </w:rPr>
            </w:pPr>
            <w:r>
              <w:rPr>
                <w:rFonts w:hint="eastAsia" w:ascii="宋体" w:hAnsi="宋体" w:eastAsia="宋体" w:cs="宋体"/>
                <w:b w:val="0"/>
                <w:bCs w:val="0"/>
                <w:i w:val="0"/>
                <w:iCs w:val="0"/>
                <w:color w:val="000000" w:themeColor="text1"/>
                <w:sz w:val="24"/>
                <w:szCs w:val="24"/>
                <w:u w:val="none"/>
                <w:lang w:val="en-US" w:eastAsia="zh-CN"/>
                <w14:textFill>
                  <w14:solidFill>
                    <w14:schemeClr w14:val="tx1"/>
                  </w14:solidFill>
                </w14:textFill>
              </w:rPr>
              <w:t>1703</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rPr>
                <w:b w:val="0"/>
                <w:bCs w:val="0"/>
                <w:sz w:val="24"/>
                <w:szCs w:val="24"/>
              </w:rPr>
            </w:pPr>
          </w:p>
        </w:tc>
        <w:tc>
          <w:tcPr>
            <w:tcW w:w="24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b w:val="0"/>
                <w:bCs w:val="0"/>
                <w:sz w:val="24"/>
                <w:szCs w:val="24"/>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水库水面</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3.51</w:t>
            </w:r>
          </w:p>
        </w:tc>
        <w:tc>
          <w:tcPr>
            <w:tcW w:w="20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eastAsia="宋体" w:cs="宋体"/>
                <w:b w:val="0"/>
                <w:bCs w:val="0"/>
                <w:color w:val="000000" w:themeColor="text1"/>
                <w:kern w:val="0"/>
                <w:sz w:val="24"/>
                <w:szCs w:val="24"/>
                <w:lang w:bidi="ar"/>
                <w14:textFill>
                  <w14:solidFill>
                    <w14:schemeClr w14:val="tx1"/>
                  </w14:solidFill>
                </w14:textFill>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1.09%</w:t>
            </w:r>
          </w:p>
        </w:tc>
      </w:tr>
      <w:tr>
        <w:tblPrEx>
          <w:tblCellMar>
            <w:top w:w="0" w:type="dxa"/>
            <w:left w:w="108" w:type="dxa"/>
            <w:bottom w:w="0" w:type="dxa"/>
            <w:right w:w="108" w:type="dxa"/>
          </w:tblCellMar>
        </w:tblPrEx>
        <w:trPr>
          <w:trHeight w:val="340" w:hRule="atLeast"/>
          <w:jc w:val="center"/>
        </w:trPr>
        <w:tc>
          <w:tcPr>
            <w:tcW w:w="603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小计</w:t>
            </w:r>
          </w:p>
        </w:tc>
        <w:tc>
          <w:tcPr>
            <w:tcW w:w="14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322.5</w:t>
            </w:r>
          </w:p>
        </w:tc>
        <w:tc>
          <w:tcPr>
            <w:tcW w:w="20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themeColor="text1"/>
                <w:kern w:val="0"/>
                <w:sz w:val="24"/>
                <w:szCs w:val="24"/>
                <w:u w:val="none"/>
                <w:lang w:val="en-US" w:eastAsia="zh-CN" w:bidi="ar"/>
                <w14:textFill>
                  <w14:solidFill>
                    <w14:schemeClr w14:val="tx1"/>
                  </w14:solidFill>
                </w14:textFill>
              </w:rPr>
              <w:t>100%</w:t>
            </w:r>
          </w:p>
        </w:tc>
      </w:tr>
    </w:tbl>
    <w:p>
      <w:pPr>
        <w:spacing w:line="360" w:lineRule="auto"/>
        <w:ind w:firstLine="560" w:firstLineChars="200"/>
        <w:rPr>
          <w:rFonts w:hint="eastAsia" w:ascii="宋体" w:hAnsi="宋体" w:eastAsia="宋体" w:cs="宋体"/>
          <w:color w:val="000000" w:themeColor="text1"/>
          <w:sz w:val="28"/>
          <w:szCs w:val="28"/>
          <w:shd w:val="clear" w:color="auto" w:fill="FFFFFF"/>
          <w:lang w:val="zh-CN"/>
          <w14:textFill>
            <w14:solidFill>
              <w14:schemeClr w14:val="tx1"/>
            </w14:solidFill>
          </w14:textFill>
        </w:rPr>
      </w:pPr>
    </w:p>
    <w:p/>
    <w:p/>
    <w:p/>
    <w:p/>
    <w:p/>
    <w:p>
      <w:pPr>
        <w:spacing w:line="360" w:lineRule="auto"/>
        <w:rPr>
          <w:rFonts w:hint="eastAsia" w:ascii="宋体" w:hAnsi="宋体" w:eastAsia="宋体" w:cs="宋体"/>
          <w:color w:val="000000" w:themeColor="text1"/>
          <w:sz w:val="28"/>
          <w:szCs w:val="28"/>
          <w:shd w:val="clear" w:color="auto" w:fill="FFFFFF"/>
          <w:lang w:val="zh-CN"/>
          <w14:textFill>
            <w14:solidFill>
              <w14:schemeClr w14:val="tx1"/>
            </w14:solidFill>
          </w14:textFill>
        </w:rPr>
      </w:pPr>
    </w:p>
    <w:p>
      <w:pPr>
        <w:spacing w:line="360" w:lineRule="auto"/>
        <w:ind w:firstLine="560" w:firstLineChars="200"/>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pPr>
      <w:bookmarkStart w:id="124" w:name="_Toc3584"/>
      <w:bookmarkStart w:id="125" w:name="_Toc30667"/>
      <w:bookmarkStart w:id="126" w:name="_Toc31815"/>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 xml:space="preserve">附表 </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 xml:space="preserve">2 </w:t>
      </w: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建设用地兼容性表</w:t>
      </w:r>
      <w:bookmarkEnd w:id="124"/>
      <w:bookmarkEnd w:id="125"/>
      <w:bookmarkEnd w:id="126"/>
    </w:p>
    <w:tbl>
      <w:tblPr>
        <w:tblStyle w:val="12"/>
        <w:tblW w:w="8526" w:type="dxa"/>
        <w:jc w:val="center"/>
        <w:tblLayout w:type="fixed"/>
        <w:tblCellMar>
          <w:top w:w="0" w:type="dxa"/>
          <w:left w:w="108" w:type="dxa"/>
          <w:bottom w:w="0" w:type="dxa"/>
          <w:right w:w="108" w:type="dxa"/>
        </w:tblCellMar>
      </w:tblPr>
      <w:tblGrid>
        <w:gridCol w:w="1614"/>
        <w:gridCol w:w="1088"/>
        <w:gridCol w:w="1088"/>
        <w:gridCol w:w="1088"/>
        <w:gridCol w:w="1088"/>
        <w:gridCol w:w="1088"/>
        <w:gridCol w:w="1472"/>
      </w:tblGrid>
      <w:tr>
        <w:tblPrEx>
          <w:tblCellMar>
            <w:top w:w="0" w:type="dxa"/>
            <w:left w:w="108" w:type="dxa"/>
            <w:bottom w:w="0" w:type="dxa"/>
            <w:right w:w="108" w:type="dxa"/>
          </w:tblCellMar>
        </w:tblPrEx>
        <w:trPr>
          <w:trHeight w:val="570" w:hRule="atLeast"/>
          <w:jc w:val="center"/>
        </w:trPr>
        <w:tc>
          <w:tcPr>
            <w:tcW w:w="161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用地类别</w:t>
            </w:r>
          </w:p>
          <w:p>
            <w:pPr>
              <w:ind w:left="0" w:leftChars="0" w:firstLine="0" w:firstLineChars="0"/>
              <w:jc w:val="center"/>
              <w:rPr>
                <w:rFonts w:ascii="宋体" w:hAnsi="宋体" w:eastAsia="宋体" w:cs="宋体"/>
                <w:color w:val="000000"/>
                <w:kern w:val="0"/>
                <w:sz w:val="22"/>
                <w:szCs w:val="22"/>
                <w:lang w:bidi="ar"/>
              </w:rPr>
            </w:pPr>
            <w:r>
              <w:rPr>
                <w:rFonts w:hint="eastAsia" w:ascii="宋体" w:hAnsi="宋体" w:eastAsia="宋体" w:cs="宋体"/>
                <w:b/>
                <w:bCs/>
                <w:sz w:val="24"/>
                <w:szCs w:val="24"/>
                <w:vertAlign w:val="baseline"/>
                <w:lang w:val="en-US" w:eastAsia="zh-CN"/>
              </w:rPr>
              <w:t>兼容性质</w:t>
            </w:r>
          </w:p>
        </w:tc>
        <w:tc>
          <w:tcPr>
            <w:tcW w:w="1088" w:type="dxa"/>
            <w:tcBorders>
              <w:top w:val="single" w:color="000000" w:sz="8" w:space="0"/>
              <w:left w:val="nil"/>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0801</w:t>
            </w:r>
          </w:p>
        </w:tc>
        <w:tc>
          <w:tcPr>
            <w:tcW w:w="1088" w:type="dxa"/>
            <w:tcBorders>
              <w:top w:val="single" w:color="000000" w:sz="8" w:space="0"/>
              <w:left w:val="nil"/>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0901</w:t>
            </w:r>
          </w:p>
        </w:tc>
        <w:tc>
          <w:tcPr>
            <w:tcW w:w="1088" w:type="dxa"/>
            <w:tcBorders>
              <w:top w:val="single" w:color="000000" w:sz="8" w:space="0"/>
              <w:left w:val="nil"/>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100101</w:t>
            </w:r>
          </w:p>
        </w:tc>
        <w:tc>
          <w:tcPr>
            <w:tcW w:w="1088" w:type="dxa"/>
            <w:tcBorders>
              <w:top w:val="single" w:color="000000" w:sz="8" w:space="0"/>
              <w:left w:val="nil"/>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100102</w:t>
            </w:r>
          </w:p>
        </w:tc>
        <w:tc>
          <w:tcPr>
            <w:tcW w:w="1088" w:type="dxa"/>
            <w:tcBorders>
              <w:top w:val="single" w:color="000000" w:sz="8" w:space="0"/>
              <w:left w:val="nil"/>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color w:val="000000"/>
                <w:kern w:val="0"/>
                <w:sz w:val="24"/>
                <w:szCs w:val="24"/>
                <w:lang w:val="en-US" w:bidi="ar"/>
              </w:rPr>
            </w:pPr>
            <w:r>
              <w:rPr>
                <w:rFonts w:hint="eastAsia" w:ascii="宋体" w:hAnsi="宋体" w:eastAsia="宋体" w:cs="宋体"/>
                <w:b w:val="0"/>
                <w:bCs w:val="0"/>
                <w:sz w:val="24"/>
                <w:szCs w:val="24"/>
                <w:vertAlign w:val="baseline"/>
                <w:lang w:val="en-US" w:eastAsia="zh-CN"/>
              </w:rPr>
              <w:t>110101</w:t>
            </w:r>
          </w:p>
        </w:tc>
        <w:tc>
          <w:tcPr>
            <w:tcW w:w="1472" w:type="dxa"/>
            <w:tcBorders>
              <w:top w:val="single" w:color="000000" w:sz="8" w:space="0"/>
              <w:left w:val="nil"/>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1208</w:t>
            </w:r>
          </w:p>
        </w:tc>
      </w:tr>
      <w:tr>
        <w:tblPrEx>
          <w:tblCellMar>
            <w:top w:w="0" w:type="dxa"/>
            <w:left w:w="108" w:type="dxa"/>
            <w:bottom w:w="0" w:type="dxa"/>
            <w:right w:w="108" w:type="dxa"/>
          </w:tblCellMar>
        </w:tblPrEx>
        <w:trPr>
          <w:trHeight w:val="340" w:hRule="atLeast"/>
          <w:jc w:val="center"/>
        </w:trPr>
        <w:tc>
          <w:tcPr>
            <w:tcW w:w="1614" w:type="dxa"/>
            <w:tcBorders>
              <w:top w:val="nil"/>
              <w:left w:val="single" w:color="000000" w:sz="8" w:space="0"/>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0801</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472"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lang w:val="en-US" w:eastAsia="zh-CN"/>
              </w:rPr>
              <w:t>○</w:t>
            </w:r>
          </w:p>
        </w:tc>
      </w:tr>
      <w:tr>
        <w:tblPrEx>
          <w:tblCellMar>
            <w:top w:w="0" w:type="dxa"/>
            <w:left w:w="108" w:type="dxa"/>
            <w:bottom w:w="0" w:type="dxa"/>
            <w:right w:w="108" w:type="dxa"/>
          </w:tblCellMar>
        </w:tblPrEx>
        <w:trPr>
          <w:trHeight w:val="340" w:hRule="atLeast"/>
          <w:jc w:val="center"/>
        </w:trPr>
        <w:tc>
          <w:tcPr>
            <w:tcW w:w="1614" w:type="dxa"/>
            <w:tcBorders>
              <w:top w:val="nil"/>
              <w:left w:val="single" w:color="000000" w:sz="8" w:space="0"/>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0901</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lang w:val="en-US" w:eastAsia="zh-CN"/>
              </w:rPr>
              <w:t>○</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472"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lang w:val="en-US" w:eastAsia="zh-CN"/>
              </w:rPr>
              <w:t>○</w:t>
            </w:r>
          </w:p>
        </w:tc>
      </w:tr>
      <w:tr>
        <w:tblPrEx>
          <w:tblCellMar>
            <w:top w:w="0" w:type="dxa"/>
            <w:left w:w="108" w:type="dxa"/>
            <w:bottom w:w="0" w:type="dxa"/>
            <w:right w:w="108" w:type="dxa"/>
          </w:tblCellMar>
        </w:tblPrEx>
        <w:trPr>
          <w:trHeight w:val="340" w:hRule="atLeast"/>
          <w:jc w:val="center"/>
        </w:trPr>
        <w:tc>
          <w:tcPr>
            <w:tcW w:w="1614" w:type="dxa"/>
            <w:tcBorders>
              <w:top w:val="nil"/>
              <w:left w:val="single" w:color="000000" w:sz="8" w:space="0"/>
              <w:bottom w:val="single" w:color="000000" w:sz="8"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100101</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lang w:val="en-US" w:eastAsia="zh-CN"/>
              </w:rPr>
              <w:t>○</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lang w:val="en-US" w:eastAsia="zh-CN"/>
              </w:rPr>
              <w:t>○</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72" w:type="dxa"/>
            <w:tcBorders>
              <w:top w:val="nil"/>
              <w:left w:val="nil"/>
              <w:bottom w:val="single" w:color="000000" w:sz="8"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r>
        <w:tblPrEx>
          <w:tblCellMar>
            <w:top w:w="0" w:type="dxa"/>
            <w:left w:w="108" w:type="dxa"/>
            <w:bottom w:w="0" w:type="dxa"/>
            <w:right w:w="108" w:type="dxa"/>
          </w:tblCellMar>
        </w:tblPrEx>
        <w:trPr>
          <w:trHeight w:val="340" w:hRule="atLeast"/>
          <w:jc w:val="center"/>
        </w:trPr>
        <w:tc>
          <w:tcPr>
            <w:tcW w:w="1614" w:type="dxa"/>
            <w:tcBorders>
              <w:top w:val="nil"/>
              <w:left w:val="single" w:color="000000" w:sz="8" w:space="0"/>
              <w:bottom w:val="single" w:color="auto" w:sz="4" w:space="0"/>
              <w:right w:val="single" w:color="000000" w:sz="8"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100102</w:t>
            </w:r>
          </w:p>
        </w:tc>
        <w:tc>
          <w:tcPr>
            <w:tcW w:w="1088"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eastAsia"/>
                <w:lang w:val="en-US" w:eastAsia="zh-CN"/>
              </w:rPr>
            </w:pPr>
            <w:r>
              <w:rPr>
                <w:rFonts w:hint="eastAsia"/>
                <w:lang w:val="en-US" w:eastAsia="zh-CN"/>
              </w:rPr>
              <w:t>○</w:t>
            </w:r>
          </w:p>
        </w:tc>
        <w:tc>
          <w:tcPr>
            <w:tcW w:w="1088"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eastAsia"/>
                <w:lang w:val="en-US" w:eastAsia="zh-CN"/>
              </w:rPr>
            </w:pPr>
            <w:r>
              <w:rPr>
                <w:rFonts w:hint="eastAsia"/>
                <w:lang w:val="en-US" w:eastAsia="zh-CN"/>
              </w:rPr>
              <w:t>○</w:t>
            </w:r>
          </w:p>
        </w:tc>
        <w:tc>
          <w:tcPr>
            <w:tcW w:w="1088"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lang w:val="en-US" w:eastAsia="zh-CN"/>
              </w:rPr>
              <w:t>○</w:t>
            </w:r>
          </w:p>
        </w:tc>
        <w:tc>
          <w:tcPr>
            <w:tcW w:w="1088"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088"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472" w:type="dxa"/>
            <w:tcBorders>
              <w:top w:val="nil"/>
              <w:left w:val="nil"/>
              <w:bottom w:val="single" w:color="auto" w:sz="4" w:space="0"/>
              <w:right w:val="single" w:color="000000" w:sz="8"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r>
        <w:tblPrEx>
          <w:tblCellMar>
            <w:top w:w="0" w:type="dxa"/>
            <w:left w:w="108" w:type="dxa"/>
            <w:bottom w:w="0" w:type="dxa"/>
            <w:right w:w="108" w:type="dxa"/>
          </w:tblCellMar>
        </w:tblPrEx>
        <w:trPr>
          <w:trHeight w:val="371" w:hRule="atLeast"/>
          <w:jc w:val="center"/>
        </w:trPr>
        <w:tc>
          <w:tcPr>
            <w:tcW w:w="1614"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jc w:val="center"/>
              <w:rPr>
                <w:rFonts w:hint="default" w:ascii="宋体" w:hAnsi="宋体" w:eastAsia="宋体" w:cs="宋体"/>
                <w:b w:val="0"/>
                <w:bCs w:val="0"/>
                <w:color w:val="000000"/>
                <w:kern w:val="0"/>
                <w:sz w:val="24"/>
                <w:szCs w:val="24"/>
                <w:lang w:val="en-US" w:eastAsia="zh-CN" w:bidi="ar"/>
              </w:rPr>
            </w:pPr>
            <w:r>
              <w:rPr>
                <w:rFonts w:hint="eastAsia" w:ascii="宋体" w:hAnsi="宋体" w:eastAsia="宋体" w:cs="宋体"/>
                <w:b w:val="0"/>
                <w:bCs w:val="0"/>
                <w:sz w:val="24"/>
                <w:szCs w:val="24"/>
                <w:vertAlign w:val="baseline"/>
                <w:lang w:val="en-US" w:eastAsia="zh-CN"/>
              </w:rPr>
              <w:t>110101</w:t>
            </w: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eastAsia="宋体" w:cs="宋体"/>
                <w:b w:val="0"/>
                <w:bCs w:val="0"/>
                <w:color w:val="000000"/>
                <w:kern w:val="0"/>
                <w:sz w:val="24"/>
                <w:szCs w:val="24"/>
                <w:lang w:bidi="ar"/>
              </w:rPr>
            </w:pPr>
            <w:r>
              <w:rPr>
                <w:rFonts w:hint="eastAsia" w:ascii="宋体" w:hAnsi="宋体" w:eastAsia="宋体" w:cs="宋体"/>
                <w:sz w:val="24"/>
                <w:szCs w:val="24"/>
                <w:vertAlign w:val="baseline"/>
                <w:lang w:val="en-US" w:eastAsia="zh-CN"/>
              </w:rPr>
              <w:t>●</w:t>
            </w:r>
          </w:p>
        </w:tc>
        <w:tc>
          <w:tcPr>
            <w:tcW w:w="14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r>
        <w:tblPrEx>
          <w:tblCellMar>
            <w:top w:w="0" w:type="dxa"/>
            <w:left w:w="108" w:type="dxa"/>
            <w:bottom w:w="0" w:type="dxa"/>
            <w:right w:w="108" w:type="dxa"/>
          </w:tblCellMar>
        </w:tblPrEx>
        <w:trPr>
          <w:trHeight w:val="387" w:hRule="atLeast"/>
          <w:jc w:val="center"/>
        </w:trPr>
        <w:tc>
          <w:tcPr>
            <w:tcW w:w="1614"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left="0" w:leftChars="0" w:firstLine="0" w:firstLineChars="0"/>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1208</w:t>
            </w: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08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p>
        </w:tc>
        <w:tc>
          <w:tcPr>
            <w:tcW w:w="14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r>
    </w:tbl>
    <w:p>
      <w:pPr>
        <w:ind w:firstLine="420" w:firstLineChars="200"/>
        <w:rPr>
          <w:rFonts w:hint="eastAsia"/>
          <w:lang w:val="en-US" w:eastAsia="zh-CN"/>
        </w:rPr>
      </w:pPr>
      <w:r>
        <w:rPr>
          <w:rFonts w:hint="eastAsia"/>
          <w:lang w:val="en-US" w:eastAsia="zh-CN"/>
        </w:rPr>
        <w:t>注：●—允许兼容    ○—条件允许时经批准可兼容    空格—不兼容</w:t>
      </w:r>
    </w:p>
    <w:p>
      <w:pPr>
        <w:spacing w:line="360" w:lineRule="auto"/>
        <w:ind w:firstLine="560" w:firstLineChars="200"/>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 xml:space="preserve">附表 </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3 开发强度控制一览表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309"/>
        <w:gridCol w:w="2309"/>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008"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类型</w:t>
            </w:r>
          </w:p>
        </w:tc>
        <w:tc>
          <w:tcPr>
            <w:tcW w:w="2309"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容积率</w:t>
            </w:r>
          </w:p>
        </w:tc>
        <w:tc>
          <w:tcPr>
            <w:tcW w:w="2309"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建筑密度（%）</w:t>
            </w:r>
          </w:p>
        </w:tc>
        <w:tc>
          <w:tcPr>
            <w:tcW w:w="1962" w:type="dxa"/>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08"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公共管理与公共服务用地</w:t>
            </w:r>
          </w:p>
        </w:tc>
        <w:tc>
          <w:tcPr>
            <w:tcW w:w="2309" w:type="dxa"/>
            <w:vAlign w:val="center"/>
          </w:tcPr>
          <w:p>
            <w:pPr>
              <w:jc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≤1.2</w:t>
            </w:r>
          </w:p>
        </w:tc>
        <w:tc>
          <w:tcPr>
            <w:tcW w:w="2309"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≤35</w:t>
            </w:r>
          </w:p>
        </w:tc>
        <w:tc>
          <w:tcPr>
            <w:tcW w:w="196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w:t>
            </w:r>
            <w:r>
              <w:rPr>
                <w:rFonts w:hint="eastAsia" w:ascii="宋体" w:hAnsi="宋体" w:eastAsia="宋体" w:cs="宋体"/>
                <w:sz w:val="24"/>
                <w:szCs w:val="24"/>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008"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商业服务业用地</w:t>
            </w:r>
          </w:p>
        </w:tc>
        <w:tc>
          <w:tcPr>
            <w:tcW w:w="2309" w:type="dxa"/>
            <w:vAlign w:val="center"/>
          </w:tcPr>
          <w:p>
            <w:pPr>
              <w:jc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≤3.5</w:t>
            </w:r>
          </w:p>
        </w:tc>
        <w:tc>
          <w:tcPr>
            <w:tcW w:w="2309"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≤60</w:t>
            </w:r>
          </w:p>
        </w:tc>
        <w:tc>
          <w:tcPr>
            <w:tcW w:w="196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008"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工矿用地</w:t>
            </w:r>
          </w:p>
        </w:tc>
        <w:tc>
          <w:tcPr>
            <w:tcW w:w="2309" w:type="dxa"/>
            <w:vAlign w:val="center"/>
          </w:tcPr>
          <w:p>
            <w:pPr>
              <w:jc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sz w:val="24"/>
                <w:szCs w:val="24"/>
                <w:shd w:val="clear" w:color="auto" w:fill="FFFFFF"/>
                <w:vertAlign w:val="baseline"/>
                <w:lang w:val="en-US" w:eastAsia="zh-CN"/>
              </w:rPr>
              <w:t>≥1.0</w:t>
            </w:r>
          </w:p>
        </w:tc>
        <w:tc>
          <w:tcPr>
            <w:tcW w:w="2309"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≥40</w:t>
            </w:r>
          </w:p>
        </w:tc>
        <w:tc>
          <w:tcPr>
            <w:tcW w:w="1962"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2008"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仓储用地</w:t>
            </w:r>
          </w:p>
        </w:tc>
        <w:tc>
          <w:tcPr>
            <w:tcW w:w="2309" w:type="dxa"/>
            <w:vAlign w:val="center"/>
          </w:tcPr>
          <w:p>
            <w:pPr>
              <w:jc w:val="center"/>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0.5≤FAR≤1.0</w:t>
            </w:r>
          </w:p>
        </w:tc>
        <w:tc>
          <w:tcPr>
            <w:tcW w:w="2309"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≤40</w:t>
            </w:r>
          </w:p>
        </w:tc>
        <w:tc>
          <w:tcPr>
            <w:tcW w:w="196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008"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交通运输用地</w:t>
            </w:r>
          </w:p>
        </w:tc>
        <w:tc>
          <w:tcPr>
            <w:tcW w:w="2309" w:type="dxa"/>
            <w:vAlign w:val="center"/>
          </w:tcPr>
          <w:p>
            <w:pPr>
              <w:jc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≤1.2</w:t>
            </w:r>
          </w:p>
        </w:tc>
        <w:tc>
          <w:tcPr>
            <w:tcW w:w="2309" w:type="dxa"/>
            <w:vAlign w:val="center"/>
          </w:tcPr>
          <w:p>
            <w:pPr>
              <w:jc w:val="center"/>
              <w:rPr>
                <w:rFonts w:hint="default"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≤25</w:t>
            </w:r>
          </w:p>
        </w:tc>
        <w:tc>
          <w:tcPr>
            <w:tcW w:w="1962" w:type="dxa"/>
            <w:vAlign w:val="center"/>
          </w:tcPr>
          <w:p>
            <w:pPr>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≤18</w:t>
            </w:r>
          </w:p>
        </w:tc>
      </w:tr>
    </w:tbl>
    <w:p>
      <w:pPr>
        <w:spacing w:line="360" w:lineRule="auto"/>
        <w:ind w:firstLine="560" w:firstLineChars="200"/>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pPr>
      <w:r>
        <w:rPr>
          <w:rFonts w:hint="eastAsia" w:ascii="宋体" w:hAnsi="宋体" w:eastAsia="宋体" w:cs="宋体"/>
          <w:color w:val="000000" w:themeColor="text1"/>
          <w:sz w:val="28"/>
          <w:szCs w:val="28"/>
          <w:shd w:val="clear" w:color="auto" w:fill="FFFFFF"/>
          <w:lang w:val="zh-CN" w:eastAsia="zh-CN"/>
          <w14:textFill>
            <w14:solidFill>
              <w14:schemeClr w14:val="tx1"/>
            </w14:solidFill>
          </w14:textFill>
        </w:rPr>
        <w:t xml:space="preserve">附表 </w:t>
      </w:r>
      <w:r>
        <w:rPr>
          <w:rFonts w:hint="eastAsia" w:ascii="宋体" w:hAnsi="宋体" w:eastAsia="宋体" w:cs="宋体"/>
          <w:color w:val="000000" w:themeColor="text1"/>
          <w:sz w:val="28"/>
          <w:szCs w:val="28"/>
          <w:shd w:val="clear" w:color="auto" w:fill="FFFFFF"/>
          <w:lang w:val="en-US" w:eastAsia="zh-CN"/>
          <w14:textFill>
            <w14:solidFill>
              <w14:schemeClr w14:val="tx1"/>
            </w14:solidFill>
          </w14:textFill>
        </w:rPr>
        <w:t>4 建设用地绿地率控制指标表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3"/>
        <w:gridCol w:w="2793"/>
        <w:gridCol w:w="2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项目类别</w:t>
            </w:r>
          </w:p>
        </w:tc>
        <w:tc>
          <w:tcPr>
            <w:tcW w:w="2793" w:type="dxa"/>
            <w:vAlign w:val="top"/>
          </w:tcPr>
          <w:p>
            <w:pPr>
              <w:spacing w:line="360" w:lineRule="auto"/>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代码</w:t>
            </w:r>
          </w:p>
        </w:tc>
        <w:tc>
          <w:tcPr>
            <w:tcW w:w="2903" w:type="dxa"/>
            <w:vAlign w:val="top"/>
          </w:tcPr>
          <w:p>
            <w:pPr>
              <w:spacing w:line="360" w:lineRule="auto"/>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绿地率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机关团体用地</w:t>
            </w:r>
          </w:p>
        </w:tc>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0801</w:t>
            </w:r>
          </w:p>
        </w:tc>
        <w:tc>
          <w:tcPr>
            <w:tcW w:w="290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≥35</w:t>
            </w:r>
            <w:r>
              <w:rPr>
                <w:rFonts w:hint="default" w:ascii="宋体" w:hAnsi="宋体" w:eastAsia="宋体" w:cs="宋体"/>
                <w:sz w:val="24"/>
                <w:szCs w:val="24"/>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商业用地</w:t>
            </w:r>
          </w:p>
        </w:tc>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0901</w:t>
            </w:r>
          </w:p>
        </w:tc>
        <w:tc>
          <w:tcPr>
            <w:tcW w:w="290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≥20</w:t>
            </w:r>
            <w:r>
              <w:rPr>
                <w:rFonts w:hint="default" w:ascii="宋体" w:hAnsi="宋体" w:eastAsia="宋体" w:cs="宋体"/>
                <w:sz w:val="24"/>
                <w:szCs w:val="24"/>
                <w:shd w:val="clear" w:color="auto" w:fill="FFFFFF"/>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工矿用地</w:t>
            </w:r>
          </w:p>
        </w:tc>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1001</w:t>
            </w:r>
          </w:p>
        </w:tc>
        <w:tc>
          <w:tcPr>
            <w:tcW w:w="290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一类物流仓储用地</w:t>
            </w:r>
          </w:p>
        </w:tc>
        <w:tc>
          <w:tcPr>
            <w:tcW w:w="2793" w:type="dxa"/>
            <w:vAlign w:val="top"/>
          </w:tcPr>
          <w:p>
            <w:pPr>
              <w:spacing w:line="360" w:lineRule="auto"/>
              <w:jc w:val="center"/>
              <w:rPr>
                <w:rFonts w:hint="default"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110101</w:t>
            </w:r>
          </w:p>
        </w:tc>
        <w:tc>
          <w:tcPr>
            <w:tcW w:w="290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b w:val="0"/>
                <w:bCs w:val="0"/>
                <w:i w:val="0"/>
                <w:iCs w:val="0"/>
                <w:color w:val="000000"/>
                <w:kern w:val="0"/>
                <w:sz w:val="24"/>
                <w:szCs w:val="24"/>
                <w:u w:val="none"/>
                <w:lang w:val="en-US" w:eastAsia="zh-CN" w:bidi="ar"/>
              </w:rPr>
              <w:t>交通场站用地</w:t>
            </w:r>
          </w:p>
        </w:tc>
        <w:tc>
          <w:tcPr>
            <w:tcW w:w="279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1208</w:t>
            </w:r>
          </w:p>
        </w:tc>
        <w:tc>
          <w:tcPr>
            <w:tcW w:w="2903" w:type="dxa"/>
            <w:vAlign w:val="top"/>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shd w:val="clear" w:color="auto" w:fill="FFFFFF"/>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公园绿地</w:t>
            </w:r>
          </w:p>
        </w:tc>
        <w:tc>
          <w:tcPr>
            <w:tcW w:w="2793" w:type="dxa"/>
            <w:vAlign w:val="top"/>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1401</w:t>
            </w:r>
          </w:p>
        </w:tc>
        <w:tc>
          <w:tcPr>
            <w:tcW w:w="2903" w:type="dxa"/>
            <w:vAlign w:val="top"/>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93" w:type="dxa"/>
            <w:vAlign w:val="top"/>
          </w:tcPr>
          <w:p>
            <w:pPr>
              <w:spacing w:line="360" w:lineRule="auto"/>
              <w:jc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防护绿地</w:t>
            </w:r>
          </w:p>
        </w:tc>
        <w:tc>
          <w:tcPr>
            <w:tcW w:w="2793" w:type="dxa"/>
            <w:vAlign w:val="top"/>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1402</w:t>
            </w:r>
          </w:p>
        </w:tc>
        <w:tc>
          <w:tcPr>
            <w:tcW w:w="2903" w:type="dxa"/>
            <w:vAlign w:val="top"/>
          </w:tcPr>
          <w:p>
            <w:pPr>
              <w:spacing w:line="360" w:lineRule="auto"/>
              <w:jc w:val="center"/>
              <w:rPr>
                <w:rFonts w:hint="eastAsia" w:ascii="宋体" w:hAnsi="宋体" w:eastAsia="宋体" w:cs="宋体"/>
                <w:sz w:val="24"/>
                <w:szCs w:val="24"/>
                <w:shd w:val="clear" w:color="auto" w:fill="FFFFFF"/>
                <w:vertAlign w:val="baseline"/>
                <w:lang w:val="en-US" w:eastAsia="zh-CN"/>
              </w:rPr>
            </w:pPr>
            <w:r>
              <w:rPr>
                <w:rFonts w:hint="eastAsia" w:ascii="宋体" w:hAnsi="宋体" w:eastAsia="宋体" w:cs="宋体"/>
                <w:sz w:val="24"/>
                <w:szCs w:val="24"/>
                <w:shd w:val="clear" w:color="auto" w:fill="FFFFFF"/>
                <w:vertAlign w:val="baseline"/>
                <w:lang w:val="en-US" w:eastAsia="zh-CN"/>
              </w:rPr>
              <w:t>≥90%</w:t>
            </w:r>
          </w:p>
        </w:tc>
      </w:tr>
    </w:tbl>
    <w:p>
      <w:pPr>
        <w:spacing w:line="360" w:lineRule="auto"/>
        <w:rPr>
          <w:rFonts w:hint="default"/>
          <w:lang w:val="en-US" w:eastAsia="zh-CN"/>
        </w:rPr>
      </w:pPr>
    </w:p>
    <w:sectPr>
      <w:pgSz w:w="23811" w:h="16838" w:orient="landscape"/>
      <w:pgMar w:top="1800" w:right="1440" w:bottom="1800" w:left="1440" w:header="851" w:footer="992" w:gutter="0"/>
      <w:pgNumType w:fmt="decimal"/>
      <w:cols w:space="840"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7"/>
                    </w:pP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4"/>
        <w:szCs w:val="24"/>
      </w:rPr>
    </w:pP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- 2 -</w:t>
                          </w:r>
                          <w:r>
                            <w:rPr>
                              <w:sz w:val="24"/>
                            </w:rPr>
                            <w:fldChar w:fldCharType="end"/>
                          </w:r>
                          <w:r>
                            <w:rPr>
                              <w:sz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- 2 -</w:t>
                    </w:r>
                    <w:r>
                      <w:rPr>
                        <w:sz w:val="24"/>
                      </w:rPr>
                      <w:fldChar w:fldCharType="end"/>
                    </w:r>
                    <w:r>
                      <w:rPr>
                        <w:sz w:val="24"/>
                      </w:rPr>
                      <w:t xml:space="preserve"> —</w:t>
                    </w:r>
                  </w:p>
                </w:txbxContent>
              </v:textbox>
            </v:shape>
          </w:pict>
        </mc:Fallback>
      </mc:AlternateContent>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- 34 -</w:t>
                          </w:r>
                          <w:r>
                            <w:rPr>
                              <w:sz w:val="24"/>
                            </w:rPr>
                            <w:fldChar w:fldCharType="end"/>
                          </w:r>
                          <w:r>
                            <w:rPr>
                              <w:sz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jbo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mYjbotAgAAVwQAAA4AAAAAAAAAAQAgAAAAHwEAAGRycy9lMm9Eb2MueG1sUEsFBgAAAAAG&#10;AAYAWQEAAL4FAAAAAA==&#10;">
              <v:fill on="f" focussize="0,0"/>
              <v:stroke on="f" weight="0.5pt"/>
              <v:imagedata o:title=""/>
              <o:lock v:ext="edit" aspectratio="f"/>
              <v:textbox inset="0mm,0mm,0mm,0mm" style="mso-fit-shape-to-text:t;">
                <w:txbxContent>
                  <w:p>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- 34 -</w:t>
                    </w:r>
                    <w:r>
                      <w:rPr>
                        <w:sz w:val="24"/>
                      </w:rPr>
                      <w:fldChar w:fldCharType="end"/>
                    </w:r>
                    <w:r>
                      <w:rPr>
                        <w:sz w:val="24"/>
                      </w:rPr>
                      <w:t xml:space="preserve"> —</w:t>
                    </w:r>
                  </w:p>
                </w:txbxContent>
              </v:textbox>
            </v:shape>
          </w:pict>
        </mc:Fallback>
      </mc:AlternateContent>
    </w:r>
  </w:p>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- 37 -</w:t>
                          </w:r>
                          <w:r>
                            <w:rPr>
                              <w:sz w:val="24"/>
                            </w:rPr>
                            <w:fldChar w:fldCharType="end"/>
                          </w:r>
                          <w:r>
                            <w:rPr>
                              <w:sz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pPr>
                      <w:rPr>
                        <w:sz w:val="24"/>
                      </w:rPr>
                    </w:pPr>
                    <w:r>
                      <w:rPr>
                        <w:sz w:val="24"/>
                      </w:rPr>
                      <w:t xml:space="preserve">— </w:t>
                    </w:r>
                    <w:r>
                      <w:rPr>
                        <w:sz w:val="24"/>
                      </w:rPr>
                      <w:fldChar w:fldCharType="begin"/>
                    </w:r>
                    <w:r>
                      <w:rPr>
                        <w:sz w:val="24"/>
                      </w:rPr>
                      <w:instrText xml:space="preserve"> PAGE  \* MERGEFORMAT </w:instrText>
                    </w:r>
                    <w:r>
                      <w:rPr>
                        <w:sz w:val="24"/>
                      </w:rPr>
                      <w:fldChar w:fldCharType="separate"/>
                    </w:r>
                    <w:r>
                      <w:rPr>
                        <w:sz w:val="24"/>
                      </w:rPr>
                      <w:t>- 37 -</w:t>
                    </w:r>
                    <w:r>
                      <w:rPr>
                        <w:sz w:val="24"/>
                      </w:rPr>
                      <w:fldChar w:fldCharType="end"/>
                    </w:r>
                    <w:r>
                      <w:rPr>
                        <w:sz w:val="24"/>
                      </w:rPr>
                      <w:t xml:space="preserve"> —</w:t>
                    </w:r>
                  </w:p>
                </w:txbxContent>
              </v:textbox>
            </v:shape>
          </w:pict>
        </mc:Fallback>
      </mc:AlternateContent>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p>
    <w:pPr>
      <w:pStyle w:val="8"/>
    </w:pPr>
  </w:p>
  <w:p>
    <w:pPr>
      <w:pStyle w:val="8"/>
      <w:rPr>
        <w:rFonts w:hint="eastAsia"/>
        <w:sz w:val="21"/>
        <w:szCs w:val="21"/>
      </w:rPr>
    </w:pPr>
  </w:p>
  <w:p>
    <w:pPr>
      <w:pStyle w:val="8"/>
    </w:pPr>
    <w:r>
      <w:rPr>
        <w:rFonts w:hint="eastAsia"/>
        <w:sz w:val="21"/>
        <w:szCs w:val="21"/>
      </w:rPr>
      <w:t>罗汉山产业园区Q-32单元控制性详细规划及Q-29-01街区控制性详细规划——说明书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EA481A"/>
    <w:multiLevelType w:val="singleLevel"/>
    <w:tmpl w:val="9EEA481A"/>
    <w:lvl w:ilvl="0" w:tentative="0">
      <w:start w:val="1"/>
      <w:numFmt w:val="chineseCounting"/>
      <w:suff w:val="nothing"/>
      <w:lvlText w:val="%1、"/>
      <w:lvlJc w:val="left"/>
      <w:pPr>
        <w:ind w:left="0" w:firstLine="420"/>
      </w:pPr>
      <w:rPr>
        <w:rFonts w:hint="eastAsia"/>
      </w:rPr>
    </w:lvl>
  </w:abstractNum>
  <w:abstractNum w:abstractNumId="1">
    <w:nsid w:val="E87E2636"/>
    <w:multiLevelType w:val="singleLevel"/>
    <w:tmpl w:val="E87E2636"/>
    <w:lvl w:ilvl="0" w:tentative="0">
      <w:start w:val="1"/>
      <w:numFmt w:val="chineseCounting"/>
      <w:suff w:val="nothing"/>
      <w:lvlText w:val="%1、"/>
      <w:lvlJc w:val="left"/>
      <w:pPr>
        <w:ind w:left="0" w:firstLine="420"/>
      </w:pPr>
      <w:rPr>
        <w:rFonts w:hint="eastAsia"/>
      </w:rPr>
    </w:lvl>
  </w:abstractNum>
  <w:abstractNum w:abstractNumId="2">
    <w:nsid w:val="EB14067F"/>
    <w:multiLevelType w:val="singleLevel"/>
    <w:tmpl w:val="EB14067F"/>
    <w:lvl w:ilvl="0" w:tentative="0">
      <w:start w:val="1"/>
      <w:numFmt w:val="chineseCounting"/>
      <w:suff w:val="nothing"/>
      <w:lvlText w:val="（%1）"/>
      <w:lvlJc w:val="left"/>
      <w:pPr>
        <w:ind w:left="0" w:firstLine="420"/>
      </w:pPr>
      <w:rPr>
        <w:rFonts w:hint="eastAsia"/>
      </w:rPr>
    </w:lvl>
  </w:abstractNum>
  <w:abstractNum w:abstractNumId="3">
    <w:nsid w:val="EE7841BA"/>
    <w:multiLevelType w:val="singleLevel"/>
    <w:tmpl w:val="EE7841BA"/>
    <w:lvl w:ilvl="0" w:tentative="0">
      <w:start w:val="1"/>
      <w:numFmt w:val="chineseCounting"/>
      <w:suff w:val="nothing"/>
      <w:lvlText w:val="（%1）"/>
      <w:lvlJc w:val="left"/>
      <w:pPr>
        <w:ind w:left="0" w:firstLine="420"/>
      </w:pPr>
      <w:rPr>
        <w:rFonts w:hint="eastAsia"/>
      </w:rPr>
    </w:lvl>
  </w:abstractNum>
  <w:abstractNum w:abstractNumId="4">
    <w:nsid w:val="F314C8B3"/>
    <w:multiLevelType w:val="singleLevel"/>
    <w:tmpl w:val="F314C8B3"/>
    <w:lvl w:ilvl="0" w:tentative="0">
      <w:start w:val="2"/>
      <w:numFmt w:val="decimal"/>
      <w:suff w:val="nothing"/>
      <w:lvlText w:val="%1）"/>
      <w:lvlJc w:val="left"/>
    </w:lvl>
  </w:abstractNum>
  <w:abstractNum w:abstractNumId="5">
    <w:nsid w:val="F4EA5D26"/>
    <w:multiLevelType w:val="singleLevel"/>
    <w:tmpl w:val="F4EA5D26"/>
    <w:lvl w:ilvl="0" w:tentative="0">
      <w:start w:val="1"/>
      <w:numFmt w:val="chineseCounting"/>
      <w:suff w:val="nothing"/>
      <w:lvlText w:val="%1、"/>
      <w:lvlJc w:val="left"/>
      <w:pPr>
        <w:ind w:left="0" w:firstLine="420"/>
      </w:pPr>
      <w:rPr>
        <w:rFonts w:hint="eastAsia"/>
      </w:rPr>
    </w:lvl>
  </w:abstractNum>
  <w:abstractNum w:abstractNumId="6">
    <w:nsid w:val="FDB4846F"/>
    <w:multiLevelType w:val="singleLevel"/>
    <w:tmpl w:val="FDB4846F"/>
    <w:lvl w:ilvl="0" w:tentative="0">
      <w:start w:val="1"/>
      <w:numFmt w:val="chineseCounting"/>
      <w:suff w:val="nothing"/>
      <w:lvlText w:val="%1、"/>
      <w:lvlJc w:val="left"/>
      <w:pPr>
        <w:ind w:left="0" w:firstLine="420"/>
      </w:pPr>
      <w:rPr>
        <w:rFonts w:hint="eastAsia"/>
      </w:rPr>
    </w:lvl>
  </w:abstractNum>
  <w:abstractNum w:abstractNumId="7">
    <w:nsid w:val="0D3AA538"/>
    <w:multiLevelType w:val="singleLevel"/>
    <w:tmpl w:val="0D3AA538"/>
    <w:lvl w:ilvl="0" w:tentative="0">
      <w:start w:val="1"/>
      <w:numFmt w:val="chineseCounting"/>
      <w:suff w:val="nothing"/>
      <w:lvlText w:val="（%1）"/>
      <w:lvlJc w:val="left"/>
      <w:pPr>
        <w:ind w:left="0" w:firstLine="420"/>
      </w:pPr>
      <w:rPr>
        <w:rFonts w:hint="eastAsia"/>
      </w:rPr>
    </w:lvl>
  </w:abstractNum>
  <w:abstractNum w:abstractNumId="8">
    <w:nsid w:val="16EECD01"/>
    <w:multiLevelType w:val="singleLevel"/>
    <w:tmpl w:val="16EECD01"/>
    <w:lvl w:ilvl="0" w:tentative="0">
      <w:start w:val="1"/>
      <w:numFmt w:val="chineseCounting"/>
      <w:suff w:val="nothing"/>
      <w:lvlText w:val="%1、"/>
      <w:lvlJc w:val="left"/>
      <w:pPr>
        <w:ind w:left="0" w:firstLine="420"/>
      </w:pPr>
      <w:rPr>
        <w:rFonts w:hint="eastAsia"/>
      </w:rPr>
    </w:lvl>
  </w:abstractNum>
  <w:abstractNum w:abstractNumId="9">
    <w:nsid w:val="20326086"/>
    <w:multiLevelType w:val="singleLevel"/>
    <w:tmpl w:val="20326086"/>
    <w:lvl w:ilvl="0" w:tentative="0">
      <w:start w:val="1"/>
      <w:numFmt w:val="chineseCounting"/>
      <w:suff w:val="space"/>
      <w:lvlText w:val="第%1章"/>
      <w:lvlJc w:val="left"/>
      <w:rPr>
        <w:rFonts w:hint="eastAsia"/>
      </w:rPr>
    </w:lvl>
  </w:abstractNum>
  <w:abstractNum w:abstractNumId="10">
    <w:nsid w:val="31E56021"/>
    <w:multiLevelType w:val="singleLevel"/>
    <w:tmpl w:val="31E56021"/>
    <w:lvl w:ilvl="0" w:tentative="0">
      <w:start w:val="3"/>
      <w:numFmt w:val="decimal"/>
      <w:suff w:val="nothing"/>
      <w:lvlText w:val="（%1）"/>
      <w:lvlJc w:val="left"/>
    </w:lvl>
  </w:abstractNum>
  <w:abstractNum w:abstractNumId="11">
    <w:nsid w:val="4BDE7C24"/>
    <w:multiLevelType w:val="singleLevel"/>
    <w:tmpl w:val="4BDE7C24"/>
    <w:lvl w:ilvl="0" w:tentative="0">
      <w:start w:val="1"/>
      <w:numFmt w:val="chineseCounting"/>
      <w:suff w:val="nothing"/>
      <w:lvlText w:val="（%1）"/>
      <w:lvlJc w:val="left"/>
      <w:pPr>
        <w:ind w:left="-136" w:firstLine="420"/>
      </w:pPr>
      <w:rPr>
        <w:rFonts w:hint="eastAsia"/>
      </w:rPr>
    </w:lvl>
  </w:abstractNum>
  <w:abstractNum w:abstractNumId="12">
    <w:nsid w:val="72F7D893"/>
    <w:multiLevelType w:val="singleLevel"/>
    <w:tmpl w:val="72F7D893"/>
    <w:lvl w:ilvl="0" w:tentative="0">
      <w:start w:val="1"/>
      <w:numFmt w:val="chineseCounting"/>
      <w:suff w:val="nothing"/>
      <w:lvlText w:val="（%1）"/>
      <w:lvlJc w:val="left"/>
      <w:pPr>
        <w:ind w:left="0" w:firstLine="420"/>
      </w:pPr>
      <w:rPr>
        <w:rFonts w:hint="eastAsia"/>
      </w:rPr>
    </w:lvl>
  </w:abstractNum>
  <w:abstractNum w:abstractNumId="13">
    <w:nsid w:val="72FC4CA0"/>
    <w:multiLevelType w:val="singleLevel"/>
    <w:tmpl w:val="72FC4CA0"/>
    <w:lvl w:ilvl="0" w:tentative="0">
      <w:start w:val="1"/>
      <w:numFmt w:val="chineseCounting"/>
      <w:suff w:val="nothing"/>
      <w:lvlText w:val="%1、"/>
      <w:lvlJc w:val="left"/>
      <w:pPr>
        <w:ind w:left="0" w:firstLine="420"/>
      </w:pPr>
      <w:rPr>
        <w:rFonts w:hint="eastAsia"/>
      </w:rPr>
    </w:lvl>
  </w:abstractNum>
  <w:num w:numId="1">
    <w:abstractNumId w:val="9"/>
  </w:num>
  <w:num w:numId="2">
    <w:abstractNumId w:val="0"/>
  </w:num>
  <w:num w:numId="3">
    <w:abstractNumId w:val="5"/>
  </w:num>
  <w:num w:numId="4">
    <w:abstractNumId w:val="2"/>
  </w:num>
  <w:num w:numId="5">
    <w:abstractNumId w:val="6"/>
  </w:num>
  <w:num w:numId="6">
    <w:abstractNumId w:val="1"/>
  </w:num>
  <w:num w:numId="7">
    <w:abstractNumId w:val="11"/>
  </w:num>
  <w:num w:numId="8">
    <w:abstractNumId w:val="13"/>
  </w:num>
  <w:num w:numId="9">
    <w:abstractNumId w:val="8"/>
  </w:num>
  <w:num w:numId="10">
    <w:abstractNumId w:val="12"/>
  </w:num>
  <w:num w:numId="11">
    <w:abstractNumId w:val="7"/>
  </w:num>
  <w:num w:numId="12">
    <w:abstractNumId w:val="3"/>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U5YTk2NWU3OTRhNTU0YjZlNWE0ODExMjY4YzM0MTgifQ=="/>
  </w:docVars>
  <w:rsids>
    <w:rsidRoot w:val="61AB638F"/>
    <w:rsid w:val="00024217"/>
    <w:rsid w:val="00063AC7"/>
    <w:rsid w:val="000718BF"/>
    <w:rsid w:val="00084679"/>
    <w:rsid w:val="00086AED"/>
    <w:rsid w:val="000C260B"/>
    <w:rsid w:val="00111E72"/>
    <w:rsid w:val="00114E7A"/>
    <w:rsid w:val="001161B0"/>
    <w:rsid w:val="00123C86"/>
    <w:rsid w:val="001350C9"/>
    <w:rsid w:val="00137B0A"/>
    <w:rsid w:val="001703BD"/>
    <w:rsid w:val="0018193D"/>
    <w:rsid w:val="001A7FD5"/>
    <w:rsid w:val="001E5E9D"/>
    <w:rsid w:val="001E780E"/>
    <w:rsid w:val="00210EAB"/>
    <w:rsid w:val="00225ED8"/>
    <w:rsid w:val="0025078A"/>
    <w:rsid w:val="00260BE9"/>
    <w:rsid w:val="002615AE"/>
    <w:rsid w:val="002634FF"/>
    <w:rsid w:val="002731EA"/>
    <w:rsid w:val="002E4C5F"/>
    <w:rsid w:val="002F2F8E"/>
    <w:rsid w:val="002F3A29"/>
    <w:rsid w:val="00316B56"/>
    <w:rsid w:val="00336F55"/>
    <w:rsid w:val="003463E9"/>
    <w:rsid w:val="003723BC"/>
    <w:rsid w:val="00393FFD"/>
    <w:rsid w:val="00394CEC"/>
    <w:rsid w:val="003B78B1"/>
    <w:rsid w:val="003C3163"/>
    <w:rsid w:val="003D38F8"/>
    <w:rsid w:val="003E2046"/>
    <w:rsid w:val="003E2F8C"/>
    <w:rsid w:val="003E7101"/>
    <w:rsid w:val="00407450"/>
    <w:rsid w:val="004361CA"/>
    <w:rsid w:val="0043727C"/>
    <w:rsid w:val="004379D2"/>
    <w:rsid w:val="00461C6B"/>
    <w:rsid w:val="00464CD1"/>
    <w:rsid w:val="004755B0"/>
    <w:rsid w:val="004B32A6"/>
    <w:rsid w:val="004C5B87"/>
    <w:rsid w:val="004E18AA"/>
    <w:rsid w:val="004E222C"/>
    <w:rsid w:val="00515A44"/>
    <w:rsid w:val="00521251"/>
    <w:rsid w:val="00531004"/>
    <w:rsid w:val="00534222"/>
    <w:rsid w:val="00540CBC"/>
    <w:rsid w:val="0057157E"/>
    <w:rsid w:val="005750CD"/>
    <w:rsid w:val="005E0428"/>
    <w:rsid w:val="005F5903"/>
    <w:rsid w:val="006064AC"/>
    <w:rsid w:val="0061443A"/>
    <w:rsid w:val="00623CB5"/>
    <w:rsid w:val="00635827"/>
    <w:rsid w:val="00641498"/>
    <w:rsid w:val="00662A5C"/>
    <w:rsid w:val="00673B11"/>
    <w:rsid w:val="006A7216"/>
    <w:rsid w:val="006C44B5"/>
    <w:rsid w:val="006D43AA"/>
    <w:rsid w:val="006E0A1E"/>
    <w:rsid w:val="006E31D8"/>
    <w:rsid w:val="006F65D5"/>
    <w:rsid w:val="0070074A"/>
    <w:rsid w:val="00713BCC"/>
    <w:rsid w:val="007159BD"/>
    <w:rsid w:val="00716869"/>
    <w:rsid w:val="00726AE4"/>
    <w:rsid w:val="00737A10"/>
    <w:rsid w:val="00744FB6"/>
    <w:rsid w:val="00767D6A"/>
    <w:rsid w:val="00775210"/>
    <w:rsid w:val="00786672"/>
    <w:rsid w:val="007A6B40"/>
    <w:rsid w:val="007B0CDB"/>
    <w:rsid w:val="007B4CA6"/>
    <w:rsid w:val="007C3E24"/>
    <w:rsid w:val="007C62B0"/>
    <w:rsid w:val="007F0D1A"/>
    <w:rsid w:val="007F3DB5"/>
    <w:rsid w:val="00801617"/>
    <w:rsid w:val="0081275B"/>
    <w:rsid w:val="008226C2"/>
    <w:rsid w:val="00830DED"/>
    <w:rsid w:val="0083300D"/>
    <w:rsid w:val="00852ECC"/>
    <w:rsid w:val="008570F0"/>
    <w:rsid w:val="00893446"/>
    <w:rsid w:val="00895DD3"/>
    <w:rsid w:val="008A1BFC"/>
    <w:rsid w:val="008C47A5"/>
    <w:rsid w:val="008C4811"/>
    <w:rsid w:val="008F10B2"/>
    <w:rsid w:val="00902AB8"/>
    <w:rsid w:val="009056FC"/>
    <w:rsid w:val="00917523"/>
    <w:rsid w:val="009319EA"/>
    <w:rsid w:val="00937868"/>
    <w:rsid w:val="00953160"/>
    <w:rsid w:val="0095709A"/>
    <w:rsid w:val="00957B5B"/>
    <w:rsid w:val="0096657E"/>
    <w:rsid w:val="00967533"/>
    <w:rsid w:val="009677F0"/>
    <w:rsid w:val="0098629B"/>
    <w:rsid w:val="00997E9F"/>
    <w:rsid w:val="009A40B5"/>
    <w:rsid w:val="009A555A"/>
    <w:rsid w:val="009C5FD9"/>
    <w:rsid w:val="009D1A31"/>
    <w:rsid w:val="009D6F6B"/>
    <w:rsid w:val="009F7CBF"/>
    <w:rsid w:val="00A53F12"/>
    <w:rsid w:val="00A574FA"/>
    <w:rsid w:val="00A67591"/>
    <w:rsid w:val="00A750E5"/>
    <w:rsid w:val="00A956C7"/>
    <w:rsid w:val="00AA3D2C"/>
    <w:rsid w:val="00AE70E7"/>
    <w:rsid w:val="00B025D9"/>
    <w:rsid w:val="00B558E3"/>
    <w:rsid w:val="00B74910"/>
    <w:rsid w:val="00B924B6"/>
    <w:rsid w:val="00B974E7"/>
    <w:rsid w:val="00BA5BBA"/>
    <w:rsid w:val="00BF1DB9"/>
    <w:rsid w:val="00BF39EF"/>
    <w:rsid w:val="00C02E16"/>
    <w:rsid w:val="00C16EFE"/>
    <w:rsid w:val="00C21941"/>
    <w:rsid w:val="00C47C97"/>
    <w:rsid w:val="00C66E86"/>
    <w:rsid w:val="00C77818"/>
    <w:rsid w:val="00C832E7"/>
    <w:rsid w:val="00CA37F1"/>
    <w:rsid w:val="00CC3B12"/>
    <w:rsid w:val="00CC7701"/>
    <w:rsid w:val="00CF44C1"/>
    <w:rsid w:val="00D12CE5"/>
    <w:rsid w:val="00D24B52"/>
    <w:rsid w:val="00D306AE"/>
    <w:rsid w:val="00D50637"/>
    <w:rsid w:val="00D573EC"/>
    <w:rsid w:val="00D6590F"/>
    <w:rsid w:val="00D66A95"/>
    <w:rsid w:val="00D876BC"/>
    <w:rsid w:val="00DE5788"/>
    <w:rsid w:val="00DE76C8"/>
    <w:rsid w:val="00E20CB4"/>
    <w:rsid w:val="00E30930"/>
    <w:rsid w:val="00E54936"/>
    <w:rsid w:val="00E87A88"/>
    <w:rsid w:val="00EC09CC"/>
    <w:rsid w:val="00EE2B6F"/>
    <w:rsid w:val="00F02F1E"/>
    <w:rsid w:val="00F03F34"/>
    <w:rsid w:val="00F21AB1"/>
    <w:rsid w:val="00F7395C"/>
    <w:rsid w:val="00FD20B7"/>
    <w:rsid w:val="00FD32A6"/>
    <w:rsid w:val="00FF2452"/>
    <w:rsid w:val="01101675"/>
    <w:rsid w:val="012B41D6"/>
    <w:rsid w:val="0156352C"/>
    <w:rsid w:val="01767116"/>
    <w:rsid w:val="01A324E9"/>
    <w:rsid w:val="01C46F95"/>
    <w:rsid w:val="01C85039"/>
    <w:rsid w:val="020624C0"/>
    <w:rsid w:val="02361751"/>
    <w:rsid w:val="0236335D"/>
    <w:rsid w:val="02560B85"/>
    <w:rsid w:val="025C56F7"/>
    <w:rsid w:val="02754AC4"/>
    <w:rsid w:val="027C1B5C"/>
    <w:rsid w:val="027D2D3A"/>
    <w:rsid w:val="02841BA1"/>
    <w:rsid w:val="02BF77F6"/>
    <w:rsid w:val="02D26C08"/>
    <w:rsid w:val="02D61228"/>
    <w:rsid w:val="03305FFE"/>
    <w:rsid w:val="033A0C2B"/>
    <w:rsid w:val="0370464D"/>
    <w:rsid w:val="039A02CF"/>
    <w:rsid w:val="03DB41BC"/>
    <w:rsid w:val="03E91118"/>
    <w:rsid w:val="040D1E2F"/>
    <w:rsid w:val="04124104"/>
    <w:rsid w:val="042E0790"/>
    <w:rsid w:val="043425DE"/>
    <w:rsid w:val="04671EF4"/>
    <w:rsid w:val="04820ADC"/>
    <w:rsid w:val="04BC6320"/>
    <w:rsid w:val="04DE4250"/>
    <w:rsid w:val="051554AC"/>
    <w:rsid w:val="05340D80"/>
    <w:rsid w:val="054C7261"/>
    <w:rsid w:val="055A044E"/>
    <w:rsid w:val="05604542"/>
    <w:rsid w:val="056C36F9"/>
    <w:rsid w:val="05A759FC"/>
    <w:rsid w:val="05DD246D"/>
    <w:rsid w:val="05F442DA"/>
    <w:rsid w:val="060317A8"/>
    <w:rsid w:val="060A1284"/>
    <w:rsid w:val="064029FC"/>
    <w:rsid w:val="069114AA"/>
    <w:rsid w:val="06920627"/>
    <w:rsid w:val="06A96AFB"/>
    <w:rsid w:val="06DE46CE"/>
    <w:rsid w:val="06E45A7E"/>
    <w:rsid w:val="071A686F"/>
    <w:rsid w:val="072E6CF9"/>
    <w:rsid w:val="0737795B"/>
    <w:rsid w:val="0744651C"/>
    <w:rsid w:val="07921036"/>
    <w:rsid w:val="08005C1F"/>
    <w:rsid w:val="087F2EF1"/>
    <w:rsid w:val="08AF79C5"/>
    <w:rsid w:val="08B140F2"/>
    <w:rsid w:val="08BD20E2"/>
    <w:rsid w:val="08C711B3"/>
    <w:rsid w:val="08D81C50"/>
    <w:rsid w:val="08DF0A38"/>
    <w:rsid w:val="091837BC"/>
    <w:rsid w:val="09322AD0"/>
    <w:rsid w:val="093B56A0"/>
    <w:rsid w:val="09545EAB"/>
    <w:rsid w:val="095742E5"/>
    <w:rsid w:val="095C2AF7"/>
    <w:rsid w:val="09B259BF"/>
    <w:rsid w:val="09C54A03"/>
    <w:rsid w:val="09F064E7"/>
    <w:rsid w:val="09F430B1"/>
    <w:rsid w:val="09FC1466"/>
    <w:rsid w:val="0A000BC1"/>
    <w:rsid w:val="0A222B45"/>
    <w:rsid w:val="0A523C0B"/>
    <w:rsid w:val="0A710BC1"/>
    <w:rsid w:val="0A81581B"/>
    <w:rsid w:val="0A851326"/>
    <w:rsid w:val="0AE778EA"/>
    <w:rsid w:val="0B176925"/>
    <w:rsid w:val="0B2F29E8"/>
    <w:rsid w:val="0B84410E"/>
    <w:rsid w:val="0B8D2240"/>
    <w:rsid w:val="0B9F01C5"/>
    <w:rsid w:val="0BA92A82"/>
    <w:rsid w:val="0BC5228A"/>
    <w:rsid w:val="0BE6625E"/>
    <w:rsid w:val="0BF724D8"/>
    <w:rsid w:val="0C0F0EA7"/>
    <w:rsid w:val="0C1069CD"/>
    <w:rsid w:val="0C234952"/>
    <w:rsid w:val="0CAC2B9A"/>
    <w:rsid w:val="0CC75800"/>
    <w:rsid w:val="0CD914B5"/>
    <w:rsid w:val="0CDE2DD0"/>
    <w:rsid w:val="0CE33205"/>
    <w:rsid w:val="0CFF53BF"/>
    <w:rsid w:val="0D3F3A0E"/>
    <w:rsid w:val="0D4E75B4"/>
    <w:rsid w:val="0DC20659"/>
    <w:rsid w:val="0E316EB7"/>
    <w:rsid w:val="0E4137B5"/>
    <w:rsid w:val="0E686F94"/>
    <w:rsid w:val="0E7F40C2"/>
    <w:rsid w:val="0EEF3211"/>
    <w:rsid w:val="0EFE3967"/>
    <w:rsid w:val="0F006398"/>
    <w:rsid w:val="0F525316"/>
    <w:rsid w:val="0F662BC5"/>
    <w:rsid w:val="0F9B5161"/>
    <w:rsid w:val="0FE22231"/>
    <w:rsid w:val="0FEA32C2"/>
    <w:rsid w:val="0FEB1B4E"/>
    <w:rsid w:val="102754BA"/>
    <w:rsid w:val="10545A22"/>
    <w:rsid w:val="1055213A"/>
    <w:rsid w:val="107D4FB7"/>
    <w:rsid w:val="109F1D16"/>
    <w:rsid w:val="10D8131B"/>
    <w:rsid w:val="10F8729F"/>
    <w:rsid w:val="11415405"/>
    <w:rsid w:val="1146477A"/>
    <w:rsid w:val="11486166"/>
    <w:rsid w:val="11737A36"/>
    <w:rsid w:val="117C1174"/>
    <w:rsid w:val="119039EC"/>
    <w:rsid w:val="11C431FF"/>
    <w:rsid w:val="12011292"/>
    <w:rsid w:val="120E0A7F"/>
    <w:rsid w:val="12301B77"/>
    <w:rsid w:val="12515B6A"/>
    <w:rsid w:val="12614426"/>
    <w:rsid w:val="126C15D5"/>
    <w:rsid w:val="126D6927"/>
    <w:rsid w:val="12993BC0"/>
    <w:rsid w:val="12A06CFD"/>
    <w:rsid w:val="12A32349"/>
    <w:rsid w:val="12CA5B28"/>
    <w:rsid w:val="12FF4CFF"/>
    <w:rsid w:val="13173C64"/>
    <w:rsid w:val="131968FF"/>
    <w:rsid w:val="131E060C"/>
    <w:rsid w:val="13393C0C"/>
    <w:rsid w:val="1356385F"/>
    <w:rsid w:val="13893C35"/>
    <w:rsid w:val="138A4754"/>
    <w:rsid w:val="13B658D7"/>
    <w:rsid w:val="144756CC"/>
    <w:rsid w:val="144D6BFC"/>
    <w:rsid w:val="14691B4B"/>
    <w:rsid w:val="146C11DF"/>
    <w:rsid w:val="14775F3B"/>
    <w:rsid w:val="147C2425"/>
    <w:rsid w:val="148512C7"/>
    <w:rsid w:val="14945162"/>
    <w:rsid w:val="149F7CC3"/>
    <w:rsid w:val="14BE6198"/>
    <w:rsid w:val="15606603"/>
    <w:rsid w:val="15657028"/>
    <w:rsid w:val="15841B69"/>
    <w:rsid w:val="15962639"/>
    <w:rsid w:val="15A45C82"/>
    <w:rsid w:val="15C54CCC"/>
    <w:rsid w:val="15D23CCD"/>
    <w:rsid w:val="15E21DB2"/>
    <w:rsid w:val="15FC5F99"/>
    <w:rsid w:val="16117F11"/>
    <w:rsid w:val="16393E80"/>
    <w:rsid w:val="164D5200"/>
    <w:rsid w:val="165A468D"/>
    <w:rsid w:val="16730DCD"/>
    <w:rsid w:val="167742F2"/>
    <w:rsid w:val="167C182F"/>
    <w:rsid w:val="16A50D85"/>
    <w:rsid w:val="16C8569D"/>
    <w:rsid w:val="16CE5982"/>
    <w:rsid w:val="16D73A03"/>
    <w:rsid w:val="16FD7FEA"/>
    <w:rsid w:val="1708272C"/>
    <w:rsid w:val="17143815"/>
    <w:rsid w:val="17231CAA"/>
    <w:rsid w:val="17A80A9B"/>
    <w:rsid w:val="17B617A8"/>
    <w:rsid w:val="17D11706"/>
    <w:rsid w:val="17DB4C75"/>
    <w:rsid w:val="17E7717C"/>
    <w:rsid w:val="17F51899"/>
    <w:rsid w:val="180B131B"/>
    <w:rsid w:val="18216983"/>
    <w:rsid w:val="184C3483"/>
    <w:rsid w:val="188B3FAB"/>
    <w:rsid w:val="18BA405A"/>
    <w:rsid w:val="18DF1843"/>
    <w:rsid w:val="190F6381"/>
    <w:rsid w:val="192166BD"/>
    <w:rsid w:val="1950467C"/>
    <w:rsid w:val="197607B7"/>
    <w:rsid w:val="19933DB2"/>
    <w:rsid w:val="19DB7332"/>
    <w:rsid w:val="19E2665F"/>
    <w:rsid w:val="19F93535"/>
    <w:rsid w:val="1A1613DD"/>
    <w:rsid w:val="1A1C370A"/>
    <w:rsid w:val="1A4008BB"/>
    <w:rsid w:val="1A4B4D52"/>
    <w:rsid w:val="1A4C59BC"/>
    <w:rsid w:val="1A5A34D6"/>
    <w:rsid w:val="1A7D5B75"/>
    <w:rsid w:val="1AC3082E"/>
    <w:rsid w:val="1ACD59D7"/>
    <w:rsid w:val="1ACE4623"/>
    <w:rsid w:val="1AD61798"/>
    <w:rsid w:val="1AED4AA9"/>
    <w:rsid w:val="1B69695F"/>
    <w:rsid w:val="1B6C6B7C"/>
    <w:rsid w:val="1BE063BC"/>
    <w:rsid w:val="1BFD6F6E"/>
    <w:rsid w:val="1C380B9C"/>
    <w:rsid w:val="1C3E541A"/>
    <w:rsid w:val="1C5E65C3"/>
    <w:rsid w:val="1C8036FB"/>
    <w:rsid w:val="1C862BB7"/>
    <w:rsid w:val="1C962F1E"/>
    <w:rsid w:val="1CDD28FB"/>
    <w:rsid w:val="1CEA3872"/>
    <w:rsid w:val="1CFA7A77"/>
    <w:rsid w:val="1D090860"/>
    <w:rsid w:val="1D570FEF"/>
    <w:rsid w:val="1DB70D69"/>
    <w:rsid w:val="1DE8432D"/>
    <w:rsid w:val="1DFD41F5"/>
    <w:rsid w:val="1E2D1143"/>
    <w:rsid w:val="1E322D84"/>
    <w:rsid w:val="1E7458D5"/>
    <w:rsid w:val="1E752D7E"/>
    <w:rsid w:val="1E934127"/>
    <w:rsid w:val="1EF728A2"/>
    <w:rsid w:val="1F007E08"/>
    <w:rsid w:val="1F087A7B"/>
    <w:rsid w:val="1F27217C"/>
    <w:rsid w:val="1F5E41C7"/>
    <w:rsid w:val="1F6B0692"/>
    <w:rsid w:val="1F7C12B0"/>
    <w:rsid w:val="1FAB2A10"/>
    <w:rsid w:val="1FE231C8"/>
    <w:rsid w:val="1FEA36F4"/>
    <w:rsid w:val="20126D60"/>
    <w:rsid w:val="20277FAC"/>
    <w:rsid w:val="20410241"/>
    <w:rsid w:val="204333BD"/>
    <w:rsid w:val="206C67AA"/>
    <w:rsid w:val="207E7A85"/>
    <w:rsid w:val="20A91472"/>
    <w:rsid w:val="20B03BA6"/>
    <w:rsid w:val="20E67F36"/>
    <w:rsid w:val="211C6C63"/>
    <w:rsid w:val="21243DB8"/>
    <w:rsid w:val="213A15FB"/>
    <w:rsid w:val="21982BC5"/>
    <w:rsid w:val="21C748C6"/>
    <w:rsid w:val="22DD78A4"/>
    <w:rsid w:val="22F4099F"/>
    <w:rsid w:val="23072593"/>
    <w:rsid w:val="23215EE6"/>
    <w:rsid w:val="235D1C09"/>
    <w:rsid w:val="23A04D5C"/>
    <w:rsid w:val="23CE11F0"/>
    <w:rsid w:val="23FB73F4"/>
    <w:rsid w:val="24247B5C"/>
    <w:rsid w:val="247753E3"/>
    <w:rsid w:val="24B14AD9"/>
    <w:rsid w:val="24B55F73"/>
    <w:rsid w:val="24C67AF1"/>
    <w:rsid w:val="24C83E91"/>
    <w:rsid w:val="25072C0B"/>
    <w:rsid w:val="250824DF"/>
    <w:rsid w:val="251470D6"/>
    <w:rsid w:val="2529795E"/>
    <w:rsid w:val="256C2645"/>
    <w:rsid w:val="25C603D0"/>
    <w:rsid w:val="25D72EBC"/>
    <w:rsid w:val="25DB14CF"/>
    <w:rsid w:val="25FD16D2"/>
    <w:rsid w:val="26091345"/>
    <w:rsid w:val="261254AE"/>
    <w:rsid w:val="261A1EB1"/>
    <w:rsid w:val="262F5170"/>
    <w:rsid w:val="26404C6A"/>
    <w:rsid w:val="265446F4"/>
    <w:rsid w:val="26633E71"/>
    <w:rsid w:val="26AB1F29"/>
    <w:rsid w:val="26BE554B"/>
    <w:rsid w:val="26C54B2C"/>
    <w:rsid w:val="26D25C1B"/>
    <w:rsid w:val="26DB434F"/>
    <w:rsid w:val="26F95F03"/>
    <w:rsid w:val="26FC4A2E"/>
    <w:rsid w:val="270F224B"/>
    <w:rsid w:val="272465DD"/>
    <w:rsid w:val="273E347D"/>
    <w:rsid w:val="274D31C2"/>
    <w:rsid w:val="275B723E"/>
    <w:rsid w:val="277F117F"/>
    <w:rsid w:val="27881441"/>
    <w:rsid w:val="279A15FF"/>
    <w:rsid w:val="27C66943"/>
    <w:rsid w:val="27F871CF"/>
    <w:rsid w:val="281C547F"/>
    <w:rsid w:val="28215D92"/>
    <w:rsid w:val="28310FAC"/>
    <w:rsid w:val="283906A9"/>
    <w:rsid w:val="285911BB"/>
    <w:rsid w:val="288D3427"/>
    <w:rsid w:val="28AB4B45"/>
    <w:rsid w:val="28F92F88"/>
    <w:rsid w:val="294A68B7"/>
    <w:rsid w:val="295535A4"/>
    <w:rsid w:val="296D5007"/>
    <w:rsid w:val="29915199"/>
    <w:rsid w:val="29D075F3"/>
    <w:rsid w:val="29DD218D"/>
    <w:rsid w:val="29DD46E5"/>
    <w:rsid w:val="2A0B15DB"/>
    <w:rsid w:val="2A0F5271"/>
    <w:rsid w:val="2A306683"/>
    <w:rsid w:val="2A520D00"/>
    <w:rsid w:val="2A554419"/>
    <w:rsid w:val="2A6B1546"/>
    <w:rsid w:val="2AE704E8"/>
    <w:rsid w:val="2B317A64"/>
    <w:rsid w:val="2B367AA4"/>
    <w:rsid w:val="2B4640F5"/>
    <w:rsid w:val="2BC81628"/>
    <w:rsid w:val="2BEE5EE5"/>
    <w:rsid w:val="2C2440A3"/>
    <w:rsid w:val="2C245E51"/>
    <w:rsid w:val="2C3A50AA"/>
    <w:rsid w:val="2C4F620C"/>
    <w:rsid w:val="2C681C69"/>
    <w:rsid w:val="2C9B4E32"/>
    <w:rsid w:val="2CA174A1"/>
    <w:rsid w:val="2CAB3EFE"/>
    <w:rsid w:val="2CB107B1"/>
    <w:rsid w:val="2D236F99"/>
    <w:rsid w:val="2D7A75C0"/>
    <w:rsid w:val="2DAD15F8"/>
    <w:rsid w:val="2DEF64CC"/>
    <w:rsid w:val="2E0B376C"/>
    <w:rsid w:val="2E0C1292"/>
    <w:rsid w:val="2E260F31"/>
    <w:rsid w:val="2E6115DE"/>
    <w:rsid w:val="2EA54A3D"/>
    <w:rsid w:val="2EAF1571"/>
    <w:rsid w:val="2F2D7712"/>
    <w:rsid w:val="2F3112D0"/>
    <w:rsid w:val="2F6A2714"/>
    <w:rsid w:val="2F8A246F"/>
    <w:rsid w:val="2FFB511A"/>
    <w:rsid w:val="300466C5"/>
    <w:rsid w:val="300E30A0"/>
    <w:rsid w:val="302459C5"/>
    <w:rsid w:val="304C32D0"/>
    <w:rsid w:val="3091043C"/>
    <w:rsid w:val="3091782D"/>
    <w:rsid w:val="30983468"/>
    <w:rsid w:val="30B71989"/>
    <w:rsid w:val="30E77E99"/>
    <w:rsid w:val="31181313"/>
    <w:rsid w:val="311E29A6"/>
    <w:rsid w:val="314E6F14"/>
    <w:rsid w:val="31811228"/>
    <w:rsid w:val="318C5D0F"/>
    <w:rsid w:val="31A71603"/>
    <w:rsid w:val="31EA18EB"/>
    <w:rsid w:val="320A045B"/>
    <w:rsid w:val="320A3115"/>
    <w:rsid w:val="320F6A40"/>
    <w:rsid w:val="32155849"/>
    <w:rsid w:val="3233501C"/>
    <w:rsid w:val="32360E9B"/>
    <w:rsid w:val="32430FFB"/>
    <w:rsid w:val="324A4228"/>
    <w:rsid w:val="32573F9F"/>
    <w:rsid w:val="32915AB8"/>
    <w:rsid w:val="329A154E"/>
    <w:rsid w:val="32B37F2E"/>
    <w:rsid w:val="32E615F0"/>
    <w:rsid w:val="32F31FC7"/>
    <w:rsid w:val="330F23E6"/>
    <w:rsid w:val="331272EC"/>
    <w:rsid w:val="332500B1"/>
    <w:rsid w:val="333A57B7"/>
    <w:rsid w:val="33482D6D"/>
    <w:rsid w:val="338868BC"/>
    <w:rsid w:val="33B150F9"/>
    <w:rsid w:val="33B2468A"/>
    <w:rsid w:val="33B977C6"/>
    <w:rsid w:val="33CE524F"/>
    <w:rsid w:val="33E52369"/>
    <w:rsid w:val="33EC7B9C"/>
    <w:rsid w:val="340D6254"/>
    <w:rsid w:val="34637732"/>
    <w:rsid w:val="346E05B1"/>
    <w:rsid w:val="34B77FF5"/>
    <w:rsid w:val="34D2441F"/>
    <w:rsid w:val="3518051D"/>
    <w:rsid w:val="35537950"/>
    <w:rsid w:val="355E51EF"/>
    <w:rsid w:val="356E638F"/>
    <w:rsid w:val="35806FC7"/>
    <w:rsid w:val="35A46BE2"/>
    <w:rsid w:val="35B20971"/>
    <w:rsid w:val="35CC4923"/>
    <w:rsid w:val="3600792F"/>
    <w:rsid w:val="36107446"/>
    <w:rsid w:val="36177517"/>
    <w:rsid w:val="36356EAC"/>
    <w:rsid w:val="367F643C"/>
    <w:rsid w:val="36AA1648"/>
    <w:rsid w:val="36AC53C0"/>
    <w:rsid w:val="36DD37CC"/>
    <w:rsid w:val="36E278DB"/>
    <w:rsid w:val="371F65FA"/>
    <w:rsid w:val="372E5DD5"/>
    <w:rsid w:val="37480A85"/>
    <w:rsid w:val="37555A58"/>
    <w:rsid w:val="375E6614"/>
    <w:rsid w:val="376A0CFB"/>
    <w:rsid w:val="376B702A"/>
    <w:rsid w:val="379525B4"/>
    <w:rsid w:val="37C727FB"/>
    <w:rsid w:val="380841C4"/>
    <w:rsid w:val="38211DDE"/>
    <w:rsid w:val="382A2275"/>
    <w:rsid w:val="382E6314"/>
    <w:rsid w:val="3842422E"/>
    <w:rsid w:val="38941C7A"/>
    <w:rsid w:val="389E4523"/>
    <w:rsid w:val="38AF73EA"/>
    <w:rsid w:val="38BC2455"/>
    <w:rsid w:val="38E928FC"/>
    <w:rsid w:val="38F07152"/>
    <w:rsid w:val="38F52042"/>
    <w:rsid w:val="392230FF"/>
    <w:rsid w:val="39711327"/>
    <w:rsid w:val="399F6CE1"/>
    <w:rsid w:val="39A607ED"/>
    <w:rsid w:val="39CB0253"/>
    <w:rsid w:val="39D54C2E"/>
    <w:rsid w:val="39F94C1E"/>
    <w:rsid w:val="3A712BA9"/>
    <w:rsid w:val="3AD21D51"/>
    <w:rsid w:val="3AD33C13"/>
    <w:rsid w:val="3B1E2DE4"/>
    <w:rsid w:val="3B634FF2"/>
    <w:rsid w:val="3B9D352A"/>
    <w:rsid w:val="3BF21AC7"/>
    <w:rsid w:val="3C3F0A85"/>
    <w:rsid w:val="3C94492D"/>
    <w:rsid w:val="3C966427"/>
    <w:rsid w:val="3CC176EC"/>
    <w:rsid w:val="3CC43B5C"/>
    <w:rsid w:val="3CD31778"/>
    <w:rsid w:val="3CD93FD2"/>
    <w:rsid w:val="3CF25AF7"/>
    <w:rsid w:val="3D0F48FB"/>
    <w:rsid w:val="3D1617E6"/>
    <w:rsid w:val="3D391C31"/>
    <w:rsid w:val="3D9758DD"/>
    <w:rsid w:val="3DA77CAE"/>
    <w:rsid w:val="3DB039E8"/>
    <w:rsid w:val="3DC32AA5"/>
    <w:rsid w:val="3DD61025"/>
    <w:rsid w:val="3DF80EEB"/>
    <w:rsid w:val="3E25133F"/>
    <w:rsid w:val="3E2972F7"/>
    <w:rsid w:val="3E371A14"/>
    <w:rsid w:val="3E3D6A92"/>
    <w:rsid w:val="3E530AFD"/>
    <w:rsid w:val="3E865EAE"/>
    <w:rsid w:val="3E9B5E11"/>
    <w:rsid w:val="3EBA43F3"/>
    <w:rsid w:val="3ECA1683"/>
    <w:rsid w:val="3EFA5515"/>
    <w:rsid w:val="3F373C95"/>
    <w:rsid w:val="3F4B2B6A"/>
    <w:rsid w:val="3FA40226"/>
    <w:rsid w:val="3FC8548E"/>
    <w:rsid w:val="40046D1E"/>
    <w:rsid w:val="40132208"/>
    <w:rsid w:val="40295A9F"/>
    <w:rsid w:val="403A1C8F"/>
    <w:rsid w:val="40522A8F"/>
    <w:rsid w:val="40A72962"/>
    <w:rsid w:val="40E75429"/>
    <w:rsid w:val="40F57B4F"/>
    <w:rsid w:val="412065EA"/>
    <w:rsid w:val="413404E4"/>
    <w:rsid w:val="41504D61"/>
    <w:rsid w:val="417E5BAB"/>
    <w:rsid w:val="418E2292"/>
    <w:rsid w:val="41EE0C01"/>
    <w:rsid w:val="41F8770C"/>
    <w:rsid w:val="4274161A"/>
    <w:rsid w:val="42A6360C"/>
    <w:rsid w:val="42B24C8F"/>
    <w:rsid w:val="42B76904"/>
    <w:rsid w:val="42C15B1A"/>
    <w:rsid w:val="434A6AFA"/>
    <w:rsid w:val="43566DE0"/>
    <w:rsid w:val="43997EDB"/>
    <w:rsid w:val="43B12268"/>
    <w:rsid w:val="43D60DB0"/>
    <w:rsid w:val="445869BD"/>
    <w:rsid w:val="44B07A6D"/>
    <w:rsid w:val="44B30987"/>
    <w:rsid w:val="44B518E4"/>
    <w:rsid w:val="44C164DB"/>
    <w:rsid w:val="44ED6C31"/>
    <w:rsid w:val="44FA68E2"/>
    <w:rsid w:val="45060392"/>
    <w:rsid w:val="45140D01"/>
    <w:rsid w:val="455E01CE"/>
    <w:rsid w:val="45803706"/>
    <w:rsid w:val="45833790"/>
    <w:rsid w:val="458B04F1"/>
    <w:rsid w:val="4596565E"/>
    <w:rsid w:val="459B05DB"/>
    <w:rsid w:val="45A75613"/>
    <w:rsid w:val="460E55DD"/>
    <w:rsid w:val="46180E42"/>
    <w:rsid w:val="46276812"/>
    <w:rsid w:val="462B7CF8"/>
    <w:rsid w:val="464F4558"/>
    <w:rsid w:val="465B3C62"/>
    <w:rsid w:val="46767799"/>
    <w:rsid w:val="46DD4FAF"/>
    <w:rsid w:val="46F10BCE"/>
    <w:rsid w:val="46F54B62"/>
    <w:rsid w:val="47017615"/>
    <w:rsid w:val="47052344"/>
    <w:rsid w:val="470D1EAB"/>
    <w:rsid w:val="473A07C7"/>
    <w:rsid w:val="47496619"/>
    <w:rsid w:val="474D590C"/>
    <w:rsid w:val="47613F36"/>
    <w:rsid w:val="4791488A"/>
    <w:rsid w:val="47AC3472"/>
    <w:rsid w:val="47AD0B4E"/>
    <w:rsid w:val="47B236ED"/>
    <w:rsid w:val="47BA0A48"/>
    <w:rsid w:val="47C167F2"/>
    <w:rsid w:val="47D7359F"/>
    <w:rsid w:val="48115F37"/>
    <w:rsid w:val="48335C8C"/>
    <w:rsid w:val="483E6094"/>
    <w:rsid w:val="48515DC8"/>
    <w:rsid w:val="486208D0"/>
    <w:rsid w:val="487F6A9B"/>
    <w:rsid w:val="48901103"/>
    <w:rsid w:val="48B42D67"/>
    <w:rsid w:val="48C22822"/>
    <w:rsid w:val="48DC621A"/>
    <w:rsid w:val="49090450"/>
    <w:rsid w:val="490D5FE6"/>
    <w:rsid w:val="49172B6D"/>
    <w:rsid w:val="4943327D"/>
    <w:rsid w:val="49437E06"/>
    <w:rsid w:val="49777AB0"/>
    <w:rsid w:val="49A5446D"/>
    <w:rsid w:val="49DD0D01"/>
    <w:rsid w:val="49F66C27"/>
    <w:rsid w:val="4A0E62C0"/>
    <w:rsid w:val="4A19181B"/>
    <w:rsid w:val="4A2B6D86"/>
    <w:rsid w:val="4A347325"/>
    <w:rsid w:val="4A3B6FBA"/>
    <w:rsid w:val="4A54394D"/>
    <w:rsid w:val="4A6606F1"/>
    <w:rsid w:val="4A8E6E5F"/>
    <w:rsid w:val="4A90449B"/>
    <w:rsid w:val="4A9C2AA9"/>
    <w:rsid w:val="4A9F03B8"/>
    <w:rsid w:val="4AA32EB1"/>
    <w:rsid w:val="4AC52021"/>
    <w:rsid w:val="4AE65A17"/>
    <w:rsid w:val="4B062C88"/>
    <w:rsid w:val="4B15132F"/>
    <w:rsid w:val="4B182BCD"/>
    <w:rsid w:val="4B897627"/>
    <w:rsid w:val="4B8E10E1"/>
    <w:rsid w:val="4B9822B5"/>
    <w:rsid w:val="4BC468B1"/>
    <w:rsid w:val="4C153882"/>
    <w:rsid w:val="4C1B6B8B"/>
    <w:rsid w:val="4C2C6F14"/>
    <w:rsid w:val="4C3E1BB6"/>
    <w:rsid w:val="4C591806"/>
    <w:rsid w:val="4C72108D"/>
    <w:rsid w:val="4C87000A"/>
    <w:rsid w:val="4CC254E6"/>
    <w:rsid w:val="4CF554B5"/>
    <w:rsid w:val="4D427926"/>
    <w:rsid w:val="4D7634ED"/>
    <w:rsid w:val="4D887BB7"/>
    <w:rsid w:val="4DB51455"/>
    <w:rsid w:val="4DC70DA7"/>
    <w:rsid w:val="4E3E023E"/>
    <w:rsid w:val="4E48084B"/>
    <w:rsid w:val="4E4C150B"/>
    <w:rsid w:val="4E65467D"/>
    <w:rsid w:val="4E69762E"/>
    <w:rsid w:val="4EAA4484"/>
    <w:rsid w:val="4EB15812"/>
    <w:rsid w:val="4ED10D67"/>
    <w:rsid w:val="4EDD6919"/>
    <w:rsid w:val="4F7604D5"/>
    <w:rsid w:val="4F9C3DCC"/>
    <w:rsid w:val="4FBC31D9"/>
    <w:rsid w:val="4FD72E5F"/>
    <w:rsid w:val="4FE21622"/>
    <w:rsid w:val="500F7F0E"/>
    <w:rsid w:val="506813EB"/>
    <w:rsid w:val="508605D9"/>
    <w:rsid w:val="5092008F"/>
    <w:rsid w:val="50D56C21"/>
    <w:rsid w:val="50E465FD"/>
    <w:rsid w:val="512E6B15"/>
    <w:rsid w:val="514070FC"/>
    <w:rsid w:val="51505C0D"/>
    <w:rsid w:val="51510010"/>
    <w:rsid w:val="51C163B0"/>
    <w:rsid w:val="51C94C21"/>
    <w:rsid w:val="51DA5B70"/>
    <w:rsid w:val="51E412AD"/>
    <w:rsid w:val="52095588"/>
    <w:rsid w:val="52224F53"/>
    <w:rsid w:val="522B6ECD"/>
    <w:rsid w:val="523D116B"/>
    <w:rsid w:val="525306BC"/>
    <w:rsid w:val="525B6CDD"/>
    <w:rsid w:val="527A416D"/>
    <w:rsid w:val="530A3E2F"/>
    <w:rsid w:val="53191982"/>
    <w:rsid w:val="531B7010"/>
    <w:rsid w:val="533D1DBE"/>
    <w:rsid w:val="53A55002"/>
    <w:rsid w:val="53B437FF"/>
    <w:rsid w:val="53D27525"/>
    <w:rsid w:val="53F15F34"/>
    <w:rsid w:val="53F458EF"/>
    <w:rsid w:val="54014B46"/>
    <w:rsid w:val="540F22DC"/>
    <w:rsid w:val="544555FD"/>
    <w:rsid w:val="54753469"/>
    <w:rsid w:val="54871A04"/>
    <w:rsid w:val="54943430"/>
    <w:rsid w:val="55055F70"/>
    <w:rsid w:val="553762B6"/>
    <w:rsid w:val="554271C4"/>
    <w:rsid w:val="555E3509"/>
    <w:rsid w:val="556C2493"/>
    <w:rsid w:val="55951054"/>
    <w:rsid w:val="559612BE"/>
    <w:rsid w:val="55A559A5"/>
    <w:rsid w:val="55CC1183"/>
    <w:rsid w:val="55D1679A"/>
    <w:rsid w:val="55D94ED1"/>
    <w:rsid w:val="55E262B1"/>
    <w:rsid w:val="56080346"/>
    <w:rsid w:val="561C28AB"/>
    <w:rsid w:val="56397366"/>
    <w:rsid w:val="5664316A"/>
    <w:rsid w:val="566E141A"/>
    <w:rsid w:val="566E3FE9"/>
    <w:rsid w:val="56720BCE"/>
    <w:rsid w:val="569752EE"/>
    <w:rsid w:val="56A25A40"/>
    <w:rsid w:val="56D0417B"/>
    <w:rsid w:val="56D1099C"/>
    <w:rsid w:val="56F83EAB"/>
    <w:rsid w:val="56FB1D20"/>
    <w:rsid w:val="5708338B"/>
    <w:rsid w:val="57292DB2"/>
    <w:rsid w:val="5780396F"/>
    <w:rsid w:val="57947A7F"/>
    <w:rsid w:val="57B14565"/>
    <w:rsid w:val="57EE325E"/>
    <w:rsid w:val="57F11B45"/>
    <w:rsid w:val="57F4051E"/>
    <w:rsid w:val="586B72E0"/>
    <w:rsid w:val="58825B29"/>
    <w:rsid w:val="58E93DFA"/>
    <w:rsid w:val="58E95F87"/>
    <w:rsid w:val="58E97957"/>
    <w:rsid w:val="58F773CC"/>
    <w:rsid w:val="58F91AE4"/>
    <w:rsid w:val="58FA45CC"/>
    <w:rsid w:val="58FA6008"/>
    <w:rsid w:val="591E65A0"/>
    <w:rsid w:val="593257A1"/>
    <w:rsid w:val="59371F0E"/>
    <w:rsid w:val="59376DAF"/>
    <w:rsid w:val="595379CD"/>
    <w:rsid w:val="596332C1"/>
    <w:rsid w:val="5976777D"/>
    <w:rsid w:val="598B6F36"/>
    <w:rsid w:val="59B566C6"/>
    <w:rsid w:val="59B77065"/>
    <w:rsid w:val="59DC051D"/>
    <w:rsid w:val="59EA607C"/>
    <w:rsid w:val="5A3C0040"/>
    <w:rsid w:val="5A3E51C3"/>
    <w:rsid w:val="5A975B2D"/>
    <w:rsid w:val="5B02743A"/>
    <w:rsid w:val="5B031DC8"/>
    <w:rsid w:val="5B0D2022"/>
    <w:rsid w:val="5B36549C"/>
    <w:rsid w:val="5B4C6079"/>
    <w:rsid w:val="5BA94679"/>
    <w:rsid w:val="5BB27AC7"/>
    <w:rsid w:val="5BB352F0"/>
    <w:rsid w:val="5BD714B6"/>
    <w:rsid w:val="5C0562BC"/>
    <w:rsid w:val="5CBF1935"/>
    <w:rsid w:val="5CFF599B"/>
    <w:rsid w:val="5D321208"/>
    <w:rsid w:val="5D3E2967"/>
    <w:rsid w:val="5D4B5EB1"/>
    <w:rsid w:val="5D5D0DFD"/>
    <w:rsid w:val="5D7A25A2"/>
    <w:rsid w:val="5D7C348F"/>
    <w:rsid w:val="5D861E86"/>
    <w:rsid w:val="5D8F4F70"/>
    <w:rsid w:val="5D93355F"/>
    <w:rsid w:val="5DA05F0D"/>
    <w:rsid w:val="5E3B2A02"/>
    <w:rsid w:val="5E3F09B7"/>
    <w:rsid w:val="5E8C059D"/>
    <w:rsid w:val="5EC21376"/>
    <w:rsid w:val="5EDD4CF4"/>
    <w:rsid w:val="5EF62DCD"/>
    <w:rsid w:val="5F053010"/>
    <w:rsid w:val="5F8108E9"/>
    <w:rsid w:val="5F9A5FDE"/>
    <w:rsid w:val="5FB36931"/>
    <w:rsid w:val="5FD72BFF"/>
    <w:rsid w:val="603366D7"/>
    <w:rsid w:val="60B6165E"/>
    <w:rsid w:val="60DC5CFA"/>
    <w:rsid w:val="60F730F7"/>
    <w:rsid w:val="61044DC9"/>
    <w:rsid w:val="611C24EC"/>
    <w:rsid w:val="6138591F"/>
    <w:rsid w:val="616225FD"/>
    <w:rsid w:val="617C3A5E"/>
    <w:rsid w:val="618E553F"/>
    <w:rsid w:val="61AB638F"/>
    <w:rsid w:val="61B765CF"/>
    <w:rsid w:val="61BD7BDA"/>
    <w:rsid w:val="61CC7F3F"/>
    <w:rsid w:val="62265778"/>
    <w:rsid w:val="62352954"/>
    <w:rsid w:val="623936FD"/>
    <w:rsid w:val="62B743A7"/>
    <w:rsid w:val="62B9483E"/>
    <w:rsid w:val="62D653F0"/>
    <w:rsid w:val="62FA66E9"/>
    <w:rsid w:val="63262540"/>
    <w:rsid w:val="632B74E9"/>
    <w:rsid w:val="634F35DA"/>
    <w:rsid w:val="637B0A71"/>
    <w:rsid w:val="63BF10F1"/>
    <w:rsid w:val="63C80BB9"/>
    <w:rsid w:val="63F41FD1"/>
    <w:rsid w:val="63FF44D2"/>
    <w:rsid w:val="6420222B"/>
    <w:rsid w:val="643A7875"/>
    <w:rsid w:val="64432611"/>
    <w:rsid w:val="64CE2822"/>
    <w:rsid w:val="64CF20F6"/>
    <w:rsid w:val="650A0AD0"/>
    <w:rsid w:val="650E4B6C"/>
    <w:rsid w:val="651144BD"/>
    <w:rsid w:val="651D6F0E"/>
    <w:rsid w:val="65264370"/>
    <w:rsid w:val="652F6BC9"/>
    <w:rsid w:val="65851ECA"/>
    <w:rsid w:val="661C136B"/>
    <w:rsid w:val="661C580F"/>
    <w:rsid w:val="662A0630"/>
    <w:rsid w:val="66CB61CA"/>
    <w:rsid w:val="66D41C46"/>
    <w:rsid w:val="66F10A4A"/>
    <w:rsid w:val="673821D5"/>
    <w:rsid w:val="673F21A4"/>
    <w:rsid w:val="674314E8"/>
    <w:rsid w:val="67784CC7"/>
    <w:rsid w:val="678C42CF"/>
    <w:rsid w:val="67E01726"/>
    <w:rsid w:val="6805687D"/>
    <w:rsid w:val="685A2247"/>
    <w:rsid w:val="68826FDF"/>
    <w:rsid w:val="68A633E3"/>
    <w:rsid w:val="68B7537B"/>
    <w:rsid w:val="68B81DBA"/>
    <w:rsid w:val="68ED3493"/>
    <w:rsid w:val="68EF0FB9"/>
    <w:rsid w:val="690600B1"/>
    <w:rsid w:val="697414BE"/>
    <w:rsid w:val="6985191D"/>
    <w:rsid w:val="69B343B3"/>
    <w:rsid w:val="69B81692"/>
    <w:rsid w:val="69C2222A"/>
    <w:rsid w:val="69CE3644"/>
    <w:rsid w:val="69FA19C4"/>
    <w:rsid w:val="6A3C30F0"/>
    <w:rsid w:val="6A770722"/>
    <w:rsid w:val="6A931BD8"/>
    <w:rsid w:val="6AB11CBA"/>
    <w:rsid w:val="6AB11F2A"/>
    <w:rsid w:val="6AB21309"/>
    <w:rsid w:val="6ACF3916"/>
    <w:rsid w:val="6AD9137F"/>
    <w:rsid w:val="6AE10DD5"/>
    <w:rsid w:val="6AE668C5"/>
    <w:rsid w:val="6AFB3E36"/>
    <w:rsid w:val="6B075D3A"/>
    <w:rsid w:val="6B621F16"/>
    <w:rsid w:val="6B67048D"/>
    <w:rsid w:val="6B6F4D52"/>
    <w:rsid w:val="6B847517"/>
    <w:rsid w:val="6BD17A76"/>
    <w:rsid w:val="6BD64B08"/>
    <w:rsid w:val="6BE86BB6"/>
    <w:rsid w:val="6BEE7306"/>
    <w:rsid w:val="6BF344D5"/>
    <w:rsid w:val="6BF8646F"/>
    <w:rsid w:val="6C181BE1"/>
    <w:rsid w:val="6C260698"/>
    <w:rsid w:val="6C6922AF"/>
    <w:rsid w:val="6C7F69B8"/>
    <w:rsid w:val="6C8670B3"/>
    <w:rsid w:val="6D2356D5"/>
    <w:rsid w:val="6D440FB2"/>
    <w:rsid w:val="6D4E4FC6"/>
    <w:rsid w:val="6D6B70DE"/>
    <w:rsid w:val="6D94212F"/>
    <w:rsid w:val="6D976D3E"/>
    <w:rsid w:val="6DC56B21"/>
    <w:rsid w:val="6DE05374"/>
    <w:rsid w:val="6E015F33"/>
    <w:rsid w:val="6E503B34"/>
    <w:rsid w:val="6E542295"/>
    <w:rsid w:val="6E6B63FE"/>
    <w:rsid w:val="6ECD48B6"/>
    <w:rsid w:val="6EDC7B68"/>
    <w:rsid w:val="6EFD60DF"/>
    <w:rsid w:val="6EFD65CC"/>
    <w:rsid w:val="6EFF440A"/>
    <w:rsid w:val="6F2509A1"/>
    <w:rsid w:val="6F3911E0"/>
    <w:rsid w:val="6F3B6D06"/>
    <w:rsid w:val="6F745D74"/>
    <w:rsid w:val="6F8415A2"/>
    <w:rsid w:val="6FAB07A1"/>
    <w:rsid w:val="6FC36CFC"/>
    <w:rsid w:val="6FC50CC6"/>
    <w:rsid w:val="6FC860C0"/>
    <w:rsid w:val="6FDA392A"/>
    <w:rsid w:val="701D28B0"/>
    <w:rsid w:val="70204855"/>
    <w:rsid w:val="70385AA7"/>
    <w:rsid w:val="70531E2E"/>
    <w:rsid w:val="708566AC"/>
    <w:rsid w:val="70B05687"/>
    <w:rsid w:val="70C45932"/>
    <w:rsid w:val="70D65108"/>
    <w:rsid w:val="70D72F0A"/>
    <w:rsid w:val="70E56AC5"/>
    <w:rsid w:val="70F65D45"/>
    <w:rsid w:val="71074700"/>
    <w:rsid w:val="711C738B"/>
    <w:rsid w:val="71202774"/>
    <w:rsid w:val="71537B20"/>
    <w:rsid w:val="718F16F1"/>
    <w:rsid w:val="71B93F65"/>
    <w:rsid w:val="71DD69D8"/>
    <w:rsid w:val="720A0C12"/>
    <w:rsid w:val="72214ABE"/>
    <w:rsid w:val="723B187D"/>
    <w:rsid w:val="72453E66"/>
    <w:rsid w:val="7249798C"/>
    <w:rsid w:val="725D71CF"/>
    <w:rsid w:val="726E2F4F"/>
    <w:rsid w:val="727A6476"/>
    <w:rsid w:val="72FA2A34"/>
    <w:rsid w:val="731A30D6"/>
    <w:rsid w:val="732E23C3"/>
    <w:rsid w:val="734F3227"/>
    <w:rsid w:val="73530005"/>
    <w:rsid w:val="73530275"/>
    <w:rsid w:val="736F0D5C"/>
    <w:rsid w:val="739A5A40"/>
    <w:rsid w:val="739D3E3F"/>
    <w:rsid w:val="73A85E3D"/>
    <w:rsid w:val="74116287"/>
    <w:rsid w:val="741D6EF2"/>
    <w:rsid w:val="74200D77"/>
    <w:rsid w:val="743A4DE9"/>
    <w:rsid w:val="744D065B"/>
    <w:rsid w:val="74654825"/>
    <w:rsid w:val="748E6D4F"/>
    <w:rsid w:val="74FA31C0"/>
    <w:rsid w:val="751C4F54"/>
    <w:rsid w:val="75340C7E"/>
    <w:rsid w:val="75614FED"/>
    <w:rsid w:val="756D1BE3"/>
    <w:rsid w:val="7571633C"/>
    <w:rsid w:val="75DE2F6E"/>
    <w:rsid w:val="75EB2391"/>
    <w:rsid w:val="7610256F"/>
    <w:rsid w:val="761061A8"/>
    <w:rsid w:val="762C6F4F"/>
    <w:rsid w:val="766B00EC"/>
    <w:rsid w:val="767B0584"/>
    <w:rsid w:val="769431A0"/>
    <w:rsid w:val="76D070C1"/>
    <w:rsid w:val="76DA53CF"/>
    <w:rsid w:val="76E51680"/>
    <w:rsid w:val="771F7564"/>
    <w:rsid w:val="77512E3F"/>
    <w:rsid w:val="7760404B"/>
    <w:rsid w:val="776B5CAF"/>
    <w:rsid w:val="77784870"/>
    <w:rsid w:val="77A204C4"/>
    <w:rsid w:val="77A45A80"/>
    <w:rsid w:val="77B041CC"/>
    <w:rsid w:val="77C75B87"/>
    <w:rsid w:val="77CB7931"/>
    <w:rsid w:val="77DC5ECE"/>
    <w:rsid w:val="780738A1"/>
    <w:rsid w:val="78175E36"/>
    <w:rsid w:val="7831514A"/>
    <w:rsid w:val="78540E39"/>
    <w:rsid w:val="786377CF"/>
    <w:rsid w:val="78746AD7"/>
    <w:rsid w:val="78F341AE"/>
    <w:rsid w:val="78F477F3"/>
    <w:rsid w:val="78F55C1B"/>
    <w:rsid w:val="78FC1205"/>
    <w:rsid w:val="79264FB5"/>
    <w:rsid w:val="794669D3"/>
    <w:rsid w:val="795664F9"/>
    <w:rsid w:val="79773031"/>
    <w:rsid w:val="79975AC4"/>
    <w:rsid w:val="79C45B4A"/>
    <w:rsid w:val="79C61C18"/>
    <w:rsid w:val="79DA35C0"/>
    <w:rsid w:val="7A461715"/>
    <w:rsid w:val="7A802114"/>
    <w:rsid w:val="7A821C2B"/>
    <w:rsid w:val="7AF4245F"/>
    <w:rsid w:val="7B300133"/>
    <w:rsid w:val="7B3F535F"/>
    <w:rsid w:val="7B4231CA"/>
    <w:rsid w:val="7B486307"/>
    <w:rsid w:val="7B4E7DC1"/>
    <w:rsid w:val="7B694BFB"/>
    <w:rsid w:val="7B6D51B1"/>
    <w:rsid w:val="7B9251F3"/>
    <w:rsid w:val="7B961B1C"/>
    <w:rsid w:val="7BA06143"/>
    <w:rsid w:val="7BA21A11"/>
    <w:rsid w:val="7BD60115"/>
    <w:rsid w:val="7C1E59E5"/>
    <w:rsid w:val="7C3A20F4"/>
    <w:rsid w:val="7C5D375E"/>
    <w:rsid w:val="7C647170"/>
    <w:rsid w:val="7C7F3FAA"/>
    <w:rsid w:val="7C8116F6"/>
    <w:rsid w:val="7CC52E01"/>
    <w:rsid w:val="7CFE5D36"/>
    <w:rsid w:val="7D3E09EF"/>
    <w:rsid w:val="7D921E35"/>
    <w:rsid w:val="7DA8331F"/>
    <w:rsid w:val="7DBA7990"/>
    <w:rsid w:val="7DE40569"/>
    <w:rsid w:val="7E0C7AC0"/>
    <w:rsid w:val="7E1352F2"/>
    <w:rsid w:val="7E392BF4"/>
    <w:rsid w:val="7E4B1DBD"/>
    <w:rsid w:val="7E6D551F"/>
    <w:rsid w:val="7E8458A8"/>
    <w:rsid w:val="7E976CA7"/>
    <w:rsid w:val="7E9B03AD"/>
    <w:rsid w:val="7EC47257"/>
    <w:rsid w:val="7ED11297"/>
    <w:rsid w:val="7F002880"/>
    <w:rsid w:val="7F0F7867"/>
    <w:rsid w:val="7F1C7D9A"/>
    <w:rsid w:val="7F6C4CBA"/>
    <w:rsid w:val="7F8729B0"/>
    <w:rsid w:val="7F963AE5"/>
    <w:rsid w:val="7FCA05C5"/>
    <w:rsid w:val="7FE17456"/>
    <w:rsid w:val="7FFC32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宋体" w:hAnsi="宋体" w:cs="宋体"/>
      <w:sz w:val="24"/>
      <w:lang w:val="zh-CN" w:bidi="zh-CN"/>
    </w:rPr>
  </w:style>
  <w:style w:type="paragraph" w:styleId="6">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7">
    <w:name w:val="footer"/>
    <w:basedOn w:val="1"/>
    <w:link w:val="18"/>
    <w:qFormat/>
    <w:uiPriority w:val="99"/>
    <w:pPr>
      <w:tabs>
        <w:tab w:val="center" w:pos="4153"/>
        <w:tab w:val="right" w:pos="8306"/>
      </w:tabs>
      <w:snapToGrid w:val="0"/>
      <w:jc w:val="left"/>
    </w:pPr>
    <w:rPr>
      <w:sz w:val="18"/>
      <w:szCs w:val="18"/>
    </w:rPr>
  </w:style>
  <w:style w:type="paragraph" w:styleId="8">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cs="Times New Roman" w:asciiTheme="minorAscii" w:hAnsiTheme="minorAscii"/>
      <w:kern w:val="0"/>
      <w:sz w:val="24"/>
      <w:szCs w:val="22"/>
    </w:rPr>
  </w:style>
  <w:style w:type="paragraph" w:styleId="10">
    <w:name w:val="toc 2"/>
    <w:basedOn w:val="1"/>
    <w:next w:val="1"/>
    <w:unhideWhenUsed/>
    <w:qFormat/>
    <w:uiPriority w:val="39"/>
    <w:pPr>
      <w:widowControl/>
      <w:spacing w:after="100" w:line="259" w:lineRule="auto"/>
      <w:ind w:left="220"/>
      <w:jc w:val="left"/>
    </w:pPr>
    <w:rPr>
      <w:rFonts w:eastAsia="宋体" w:cs="Times New Roman" w:asciiTheme="minorAscii" w:hAnsiTheme="minorAscii"/>
      <w:kern w:val="0"/>
      <w:sz w:val="24"/>
    </w:rPr>
  </w:style>
  <w:style w:type="paragraph" w:styleId="11">
    <w:name w:val="Normal (Web)"/>
    <w:basedOn w:val="1"/>
    <w:qFormat/>
    <w:uiPriority w:val="0"/>
    <w:pPr>
      <w:spacing w:beforeAutospacing="1" w:afterAutospacing="1"/>
      <w:jc w:val="left"/>
    </w:pPr>
    <w:rPr>
      <w:rFonts w:cs="Times New Roman"/>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No Spacing"/>
    <w:basedOn w:val="1"/>
    <w:qFormat/>
    <w:uiPriority w:val="0"/>
    <w:pPr>
      <w:widowControl/>
      <w:spacing w:line="360" w:lineRule="auto"/>
      <w:ind w:firstLine="480" w:firstLineChars="200"/>
      <w:jc w:val="left"/>
    </w:pPr>
    <w:rPr>
      <w:sz w:val="22"/>
      <w:szCs w:val="22"/>
      <w:lang w:eastAsia="en-US" w:bidi="en-US"/>
    </w:rPr>
  </w:style>
  <w:style w:type="character" w:customStyle="1" w:styleId="17">
    <w:name w:val="页眉 字符"/>
    <w:basedOn w:val="14"/>
    <w:link w:val="8"/>
    <w:qFormat/>
    <w:uiPriority w:val="0"/>
    <w:rPr>
      <w:rFonts w:asciiTheme="minorHAnsi" w:hAnsiTheme="minorHAnsi" w:eastAsiaTheme="minorEastAsia" w:cstheme="minorBidi"/>
      <w:kern w:val="2"/>
      <w:sz w:val="18"/>
      <w:szCs w:val="18"/>
    </w:rPr>
  </w:style>
  <w:style w:type="character" w:customStyle="1" w:styleId="18">
    <w:name w:val="页脚 字符"/>
    <w:basedOn w:val="14"/>
    <w:link w:val="7"/>
    <w:qFormat/>
    <w:uiPriority w:val="99"/>
    <w:rPr>
      <w:rFonts w:asciiTheme="minorHAnsi" w:hAnsiTheme="minorHAnsi" w:eastAsiaTheme="minorEastAsia" w:cstheme="minorBidi"/>
      <w:kern w:val="2"/>
      <w:sz w:val="18"/>
      <w:szCs w:val="18"/>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footer" Target="foot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header" Target="head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247AF9-1B9E-4528-A78A-18F509A43D62}">
  <ds:schemaRefs/>
</ds:datastoreItem>
</file>

<file path=docProps/app.xml><?xml version="1.0" encoding="utf-8"?>
<Properties xmlns="http://schemas.openxmlformats.org/officeDocument/2006/extended-properties" xmlns:vt="http://schemas.openxmlformats.org/officeDocument/2006/docPropsVTypes">
  <Template>Normal.dotm</Template>
  <Company>曲靖市直属党政机关单位</Company>
  <Pages>52</Pages>
  <Words>36343</Words>
  <Characters>39883</Characters>
  <Lines>220</Lines>
  <Paragraphs>62</Paragraphs>
  <TotalTime>16</TotalTime>
  <ScaleCrop>false</ScaleCrop>
  <LinksUpToDate>false</LinksUpToDate>
  <CharactersWithSpaces>40232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2022-09-08T07:26:00Z</dcterms:created>
  <dc:creator>Administrator</dc:creator>
  <cp:lastModifiedBy>WPS_1577147775</cp:lastModifiedBy>
  <dcterms:modified xsi:type="dcterms:W3CDTF">2025-01-08T08:41:50Z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D8C4DE106A754AF0AF40DC0E5FBCE38E_13</vt:lpwstr>
  </property>
</Properties>
</file>