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000000" w:themeColor="text1"/>
          <w:sz w:val="84"/>
          <w:szCs w:val="84"/>
          <w:shd w:val="clear" w:color="auto" w:fill="FFFFFF"/>
          <w:lang w:val="en-US" w:eastAsia="zh-CN"/>
          <w14:textFill>
            <w14:solidFill>
              <w14:schemeClr w14:val="tx1"/>
            </w14:solidFill>
          </w14:textFill>
        </w:rPr>
      </w:pPr>
      <w:bookmarkStart w:id="45" w:name="_GoBack"/>
      <w:bookmarkEnd w:id="45"/>
      <w:r>
        <w:rPr>
          <w:rFonts w:hint="eastAsia" w:ascii="宋体" w:hAnsi="宋体" w:eastAsia="宋体" w:cs="宋体"/>
          <w:b/>
          <w:bCs/>
          <w:color w:val="000000" w:themeColor="text1"/>
          <w:sz w:val="84"/>
          <w:szCs w:val="84"/>
          <w:shd w:val="clear" w:color="auto" w:fill="FFFFFF"/>
          <w:lang w:val="en-US" w:eastAsia="zh-CN"/>
          <w14:textFill>
            <w14:solidFill>
              <w14:schemeClr w14:val="tx1"/>
            </w14:solidFill>
          </w14:textFill>
        </w:rPr>
        <w:t xml:space="preserve">  </w:t>
      </w:r>
    </w:p>
    <w:p>
      <w:pPr>
        <w:rPr>
          <w:rFonts w:ascii="宋体" w:hAnsi="宋体" w:eastAsia="宋体" w:cs="宋体"/>
          <w:b/>
          <w:bCs/>
          <w:color w:val="000000" w:themeColor="text1"/>
          <w:sz w:val="84"/>
          <w:szCs w:val="84"/>
          <w:shd w:val="clear" w:color="auto" w:fill="FFFFFF"/>
          <w14:textFill>
            <w14:solidFill>
              <w14:schemeClr w14:val="tx1"/>
            </w14:solidFill>
          </w14:textFill>
        </w:rPr>
      </w:pPr>
    </w:p>
    <w:p>
      <w:pPr>
        <w:rPr>
          <w:rFonts w:ascii="宋体" w:hAnsi="宋体" w:eastAsia="宋体" w:cs="宋体"/>
          <w:b/>
          <w:bCs/>
          <w:color w:val="000000" w:themeColor="text1"/>
          <w:sz w:val="84"/>
          <w:szCs w:val="84"/>
          <w:shd w:val="clear" w:color="auto" w:fill="FFFFFF"/>
          <w14:textFill>
            <w14:solidFill>
              <w14:schemeClr w14:val="tx1"/>
            </w14:solidFill>
          </w14:textFill>
        </w:rPr>
      </w:pPr>
    </w:p>
    <w:p>
      <w:pPr>
        <w:jc w:val="center"/>
        <w:rPr>
          <w:rFonts w:ascii="宋体" w:hAnsi="宋体" w:eastAsia="宋体" w:cs="宋体"/>
          <w:b/>
          <w:bCs/>
          <w:color w:val="000000" w:themeColor="text1"/>
          <w:sz w:val="84"/>
          <w:szCs w:val="84"/>
          <w:shd w:val="clear" w:color="auto" w:fill="FFFFFF"/>
          <w14:textFill>
            <w14:solidFill>
              <w14:schemeClr w14:val="tx1"/>
            </w14:solidFill>
          </w14:textFill>
        </w:rPr>
        <w:sectPr>
          <w:headerReference r:id="rId3" w:type="default"/>
          <w:pgSz w:w="23811" w:h="16838" w:orient="landscape"/>
          <w:pgMar w:top="1800" w:right="1440" w:bottom="1800" w:left="1440" w:header="851" w:footer="992" w:gutter="0"/>
          <w:pgNumType w:fmt="numberInDash"/>
          <w:cols w:space="840" w:num="2"/>
          <w:docGrid w:type="lines" w:linePitch="312" w:charSpace="0"/>
        </w:sectPr>
      </w:pPr>
    </w:p>
    <w:p>
      <w:pPr>
        <w:jc w:val="center"/>
        <w:rPr>
          <w:rFonts w:hint="eastAsia" w:ascii="宋体" w:hAnsi="宋体" w:eastAsia="宋体" w:cs="宋体"/>
          <w:b/>
          <w:bCs/>
          <w:color w:val="000000" w:themeColor="text1"/>
          <w:sz w:val="72"/>
          <w:szCs w:val="72"/>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72"/>
          <w:szCs w:val="72"/>
          <w:shd w:val="clear" w:color="auto" w:fill="FFFFFF"/>
          <w14:textFill>
            <w14:solidFill>
              <w14:schemeClr w14:val="tx1"/>
            </w14:solidFill>
          </w14:textFill>
        </w:rPr>
        <w:t>罗汉山产业园</w:t>
      </w:r>
      <w:r>
        <w:rPr>
          <w:rFonts w:hint="eastAsia" w:ascii="宋体" w:hAnsi="宋体" w:eastAsia="宋体" w:cs="宋体"/>
          <w:b/>
          <w:bCs/>
          <w:color w:val="000000" w:themeColor="text1"/>
          <w:sz w:val="72"/>
          <w:szCs w:val="72"/>
          <w:shd w:val="clear" w:color="auto" w:fill="FFFFFF"/>
          <w:lang w:val="en-US" w:eastAsia="zh-CN"/>
          <w14:textFill>
            <w14:solidFill>
              <w14:schemeClr w14:val="tx1"/>
            </w14:solidFill>
          </w14:textFill>
        </w:rPr>
        <w:t>区</w:t>
      </w:r>
      <w:r>
        <w:rPr>
          <w:rFonts w:hint="eastAsia" w:ascii="宋体" w:hAnsi="宋体" w:eastAsia="宋体" w:cs="宋体"/>
          <w:b/>
          <w:bCs/>
          <w:color w:val="000000" w:themeColor="text1"/>
          <w:sz w:val="72"/>
          <w:szCs w:val="72"/>
          <w:shd w:val="clear" w:color="auto" w:fill="FFFFFF"/>
          <w14:textFill>
            <w14:solidFill>
              <w14:schemeClr w14:val="tx1"/>
            </w14:solidFill>
          </w14:textFill>
        </w:rPr>
        <w:t>Q-32单元控制性详细规划</w:t>
      </w:r>
    </w:p>
    <w:p>
      <w:pPr>
        <w:jc w:val="center"/>
        <w:rPr>
          <w:rFonts w:hint="eastAsia" w:ascii="宋体" w:hAnsi="宋体" w:eastAsia="宋体" w:cs="宋体"/>
          <w:b/>
          <w:bCs/>
          <w:color w:val="000000" w:themeColor="text1"/>
          <w:sz w:val="72"/>
          <w:szCs w:val="72"/>
          <w:shd w:val="clear" w:color="auto" w:fill="FFFFFF"/>
          <w14:textFill>
            <w14:solidFill>
              <w14:schemeClr w14:val="tx1"/>
            </w14:solidFill>
          </w14:textFill>
        </w:rPr>
      </w:pPr>
      <w:r>
        <w:rPr>
          <w:rFonts w:hint="eastAsia" w:ascii="宋体" w:hAnsi="宋体" w:eastAsia="宋体" w:cs="宋体"/>
          <w:b/>
          <w:bCs/>
          <w:color w:val="000000" w:themeColor="text1"/>
          <w:sz w:val="72"/>
          <w:szCs w:val="72"/>
          <w:shd w:val="clear" w:color="auto" w:fill="FFFFFF"/>
          <w:lang w:val="en-US" w:eastAsia="zh-CN"/>
          <w14:textFill>
            <w14:solidFill>
              <w14:schemeClr w14:val="tx1"/>
            </w14:solidFill>
          </w14:textFill>
        </w:rPr>
        <w:t>及Q-29-01街区控制性详细规划</w:t>
      </w:r>
    </w:p>
    <w:p>
      <w:pPr>
        <w:jc w:val="center"/>
        <w:rPr>
          <w:rFonts w:ascii="宋体" w:hAnsi="宋体" w:eastAsia="宋体" w:cs="宋体"/>
          <w:b/>
          <w:bCs/>
          <w:color w:val="000000" w:themeColor="text1"/>
          <w:sz w:val="84"/>
          <w:szCs w:val="8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文本</w:t>
      </w: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sectPr>
          <w:type w:val="continuous"/>
          <w:pgSz w:w="23811" w:h="16838" w:orient="landscape"/>
          <w:pgMar w:top="1800" w:right="1440" w:bottom="1800" w:left="1440" w:header="851" w:footer="992" w:gutter="0"/>
          <w:pgNumType w:fmt="numberInDash"/>
          <w:cols w:space="425" w:num="1"/>
          <w:docGrid w:type="lines" w:linePitch="312" w:charSpace="0"/>
        </w:sectPr>
      </w:pPr>
      <w:r>
        <w:rPr>
          <w:rFonts w:hint="eastAsia" w:ascii="宋体" w:hAnsi="宋体" w:eastAsia="宋体" w:cs="宋体"/>
          <w:b/>
          <w:bCs/>
          <w:color w:val="000000" w:themeColor="text1"/>
          <w:sz w:val="44"/>
          <w:szCs w:val="44"/>
          <w:shd w:val="clear" w:color="auto" w:fill="FFFFFF"/>
          <w:lang w:val="en-US" w:eastAsia="zh-CN"/>
          <w14:textFill>
            <w14:solidFill>
              <w14:schemeClr w14:val="tx1"/>
            </w14:solidFill>
          </w14:textFill>
        </w:rPr>
        <w:t>2023</w:t>
      </w: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目  录</w:t>
      </w:r>
    </w:p>
    <w:sdt>
      <w:sdtPr>
        <w:rPr>
          <w:rFonts w:ascii="宋体" w:hAnsi="宋体" w:eastAsia="宋体"/>
        </w:rPr>
        <w:id w:val="147482614"/>
        <w15:color w:val="DBDBDB"/>
        <w:docPartObj>
          <w:docPartGallery w:val="Table of Contents"/>
          <w:docPartUnique/>
        </w:docPartObj>
      </w:sdtPr>
      <w:sdtEndPr>
        <w:rPr>
          <w:rFonts w:hint="eastAsia" w:ascii="宋体" w:hAnsi="宋体" w:eastAsia="宋体" w:cs="宋体"/>
          <w:bCs/>
          <w:color w:val="000000" w:themeColor="text1"/>
          <w:sz w:val="32"/>
          <w:szCs w:val="32"/>
          <w:shd w:val="clear" w:color="auto" w:fill="FFFFFF"/>
          <w14:textFill>
            <w14:solidFill>
              <w14:schemeClr w14:val="tx1"/>
            </w14:solidFill>
          </w14:textFill>
        </w:rPr>
      </w:sdtEndPr>
      <w:sdtContent>
        <w:p>
          <w:pPr>
            <w:jc w:val="center"/>
          </w:pPr>
        </w:p>
        <w:p>
          <w:pPr>
            <w:pStyle w:val="8"/>
            <w:tabs>
              <w:tab w:val="right" w:leader="dot" w:pos="10253"/>
            </w:tabs>
          </w:pP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instrText xml:space="preserve">TOC \o "1-1" \h \u </w:instrText>
          </w:r>
          <w:r>
            <w:rPr>
              <w:rFonts w:hint="eastAsia" w:asciiTheme="minorEastAsia" w:hAnsiTheme="minorEastAsia" w:eastAsiaTheme="minorEastAsia" w:cstheme="minorEastAsia"/>
              <w:b/>
              <w:bCs/>
              <w:color w:val="000000" w:themeColor="text1"/>
              <w:sz w:val="32"/>
              <w:szCs w:val="32"/>
              <w:shd w:val="clear" w:color="auto" w:fill="FFFFFF"/>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_Toc9552 </w:instrText>
          </w:r>
          <w:r>
            <w:rPr>
              <w:rFonts w:hint="eastAsia" w:asciiTheme="minorEastAsia" w:hAnsiTheme="minorEastAsia" w:eastAsiaTheme="minorEastAsia" w:cstheme="minorEastAsia"/>
              <w:bCs/>
              <w:szCs w:val="32"/>
              <w:shd w:val="clear" w:color="auto" w:fill="FFFFFF"/>
            </w:rPr>
            <w:fldChar w:fldCharType="separate"/>
          </w:r>
          <w:r>
            <w:rPr>
              <w:rFonts w:hint="eastAsia"/>
            </w:rPr>
            <w:t>第一章 总则</w:t>
          </w:r>
          <w:r>
            <w:tab/>
          </w:r>
          <w:r>
            <w:fldChar w:fldCharType="begin"/>
          </w:r>
          <w:r>
            <w:instrText xml:space="preserve"> PAGEREF _Toc9552 \h </w:instrText>
          </w:r>
          <w:r>
            <w:fldChar w:fldCharType="separate"/>
          </w:r>
          <w:r>
            <w:t>- 1 -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_Toc28205 </w:instrText>
          </w:r>
          <w:r>
            <w:rPr>
              <w:rFonts w:hint="eastAsia" w:asciiTheme="minorEastAsia" w:hAnsiTheme="minorEastAsia" w:eastAsiaTheme="minorEastAsia" w:cstheme="minorEastAsia"/>
              <w:bCs/>
              <w:szCs w:val="32"/>
              <w:shd w:val="clear" w:color="auto" w:fill="FFFFFF"/>
            </w:rPr>
            <w:fldChar w:fldCharType="separate"/>
          </w:r>
          <w:r>
            <w:rPr>
              <w:rFonts w:hint="eastAsia"/>
            </w:rPr>
            <w:t>第二章 规划</w:t>
          </w:r>
          <w:r>
            <w:rPr>
              <w:rFonts w:hint="eastAsia"/>
              <w:lang w:val="en-US" w:eastAsia="zh-CN"/>
            </w:rPr>
            <w:t>目标、定位</w:t>
          </w:r>
          <w:r>
            <w:rPr>
              <w:rFonts w:hint="eastAsia"/>
            </w:rPr>
            <w:t>及</w:t>
          </w:r>
          <w:r>
            <w:t>规模</w:t>
          </w:r>
          <w:r>
            <w:tab/>
          </w:r>
          <w:r>
            <w:fldChar w:fldCharType="begin"/>
          </w:r>
          <w:r>
            <w:instrText xml:space="preserve"> PAGEREF _Toc28205 \h </w:instrText>
          </w:r>
          <w:r>
            <w:fldChar w:fldCharType="separate"/>
          </w:r>
          <w:r>
            <w:t>- 1 -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_Toc12030 </w:instrText>
          </w:r>
          <w:r>
            <w:rPr>
              <w:rFonts w:hint="eastAsia" w:asciiTheme="minorEastAsia" w:hAnsiTheme="minorEastAsia" w:eastAsiaTheme="minorEastAsia" w:cstheme="minorEastAsia"/>
              <w:bCs/>
              <w:szCs w:val="32"/>
              <w:shd w:val="clear" w:color="auto" w:fill="FFFFFF"/>
            </w:rPr>
            <w:fldChar w:fldCharType="separate"/>
          </w:r>
          <w:r>
            <w:rPr>
              <w:rFonts w:hint="eastAsia"/>
              <w:szCs w:val="44"/>
            </w:rPr>
            <w:t>第三章 用地布局规划</w:t>
          </w:r>
          <w:r>
            <w:tab/>
          </w:r>
          <w:r>
            <w:fldChar w:fldCharType="begin"/>
          </w:r>
          <w:r>
            <w:instrText xml:space="preserve"> PAGEREF _Toc12030 \h </w:instrText>
          </w:r>
          <w:r>
            <w:fldChar w:fldCharType="separate"/>
          </w:r>
          <w:r>
            <w:t>- 2 -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_Toc28993 </w:instrText>
          </w:r>
          <w:r>
            <w:rPr>
              <w:rFonts w:hint="eastAsia" w:asciiTheme="minorEastAsia" w:hAnsiTheme="minorEastAsia" w:eastAsiaTheme="minorEastAsia" w:cstheme="minorEastAsia"/>
              <w:bCs/>
              <w:szCs w:val="32"/>
              <w:shd w:val="clear" w:color="auto" w:fill="FFFFFF"/>
            </w:rPr>
            <w:fldChar w:fldCharType="separate"/>
          </w:r>
          <w:r>
            <w:rPr>
              <w:rFonts w:hint="eastAsia"/>
            </w:rPr>
            <w:t>第四章 专项设施规划</w:t>
          </w:r>
          <w:r>
            <w:tab/>
          </w:r>
          <w:r>
            <w:fldChar w:fldCharType="begin"/>
          </w:r>
          <w:r>
            <w:instrText xml:space="preserve"> PAGEREF _Toc28993 \h </w:instrText>
          </w:r>
          <w:r>
            <w:fldChar w:fldCharType="separate"/>
          </w:r>
          <w:r>
            <w:t>- 3 -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_Toc22409 </w:instrText>
          </w:r>
          <w:r>
            <w:rPr>
              <w:rFonts w:hint="eastAsia" w:asciiTheme="minorEastAsia" w:hAnsiTheme="minorEastAsia" w:eastAsiaTheme="minorEastAsia" w:cstheme="minorEastAsia"/>
              <w:bCs/>
              <w:szCs w:val="32"/>
              <w:shd w:val="clear" w:color="auto" w:fill="FFFFFF"/>
            </w:rPr>
            <w:fldChar w:fldCharType="separate"/>
          </w:r>
          <w:r>
            <w:rPr>
              <w:rFonts w:hint="eastAsia"/>
            </w:rPr>
            <w:t>第五章 地块指标控制</w:t>
          </w:r>
          <w:r>
            <w:tab/>
          </w:r>
          <w:r>
            <w:fldChar w:fldCharType="begin"/>
          </w:r>
          <w:r>
            <w:instrText xml:space="preserve"> PAGEREF _Toc22409 \h </w:instrText>
          </w:r>
          <w:r>
            <w:fldChar w:fldCharType="separate"/>
          </w:r>
          <w:r>
            <w:t>- 7 -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_Toc11246 </w:instrText>
          </w:r>
          <w:r>
            <w:rPr>
              <w:rFonts w:hint="eastAsia" w:asciiTheme="minorEastAsia" w:hAnsiTheme="minorEastAsia" w:eastAsiaTheme="minorEastAsia" w:cstheme="minorEastAsia"/>
              <w:bCs/>
              <w:szCs w:val="32"/>
              <w:shd w:val="clear" w:color="auto" w:fill="FFFFFF"/>
            </w:rPr>
            <w:fldChar w:fldCharType="separate"/>
          </w:r>
          <w:r>
            <w:rPr>
              <w:rFonts w:hint="eastAsia"/>
            </w:rPr>
            <w:t>第六章 城市设计引导</w:t>
          </w:r>
          <w:r>
            <w:tab/>
          </w:r>
          <w:r>
            <w:fldChar w:fldCharType="begin"/>
          </w:r>
          <w:r>
            <w:instrText xml:space="preserve"> PAGEREF _Toc11246 \h </w:instrText>
          </w:r>
          <w:r>
            <w:fldChar w:fldCharType="separate"/>
          </w:r>
          <w:r>
            <w:t>- 8 -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_Toc11701 </w:instrText>
          </w:r>
          <w:r>
            <w:rPr>
              <w:rFonts w:hint="eastAsia" w:asciiTheme="minorEastAsia" w:hAnsiTheme="minorEastAsia" w:eastAsiaTheme="minorEastAsia" w:cstheme="minorEastAsia"/>
              <w:bCs/>
              <w:szCs w:val="32"/>
              <w:shd w:val="clear" w:color="auto" w:fill="FFFFFF"/>
            </w:rPr>
            <w:fldChar w:fldCharType="separate"/>
          </w:r>
          <w:r>
            <w:rPr>
              <w:rFonts w:hint="eastAsia"/>
            </w:rPr>
            <w:t xml:space="preserve">第七章 </w:t>
          </w:r>
          <w:r>
            <w:rPr>
              <w:rFonts w:hint="eastAsia"/>
              <w:lang w:val="en-US" w:eastAsia="zh-CN"/>
            </w:rPr>
            <w:t>分期建设</w:t>
          </w:r>
          <w:r>
            <w:rPr>
              <w:rFonts w:hint="eastAsia"/>
            </w:rPr>
            <w:t>规划</w:t>
          </w:r>
          <w:r>
            <w:tab/>
          </w:r>
          <w:r>
            <w:fldChar w:fldCharType="begin"/>
          </w:r>
          <w:r>
            <w:instrText xml:space="preserve"> PAGEREF _Toc11701 \h </w:instrText>
          </w:r>
          <w:r>
            <w:fldChar w:fldCharType="separate"/>
          </w:r>
          <w:r>
            <w:t>- 10 -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_Toc11624 </w:instrText>
          </w:r>
          <w:r>
            <w:rPr>
              <w:rFonts w:hint="eastAsia" w:asciiTheme="minorEastAsia" w:hAnsiTheme="minorEastAsia" w:eastAsiaTheme="minorEastAsia" w:cstheme="minorEastAsia"/>
              <w:bCs/>
              <w:szCs w:val="32"/>
              <w:shd w:val="clear" w:color="auto" w:fill="FFFFFF"/>
            </w:rPr>
            <w:fldChar w:fldCharType="separate"/>
          </w:r>
          <w:r>
            <w:rPr>
              <w:rFonts w:hint="eastAsia"/>
            </w:rPr>
            <w:t>第八章 实施</w:t>
          </w:r>
          <w:r>
            <w:rPr>
              <w:rFonts w:hint="eastAsia"/>
              <w:lang w:val="en-US" w:eastAsia="zh-CN"/>
            </w:rPr>
            <w:t>建议与保障</w:t>
          </w:r>
          <w:r>
            <w:rPr>
              <w:rFonts w:hint="eastAsia"/>
            </w:rPr>
            <w:t>措施</w:t>
          </w:r>
          <w:r>
            <w:tab/>
          </w:r>
          <w:r>
            <w:fldChar w:fldCharType="begin"/>
          </w:r>
          <w:r>
            <w:instrText xml:space="preserve"> PAGEREF _Toc11624 \h </w:instrText>
          </w:r>
          <w:r>
            <w:fldChar w:fldCharType="separate"/>
          </w:r>
          <w:r>
            <w:t>- 10 -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pStyle w:val="8"/>
            <w:tabs>
              <w:tab w:val="right" w:leader="dot" w:pos="10253"/>
            </w:tabs>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begin"/>
          </w:r>
          <w:r>
            <w:rPr>
              <w:rFonts w:hint="eastAsia" w:asciiTheme="minorEastAsia" w:hAnsiTheme="minorEastAsia" w:eastAsiaTheme="minorEastAsia" w:cstheme="minorEastAsia"/>
              <w:bCs/>
              <w:szCs w:val="32"/>
              <w:shd w:val="clear" w:color="auto" w:fill="FFFFFF"/>
            </w:rPr>
            <w:instrText xml:space="preserve"> HYPERLINK \l _Toc22885 </w:instrText>
          </w:r>
          <w:r>
            <w:rPr>
              <w:rFonts w:hint="eastAsia" w:asciiTheme="minorEastAsia" w:hAnsiTheme="minorEastAsia" w:eastAsiaTheme="minorEastAsia" w:cstheme="minorEastAsia"/>
              <w:bCs/>
              <w:szCs w:val="32"/>
              <w:shd w:val="clear" w:color="auto" w:fill="FFFFFF"/>
            </w:rPr>
            <w:fldChar w:fldCharType="separate"/>
          </w:r>
          <w:r>
            <w:rPr>
              <w:rFonts w:hint="eastAsia"/>
              <w:lang w:val="zh-CN"/>
            </w:rPr>
            <w:t>附表</w:t>
          </w:r>
          <w:r>
            <w:tab/>
          </w:r>
          <w:r>
            <w:fldChar w:fldCharType="begin"/>
          </w:r>
          <w:r>
            <w:instrText xml:space="preserve"> PAGEREF _Toc22885 \h </w:instrText>
          </w:r>
          <w:r>
            <w:fldChar w:fldCharType="separate"/>
          </w:r>
          <w:r>
            <w:t>- 11 -</w:t>
          </w:r>
          <w:r>
            <w:fldChar w:fldCharType="end"/>
          </w: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p>
          <w:pPr>
            <w:jc w:val="center"/>
            <w:rPr>
              <w:rFonts w:hint="eastAsia" w:ascii="宋体" w:hAnsi="宋体" w:eastAsia="宋体" w:cs="宋体"/>
              <w:b/>
              <w:bCs/>
              <w:color w:val="000000" w:themeColor="text1"/>
              <w:sz w:val="32"/>
              <w:szCs w:val="32"/>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Cs w:val="32"/>
              <w:shd w:val="clear" w:color="auto" w:fill="FFFFFF"/>
              <w14:textFill>
                <w14:solidFill>
                  <w14:schemeClr w14:val="tx1"/>
                </w14:solidFill>
              </w14:textFill>
            </w:rPr>
            <w:fldChar w:fldCharType="end"/>
          </w:r>
        </w:p>
      </w:sdtContent>
    </w:sdt>
    <w:p>
      <w:pPr>
        <w:jc w:val="center"/>
        <w:rPr>
          <w:rFonts w:ascii="宋体" w:hAnsi="宋体" w:eastAsia="宋体" w:cs="宋体"/>
          <w:b/>
          <w:bCs/>
          <w:color w:val="000000" w:themeColor="text1"/>
          <w:sz w:val="44"/>
          <w:szCs w:val="44"/>
          <w:shd w:val="clear" w:color="auto" w:fill="FFFFFF"/>
          <w14:textFill>
            <w14:solidFill>
              <w14:schemeClr w14:val="tx1"/>
            </w14:solidFill>
          </w14:textFill>
        </w:rPr>
      </w:pPr>
    </w:p>
    <w:p>
      <w:pPr>
        <w:jc w:val="center"/>
        <w:rPr>
          <w:rFonts w:ascii="宋体" w:hAnsi="宋体" w:eastAsia="宋体" w:cs="宋体"/>
          <w:b/>
          <w:bCs/>
          <w:color w:val="000000" w:themeColor="text1"/>
          <w:sz w:val="44"/>
          <w:szCs w:val="44"/>
          <w:shd w:val="clear" w:color="auto" w:fill="FFFFFF"/>
          <w14:textFill>
            <w14:solidFill>
              <w14:schemeClr w14:val="tx1"/>
            </w14:solidFill>
          </w14:textFill>
        </w:rPr>
        <w:sectPr>
          <w:type w:val="continuous"/>
          <w:pgSz w:w="23811" w:h="16838" w:orient="landscape"/>
          <w:pgMar w:top="1800" w:right="1440" w:bottom="1800" w:left="1440" w:header="851" w:footer="992" w:gutter="0"/>
          <w:pgNumType w:fmt="numberInDash"/>
          <w:cols w:equalWidth="0" w:num="2">
            <w:col w:w="10253" w:space="425"/>
            <w:col w:w="10253"/>
          </w:cols>
          <w:docGrid w:type="lines" w:linePitch="312" w:charSpace="0"/>
        </w:sectPr>
      </w:pPr>
    </w:p>
    <w:p>
      <w:pPr>
        <w:pStyle w:val="2"/>
        <w:numPr>
          <w:ilvl w:val="0"/>
          <w:numId w:val="1"/>
        </w:num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0" w:name="_Toc9552"/>
      <w:r>
        <w:rPr>
          <w:rFonts w:hint="eastAsia"/>
          <w:color w:val="000000" w:themeColor="text1"/>
          <w14:textFill>
            <w14:solidFill>
              <w14:schemeClr w14:val="tx1"/>
            </w14:solidFill>
          </w14:textFill>
        </w:rPr>
        <w:t>总则</w:t>
      </w:r>
      <w:bookmarkEnd w:id="0"/>
    </w:p>
    <w:p>
      <w:pPr>
        <w:numPr>
          <w:ilvl w:val="0"/>
          <w:numId w:val="2"/>
        </w:numPr>
        <w:spacing w:line="360" w:lineRule="auto"/>
        <w:ind w:left="0" w:firstLine="560" w:firstLineChars="200"/>
        <w:rPr>
          <w:rFonts w:ascii="宋体" w:hAnsi="宋体"/>
          <w:bCs/>
          <w:sz w:val="28"/>
          <w:szCs w:val="28"/>
        </w:rPr>
      </w:pPr>
      <w:r>
        <w:rPr>
          <w:rFonts w:hint="eastAsia" w:ascii="宋体" w:hAnsi="宋体" w:eastAsia="宋体" w:cs="宋体"/>
          <w:color w:val="000000" w:themeColor="text1"/>
          <w:sz w:val="28"/>
          <w:szCs w:val="28"/>
          <w:shd w:val="clear" w:color="auto" w:fill="FFFFFF"/>
          <w14:textFill>
            <w14:solidFill>
              <w14:schemeClr w14:val="tx1"/>
            </w14:solidFill>
          </w14:textFill>
        </w:rPr>
        <w:t>加快项目快速落地，支撑产业园区未来发展，以具体项目来带动周边经济发展；通过落实上位规划要求，结合省市级对片区规划定位，依托高速公路优势，积极推动片区土地开发利用；通过梳理片区路网研究发展脉络和完善产业功能配套，提高麒麟区招商引资吸引力，打造产、城、人高度融合的空间脉络。因此，编制《罗汉山产业园区Q-32单元控制性详细规划及Q-29-01街区控制性详细规划》。</w:t>
      </w:r>
    </w:p>
    <w:p>
      <w:pPr>
        <w:numPr>
          <w:ilvl w:val="0"/>
          <w:numId w:val="2"/>
        </w:numPr>
        <w:spacing w:line="360" w:lineRule="auto"/>
        <w:ind w:left="0" w:firstLine="560" w:firstLineChars="200"/>
        <w:rPr>
          <w:rFonts w:ascii="宋体" w:hAnsi="宋体"/>
          <w:bCs/>
          <w:sz w:val="28"/>
          <w:szCs w:val="28"/>
        </w:rPr>
      </w:pPr>
      <w:r>
        <w:rPr>
          <w:rFonts w:hint="eastAsia" w:ascii="宋体" w:hAnsi="宋体"/>
          <w:bCs/>
          <w:sz w:val="28"/>
          <w:szCs w:val="28"/>
        </w:rPr>
        <w:t>本规划成果由文本、图册、说明书三部分构成，文本与图册配套使用，二者不可分割，具有同等法律效力。文本中</w:t>
      </w:r>
      <w:r>
        <w:rPr>
          <w:rFonts w:hint="eastAsia" w:ascii="宋体" w:hAnsi="宋体"/>
          <w:b/>
          <w:bCs/>
          <w:sz w:val="28"/>
          <w:szCs w:val="28"/>
          <w:u w:val="single"/>
        </w:rPr>
        <w:t>黑体字下划线</w:t>
      </w:r>
      <w:r>
        <w:rPr>
          <w:rFonts w:hint="eastAsia" w:ascii="宋体" w:hAnsi="宋体"/>
          <w:bCs/>
          <w:sz w:val="28"/>
          <w:szCs w:val="28"/>
        </w:rPr>
        <w:t>的内容为强制性内容，是对本规划实施监督检查的基本依据，违反本规划强制性内容进行建设的任何行为，将依法进行查处。</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规划范围</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本次规划区位于中心城区罗汉山绿色食品产业园区，东至曲陆高速，西至寥廓南路，南至青峰村委会，北至蓟河路，规划面积约322.5公顷。</w:t>
      </w:r>
    </w:p>
    <w:p>
      <w:pPr>
        <w:numPr>
          <w:ilvl w:val="0"/>
          <w:numId w:val="2"/>
        </w:numPr>
        <w:spacing w:line="360" w:lineRule="auto"/>
        <w:ind w:left="0" w:firstLine="562" w:firstLineChars="200"/>
        <w:rPr>
          <w:rFonts w:ascii="宋体" w:hAnsi="宋体"/>
          <w:b/>
          <w:sz w:val="28"/>
          <w:szCs w:val="28"/>
        </w:rPr>
      </w:pPr>
      <w:r>
        <w:rPr>
          <w:rFonts w:hint="eastAsia" w:ascii="宋体" w:hAnsi="宋体"/>
          <w:b/>
          <w:bCs/>
          <w:sz w:val="28"/>
          <w:szCs w:val="28"/>
        </w:rPr>
        <w:t>规划依据</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1、《中华人民共和国城乡规划法》（2019年）；</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2、《中华人民共和国土地管理法》（2019年）；</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3、《城市规划编制办法》（建规[2005]146号2006）；</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4、《城市、镇控制性详细规划编制审批办法》（2011年）；</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5、《国土空间调查、规划、用途管制用地用海分类指南（</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试</w:t>
      </w:r>
      <w:r>
        <w:rPr>
          <w:rFonts w:hint="eastAsia" w:ascii="宋体" w:hAnsi="宋体" w:eastAsia="宋体" w:cs="宋体"/>
          <w:color w:val="000000" w:themeColor="text1"/>
          <w:sz w:val="28"/>
          <w:szCs w:val="28"/>
          <w:shd w:val="clear" w:color="auto" w:fill="FFFFFF"/>
          <w14:textFill>
            <w14:solidFill>
              <w14:schemeClr w14:val="tx1"/>
            </w14:solidFill>
          </w14:textFill>
        </w:rPr>
        <w:t>行）》；</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6、《云南省规划管理条例》；</w:t>
      </w:r>
    </w:p>
    <w:p>
      <w:pPr>
        <w:spacing w:line="360" w:lineRule="auto"/>
        <w:ind w:firstLine="560" w:firstLineChars="200"/>
        <w:rPr>
          <w:rFonts w:hint="default"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8"/>
          <w:szCs w:val="28"/>
          <w:shd w:val="clear" w:color="auto" w:fill="FFFFFF"/>
          <w14:textFill>
            <w14:solidFill>
              <w14:schemeClr w14:val="tx1"/>
            </w14:solidFill>
          </w14:textFill>
        </w:rPr>
        <w:t>《工业项目建设用地控制指标》</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2008年）；</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8"/>
          <w:szCs w:val="28"/>
          <w:shd w:val="clear" w:color="auto" w:fill="FFFFFF"/>
          <w14:textFill>
            <w14:solidFill>
              <w14:schemeClr w14:val="tx1"/>
            </w14:solidFill>
          </w14:textFill>
        </w:rPr>
        <w:t>、《城市道路交通规划设计规划》；</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8"/>
          <w:szCs w:val="28"/>
          <w:shd w:val="clear" w:color="auto" w:fill="FFFFFF"/>
          <w14:textFill>
            <w14:solidFill>
              <w14:schemeClr w14:val="tx1"/>
            </w14:solidFill>
          </w14:textFill>
        </w:rPr>
        <w:t>《云南省工业园区管理办法》（云政发〔2012〕179号）；</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8"/>
          <w:szCs w:val="28"/>
          <w:shd w:val="clear" w:color="auto" w:fill="FFFFFF"/>
          <w14:textFill>
            <w14:solidFill>
              <w14:schemeClr w14:val="tx1"/>
            </w14:solidFill>
          </w14:textFill>
        </w:rPr>
        <w:t>、《云南省人民政府关于印发云南省工业园区产业布局规划（2016—2025年）的通知》（云政发〔2016〕96号）；</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11</w:t>
      </w:r>
      <w:r>
        <w:rPr>
          <w:rFonts w:hint="eastAsia" w:ascii="宋体" w:hAnsi="宋体" w:eastAsia="宋体" w:cs="宋体"/>
          <w:color w:val="000000" w:themeColor="text1"/>
          <w:sz w:val="28"/>
          <w:szCs w:val="28"/>
          <w:shd w:val="clear" w:color="auto" w:fill="FFFFFF"/>
          <w14:textFill>
            <w14:solidFill>
              <w14:schemeClr w14:val="tx1"/>
            </w14:solidFill>
          </w14:textFill>
        </w:rPr>
        <w:t>、《曲靖中心城区规划管理技术规定》</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2021</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w:t>
      </w:r>
    </w:p>
    <w:p>
      <w:pPr>
        <w:spacing w:line="360" w:lineRule="auto"/>
        <w:ind w:firstLine="560" w:firstLineChars="20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12、《曲靖市国土空间总体规划》（2021-2035）；</w:t>
      </w:r>
    </w:p>
    <w:p>
      <w:pPr>
        <w:spacing w:line="360" w:lineRule="auto"/>
        <w:ind w:firstLine="560" w:firstLineChars="20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13、《曲靖市控制性详细规划编制指南（试行）》；</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14</w:t>
      </w:r>
      <w:r>
        <w:rPr>
          <w:rFonts w:hint="eastAsia" w:ascii="宋体" w:hAnsi="宋体" w:eastAsia="宋体" w:cs="宋体"/>
          <w:color w:val="000000" w:themeColor="text1"/>
          <w:sz w:val="28"/>
          <w:szCs w:val="28"/>
          <w:shd w:val="clear" w:color="auto" w:fill="FFFFFF"/>
          <w14:textFill>
            <w14:solidFill>
              <w14:schemeClr w14:val="tx1"/>
            </w14:solidFill>
          </w14:textFill>
        </w:rPr>
        <w:t>、国家及地方相关法律、规范、规定。</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编制原则</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（1）绿色发展原则 </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（2）产城融合发展原则 </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（3）整体效益最优原则 </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（4）用地集约高效原则</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8"/>
          <w:szCs w:val="28"/>
          <w:shd w:val="clear" w:color="auto" w:fill="FFFFFF"/>
          <w14:textFill>
            <w14:solidFill>
              <w14:schemeClr w14:val="tx1"/>
            </w14:solidFill>
          </w14:textFill>
        </w:rPr>
        <w:t xml:space="preserve">可持续发展原则 </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 xml:space="preserve">）动态规划原则 </w:t>
      </w:r>
    </w:p>
    <w:p>
      <w:pPr>
        <w:pStyle w:val="2"/>
        <w:numPr>
          <w:ilvl w:val="0"/>
          <w:numId w:val="1"/>
        </w:numPr>
        <w:jc w:val="center"/>
        <w:rPr>
          <w:color w:val="000000" w:themeColor="text1"/>
          <w14:textFill>
            <w14:solidFill>
              <w14:schemeClr w14:val="tx1"/>
            </w14:solidFill>
          </w14:textFill>
        </w:rPr>
      </w:pPr>
      <w:bookmarkStart w:id="1" w:name="_Toc28205"/>
      <w:r>
        <w:rPr>
          <w:rFonts w:hint="eastAsia"/>
          <w:color w:val="000000" w:themeColor="text1"/>
          <w14:textFill>
            <w14:solidFill>
              <w14:schemeClr w14:val="tx1"/>
            </w14:solidFill>
          </w14:textFill>
        </w:rPr>
        <w:t>规划</w:t>
      </w:r>
      <w:r>
        <w:rPr>
          <w:rFonts w:hint="eastAsia"/>
          <w:color w:val="000000" w:themeColor="text1"/>
          <w:lang w:val="en-US" w:eastAsia="zh-CN"/>
          <w14:textFill>
            <w14:solidFill>
              <w14:schemeClr w14:val="tx1"/>
            </w14:solidFill>
          </w14:textFill>
        </w:rPr>
        <w:t>目标、定位</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规模</w:t>
      </w:r>
      <w:bookmarkEnd w:id="1"/>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规划</w:t>
      </w:r>
      <w:r>
        <w:rPr>
          <w:rFonts w:hint="eastAsia" w:ascii="宋体" w:hAnsi="宋体"/>
          <w:b/>
          <w:bCs/>
          <w:sz w:val="28"/>
          <w:szCs w:val="28"/>
          <w:lang w:val="en-US" w:eastAsia="zh-CN"/>
        </w:rPr>
        <w:t>原则</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以国家及省市规划为指导，符合国家产业政策原则</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）以市场为导向原则</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）发展循环经济，可持续发展原则</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）突出特色，发挥比较优势原则</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）可操作性原则</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）重点推进、循序渐进的原则</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规划目标</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根据省市级对片区规划定位，依托高速公路的交通优势，构建以物流仓储为引擎，以高</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端</w:t>
      </w:r>
      <w:r>
        <w:rPr>
          <w:rFonts w:hint="eastAsia" w:ascii="宋体" w:hAnsi="宋体" w:eastAsia="宋体" w:cs="宋体"/>
          <w:color w:val="000000" w:themeColor="text1"/>
          <w:sz w:val="28"/>
          <w:szCs w:val="28"/>
          <w:shd w:val="clear" w:color="auto" w:fill="FFFFFF"/>
          <w14:textFill>
            <w14:solidFill>
              <w14:schemeClr w14:val="tx1"/>
            </w14:solidFill>
          </w14:textFill>
        </w:rPr>
        <w:t>食品加工、生物医药、仓储物流产业为主要功能，建设成产城融合一体化的城市新区，打造服务滇东、辐射西南的绿色食品产业园区。</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功能定位</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结合全市“高端食品基地”“产业转型示范区”</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的</w:t>
      </w:r>
      <w:r>
        <w:rPr>
          <w:rFonts w:hint="eastAsia" w:ascii="宋体" w:hAnsi="宋体" w:eastAsia="宋体" w:cs="宋体"/>
          <w:color w:val="000000" w:themeColor="text1"/>
          <w:sz w:val="28"/>
          <w:szCs w:val="28"/>
          <w:shd w:val="clear" w:color="auto" w:fill="FFFFFF"/>
          <w14:textFill>
            <w14:solidFill>
              <w14:schemeClr w14:val="tx1"/>
            </w14:solidFill>
          </w14:textFill>
        </w:rPr>
        <w:t>发展定位，通过聚焦农产品精深加工细分领域，以生活物资配送、生产加工、生物医药、仓储物流为主要功能，用地功能划分为“高端绿色食品加工、仓储物流、生物医药”三大分区</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产业发展思路</w:t>
      </w:r>
    </w:p>
    <w:p>
      <w:pPr>
        <w:spacing w:line="360" w:lineRule="auto"/>
        <w:ind w:firstLine="560" w:firstLineChars="200"/>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坚持“突出特色、精准定位、优势互补、错位发展”总体思路，围绕项目推动片区工业园区高质量发展，着力构建“核心区+延伸区+联动区”协同发展新格局。通过政府主导，企业引进，建设特色高端绿色产业园区，发展特色产业群，是加快产业升级和提高产品竞争力的需要；致力打造服务滇东、辐射西南的高端绿色食品产业园区。</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用地</w:t>
      </w:r>
      <w:r>
        <w:rPr>
          <w:rFonts w:hint="eastAsia" w:ascii="宋体" w:hAnsi="宋体"/>
          <w:b/>
          <w:bCs/>
          <w:sz w:val="28"/>
          <w:szCs w:val="28"/>
        </w:rPr>
        <w:t>规模</w:t>
      </w:r>
    </w:p>
    <w:p>
      <w:pPr>
        <w:numPr>
          <w:ilvl w:val="0"/>
          <w:numId w:val="0"/>
        </w:numPr>
        <w:spacing w:line="360" w:lineRule="auto"/>
        <w:ind w:leftChars="200"/>
        <w:rPr>
          <w:rFonts w:ascii="宋体" w:hAnsi="宋体"/>
          <w:b/>
          <w:bCs/>
          <w:sz w:val="28"/>
          <w:szCs w:val="28"/>
        </w:rPr>
      </w:pPr>
      <w:r>
        <w:rPr>
          <w:rFonts w:hint="eastAsia" w:ascii="宋体" w:hAnsi="宋体" w:eastAsia="宋体" w:cs="宋体"/>
          <w:color w:val="000000" w:themeColor="text1"/>
          <w:sz w:val="28"/>
          <w:szCs w:val="28"/>
          <w:shd w:val="clear" w:color="auto" w:fill="FFFFFF"/>
          <w14:textFill>
            <w14:solidFill>
              <w14:schemeClr w14:val="tx1"/>
            </w14:solidFill>
          </w14:textFill>
        </w:rPr>
        <w:t>本次规划片区面积约</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322.5</w:t>
      </w:r>
      <w:r>
        <w:rPr>
          <w:rFonts w:hint="eastAsia" w:ascii="宋体" w:hAnsi="宋体" w:eastAsia="宋体" w:cs="宋体"/>
          <w:color w:val="000000" w:themeColor="text1"/>
          <w:sz w:val="28"/>
          <w:szCs w:val="28"/>
          <w:shd w:val="clear" w:color="auto" w:fill="FFFFFF"/>
          <w14:textFill>
            <w14:solidFill>
              <w14:schemeClr w14:val="tx1"/>
            </w14:solidFill>
          </w14:textFill>
        </w:rPr>
        <w:t>公顷。</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产城融合与就业人口预估</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本次规划范围内无居住用地，根据产城融合与就业人口预估，人口采用产业用地支撑总人口方法计算。产业园区至规划期末（2035年），产业用地支撑的总人口为1</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.68</w:t>
      </w:r>
      <w:r>
        <w:rPr>
          <w:rFonts w:hint="eastAsia" w:ascii="宋体" w:hAnsi="宋体" w:eastAsia="宋体" w:cs="宋体"/>
          <w:color w:val="000000" w:themeColor="text1"/>
          <w:sz w:val="28"/>
          <w:szCs w:val="28"/>
          <w:shd w:val="clear" w:color="auto" w:fill="FFFFFF"/>
          <w14:textFill>
            <w14:solidFill>
              <w14:schemeClr w14:val="tx1"/>
            </w14:solidFill>
          </w14:textFill>
        </w:rPr>
        <w:t>万人。</w:t>
      </w:r>
    </w:p>
    <w:p>
      <w:pPr>
        <w:pStyle w:val="2"/>
        <w:numPr>
          <w:ilvl w:val="0"/>
          <w:numId w:val="1"/>
        </w:numPr>
        <w:jc w:val="center"/>
        <w:rPr>
          <w:color w:val="000000" w:themeColor="text1"/>
          <w:szCs w:val="44"/>
          <w14:textFill>
            <w14:solidFill>
              <w14:schemeClr w14:val="tx1"/>
            </w14:solidFill>
          </w14:textFill>
        </w:rPr>
      </w:pPr>
      <w:bookmarkStart w:id="2" w:name="_Toc12030"/>
      <w:r>
        <w:rPr>
          <w:rFonts w:hint="eastAsia"/>
          <w:color w:val="000000" w:themeColor="text1"/>
          <w:szCs w:val="44"/>
          <w14:textFill>
            <w14:solidFill>
              <w14:schemeClr w14:val="tx1"/>
            </w14:solidFill>
          </w14:textFill>
        </w:rPr>
        <w:t>用地布局规划</w:t>
      </w:r>
      <w:bookmarkEnd w:id="2"/>
    </w:p>
    <w:p>
      <w:pPr>
        <w:numPr>
          <w:ilvl w:val="0"/>
          <w:numId w:val="2"/>
        </w:numPr>
        <w:spacing w:line="360" w:lineRule="auto"/>
        <w:ind w:left="0"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布局</w:t>
      </w:r>
      <w:r>
        <w:rPr>
          <w:rFonts w:ascii="宋体" w:hAnsi="宋体"/>
          <w:b/>
          <w:bCs/>
          <w:color w:val="000000" w:themeColor="text1"/>
          <w:sz w:val="28"/>
          <w:szCs w:val="28"/>
          <w14:textFill>
            <w14:solidFill>
              <w14:schemeClr w14:val="tx1"/>
            </w14:solidFill>
          </w14:textFill>
        </w:rPr>
        <w:t>原则</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品质提升原则：提升城市品质，产城融合展示。</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绿色生态原则：推崇绿色价值，建设生态文明。</w:t>
      </w:r>
    </w:p>
    <w:p>
      <w:pPr>
        <w:spacing w:line="360" w:lineRule="auto"/>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开放共享原则：积极融入区域，资源共享共用。</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创新人本原则：完善区域配套，发展以人为本。</w:t>
      </w:r>
    </w:p>
    <w:p>
      <w:pPr>
        <w:numPr>
          <w:ilvl w:val="0"/>
          <w:numId w:val="2"/>
        </w:numPr>
        <w:spacing w:line="360" w:lineRule="auto"/>
        <w:ind w:left="0"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用地布局规划</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规划片区总用地</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322.5</w:t>
      </w:r>
      <w:r>
        <w:rPr>
          <w:rFonts w:hint="eastAsia" w:ascii="宋体" w:hAnsi="宋体" w:eastAsia="宋体" w:cs="宋体"/>
          <w:color w:val="000000" w:themeColor="text1"/>
          <w:sz w:val="28"/>
          <w:szCs w:val="28"/>
          <w:shd w:val="clear" w:color="auto" w:fill="FFFFFF"/>
          <w14:textFill>
            <w14:solidFill>
              <w14:schemeClr w14:val="tx1"/>
            </w14:solidFill>
          </w14:textFill>
        </w:rPr>
        <w:t>公顷，商业服务业用地面积为</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19.64</w:t>
      </w:r>
      <w:r>
        <w:rPr>
          <w:rFonts w:hint="eastAsia" w:ascii="宋体" w:hAnsi="宋体" w:eastAsia="宋体" w:cs="宋体"/>
          <w:color w:val="000000" w:themeColor="text1"/>
          <w:sz w:val="28"/>
          <w:szCs w:val="28"/>
          <w:shd w:val="clear" w:color="auto" w:fill="FFFFFF"/>
          <w14:textFill>
            <w14:solidFill>
              <w14:schemeClr w14:val="tx1"/>
            </w14:solidFill>
          </w14:textFill>
        </w:rPr>
        <w:t>公顷，占总规划区建设用地面积的</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6.09</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工矿用地面积为127.03公顷，占总规划区建设用地面积的39.39%；仓储用地</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面积为</w:t>
      </w:r>
      <w:r>
        <w:rPr>
          <w:rFonts w:hint="eastAsia" w:ascii="宋体" w:hAnsi="宋体" w:eastAsia="宋体" w:cs="宋体"/>
          <w:color w:val="000000" w:themeColor="text1"/>
          <w:sz w:val="28"/>
          <w:szCs w:val="28"/>
          <w:shd w:val="clear" w:color="auto" w:fill="FFFFFF"/>
          <w14:textFill>
            <w14:solidFill>
              <w14:schemeClr w14:val="tx1"/>
            </w14:solidFill>
          </w14:textFill>
        </w:rPr>
        <w:t>63.40公顷，占总规划区建设用地面积的19.66%</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；交通运输用地55.83公顷，占总规划区建设用地面积的17.31%；绿地与开敞空间用地</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面积为</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5</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1.4</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1公顷，占总规划区建设用地面积的15.</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94</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%；陆地水域</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面积为</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51</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公顷，占总规划区建设用地面积的1.</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09</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详见附表一规划用地用海分类指标一览表。</w:t>
      </w:r>
    </w:p>
    <w:p>
      <w:pPr>
        <w:numPr>
          <w:ilvl w:val="0"/>
          <w:numId w:val="2"/>
        </w:numPr>
        <w:spacing w:line="360" w:lineRule="auto"/>
        <w:ind w:left="0" w:firstLine="562" w:firstLineChars="200"/>
        <w:rPr>
          <w:rFonts w:ascii="宋体" w:hAnsi="宋体"/>
          <w:b/>
          <w:bCs/>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u w:val="single"/>
          <w14:textFill>
            <w14:solidFill>
              <w14:schemeClr w14:val="tx1"/>
            </w14:solidFill>
          </w14:textFill>
        </w:rPr>
        <w:t>规划所确定的土地用途是对未来使用的控制与引导，现状合法的土地用途与规划规定不符的，原则上可继续保持其现有功能；未来这类土地进行改造与重建时，必须与规划规定的用途相符。</w:t>
      </w:r>
    </w:p>
    <w:p>
      <w:pPr>
        <w:numPr>
          <w:ilvl w:val="0"/>
          <w:numId w:val="2"/>
        </w:numPr>
        <w:spacing w:line="360" w:lineRule="auto"/>
        <w:ind w:left="0" w:firstLine="562" w:firstLineChars="200"/>
        <w:rPr>
          <w:rFonts w:ascii="宋体" w:hAnsi="宋体"/>
          <w:b/>
          <w:bCs/>
          <w:sz w:val="28"/>
          <w:szCs w:val="28"/>
          <w:u w:val="single"/>
        </w:rPr>
      </w:pPr>
      <w:r>
        <w:rPr>
          <w:rFonts w:hint="eastAsia" w:ascii="宋体" w:hAnsi="宋体"/>
          <w:b/>
          <w:bCs/>
          <w:sz w:val="28"/>
          <w:szCs w:val="28"/>
          <w:u w:val="single"/>
        </w:rPr>
        <w:t>规划确定的地块界线，在详细的规划设计和开发建设中，经城乡规划行政主管部门批准，可根据实际情况将地块进行合并或细分，但其项目建设规模必须符合图则中明确的总体控制指标要求。</w:t>
      </w:r>
    </w:p>
    <w:p>
      <w:pPr>
        <w:pStyle w:val="2"/>
        <w:numPr>
          <w:ilvl w:val="0"/>
          <w:numId w:val="1"/>
        </w:numPr>
        <w:jc w:val="center"/>
        <w:rPr>
          <w:color w:val="000000" w:themeColor="text1"/>
          <w14:textFill>
            <w14:solidFill>
              <w14:schemeClr w14:val="tx1"/>
            </w14:solidFill>
          </w14:textFill>
        </w:rPr>
      </w:pPr>
      <w:bookmarkStart w:id="3" w:name="_Toc28993"/>
      <w:r>
        <w:rPr>
          <w:rFonts w:hint="eastAsia"/>
          <w:color w:val="000000" w:themeColor="text1"/>
          <w14:textFill>
            <w14:solidFill>
              <w14:schemeClr w14:val="tx1"/>
            </w14:solidFill>
          </w14:textFill>
        </w:rPr>
        <w:t>专项设施规划</w:t>
      </w:r>
      <w:bookmarkEnd w:id="3"/>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道路交通规划</w:t>
      </w:r>
    </w:p>
    <w:p>
      <w:pPr>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为加强交通联系，规划中利用蓟河路与子午路交口新建半互通立交匝道，远期在曲陆高速上扩建温泉收费站，避免绕行，增加片区对外道路，控制开口区域，改善片区交通集散条件。</w:t>
      </w:r>
    </w:p>
    <w:p>
      <w:pPr>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rPr>
        <w:t>网结构依托规划路网进行优化、加密，规划形成“三横两纵”的路网体系，本次计算包括规划区内的主干路、次干路，总长度约16.94km，规划区总建设用地为3.225k㎡，片区规划道路网密度为5.25km/k㎡</w:t>
      </w:r>
      <w:r>
        <w:rPr>
          <w:rFonts w:hint="eastAsia" w:ascii="宋体" w:hAnsi="宋体" w:eastAsia="宋体" w:cs="宋体"/>
          <w:sz w:val="28"/>
          <w:szCs w:val="28"/>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规划道路控制一览表</w:t>
      </w:r>
    </w:p>
    <w:tbl>
      <w:tblPr>
        <w:tblStyle w:val="10"/>
        <w:tblW w:w="97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9"/>
        <w:gridCol w:w="698"/>
        <w:gridCol w:w="1475"/>
        <w:gridCol w:w="806"/>
        <w:gridCol w:w="2550"/>
        <w:gridCol w:w="1144"/>
        <w:gridCol w:w="110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939"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698"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75"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路名</w:t>
            </w:r>
          </w:p>
        </w:tc>
        <w:tc>
          <w:tcPr>
            <w:tcW w:w="806"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走向</w:t>
            </w:r>
          </w:p>
        </w:tc>
        <w:tc>
          <w:tcPr>
            <w:tcW w:w="2550"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起讫点</w:t>
            </w:r>
          </w:p>
        </w:tc>
        <w:tc>
          <w:tcPr>
            <w:tcW w:w="1144"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长度</w:t>
            </w:r>
          </w:p>
        </w:tc>
        <w:tc>
          <w:tcPr>
            <w:tcW w:w="1106"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红线宽度（米）</w:t>
            </w:r>
          </w:p>
        </w:tc>
        <w:tc>
          <w:tcPr>
            <w:tcW w:w="1067"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698"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475"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806"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2550"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144"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c>
          <w:tcPr>
            <w:tcW w:w="1106"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067"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restar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主干路</w:t>
            </w: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蓟河路-规划横六路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3649</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40</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海河路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2854</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规划横三路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843</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规划横五路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规划纵以路-曲陆高速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1012</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5529" w:type="dxa"/>
            <w:gridSpan w:val="4"/>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小计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8358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restar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次干路</w:t>
            </w: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蓟河路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895</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规划横一路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寥廓南路-规划纵一路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391</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规划横二路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寥廓南路-规划纵一路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658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规划横四路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规划纵一路-规划纵二路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738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规划横六路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规划纵一路-规划纵二路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715</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000000" w:themeColor="text1"/>
                <w:sz w:val="28"/>
                <w:szCs w:val="28"/>
                <w:lang w:val="en-US" w:eastAsia="zh-CN"/>
                <w14:textFill>
                  <w14:solidFill>
                    <w14:schemeClr w14:val="tx1"/>
                  </w14:solidFill>
                </w14:textFill>
              </w:rPr>
              <w:t>蓟河路—</w:t>
            </w:r>
            <w:r>
              <w:rPr>
                <w:rFonts w:hint="eastAsia" w:ascii="宋体" w:hAnsi="宋体" w:eastAsia="宋体" w:cs="宋体"/>
                <w:i w:val="0"/>
                <w:iCs w:val="0"/>
                <w:color w:val="auto"/>
                <w:kern w:val="0"/>
                <w:sz w:val="24"/>
                <w:szCs w:val="24"/>
                <w:u w:val="none"/>
                <w:lang w:val="en-US" w:eastAsia="zh-CN" w:bidi="ar"/>
              </w:rPr>
              <w:t>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3724</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规划纵二路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规划横三路—规划横六路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1460</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5529" w:type="dxa"/>
            <w:gridSpan w:val="4"/>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8581</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468" w:type="dxa"/>
            <w:gridSpan w:val="5"/>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16939</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r>
    </w:tbl>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道路竖向规划</w:t>
      </w:r>
    </w:p>
    <w:p>
      <w:pPr>
        <w:spacing w:line="360" w:lineRule="auto"/>
        <w:ind w:firstLine="560" w:firstLineChars="200"/>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依据道路纵坡设计规范，竖向坡度控制在 0.3%-8.0%之间，规划区内部分区域道路已建成，道路纵坡小于 0.3%，建议增强道路横向排水措施，减少工程建设投资。</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道路设计</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w:t>
      </w:r>
      <w:r>
        <w:rPr>
          <w:rFonts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交叉口转弯半径控制</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道路转弯半径为15-25米，满足消防车及普通大货车使用需求；禁止任何单位和个人占用交叉口视距三角形用地用于建设。</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道路出入口控制</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参考《曲靖中心城区规划管理技术规定》中的规定以及相关规范要求，在道路上开设车辆通行的出入口应当符合以下规定： </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1）应选择在道路级别低的、对城市交通影响小的道路上开口，特殊情况下向次干路以上等级的道路开口不宜超过2个，地块机动车出入口宽度不宜超过8米。</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2）禁止在城市快速路开口，并严格控制在城市快速路辅道和城市主干道上开口。</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开口位置设在主干道上时，距道路交叉口切角红线应不小于100米或地块的最远端；开口位置设在次干路上时，距道路交叉口切角红线不应小于80米或地块的最远端；开口位置设在支路上时，支路上距离与干路相交的平面交叉口切角红线不应小于50米或地块最远端，支路上距离与支路相交的平面交叉口不应小于30米或地块最远端。</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4）距桥、隧道、立体交叉口的起坡点距离不宜小于80米或地块的最远端。</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5）距离公园、学校、儿童、老年人及残疾人等建筑的出入口应不小于20米。</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6）距离非道路交叉口的过街人行道（包括引道、引桥、地铁出入口）最边缘线应不小于10米。</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7）距离公交站台边缘应不小于15米。</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8）建设用地内部道路与城市道路相接时，其变坡点退道路红线距离应不小于7.5米。</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9）车库车辆出入口，距离城市道路的规划红线应不小于7.5米，并在距出入口边线内2米处作视点的120°范围内至边线外7.5米以上不应有遮挡视线障碍物。</w:t>
      </w:r>
    </w:p>
    <w:p>
      <w:pPr>
        <w:numPr>
          <w:ilvl w:val="0"/>
          <w:numId w:val="2"/>
        </w:numPr>
        <w:spacing w:line="360" w:lineRule="auto"/>
        <w:ind w:left="0" w:firstLine="562" w:firstLineChars="200"/>
        <w:rPr>
          <w:rFonts w:ascii="宋体" w:hAnsi="宋体"/>
          <w:b/>
          <w:bCs/>
          <w:sz w:val="28"/>
          <w:szCs w:val="28"/>
        </w:rPr>
      </w:pPr>
      <w:bookmarkStart w:id="4" w:name="_Toc17645643"/>
      <w:bookmarkStart w:id="5" w:name="_Toc42528376"/>
      <w:r>
        <w:rPr>
          <w:rFonts w:hint="eastAsia" w:ascii="宋体" w:hAnsi="宋体"/>
          <w:b/>
          <w:bCs/>
          <w:sz w:val="28"/>
          <w:szCs w:val="28"/>
        </w:rPr>
        <w:t>社会公共停车场规划</w:t>
      </w:r>
      <w:bookmarkEnd w:id="4"/>
      <w:bookmarkEnd w:id="5"/>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停车场出入口数量应根据停车容量及交通组织确定，满足《车库建筑设计规范 》、《城市停车规划规范 》、《汽车库、修车库、停车场设计防火规范》等规范要求。</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规划范围内不同用途的建筑在新建及改、扩建时，必须设置配建停车场（库），其设置方式及规模应达到“曲靖中心城区各类建筑停车位最低控制指标表”的规定（按照《曲靖中心城区规划管理技术规定》执行）。</w:t>
      </w:r>
    </w:p>
    <w:p>
      <w:pPr>
        <w:spacing w:line="360" w:lineRule="auto"/>
        <w:ind w:firstLine="482" w:firstLineChars="200"/>
        <w:jc w:val="center"/>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曲靖中心城区各类建筑停车位最低控制指标表</w:t>
      </w:r>
    </w:p>
    <w:tbl>
      <w:tblPr>
        <w:tblStyle w:val="10"/>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139"/>
        <w:gridCol w:w="2158"/>
        <w:gridCol w:w="1007"/>
        <w:gridCol w:w="1068"/>
        <w:gridCol w:w="164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tblHeader/>
          <w:jc w:val="center"/>
        </w:trPr>
        <w:tc>
          <w:tcPr>
            <w:tcW w:w="1619" w:type="dxa"/>
            <w:gridSpan w:val="2"/>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建筑类别</w:t>
            </w:r>
          </w:p>
        </w:tc>
        <w:tc>
          <w:tcPr>
            <w:tcW w:w="2158"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机动车</w:t>
            </w:r>
          </w:p>
        </w:tc>
        <w:tc>
          <w:tcPr>
            <w:tcW w:w="1649"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非机动车</w:t>
            </w:r>
          </w:p>
        </w:tc>
        <w:tc>
          <w:tcPr>
            <w:tcW w:w="2499"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tblHeader/>
          <w:jc w:val="center"/>
        </w:trPr>
        <w:tc>
          <w:tcPr>
            <w:tcW w:w="1619" w:type="dxa"/>
            <w:gridSpan w:val="2"/>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2158"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007"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旧区</w:t>
            </w:r>
          </w:p>
        </w:tc>
        <w:tc>
          <w:tcPr>
            <w:tcW w:w="106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新区</w:t>
            </w:r>
          </w:p>
        </w:tc>
        <w:tc>
          <w:tcPr>
            <w:tcW w:w="164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249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480"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居住建筑</w:t>
            </w: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低层住宅</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车位/户</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普通住宅</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车位/地上住宅建筑面积</w:t>
            </w:r>
          </w:p>
        </w:tc>
        <w:tc>
          <w:tcPr>
            <w:tcW w:w="1007"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1车位/130平方米</w:t>
            </w:r>
          </w:p>
        </w:tc>
        <w:tc>
          <w:tcPr>
            <w:tcW w:w="106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1车位/100平方米</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1车位/100平方米</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总停车位数必须满足一户一车位的标准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廉租房</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车位/100平方米地上住宅建筑面积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公租房</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车位/100平方米地上住宅建筑面积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0.8</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物业管理、社区配套设施</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0.8</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机关团体设施</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商务金融及商业设施（含批发市场）</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地下建筑功能为此类的</w:t>
            </w:r>
          </w:p>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应计算对应停车位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旅馆</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0.8</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医院</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车位/床位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0.8</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社会福利设施、疗养院</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文化设施</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含展览馆、会展中心等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480"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教育设施</w:t>
            </w: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幼儿园</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0.5个车位/1位教职工</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0.5车位/100平方米地上建筑面积</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小学</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0.5个车位/1位教职工</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5个车位/100位师生</w:t>
            </w:r>
          </w:p>
        </w:tc>
        <w:tc>
          <w:tcPr>
            <w:tcW w:w="2499" w:type="dxa"/>
            <w:vMerge w:val="restart"/>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教职工人数按照《国务院办公厅转发中央编办、教育部、财政部关于制定中小学教职工编制标准意见的通知》下限执行。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中学</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0.5个车位/1位教职工</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15个车位/100位师生</w:t>
            </w:r>
          </w:p>
        </w:tc>
        <w:tc>
          <w:tcPr>
            <w:tcW w:w="2499"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480" w:type="dxa"/>
            <w:vMerge w:val="continue"/>
            <w:vAlign w:val="center"/>
          </w:tcPr>
          <w:p>
            <w:pPr>
              <w:jc w:val="center"/>
              <w:rPr>
                <w:rFonts w:ascii="宋体" w:hAnsi="宋体" w:eastAsia="宋体" w:cs="宋体"/>
                <w:color w:val="000000" w:themeColor="text1"/>
                <w:kern w:val="0"/>
                <w:sz w:val="24"/>
                <w14:textFill>
                  <w14:solidFill>
                    <w14:schemeClr w14:val="tx1"/>
                  </w14:solidFill>
                </w14:textFill>
              </w:rPr>
            </w:pPr>
          </w:p>
        </w:tc>
        <w:tc>
          <w:tcPr>
            <w:tcW w:w="113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大中专院校</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0.5 个车位/1位教职工</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10个车位/100位师生</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体育场馆</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0.8</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10.0个车位</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公    园</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车位/1公顷游览面积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4.0</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8.0</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619"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工业厂房、仓库</w:t>
            </w:r>
          </w:p>
        </w:tc>
        <w:tc>
          <w:tcPr>
            <w:tcW w:w="2158"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车位/100平方米地上建筑面积</w:t>
            </w:r>
          </w:p>
        </w:tc>
        <w:tc>
          <w:tcPr>
            <w:tcW w:w="2075" w:type="dxa"/>
            <w:gridSpan w:val="2"/>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0.2</w:t>
            </w:r>
          </w:p>
        </w:tc>
        <w:tc>
          <w:tcPr>
            <w:tcW w:w="164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0.2</w:t>
            </w:r>
          </w:p>
        </w:tc>
        <w:tc>
          <w:tcPr>
            <w:tcW w:w="2499" w:type="dxa"/>
            <w:tcMar>
              <w:top w:w="15" w:type="dxa"/>
              <w:left w:w="15" w:type="dxa"/>
              <w:bottom w:w="0" w:type="dxa"/>
              <w:right w:w="15" w:type="dxa"/>
            </w:tcMar>
            <w:vAlign w:val="center"/>
          </w:tcPr>
          <w:p>
            <w:pPr>
              <w:jc w:val="center"/>
              <w:rPr>
                <w:rFonts w:ascii="宋体" w:hAnsi="宋体" w:eastAsia="宋体" w:cs="宋体"/>
                <w:color w:val="000000" w:themeColor="text1"/>
                <w:kern w:val="0"/>
                <w:sz w:val="24"/>
                <w14:textFill>
                  <w14:solidFill>
                    <w14:schemeClr w14:val="tx1"/>
                  </w14:solidFill>
                </w14:textFill>
              </w:rPr>
            </w:pPr>
          </w:p>
        </w:tc>
      </w:tr>
    </w:tbl>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注：停车位数量以小型车停车位为标准车位，标准停车位地下车库不小于2.5米*5.3米，地上植草砖停车位不小于2.8米*6.0米；共用单一进出通道的两个车位（子母位）按1.5个标准车位计，微型车位按0.7个标准车位计，机械式停车位中的交换车位不计入停车位总量。</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绿地系统规划</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注重周边山体、植被等自然环境的生态保护，严格控制因物流、生产对片区及周边环境的破坏，依托于原园区已有条件，结合周边自然景观和山体林地，充分展现产业园区独特的山地景观。范围内主要涉及的是防护绿地和公园绿地。</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公园绿地：分为带状公园、小型游园、街头绿地共3类。</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带状公园：沿主要南干渠两侧规划带状公园绿地，打造东西延展的带状城市绿地空间。</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小型游园：主要设置于西冲水库周边设置公园绿地，具有一定活动内容和设施集中的绿地，为居民提供成片的游憩场所。</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街头</w:t>
      </w:r>
      <w:r>
        <w:rPr>
          <w:rFonts w:hint="eastAsia" w:ascii="宋体" w:hAnsi="宋体" w:eastAsia="宋体" w:cs="宋体"/>
          <w:color w:val="000000" w:themeColor="text1"/>
          <w:sz w:val="28"/>
          <w:szCs w:val="28"/>
          <w:shd w:val="clear" w:color="auto" w:fill="FFFFFF"/>
          <w14:textFill>
            <w14:solidFill>
              <w14:schemeClr w14:val="tx1"/>
            </w14:solidFill>
          </w14:textFill>
        </w:rPr>
        <w:t>绿地</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主要分布在高速公路两侧，促进形成良好的交通沿线景观节点。</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生态保护</w:t>
      </w:r>
      <w:r>
        <w:rPr>
          <w:rFonts w:hint="eastAsia" w:ascii="宋体" w:hAnsi="宋体"/>
          <w:b/>
          <w:bCs/>
          <w:sz w:val="28"/>
          <w:szCs w:val="28"/>
        </w:rPr>
        <w:t>规划</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空气质量、噪声质量、地面水环境质量、污水排放达到国家生态示范城市的规划标准。垃圾、废弃物的处理率和回收利用率高，排除任何超标的环境污染，环境卫生、空气新鲜、物理环境良好，实现合理的环境容量控制。</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景观系统</w:t>
      </w:r>
      <w:r>
        <w:rPr>
          <w:rFonts w:hint="eastAsia" w:ascii="宋体" w:hAnsi="宋体"/>
          <w:b/>
          <w:bCs/>
          <w:sz w:val="28"/>
          <w:szCs w:val="28"/>
        </w:rPr>
        <w:t>规划</w:t>
      </w:r>
    </w:p>
    <w:p>
      <w:pPr>
        <w:ind w:firstLine="560" w:firstLineChars="2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规划区</w:t>
      </w:r>
      <w:r>
        <w:rPr>
          <w:rFonts w:hint="eastAsia" w:ascii="宋体" w:hAnsi="宋体" w:eastAsia="宋体" w:cs="宋体"/>
          <w:color w:val="000000" w:themeColor="text1"/>
          <w:sz w:val="28"/>
          <w:szCs w:val="28"/>
          <w:shd w:val="clear" w:color="auto" w:fill="FFFFFF"/>
          <w14:textFill>
            <w14:solidFill>
              <w14:schemeClr w14:val="tx1"/>
            </w14:solidFill>
          </w14:textFill>
        </w:rPr>
        <w:t>以道路、绿地、重要的标志节点为依据规划景观系统；通过建筑的组合形式，创造出收放自如的开放空间，在开放空间中，布置特色景观，硬质铺地，提供特色鲜明，空间趣味性强的工业生产空间。</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给水工程规划</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根据规划用地性质，预测规划区平均日用水量为20112.29立方米/日，最高日用水量为24134.75立方米/日，日变化系数采用1.2。</w:t>
      </w:r>
    </w:p>
    <w:p>
      <w:pPr>
        <w:spacing w:line="360" w:lineRule="auto"/>
        <w:ind w:firstLine="560" w:firstLineChars="20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规划区内水源引用自东侧有三宝自来水厂，原水引自于麒麟区独木水库至潇湘水库饮水工程日供10万立方原水，生活用水统一由曲靖市市政自来水管网供应。</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  </w:t>
      </w:r>
    </w:p>
    <w:p>
      <w:pPr>
        <w:spacing w:line="360" w:lineRule="auto"/>
        <w:ind w:firstLine="560" w:firstLineChars="200"/>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sz w:val="28"/>
          <w:szCs w:val="28"/>
          <w:shd w:val="clear" w:color="auto" w:fill="FFFFFF"/>
          <w:lang w:val="zh-CN"/>
        </w:rPr>
        <w:t>规划区内沿道路敷设DN</w:t>
      </w: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lang w:val="zh-CN"/>
        </w:rPr>
        <w:t>00～DN</w:t>
      </w:r>
      <w:r>
        <w:rPr>
          <w:rFonts w:hint="eastAsia" w:ascii="宋体" w:hAnsi="宋体" w:eastAsia="宋体" w:cs="宋体"/>
          <w:sz w:val="28"/>
          <w:szCs w:val="28"/>
          <w:shd w:val="clear" w:color="auto" w:fill="FFFFFF"/>
          <w:lang w:val="en-US" w:eastAsia="zh-CN"/>
        </w:rPr>
        <w:t>60</w:t>
      </w:r>
      <w:r>
        <w:rPr>
          <w:rFonts w:hint="eastAsia" w:ascii="宋体" w:hAnsi="宋体" w:eastAsia="宋体" w:cs="宋体"/>
          <w:sz w:val="28"/>
          <w:szCs w:val="28"/>
          <w:shd w:val="clear" w:color="auto" w:fill="FFFFFF"/>
          <w:lang w:val="zh-CN"/>
        </w:rPr>
        <w:t>0的给水管道。</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给水管一般布置在道路两侧的人行道或非机动车道下面。</w:t>
      </w:r>
    </w:p>
    <w:p>
      <w:pPr>
        <w:numPr>
          <w:ilvl w:val="0"/>
          <w:numId w:val="2"/>
        </w:numPr>
        <w:spacing w:line="360" w:lineRule="auto"/>
        <w:ind w:left="0" w:firstLine="562" w:firstLineChars="200"/>
        <w:rPr>
          <w:rFonts w:ascii="宋体" w:hAnsi="宋体"/>
          <w:b/>
          <w:bCs/>
          <w:sz w:val="28"/>
          <w:szCs w:val="28"/>
        </w:rPr>
      </w:pPr>
      <w:bookmarkStart w:id="6" w:name="_Toc15897343"/>
      <w:bookmarkStart w:id="7" w:name="_Toc29338_WPSOffice_Level2"/>
      <w:bookmarkStart w:id="8" w:name="_Toc42528386"/>
      <w:bookmarkStart w:id="9" w:name="_Toc29298_WPSOffice_Level2"/>
      <w:bookmarkStart w:id="10" w:name="_Toc533092019"/>
      <w:bookmarkStart w:id="11" w:name="_Toc13022_WPSOffice_Level2"/>
      <w:r>
        <w:rPr>
          <w:rFonts w:hint="eastAsia" w:ascii="宋体" w:hAnsi="宋体"/>
          <w:b/>
          <w:bCs/>
          <w:sz w:val="28"/>
          <w:szCs w:val="28"/>
        </w:rPr>
        <w:t>污水工程规划</w:t>
      </w:r>
      <w:bookmarkEnd w:id="6"/>
      <w:bookmarkEnd w:id="7"/>
      <w:bookmarkEnd w:id="8"/>
      <w:bookmarkEnd w:id="9"/>
      <w:bookmarkEnd w:id="10"/>
      <w:bookmarkEnd w:id="11"/>
      <w:r>
        <w:rPr>
          <w:rFonts w:hint="eastAsia" w:ascii="宋体" w:hAnsi="宋体"/>
          <w:b/>
          <w:bCs/>
          <w:sz w:val="28"/>
          <w:szCs w:val="28"/>
        </w:rPr>
        <w:t xml:space="preserve"> </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规划区污水排放平均日污水量为25303.47立方米/日，最高污水量为30364.18立方米/日，总变化系数取Kz=1.4。</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雨污采用分流制排水体制。园区排水系统共设置生活污水排水系统、生产废水排水系统、雨水排水系统三套独立的排水系统。</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近期保证项目落地，污水先通过自家污水处理池处理达标后，通过蓟河路污水排出口2排放到城南污水处理厂进行处理。</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12" w:name="_Hlk16848087"/>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规划区生活污水汇入市政污水管网，统一排放至污水处理厂集中处理。</w:t>
      </w:r>
      <w:bookmarkEnd w:id="12"/>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13" w:name="_Hlk16848114"/>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规划区内沿道路敷设d</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8"/>
          <w:szCs w:val="28"/>
          <w:shd w:val="clear" w:color="auto" w:fill="FFFFFF"/>
          <w14:textFill>
            <w14:solidFill>
              <w14:schemeClr w14:val="tx1"/>
            </w14:solidFill>
          </w14:textFill>
        </w:rPr>
        <w:t>0</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0～d</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00的污水管道，管道坡度宜与地面坡度一致。</w:t>
      </w:r>
      <w:bookmarkEnd w:id="13"/>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雨水工程规划</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ascii="宋体" w:hAnsi="宋体" w:eastAsia="宋体" w:cs="宋体"/>
          <w:color w:val="000000" w:themeColor="text1"/>
          <w:sz w:val="28"/>
          <w:szCs w:val="28"/>
          <w:shd w:val="clear" w:color="auto" w:fill="FFFFFF"/>
          <w:lang w:val="zh-CN"/>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暴雨重现期及暴雨强度公式</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暴雨重现期</w:t>
      </w:r>
      <w:bookmarkStart w:id="14" w:name="_Hlk16848200"/>
      <w:r>
        <w:rPr>
          <w:rFonts w:hint="eastAsia" w:ascii="宋体" w:hAnsi="宋体" w:eastAsia="宋体" w:cs="宋体"/>
          <w:color w:val="000000" w:themeColor="text1"/>
          <w:sz w:val="28"/>
          <w:szCs w:val="28"/>
          <w:shd w:val="clear" w:color="auto" w:fill="FFFFFF"/>
          <w:lang w:val="zh-CN"/>
          <w14:textFill>
            <w14:solidFill>
              <w14:schemeClr w14:val="tx1"/>
            </w14:solidFill>
          </w14:textFill>
        </w:rPr>
        <w:t>：设计暴雨重现期按照P=2年考虑。</w:t>
      </w:r>
    </w:p>
    <w:bookmarkEnd w:id="14"/>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15" w:name="_Hlk16848321"/>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规划区雨水经d</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00～d</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20</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00的雨水管道收集后，汇入市政雨水管网，分散就近排入自然水体。</w:t>
      </w:r>
    </w:p>
    <w:bookmarkEnd w:id="15"/>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16" w:name="_Hlk16848345"/>
      <w:r>
        <w:rPr>
          <w:rFonts w:hint="eastAsia" w:ascii="宋体" w:hAnsi="宋体" w:eastAsia="宋体" w:cs="宋体"/>
          <w:color w:val="000000" w:themeColor="text1"/>
          <w:sz w:val="28"/>
          <w:szCs w:val="28"/>
          <w:shd w:val="clear" w:color="auto" w:fill="FFFFFF"/>
          <w:lang w:val="zh-CN"/>
          <w14:textFill>
            <w14:solidFill>
              <w14:schemeClr w14:val="tx1"/>
            </w14:solidFill>
          </w14:textFill>
        </w:rPr>
        <w:t>在规划区的开发建设过程中，应积极推广和应用低影响开发建设模式，加大城市径流雨水源头减排的刚性约束，优先利用自然排水系统，建设生态排水设施，充分发挥城市绿地、道路、水系等对雨水的吸纳、蓄渗和缓释作用，使城市开发建设后的水文特征接近于开发前，有效缓解城市内涝、削减城市径流污染负荷、节约水资源，保护和改善城市生态环境，为建设具有自然积存、自然渗透、自然净化功能的海绵城市提供重要保障。</w:t>
      </w:r>
      <w:bookmarkEnd w:id="16"/>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电力工程规划</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根据用电负荷预测指标，则本片区</w:t>
      </w:r>
      <w:r>
        <w:rPr>
          <w:rFonts w:hint="eastAsia" w:ascii="宋体" w:hAnsi="宋体" w:eastAsia="宋体" w:cs="宋体"/>
          <w:sz w:val="28"/>
          <w:szCs w:val="28"/>
          <w:shd w:val="clear" w:color="auto" w:fill="FFFFFF"/>
        </w:rPr>
        <w:t>用电负荷为</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328559.7KW。</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近期电源沿用东坡110KV变电站，远期在罗汉山产业园区规划220KV变电站，其余根据用电需求在道路规划好市政电力管网接口，满足罗汉山工业园区电力需求。</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实施管线入地原则。在区内主要市政道路上均敷设市政电力电缆排管，沿道路西侧或北侧人行道或绿化带下敷设，电力电缆线路在电力电缆排管内敷设。</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通信工程规划</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根据主要固话预测指标计算出总的</w:t>
      </w:r>
      <w:r>
        <w:rPr>
          <w:rFonts w:hint="eastAsia" w:ascii="宋体" w:hAnsi="宋体" w:eastAsia="宋体" w:cs="宋体"/>
          <w:sz w:val="28"/>
          <w:szCs w:val="28"/>
          <w:shd w:val="clear" w:color="auto" w:fill="FFFFFF"/>
          <w:lang w:val="zh-CN"/>
        </w:rPr>
        <w:t>容量为</w:t>
      </w:r>
      <w:r>
        <w:rPr>
          <w:rFonts w:hint="eastAsia" w:ascii="宋体" w:hAnsi="宋体" w:eastAsia="宋体" w:cs="宋体"/>
          <w:sz w:val="28"/>
          <w:szCs w:val="28"/>
          <w:shd w:val="clear" w:color="auto" w:fill="FFFFFF"/>
          <w:lang w:val="en-US" w:eastAsia="zh-CN"/>
        </w:rPr>
        <w:t>6845</w:t>
      </w:r>
      <w:r>
        <w:rPr>
          <w:rFonts w:hint="eastAsia" w:ascii="宋体" w:hAnsi="宋体" w:eastAsia="宋体" w:cs="宋体"/>
          <w:sz w:val="28"/>
          <w:szCs w:val="28"/>
          <w:shd w:val="clear" w:color="auto" w:fill="FFFFFF"/>
          <w:lang w:val="zh-CN"/>
        </w:rPr>
        <w:t>线。</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片区发展的固定电话线路、有线电视线路及其它各类通信线路包括移动通信、数据通信等全部采用管道方式敷设。</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统一考虑多家电信运营商及各类公用信息网和各类专用信息网的电信通道发展计划，统筹规划、联合建设、资源共享。</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燃气工程规划</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17" w:name="_Toc346179178"/>
      <w:bookmarkStart w:id="18" w:name="_Toc317754658"/>
      <w:bookmarkStart w:id="19" w:name="_Toc385411818"/>
      <w:r>
        <w:rPr>
          <w:rFonts w:hint="eastAsia" w:ascii="宋体" w:hAnsi="宋体" w:eastAsia="宋体" w:cs="宋体"/>
          <w:color w:val="000000" w:themeColor="text1"/>
          <w:sz w:val="28"/>
          <w:szCs w:val="28"/>
          <w:shd w:val="clear" w:color="auto" w:fill="FFFFFF"/>
          <w:lang w:val="zh-CN"/>
          <w14:textFill>
            <w14:solidFill>
              <w14:schemeClr w14:val="tx1"/>
            </w14:solidFill>
          </w14:textFill>
        </w:rPr>
        <w:t>管道天然气总用气量</w:t>
      </w:r>
      <w:r>
        <w:rPr>
          <w:rFonts w:hint="eastAsia" w:ascii="宋体" w:hAnsi="宋体" w:eastAsia="宋体" w:cs="宋体"/>
          <w:sz w:val="28"/>
          <w:szCs w:val="28"/>
          <w:shd w:val="clear" w:color="auto" w:fill="FFFFFF"/>
          <w:lang w:val="zh-CN"/>
        </w:rPr>
        <w:t>为</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lang w:val="en-US" w:eastAsia="zh-CN"/>
        </w:rPr>
        <w:t>33.14</w:t>
      </w:r>
      <w:r>
        <w:rPr>
          <w:rFonts w:hint="eastAsia" w:ascii="宋体" w:hAnsi="宋体" w:eastAsia="宋体" w:cs="宋体"/>
          <w:sz w:val="28"/>
          <w:szCs w:val="28"/>
          <w:shd w:val="clear" w:color="auto" w:fill="FFFFFF"/>
          <w:lang w:val="zh-CN"/>
        </w:rPr>
        <w:t>万</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标准立方米/年。</w:t>
      </w:r>
    </w:p>
    <w:bookmarkEnd w:id="17"/>
    <w:bookmarkEnd w:id="18"/>
    <w:bookmarkEnd w:id="19"/>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燃气管网采用环状布置，直埋敷设。燃气管线布置于道路的人行道（绿化带）下，地下燃气管道与建筑物、构筑物或相邻管道之间的水平和垂直净距应符合国家相关规范要求。</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环卫工程规划</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垃圾转运站与片区共用，规划建议垃圾收运车优先采用垃圾压缩车（压缩车分后装和集装箱式垃圾车，额定装载量按8～10吨计算）。</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规划区内公共厕所按照人口每5000人一座，规划区内共设置公共厕所3座。</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沿城市道路两侧设置垃圾箱，</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服务半径一般不宜超过70米。</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综合防灾减灾规划</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20" w:name="_Toc42528394"/>
      <w:r>
        <w:rPr>
          <w:rFonts w:hint="eastAsia" w:ascii="宋体" w:hAnsi="宋体" w:eastAsia="宋体" w:cs="宋体"/>
          <w:color w:val="000000" w:themeColor="text1"/>
          <w:sz w:val="28"/>
          <w:szCs w:val="28"/>
          <w:shd w:val="clear" w:color="auto" w:fill="FFFFFF"/>
          <w:lang w:val="zh-CN"/>
          <w14:textFill>
            <w14:solidFill>
              <w14:schemeClr w14:val="tx1"/>
            </w14:solidFill>
          </w14:textFill>
        </w:rPr>
        <w:t>1</w:t>
      </w:r>
      <w:r>
        <w:rPr>
          <w:rFonts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防洪工程规划</w:t>
      </w:r>
      <w:bookmarkEnd w:id="20"/>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防洪标准：按50年一遇防洪标准设防。</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 xml:space="preserve">排涝标准：重现期采用20年一遇涝水不漫溢。 </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2.</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防洪工程规划</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雨水排放汇集后就近排放至自然水体，定期疏浚雨水管网，防止淤塞。</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21" w:name="_Toc42528395"/>
      <w:r>
        <w:rPr>
          <w:rFonts w:hint="eastAsia" w:ascii="宋体" w:hAnsi="宋体" w:eastAsia="宋体" w:cs="宋体"/>
          <w:color w:val="000000" w:themeColor="text1"/>
          <w:sz w:val="28"/>
          <w:szCs w:val="28"/>
          <w:shd w:val="clear" w:color="auto" w:fill="FFFFFF"/>
          <w:lang w:val="zh-CN"/>
          <w14:textFill>
            <w14:solidFill>
              <w14:schemeClr w14:val="tx1"/>
            </w14:solidFill>
          </w14:textFill>
        </w:rPr>
        <w:t>3</w:t>
      </w:r>
      <w:r>
        <w:rPr>
          <w:rFonts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消防工程规划</w:t>
      </w:r>
      <w:bookmarkEnd w:id="21"/>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在市政道路上新建或改建的给水管道，必须严格按照120米间距及十字路口60米范围内设置市政消火栓，超过60米宽的道路两侧均要设置消火栓。</w:t>
      </w:r>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建筑周边应按消防要求建设消防通道，通行净空不低于</w:t>
      </w:r>
      <w:r>
        <w:rPr>
          <w:rFonts w:hint="eastAsia" w:ascii="宋体" w:hAnsi="宋体" w:eastAsia="宋体" w:cs="宋体"/>
          <w:color w:val="000000" w:themeColor="text1"/>
          <w:sz w:val="28"/>
          <w:szCs w:val="28"/>
          <w:shd w:val="clear" w:color="auto" w:fill="FFFFFF"/>
          <w14:textFill>
            <w14:solidFill>
              <w14:schemeClr w14:val="tx1"/>
            </w14:solidFill>
          </w14:textFill>
        </w:rPr>
        <w:t>4*4米，转弯半径不小于12米。</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22" w:name="_Toc317754709"/>
      <w:bookmarkStart w:id="23" w:name="_Toc346179229"/>
      <w:bookmarkStart w:id="24" w:name="_Toc385411871"/>
      <w:bookmarkStart w:id="25" w:name="_Toc42528396"/>
      <w:r>
        <w:rPr>
          <w:rFonts w:hint="eastAsia" w:ascii="宋体" w:hAnsi="宋体" w:eastAsia="宋体" w:cs="宋体"/>
          <w:color w:val="000000" w:themeColor="text1"/>
          <w:sz w:val="28"/>
          <w:szCs w:val="28"/>
          <w:shd w:val="clear" w:color="auto" w:fill="FFFFFF"/>
          <w:lang w:val="zh-CN"/>
          <w14:textFill>
            <w14:solidFill>
              <w14:schemeClr w14:val="tx1"/>
            </w14:solidFill>
          </w14:textFill>
        </w:rPr>
        <w:t>4</w:t>
      </w:r>
      <w:r>
        <w:rPr>
          <w:rFonts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防震工程</w:t>
      </w:r>
      <w:bookmarkEnd w:id="22"/>
      <w:bookmarkEnd w:id="23"/>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w:t>
      </w:r>
      <w:bookmarkEnd w:id="24"/>
      <w:bookmarkEnd w:id="25"/>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依据《中国地震动参数区划图》（GB18306—2015），规划区对应地震基本烈度为</w:t>
      </w:r>
      <w:r>
        <w:rPr>
          <w:rFonts w:hint="eastAsia" w:ascii="宋体" w:hAnsi="宋体" w:eastAsia="宋体" w:cs="宋体"/>
          <w:color w:val="000000" w:themeColor="text1"/>
          <w:sz w:val="28"/>
          <w:szCs w:val="28"/>
          <w:shd w:val="clear" w:color="auto" w:fill="FFFFFF"/>
          <w14:textFill>
            <w14:solidFill>
              <w14:schemeClr w14:val="tx1"/>
            </w14:solidFill>
          </w14:textFill>
        </w:rPr>
        <w:t>8</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 xml:space="preserve">度，规划区城市规划与建设应据此进行抗震设防。对规划区超限高层建筑工程、生命线工程、重大（重点）工程、可能产生严重次生灾害的工程、大型公共建筑工程等应进行抗震设防专项审查。 </w:t>
      </w:r>
      <w:bookmarkStart w:id="26" w:name="_Toc317754713"/>
      <w:bookmarkStart w:id="27" w:name="_Toc346179233"/>
    </w:p>
    <w:bookmarkEnd w:id="26"/>
    <w:bookmarkEnd w:id="27"/>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bookmarkStart w:id="28" w:name="_Toc346179234"/>
      <w:bookmarkStart w:id="29" w:name="_Toc42528397"/>
      <w:bookmarkStart w:id="30" w:name="_Toc385411879"/>
      <w:bookmarkStart w:id="31" w:name="_Toc317754714"/>
      <w:r>
        <w:rPr>
          <w:rFonts w:hint="eastAsia" w:ascii="宋体" w:hAnsi="宋体" w:eastAsia="宋体" w:cs="宋体"/>
          <w:color w:val="000000" w:themeColor="text1"/>
          <w:sz w:val="28"/>
          <w:szCs w:val="28"/>
          <w:shd w:val="clear" w:color="auto" w:fill="FFFFFF"/>
          <w:lang w:val="zh-CN"/>
          <w14:textFill>
            <w14:solidFill>
              <w14:schemeClr w14:val="tx1"/>
            </w14:solidFill>
          </w14:textFill>
        </w:rPr>
        <w:t>5</w:t>
      </w:r>
      <w:r>
        <w:rPr>
          <w:rFonts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人防工程规划</w:t>
      </w:r>
      <w:bookmarkEnd w:id="28"/>
      <w:bookmarkEnd w:id="29"/>
      <w:bookmarkEnd w:id="30"/>
      <w:bookmarkEnd w:id="31"/>
    </w:p>
    <w:p>
      <w:pPr>
        <w:spacing w:line="360" w:lineRule="auto"/>
        <w:ind w:firstLine="560" w:firstLineChars="2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人防工程建设标准按照人防工程行政主管部门相关政策要求执行。</w:t>
      </w:r>
    </w:p>
    <w:p>
      <w:pPr>
        <w:pStyle w:val="2"/>
        <w:numPr>
          <w:ilvl w:val="0"/>
          <w:numId w:val="1"/>
        </w:numPr>
        <w:jc w:val="center"/>
        <w:rPr>
          <w:color w:val="000000" w:themeColor="text1"/>
          <w14:textFill>
            <w14:solidFill>
              <w14:schemeClr w14:val="tx1"/>
            </w14:solidFill>
          </w14:textFill>
        </w:rPr>
      </w:pPr>
      <w:bookmarkStart w:id="32" w:name="_Toc22409"/>
      <w:r>
        <w:rPr>
          <w:rFonts w:hint="eastAsia"/>
          <w:color w:val="000000" w:themeColor="text1"/>
          <w14:textFill>
            <w14:solidFill>
              <w14:schemeClr w14:val="tx1"/>
            </w14:solidFill>
          </w14:textFill>
        </w:rPr>
        <w:t>地块指标控制</w:t>
      </w:r>
      <w:bookmarkEnd w:id="32"/>
    </w:p>
    <w:p>
      <w:pPr>
        <w:numPr>
          <w:ilvl w:val="0"/>
          <w:numId w:val="2"/>
        </w:numPr>
        <w:spacing w:line="360" w:lineRule="auto"/>
        <w:ind w:left="0" w:firstLine="562" w:firstLineChars="200"/>
        <w:rPr>
          <w:rFonts w:ascii="宋体" w:hAnsi="宋体"/>
          <w:b/>
          <w:bCs/>
          <w:sz w:val="28"/>
          <w:szCs w:val="28"/>
        </w:rPr>
      </w:pPr>
      <w:bookmarkStart w:id="33" w:name="_Toc17645632"/>
      <w:bookmarkStart w:id="34" w:name="_Toc42528399"/>
      <w:r>
        <w:rPr>
          <w:rFonts w:hint="eastAsia" w:ascii="宋体" w:hAnsi="宋体"/>
          <w:b/>
          <w:bCs/>
          <w:sz w:val="28"/>
          <w:szCs w:val="28"/>
        </w:rPr>
        <w:t>单元地块划分与编码</w:t>
      </w:r>
      <w:bookmarkEnd w:id="33"/>
      <w:bookmarkEnd w:id="34"/>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地块编码由“行政区代码—编制单元代码—地块代码”代码组成，按自西向东、由北向南的顺序划分，共分3个街坊单元，</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56</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个地块。</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土地兼容</w:t>
      </w:r>
      <w:r>
        <w:rPr>
          <w:rFonts w:ascii="宋体" w:hAnsi="宋体"/>
          <w:b/>
          <w:bCs/>
          <w:sz w:val="28"/>
          <w:szCs w:val="28"/>
        </w:rPr>
        <w:t>性控制</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规划确定地块的土地使用性质原则上不得改动，为保障土地使用的灵活性，土地使用可具有一定的兼容性。允许</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工矿</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用地（</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1001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)与</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仓储物流</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用地（</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1101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）兼容。</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土地使用</w:t>
      </w:r>
      <w:r>
        <w:rPr>
          <w:rFonts w:ascii="宋体" w:hAnsi="宋体"/>
          <w:b/>
          <w:bCs/>
          <w:sz w:val="28"/>
          <w:szCs w:val="28"/>
        </w:rPr>
        <w:t>控制</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1.各地块的控制指标分为规定性和指导性两类。</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各地块的用地性质、容积率、建筑密度、</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绿地率</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等控制性指标必须与地块控制指标表</w:t>
      </w: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(图则）</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中的指标相符合。</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ascii="宋体" w:hAnsi="宋体" w:eastAsia="宋体" w:cs="宋体"/>
          <w:color w:val="000000" w:themeColor="text1"/>
          <w:sz w:val="28"/>
          <w:szCs w:val="28"/>
          <w:shd w:val="clear" w:color="auto" w:fill="FFFFFF"/>
          <w:lang w:val="zh-CN"/>
          <w14:textFill>
            <w14:solidFill>
              <w14:schemeClr w14:val="tx1"/>
            </w14:solidFill>
          </w14:textFill>
        </w:rPr>
        <w:t>2</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.各地块控制指标详见地块控制指标表的规定。</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ascii="宋体" w:hAnsi="宋体" w:eastAsia="宋体" w:cs="宋体"/>
          <w:color w:val="000000" w:themeColor="text1"/>
          <w:sz w:val="28"/>
          <w:szCs w:val="28"/>
          <w:shd w:val="clear" w:color="auto" w:fill="FFFFFF"/>
          <w:lang w:val="zh-CN"/>
          <w14:textFill>
            <w14:solidFill>
              <w14:schemeClr w14:val="tx1"/>
            </w14:solidFill>
          </w14:textFill>
        </w:rPr>
        <w:t>3</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.本规划确定的地块界线，在详细的规划设计和开发建设中，可根据实际情况将地块进行合并或细分。</w:t>
      </w:r>
    </w:p>
    <w:p>
      <w:pPr>
        <w:spacing w:line="418" w:lineRule="auto"/>
        <w:ind w:left="420"/>
        <w:rPr>
          <w:rFonts w:ascii="宋体" w:hAnsi="宋体"/>
          <w:bCs/>
          <w:sz w:val="28"/>
          <w:szCs w:val="28"/>
        </w:rPr>
      </w:pPr>
      <w:r>
        <w:rPr>
          <w:rFonts w:ascii="宋体" w:hAnsi="宋体" w:eastAsia="宋体" w:cs="宋体"/>
          <w:color w:val="000000" w:themeColor="text1"/>
          <w:sz w:val="28"/>
          <w:szCs w:val="28"/>
          <w:shd w:val="clear" w:color="auto" w:fill="FFFFFF"/>
          <w:lang w:val="zh-CN"/>
          <w14:textFill>
            <w14:solidFill>
              <w14:schemeClr w14:val="tx1"/>
            </w14:solidFill>
          </w14:textFill>
        </w:rPr>
        <w:t>4</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.各地块建设除须满足本规划地块控制指标的要求外，还必须遵守相关法规、规范等的规定。</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建设容量</w:t>
      </w:r>
      <w:r>
        <w:rPr>
          <w:rFonts w:ascii="宋体" w:hAnsi="宋体"/>
          <w:b/>
          <w:bCs/>
          <w:sz w:val="28"/>
          <w:szCs w:val="28"/>
        </w:rPr>
        <w:t>控制</w:t>
      </w:r>
    </w:p>
    <w:p>
      <w:pPr>
        <w:spacing w:line="360" w:lineRule="auto"/>
        <w:ind w:firstLine="562" w:firstLineChars="200"/>
        <w:rPr>
          <w:rFonts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ascii="宋体" w:hAnsi="宋体" w:eastAsia="宋体" w:cs="宋体"/>
          <w:b/>
          <w:color w:val="000000" w:themeColor="text1"/>
          <w:sz w:val="28"/>
          <w:szCs w:val="28"/>
          <w:u w:val="single"/>
          <w:shd w:val="clear" w:color="auto" w:fill="FFFFFF"/>
          <w:lang w:val="zh-CN"/>
          <w14:textFill>
            <w14:solidFill>
              <w14:schemeClr w14:val="tx1"/>
            </w14:solidFill>
          </w14:textFill>
        </w:rPr>
        <w:t>1.</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工业</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用地</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w:t>
      </w: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仓储用地</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容积率指标为</w:t>
      </w: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上</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限指标，</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商业服务业用地容积率指标为下限指标，</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地块内开发建设的容积率指标原则上不得</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突破</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规划中规定的指标。</w:t>
      </w:r>
    </w:p>
    <w:p>
      <w:pPr>
        <w:spacing w:line="360" w:lineRule="auto"/>
        <w:ind w:firstLine="562" w:firstLineChars="200"/>
        <w:rPr>
          <w:rFonts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ascii="宋体" w:hAnsi="宋体" w:eastAsia="宋体" w:cs="宋体"/>
          <w:b/>
          <w:color w:val="000000" w:themeColor="text1"/>
          <w:sz w:val="28"/>
          <w:szCs w:val="28"/>
          <w:u w:val="single"/>
          <w:shd w:val="clear" w:color="auto" w:fill="FFFFFF"/>
          <w:lang w:val="zh-CN"/>
          <w14:textFill>
            <w14:solidFill>
              <w14:schemeClr w14:val="tx1"/>
            </w14:solidFill>
          </w14:textFill>
        </w:rPr>
        <w:t>2.</w:t>
      </w: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工业用地</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建筑密度指标为上限指标，</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商业服务业用地容积率指标为下限指标，</w:t>
      </w:r>
      <w:r>
        <w:rPr>
          <w:rFonts w:ascii="宋体" w:hAnsi="宋体" w:eastAsia="宋体" w:cs="宋体"/>
          <w:b/>
          <w:color w:val="000000" w:themeColor="text1"/>
          <w:sz w:val="28"/>
          <w:szCs w:val="28"/>
          <w:u w:val="single"/>
          <w:shd w:val="clear" w:color="auto" w:fill="FFFFFF"/>
          <w:lang w:val="zh-CN"/>
          <w14:textFill>
            <w14:solidFill>
              <w14:schemeClr w14:val="tx1"/>
            </w14:solidFill>
          </w14:textFill>
        </w:rPr>
        <w:t>地块内开发建设的建筑密度原则上不得超过规划中规定的指标。</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3.绿地率指标规划根据《曲靖中心城区园林绿化管理实施办法》新建工业企业、交通枢纽、仓储、商业中心、专业市场等项目绿地率不应低于20%。</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建筑退让、间距</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建筑退让、间距按照《曲靖中心城区规划管理技术规定》相关规定执行。</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配套设施</w:t>
      </w:r>
    </w:p>
    <w:p>
      <w:pPr>
        <w:spacing w:line="360" w:lineRule="auto"/>
        <w:ind w:firstLine="562" w:firstLineChars="200"/>
        <w:rPr>
          <w:rFonts w:hint="default" w:ascii="宋体" w:hAnsi="宋体" w:eastAsia="宋体" w:cs="宋体"/>
          <w:b/>
          <w:color w:val="000000" w:themeColor="text1"/>
          <w:sz w:val="28"/>
          <w:szCs w:val="28"/>
          <w:u w:val="single"/>
          <w:shd w:val="clear" w:color="auto" w:fill="FFFFFF"/>
          <w:lang w:val="en-US"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地块应配的配套设施按照《曲靖中心城区规划管理技术规定》相关规定执行。</w:t>
      </w:r>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四线规划控制</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ascii="宋体" w:hAnsi="宋体" w:eastAsia="宋体" w:cs="宋体"/>
          <w:color w:val="000000" w:themeColor="text1"/>
          <w:sz w:val="28"/>
          <w:szCs w:val="28"/>
          <w:shd w:val="clear" w:color="auto" w:fill="FFFFFF"/>
          <w:lang w:val="zh-CN"/>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城市</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黄</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线</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（1）城市黄线标定内容</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本次规划拟控制城市黄线包括：交通场站用地。</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（2）城市黄线控制要求</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城市黄线应当作为城市规划的强制性内容，与城市规划一并报批。城市</w:t>
      </w:r>
      <w:r>
        <w:rPr>
          <w:rFonts w:hint="eastAsia" w:ascii="宋体" w:hAnsi="宋体" w:eastAsia="宋体" w:cs="宋体"/>
          <w:b/>
          <w:color w:val="000000" w:themeColor="text1"/>
          <w:sz w:val="28"/>
          <w:szCs w:val="28"/>
          <w:u w:val="single"/>
          <w:shd w:val="clear" w:color="auto" w:fill="FFFFFF"/>
          <w:lang w:val="en-US" w:eastAsia="zh-CN"/>
          <w14:textFill>
            <w14:solidFill>
              <w14:schemeClr w14:val="tx1"/>
            </w14:solidFill>
          </w14:textFill>
        </w:rPr>
        <w:t>黄</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线一经批准，不得擅自调整。</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（3）在城市黄线范围内禁止下列活动：</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①违反城市规划要求，进行建筑物、构筑物及其他设施的建设；</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②违反国家有关技术标准和规范进行建设；</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③未经批准，改装、迁移或拆毁原有城市基础设施；</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④其他损坏城市基础设施或影响基础设施安全和正常运转的行为。</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城市</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绿</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线规划控制</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）城市绿线标定内容</w:t>
      </w:r>
    </w:p>
    <w:p>
      <w:pPr>
        <w:spacing w:line="360" w:lineRule="auto"/>
        <w:ind w:firstLine="560"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本规划区涉及的“绿线”依据《国土空间调查、规划、用途管制用地用海分类指南（试行）》划定，</w:t>
      </w: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规划对公园绿地、防护绿地、广场用地等划定的保护范围。</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）城市绿线控制要求</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城市绿线内的用地，不得改作他用，不得违反法律法规、强制性标准以及批准的规划进行开发建设。有关部门不得违反规定，批准在城市绿地范围内进行建设。</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因建设或者其他特殊情况，需要临时占用城市绿线内用地的，必须依法办理相关审批手续。</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在城市绿地范围内，不符合规划要求的建筑物、构筑物及其他设施应当限期迁出。</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14:textFill>
            <w14:solidFill>
              <w14:schemeClr w14:val="tx1"/>
            </w14:solidFill>
          </w14:textFill>
        </w:rPr>
        <w:t>任何单位和个人不得在城市绿地范围内进行拦河截溪、取土采石、设置垃圾堆场、排放污水以及其他队生态环境构成破坏的活动。</w:t>
      </w:r>
    </w:p>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城市蓝线规划控制</w:t>
      </w:r>
    </w:p>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（1）城市蓝线标定内容</w:t>
      </w:r>
    </w:p>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西冲水库、南干渠等水系及周边水体须保留水体经水系整理后按景观或流量要求划定蓝线控制范围。</w:t>
      </w:r>
    </w:p>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（2）城市蓝线控制要求</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城市蓝线应当与城市规划一并报批。城市蓝线已经批准，不得擅自调整。</w:t>
      </w:r>
    </w:p>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）在城市蓝线范围内禁止下列活动：</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①违反城市蓝线保护和控制要求的建设活动；</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②擅自填埋、占用城市蓝线内水域；</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③影响水系安全的爆破、采石、取土；</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④擅自建设各类排污设施；</w:t>
      </w:r>
    </w:p>
    <w:p>
      <w:pPr>
        <w:spacing w:line="360" w:lineRule="auto"/>
        <w:ind w:firstLine="562" w:firstLineChars="200"/>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pPr>
      <w:r>
        <w:rPr>
          <w:rFonts w:hint="eastAsia" w:ascii="宋体" w:hAnsi="宋体" w:eastAsia="宋体" w:cs="宋体"/>
          <w:b/>
          <w:color w:val="000000" w:themeColor="text1"/>
          <w:sz w:val="28"/>
          <w:szCs w:val="28"/>
          <w:u w:val="single"/>
          <w:shd w:val="clear" w:color="auto" w:fill="FFFFFF"/>
          <w:lang w:val="zh-CN" w:eastAsia="zh-CN"/>
          <w14:textFill>
            <w14:solidFill>
              <w14:schemeClr w14:val="tx1"/>
            </w14:solidFill>
          </w14:textFill>
        </w:rPr>
        <w:t>⑤其他对城市水系保护构成破坏的活动。</w:t>
      </w:r>
    </w:p>
    <w:p>
      <w:pPr>
        <w:pStyle w:val="2"/>
        <w:numPr>
          <w:ilvl w:val="0"/>
          <w:numId w:val="1"/>
        </w:numPr>
        <w:jc w:val="center"/>
        <w:rPr>
          <w:color w:val="000000" w:themeColor="text1"/>
          <w14:textFill>
            <w14:solidFill>
              <w14:schemeClr w14:val="tx1"/>
            </w14:solidFill>
          </w14:textFill>
        </w:rPr>
      </w:pPr>
      <w:bookmarkStart w:id="35" w:name="_Toc11246"/>
      <w:r>
        <w:rPr>
          <w:rFonts w:hint="eastAsia"/>
          <w:color w:val="000000" w:themeColor="text1"/>
          <w14:textFill>
            <w14:solidFill>
              <w14:schemeClr w14:val="tx1"/>
            </w14:solidFill>
          </w14:textFill>
        </w:rPr>
        <w:t>城市设计引导</w:t>
      </w:r>
      <w:bookmarkEnd w:id="35"/>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rPr>
        <w:t>规划目标与总体形象控制</w:t>
      </w:r>
    </w:p>
    <w:p>
      <w:pPr>
        <w:spacing w:line="360" w:lineRule="auto"/>
        <w:ind w:firstLine="560" w:firstLineChars="200"/>
        <w:rPr>
          <w:rFonts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围绕罗汉山立交、温泉旅游小镇、南绕城高速交通视点等环境资源背景，从城市形态空间的现实体验、城市建成环境与自然环境的协调性为出发点，加强与产业园区商业建筑契合，塑造片区城市山水相依的空间格局，提升片区景观风貌和南部新城门户形象。</w:t>
      </w:r>
    </w:p>
    <w:p>
      <w:pPr>
        <w:numPr>
          <w:ilvl w:val="0"/>
          <w:numId w:val="2"/>
        </w:numPr>
        <w:spacing w:line="360" w:lineRule="auto"/>
        <w:ind w:left="0" w:firstLine="562" w:firstLineChars="200"/>
        <w:rPr>
          <w:rFonts w:ascii="宋体" w:hAnsi="宋体"/>
          <w:b/>
          <w:bCs/>
          <w:sz w:val="28"/>
          <w:szCs w:val="28"/>
        </w:rPr>
      </w:pPr>
      <w:bookmarkStart w:id="36" w:name="_Toc42528411"/>
      <w:bookmarkStart w:id="37" w:name="_Toc17645667"/>
      <w:r>
        <w:rPr>
          <w:rFonts w:hint="eastAsia" w:ascii="宋体" w:hAnsi="宋体"/>
          <w:b/>
          <w:bCs/>
          <w:sz w:val="28"/>
          <w:szCs w:val="28"/>
        </w:rPr>
        <w:t>控制要素</w:t>
      </w:r>
      <w:bookmarkEnd w:id="36"/>
      <w:bookmarkEnd w:id="37"/>
      <w:r>
        <w:rPr>
          <w:rFonts w:hint="eastAsia" w:ascii="宋体" w:hAnsi="宋体"/>
          <w:b/>
          <w:bCs/>
          <w:sz w:val="28"/>
          <w:szCs w:val="28"/>
        </w:rPr>
        <w:t xml:space="preserve"> </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建筑控制</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各建筑物的立面设计与平、剖面统一考虑，整个建筑体型在满足生产工艺和相关功能要求的前提下，力求达到整体的统一，使之具有简洁、大方的外观效果，体现产业园区美观、现代的特点。</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界面</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）山体界面</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西部山体绿化郁葱，与规划区山城相融。群山叠翠，连绵起伏，形成整个园区壮观的天际线。</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）道路界面</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道路为城市主要交通界面。通过带状公园及带状街头绿地构筑路径两侧的第一界面，道路两侧建筑群是路径两侧的第二界面。</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轴线</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以城市的主要道路为景观轴线，规划以园区产业防护绿地为主要景观轴，以道路绿带、绿化隔离公园、两侧建筑群体形象控制为景观构成要素。</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标志性节点</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将商业办公建筑打造成为片区地标性建筑。通过建筑设计、环境设计、竖向设计、文化策划，使之成为片区城市景观标志点。</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通廊</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在城市设计中，要注重廊道建筑的高低设计、空间设计，保证空间的延续性、可视性和景观性，同时在各区域标志建筑之间也要构筑视线通廊联系。</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片区街道景观联动</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强化规划区与南部新城片区的街道景观连续性构成，通过曲陆高速路的景观塑造城市景观联动，推动片区产、城、人高度融合的空间脉络体系。</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建筑高度</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规划通过对罗汉山产业园区城市设计空间形态的研究，确定规划区建筑高度分为三个层次，高度≤18米，主要为公共管理与公共服务用地；高度≤24米，物流仓储、工业用地；高度≤80米，商业服务设施用地。</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建筑色彩</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考虑到曲靖城市特色与园区特色的结合，经实地研究，决定园区建筑色彩规划应本着“简洁、明快、大气、温暖”的原则，确定园区总体色彩以暖色系为主基调，在此基础上，调整变化颜色的色相、明度和饱和度作为辅助色和点缀色，并适当结合冷色调的运用，形成色彩丰富又统一和谐的建筑色调。</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在园区确定现代化工业厂房采用亮色调，丰富色彩系列，改善了工作环境，使人精力充沛、情绪饱满、热情、乐观，有利于提高生产率。色彩的色相、明度、纯度均能让人产生冷暖的感觉。在色相上，红与黄色给人温暖的感觉,蓝色给人寒冷的感觉。如工业建筑中的水管及其水龙头分别为红色与蓝色，不用任何文字说明，表示冷热两种水。在明度上，明度高的色彩比明度低色彩有凉爽感觉，如淡蓝色比深蓝色更有凉爽感；与明度相比，暗色更有温暖感。</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园区指引色彩以草绿、红、深蓝、深灰色等为主，能调节工作人员的色感，以创造良好的工作环境，提高工作效率。适当的色彩对比可调节空间效果,创造空间层次,增加室内丰富感和趣味性,在需要向前的部分采用明亮的暖色调,在需要后退的部分，采用低沉的冷色调。</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建筑风貌</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是城市风貌特色构成的基本元素，建筑形式要体现时代特色和地域特色。产业新区本身就是展现先进工业文明的体现，产业新区的建筑形式的选择同样要反映时代的先进理念。建筑色彩要体现曲靖市的地域特色，借鉴一些发展城市中的工业风貌控制体系。本规划片区的建筑色彩要突出自然环境和人文环境特征，结合曲靖市建筑风貌及相关的特色研究，确定园区展现清新明亮、简约大气的现代产业园区建筑风貌。</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建筑风貌分区:在整体风貌定位的基础上，结合园区发展目标、空间结构及环境特征，将规划范围内的建筑划定为工业风貌区、仓储组团风貌区、商业办公组团风貌区3个风貌分区。</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各建筑形式、功能内涵与文化内涵，采用不同建筑色彩。根据土地使用功能划分风貌区，分别为工业风貌区、仓储组团风貌区，商业办公组团风貌区。各风貌区建筑和环境需结合本风貌区的功能，统一建筑风格、色调、环境配置，体现美观、现代的特点。</w:t>
      </w:r>
    </w:p>
    <w:p>
      <w:pPr>
        <w:pStyle w:val="2"/>
        <w:numPr>
          <w:ilvl w:val="0"/>
          <w:numId w:val="1"/>
        </w:numPr>
        <w:jc w:val="center"/>
        <w:rPr>
          <w:color w:val="000000" w:themeColor="text1"/>
          <w14:textFill>
            <w14:solidFill>
              <w14:schemeClr w14:val="tx1"/>
            </w14:solidFill>
          </w14:textFill>
        </w:rPr>
      </w:pPr>
      <w:bookmarkStart w:id="38" w:name="_Toc28908"/>
      <w:bookmarkStart w:id="39" w:name="_Toc11701"/>
      <w:r>
        <w:rPr>
          <w:rFonts w:hint="eastAsia"/>
          <w:color w:val="000000" w:themeColor="text1"/>
          <w:lang w:val="en-US" w:eastAsia="zh-CN"/>
          <w14:textFill>
            <w14:solidFill>
              <w14:schemeClr w14:val="tx1"/>
            </w14:solidFill>
          </w14:textFill>
        </w:rPr>
        <w:t>分期建设</w:t>
      </w:r>
      <w:r>
        <w:rPr>
          <w:rFonts w:hint="eastAsia"/>
          <w:color w:val="000000" w:themeColor="text1"/>
          <w14:textFill>
            <w14:solidFill>
              <w14:schemeClr w14:val="tx1"/>
            </w14:solidFill>
          </w14:textFill>
        </w:rPr>
        <w:t>规划</w:t>
      </w:r>
      <w:bookmarkEnd w:id="38"/>
      <w:bookmarkEnd w:id="39"/>
    </w:p>
    <w:p>
      <w:pPr>
        <w:numPr>
          <w:ilvl w:val="0"/>
          <w:numId w:val="2"/>
        </w:numPr>
        <w:spacing w:line="360" w:lineRule="auto"/>
        <w:ind w:left="0" w:firstLine="562" w:firstLineChars="200"/>
        <w:rPr>
          <w:rFonts w:ascii="宋体" w:hAnsi="宋体"/>
          <w:b/>
          <w:bCs/>
          <w:sz w:val="28"/>
          <w:szCs w:val="28"/>
        </w:rPr>
      </w:pPr>
      <w:r>
        <w:rPr>
          <w:rFonts w:hint="eastAsia" w:ascii="宋体" w:hAnsi="宋体"/>
          <w:b/>
          <w:bCs/>
          <w:sz w:val="28"/>
          <w:szCs w:val="28"/>
          <w:lang w:val="en-US" w:eastAsia="zh-CN"/>
        </w:rPr>
        <w:t>分期建设规划</w:t>
      </w:r>
      <w:r>
        <w:rPr>
          <w:rFonts w:hint="eastAsia" w:ascii="宋体" w:hAnsi="宋体"/>
          <w:b/>
          <w:bCs/>
          <w:sz w:val="28"/>
          <w:szCs w:val="28"/>
        </w:rPr>
        <w:t xml:space="preserve"> </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规划</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建设</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期限为2023年—2035年，分为三个阶段。</w:t>
      </w:r>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近期</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规划</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 xml:space="preserve">工作重点是加强基础设施建设，保证凯佳食品产业园项目快速落实，从而创造良好的投资环境，引进重点经营企业，规划面积约126.2公顷。 </w:t>
      </w:r>
    </w:p>
    <w:p>
      <w:pPr>
        <w:spacing w:line="360" w:lineRule="auto"/>
        <w:ind w:firstLine="560" w:firstLineChars="20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中期规划逐步向南扩大园区建设，对园区各功能配套设施用地进行完善，进一步提升园区产业层次和知名度。规划面积约50.5公顷。</w:t>
      </w:r>
    </w:p>
    <w:p>
      <w:pPr>
        <w:spacing w:line="360" w:lineRule="auto"/>
        <w:ind w:firstLine="560" w:firstLineChars="200"/>
        <w:rPr>
          <w:rFonts w:hint="default"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远期规划结合城市西环路的建设，温泉收费站的调整，带动园区向西南扩大，对园区各规划功能用地进行完善，逐步实现园区目标。规划面积约145.8公顷。</w:t>
      </w:r>
    </w:p>
    <w:p>
      <w:pPr>
        <w:rPr>
          <w:rFonts w:hint="eastAsia"/>
          <w:color w:val="000000" w:themeColor="text1"/>
          <w14:textFill>
            <w14:solidFill>
              <w14:schemeClr w14:val="tx1"/>
            </w14:solidFill>
          </w14:textFill>
        </w:rPr>
      </w:pPr>
    </w:p>
    <w:p>
      <w:pPr>
        <w:pStyle w:val="2"/>
        <w:numPr>
          <w:ilvl w:val="0"/>
          <w:numId w:val="1"/>
        </w:numPr>
        <w:jc w:val="center"/>
        <w:rPr>
          <w:color w:val="000000" w:themeColor="text1"/>
          <w14:textFill>
            <w14:solidFill>
              <w14:schemeClr w14:val="tx1"/>
            </w14:solidFill>
          </w14:textFill>
        </w:rPr>
      </w:pPr>
      <w:bookmarkStart w:id="40" w:name="_Toc11624"/>
      <w:r>
        <w:rPr>
          <w:rFonts w:hint="eastAsia"/>
          <w:color w:val="000000" w:themeColor="text1"/>
          <w14:textFill>
            <w14:solidFill>
              <w14:schemeClr w14:val="tx1"/>
            </w14:solidFill>
          </w14:textFill>
        </w:rPr>
        <w:t>实施</w:t>
      </w:r>
      <w:r>
        <w:rPr>
          <w:rFonts w:hint="eastAsia"/>
          <w:color w:val="000000" w:themeColor="text1"/>
          <w:lang w:val="en-US" w:eastAsia="zh-CN"/>
          <w14:textFill>
            <w14:solidFill>
              <w14:schemeClr w14:val="tx1"/>
            </w14:solidFill>
          </w14:textFill>
        </w:rPr>
        <w:t>建议与保障</w:t>
      </w:r>
      <w:r>
        <w:rPr>
          <w:rFonts w:hint="eastAsia"/>
          <w:color w:val="000000" w:themeColor="text1"/>
          <w14:textFill>
            <w14:solidFill>
              <w14:schemeClr w14:val="tx1"/>
            </w14:solidFill>
          </w14:textFill>
        </w:rPr>
        <w:t>措施</w:t>
      </w:r>
      <w:bookmarkEnd w:id="40"/>
    </w:p>
    <w:p>
      <w:pPr>
        <w:numPr>
          <w:ilvl w:val="0"/>
          <w:numId w:val="2"/>
        </w:numPr>
        <w:spacing w:line="360" w:lineRule="auto"/>
        <w:ind w:left="0" w:firstLine="560" w:firstLineChars="200"/>
        <w:rPr>
          <w:rFonts w:ascii="宋体" w:hAnsi="宋体"/>
          <w:bCs/>
          <w:sz w:val="28"/>
          <w:szCs w:val="28"/>
        </w:rPr>
      </w:pPr>
      <w:r>
        <w:rPr>
          <w:rFonts w:hint="eastAsia" w:ascii="宋体" w:hAnsi="宋体"/>
          <w:bCs/>
          <w:sz w:val="28"/>
          <w:szCs w:val="28"/>
        </w:rPr>
        <w:t>本规划自批准之日起生效，其解释权归</w:t>
      </w:r>
      <w:r>
        <w:rPr>
          <w:rFonts w:hint="eastAsia" w:ascii="宋体" w:hAnsi="宋体"/>
          <w:bCs/>
          <w:sz w:val="28"/>
          <w:szCs w:val="28"/>
          <w:lang w:val="en-US" w:eastAsia="zh-CN"/>
        </w:rPr>
        <w:t>麒麟区</w:t>
      </w:r>
      <w:r>
        <w:rPr>
          <w:rFonts w:hint="eastAsia" w:ascii="宋体" w:hAnsi="宋体"/>
          <w:bCs/>
          <w:sz w:val="28"/>
          <w:szCs w:val="28"/>
        </w:rPr>
        <w:t>自然资源和规划局。</w:t>
      </w:r>
    </w:p>
    <w:p>
      <w:pPr>
        <w:numPr>
          <w:ilvl w:val="0"/>
          <w:numId w:val="2"/>
        </w:numPr>
        <w:spacing w:line="360" w:lineRule="auto"/>
        <w:ind w:left="0" w:firstLine="560" w:firstLineChars="200"/>
        <w:rPr>
          <w:rFonts w:ascii="宋体" w:hAnsi="宋体"/>
          <w:bCs/>
          <w:sz w:val="28"/>
          <w:szCs w:val="28"/>
        </w:rPr>
      </w:pPr>
      <w:r>
        <w:rPr>
          <w:rFonts w:hint="eastAsia" w:ascii="宋体" w:hAnsi="宋体"/>
          <w:bCs/>
          <w:sz w:val="28"/>
          <w:szCs w:val="28"/>
        </w:rPr>
        <w:t>任何单位和个人在本规划片区范围内进行各项建设活动，必须遵守本规划。对违反本规划的任何单位和个人，依据有关法律、法规和规定予以处罚。</w:t>
      </w:r>
    </w:p>
    <w:p>
      <w:pPr>
        <w:numPr>
          <w:ilvl w:val="0"/>
          <w:numId w:val="2"/>
        </w:numPr>
        <w:spacing w:line="360" w:lineRule="auto"/>
        <w:ind w:left="0" w:firstLine="560" w:firstLineChars="200"/>
        <w:rPr>
          <w:rFonts w:ascii="宋体" w:hAnsi="宋体"/>
          <w:bCs/>
          <w:sz w:val="28"/>
          <w:szCs w:val="28"/>
        </w:rPr>
      </w:pPr>
      <w:r>
        <w:rPr>
          <w:rFonts w:hint="eastAsia" w:ascii="宋体" w:hAnsi="宋体"/>
          <w:bCs/>
          <w:sz w:val="28"/>
          <w:szCs w:val="28"/>
        </w:rPr>
        <w:t>本规划一经批准，不得擅自修改。确需修改的，组织编制机关应当对修改的必要性进行论证，征求规划地段内利害关系人的意见，并向原审批机关提出专题报告，经原审批机关同意后，方可组织修编。</w:t>
      </w: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numPr>
          <w:ilvl w:val="0"/>
          <w:numId w:val="0"/>
        </w:numPr>
        <w:spacing w:line="360" w:lineRule="auto"/>
        <w:ind w:leftChars="200"/>
        <w:rPr>
          <w:rFonts w:ascii="宋体" w:hAnsi="宋体"/>
          <w:bCs/>
          <w:sz w:val="28"/>
          <w:szCs w:val="28"/>
        </w:rPr>
      </w:pPr>
    </w:p>
    <w:p>
      <w:pPr>
        <w:pStyle w:val="2"/>
        <w:jc w:val="both"/>
        <w:rPr>
          <w:color w:val="000000" w:themeColor="text1"/>
          <w:lang w:val="zh-CN"/>
          <w14:textFill>
            <w14:solidFill>
              <w14:schemeClr w14:val="tx1"/>
            </w14:solidFill>
          </w14:textFill>
        </w:rPr>
      </w:pPr>
      <w:bookmarkStart w:id="41" w:name="_Toc22885"/>
      <w:r>
        <w:rPr>
          <w:rFonts w:hint="eastAsia"/>
          <w:color w:val="000000" w:themeColor="text1"/>
          <w:lang w:val="zh-CN"/>
          <w14:textFill>
            <w14:solidFill>
              <w14:schemeClr w14:val="tx1"/>
            </w14:solidFill>
          </w14:textFill>
        </w:rPr>
        <w:t>附表</w:t>
      </w:r>
      <w:bookmarkEnd w:id="41"/>
    </w:p>
    <w:p>
      <w:pPr>
        <w:spacing w:line="360" w:lineRule="auto"/>
        <w:ind w:firstLine="560" w:firstLineChars="200"/>
        <w:rPr>
          <w:rFonts w:hint="eastAsia" w:ascii="宋体" w:hAnsi="宋体" w:eastAsia="宋体" w:cs="宋体"/>
          <w:color w:val="000000" w:themeColor="text1"/>
          <w:sz w:val="28"/>
          <w:szCs w:val="28"/>
          <w:shd w:val="clear" w:color="auto" w:fill="FFFFFF"/>
          <w:lang w:val="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14:textFill>
            <w14:solidFill>
              <w14:schemeClr w14:val="tx1"/>
            </w14:solidFill>
          </w14:textFill>
        </w:rPr>
        <w:t>附表</w:t>
      </w:r>
      <w:r>
        <w:rPr>
          <w:rFonts w:hint="eastAsia" w:ascii="宋体" w:hAnsi="宋体" w:eastAsia="宋体" w:cs="宋体"/>
          <w:color w:val="000000" w:themeColor="text1"/>
          <w:sz w:val="28"/>
          <w:szCs w:val="28"/>
          <w:shd w:val="clear" w:color="auto" w:fill="FFFFFF"/>
          <w14:textFill>
            <w14:solidFill>
              <w14:schemeClr w14:val="tx1"/>
            </w14:solidFill>
          </w14:textFill>
        </w:rPr>
        <w:t>1</w:t>
      </w:r>
      <w:r>
        <w:rPr>
          <w:rFonts w:hint="eastAsia" w:ascii="宋体" w:hAnsi="宋体" w:eastAsia="宋体" w:cs="宋体"/>
          <w:color w:val="000000" w:themeColor="text1"/>
          <w:sz w:val="28"/>
          <w:szCs w:val="28"/>
          <w:shd w:val="clear" w:color="auto" w:fill="FFFFFF"/>
          <w:lang w:val="zh-CN"/>
          <w14:textFill>
            <w14:solidFill>
              <w14:schemeClr w14:val="tx1"/>
            </w14:solidFill>
          </w14:textFill>
        </w:rPr>
        <w:t xml:space="preserve">  规划用地用海分类指标一览表</w:t>
      </w:r>
    </w:p>
    <w:tbl>
      <w:tblPr>
        <w:tblStyle w:val="10"/>
        <w:tblW w:w="9560" w:type="dxa"/>
        <w:jc w:val="center"/>
        <w:tblLayout w:type="autofit"/>
        <w:tblCellMar>
          <w:top w:w="0" w:type="dxa"/>
          <w:left w:w="108" w:type="dxa"/>
          <w:bottom w:w="0" w:type="dxa"/>
          <w:right w:w="108" w:type="dxa"/>
        </w:tblCellMar>
      </w:tblPr>
      <w:tblGrid>
        <w:gridCol w:w="1084"/>
        <w:gridCol w:w="1181"/>
        <w:gridCol w:w="1350"/>
        <w:gridCol w:w="2419"/>
        <w:gridCol w:w="1443"/>
        <w:gridCol w:w="2083"/>
      </w:tblGrid>
      <w:tr>
        <w:tblPrEx>
          <w:tblCellMar>
            <w:top w:w="0" w:type="dxa"/>
            <w:left w:w="108" w:type="dxa"/>
            <w:bottom w:w="0" w:type="dxa"/>
            <w:right w:w="108" w:type="dxa"/>
          </w:tblCellMar>
        </w:tblPrEx>
        <w:trPr>
          <w:trHeight w:val="353" w:hRule="atLeast"/>
          <w:jc w:val="center"/>
        </w:trPr>
        <w:tc>
          <w:tcPr>
            <w:tcW w:w="36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用地代码</w:t>
            </w:r>
          </w:p>
        </w:tc>
        <w:tc>
          <w:tcPr>
            <w:tcW w:w="2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用地名称</w:t>
            </w:r>
          </w:p>
        </w:tc>
        <w:tc>
          <w:tcPr>
            <w:tcW w:w="1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用地面积(hm²)</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占城市建设用地比例(%)</w:t>
            </w:r>
          </w:p>
        </w:tc>
      </w:tr>
      <w:tr>
        <w:tblPrEx>
          <w:tblCellMar>
            <w:top w:w="0" w:type="dxa"/>
            <w:left w:w="108" w:type="dxa"/>
            <w:bottom w:w="0" w:type="dxa"/>
            <w:right w:w="108" w:type="dxa"/>
          </w:tblCellMar>
        </w:tblPrEx>
        <w:trPr>
          <w:trHeight w:val="678"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一级类</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二级类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宋体" w:hAnsi="宋体" w:eastAsia="宋体" w:cs="宋体"/>
                <w:b w:val="0"/>
                <w:bCs/>
                <w:color w:val="000000" w:themeColor="text1"/>
                <w:kern w:val="0"/>
                <w:sz w:val="24"/>
                <w:lang w:bidi="ar"/>
                <w14:textFill>
                  <w14:solidFill>
                    <w14:schemeClr w14:val="tx1"/>
                  </w14:solidFill>
                </w14:textFill>
              </w:rPr>
            </w:pPr>
            <w:r>
              <w:rPr>
                <w:rFonts w:hint="eastAsia" w:ascii="宋体" w:hAnsi="宋体" w:eastAsia="宋体" w:cs="宋体"/>
                <w:b w:val="0"/>
                <w:bCs/>
                <w:color w:val="000000" w:themeColor="text1"/>
                <w:kern w:val="0"/>
                <w:sz w:val="24"/>
                <w:lang w:bidi="ar"/>
                <w14:textFill>
                  <w14:solidFill>
                    <w14:schemeClr w14:val="tx1"/>
                  </w14:solidFill>
                </w14:textFill>
              </w:rPr>
              <w:t>三级类</w:t>
            </w:r>
          </w:p>
        </w:tc>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val="0"/>
                <w:bCs/>
                <w:color w:val="000000"/>
                <w:kern w:val="0"/>
                <w:sz w:val="36"/>
                <w:szCs w:val="36"/>
              </w:rPr>
            </w:pPr>
          </w:p>
        </w:tc>
        <w:tc>
          <w:tcPr>
            <w:tcW w:w="14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val="0"/>
                <w:bCs/>
                <w:color w:val="000000"/>
                <w:kern w:val="0"/>
                <w:sz w:val="36"/>
                <w:szCs w:val="36"/>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val="0"/>
                <w:bCs/>
                <w:color w:val="000000"/>
                <w:kern w:val="0"/>
                <w:sz w:val="36"/>
                <w:szCs w:val="36"/>
              </w:rPr>
            </w:pPr>
          </w:p>
        </w:tc>
      </w:tr>
      <w:tr>
        <w:tblPrEx>
          <w:tblCellMar>
            <w:top w:w="0" w:type="dxa"/>
            <w:left w:w="108" w:type="dxa"/>
            <w:bottom w:w="0" w:type="dxa"/>
            <w:right w:w="108" w:type="dxa"/>
          </w:tblCellMar>
        </w:tblPrEx>
        <w:trPr>
          <w:trHeight w:val="528"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08</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公共管理与公共服务用地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1.68</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0.52%</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0801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机关团体用地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1.68</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0.52%</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09</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商业服务业用地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19.64</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6.09%</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0901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商业用地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19.64</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6.09%</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10</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工矿用地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127.03</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39.39%</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100101</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一类工业用地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76.93</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23.85%</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100102</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二类工业用地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50.10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15.54%</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11</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仓储用地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63.40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19.66%</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110101</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一类物流仓储用地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63.40</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19.66%</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交通运输用地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55.83</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17.31%</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1207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城镇道路用地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50.89</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15.78%</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1208</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120803</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社会停车场用地</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4.94</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宋体"/>
                <w:b w:val="0"/>
                <w:bCs w:val="0"/>
                <w:color w:val="000000"/>
                <w:kern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1.53%</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b w:val="0"/>
                <w:bCs w:val="0"/>
                <w:sz w:val="24"/>
                <w:szCs w:val="24"/>
              </w:rPr>
            </w:pPr>
          </w:p>
        </w:tc>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b w:val="0"/>
                <w:bCs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绿地与开敞空间用地</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51.41</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15.94%</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b w:val="0"/>
                <w:bCs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公园绿地</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16.66</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5.17%</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b w:val="0"/>
                <w:bCs w:val="0"/>
                <w:sz w:val="24"/>
                <w:szCs w:val="24"/>
              </w:rPr>
            </w:pPr>
          </w:p>
        </w:tc>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b w:val="0"/>
                <w:bCs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防护绿地</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34.75</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10.77%</w:t>
            </w:r>
          </w:p>
        </w:tc>
      </w:tr>
      <w:tr>
        <w:tblPrEx>
          <w:tblCellMar>
            <w:top w:w="0" w:type="dxa"/>
            <w:left w:w="108" w:type="dxa"/>
            <w:bottom w:w="0" w:type="dxa"/>
            <w:right w:w="108" w:type="dxa"/>
          </w:tblCellMar>
        </w:tblPrEx>
        <w:trPr>
          <w:trHeight w:val="340"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17</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b w:val="0"/>
                <w:bCs w:val="0"/>
                <w:sz w:val="24"/>
                <w:szCs w:val="24"/>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陆地水域</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3.51</w:t>
            </w:r>
          </w:p>
        </w:tc>
        <w:tc>
          <w:tcPr>
            <w:tcW w:w="2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1.09%</w:t>
            </w:r>
          </w:p>
        </w:tc>
      </w:tr>
      <w:tr>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b w:val="0"/>
                <w:bCs w:val="0"/>
                <w:sz w:val="24"/>
                <w:szCs w:val="24"/>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1703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b w:val="0"/>
                <w:bCs w:val="0"/>
                <w:sz w:val="24"/>
                <w:szCs w:val="24"/>
              </w:rPr>
            </w:pPr>
          </w:p>
        </w:tc>
        <w:tc>
          <w:tcPr>
            <w:tcW w:w="2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b w:val="0"/>
                <w:bCs w:val="0"/>
                <w:sz w:val="24"/>
                <w:szCs w:val="24"/>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水库水面</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3.51</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val="0"/>
                <w:bCs w:val="0"/>
                <w:color w:val="000000" w:themeColor="text1"/>
                <w:kern w:val="0"/>
                <w:sz w:val="24"/>
                <w:szCs w:val="24"/>
                <w:lang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1.09%</w:t>
            </w:r>
          </w:p>
        </w:tc>
      </w:tr>
      <w:tr>
        <w:tblPrEx>
          <w:tblCellMar>
            <w:top w:w="0" w:type="dxa"/>
            <w:left w:w="108" w:type="dxa"/>
            <w:bottom w:w="0" w:type="dxa"/>
            <w:right w:w="108" w:type="dxa"/>
          </w:tblCellMar>
        </w:tblPrEx>
        <w:trPr>
          <w:trHeight w:val="340" w:hRule="atLeast"/>
          <w:jc w:val="center"/>
        </w:trPr>
        <w:tc>
          <w:tcPr>
            <w:tcW w:w="60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小计</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322.5</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100%</w:t>
            </w:r>
          </w:p>
        </w:tc>
      </w:tr>
    </w:tbl>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bookmarkStart w:id="42" w:name="_Toc3584"/>
      <w:bookmarkStart w:id="43" w:name="_Toc30667"/>
      <w:bookmarkStart w:id="44" w:name="_Toc31815"/>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 xml:space="preserve">附表 </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2 </w:t>
      </w: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建设用地兼容性表</w:t>
      </w:r>
      <w:bookmarkEnd w:id="42"/>
      <w:bookmarkEnd w:id="43"/>
      <w:bookmarkEnd w:id="44"/>
    </w:p>
    <w:tbl>
      <w:tblPr>
        <w:tblStyle w:val="10"/>
        <w:tblW w:w="8526" w:type="dxa"/>
        <w:jc w:val="center"/>
        <w:tblLayout w:type="fixed"/>
        <w:tblCellMar>
          <w:top w:w="0" w:type="dxa"/>
          <w:left w:w="108" w:type="dxa"/>
          <w:bottom w:w="0" w:type="dxa"/>
          <w:right w:w="108" w:type="dxa"/>
        </w:tblCellMar>
      </w:tblPr>
      <w:tblGrid>
        <w:gridCol w:w="1614"/>
        <w:gridCol w:w="1088"/>
        <w:gridCol w:w="1088"/>
        <w:gridCol w:w="1088"/>
        <w:gridCol w:w="1088"/>
        <w:gridCol w:w="1088"/>
        <w:gridCol w:w="1472"/>
      </w:tblGrid>
      <w:tr>
        <w:tblPrEx>
          <w:tblCellMar>
            <w:top w:w="0" w:type="dxa"/>
            <w:left w:w="108" w:type="dxa"/>
            <w:bottom w:w="0" w:type="dxa"/>
            <w:right w:w="108" w:type="dxa"/>
          </w:tblCellMar>
        </w:tblPrEx>
        <w:trPr>
          <w:trHeight w:val="570" w:hRule="atLeast"/>
          <w:jc w:val="center"/>
        </w:trPr>
        <w:tc>
          <w:tcPr>
            <w:tcW w:w="16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用地类别</w:t>
            </w:r>
          </w:p>
          <w:p>
            <w:pPr>
              <w:ind w:left="0" w:leftChars="0" w:firstLine="0" w:firstLineChars="0"/>
              <w:jc w:val="center"/>
              <w:rPr>
                <w:rFonts w:ascii="宋体" w:hAnsi="宋体" w:eastAsia="宋体" w:cs="宋体"/>
                <w:color w:val="000000"/>
                <w:kern w:val="0"/>
                <w:sz w:val="22"/>
                <w:szCs w:val="22"/>
                <w:lang w:bidi="ar"/>
              </w:rPr>
            </w:pPr>
            <w:r>
              <w:rPr>
                <w:rFonts w:hint="eastAsia" w:ascii="宋体" w:hAnsi="宋体" w:eastAsia="宋体" w:cs="宋体"/>
                <w:b/>
                <w:bCs/>
                <w:sz w:val="24"/>
                <w:szCs w:val="24"/>
                <w:vertAlign w:val="baseline"/>
                <w:lang w:val="en-US" w:eastAsia="zh-CN"/>
              </w:rPr>
              <w:t>兼容性质</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0801</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0901</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100101</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100102</w:t>
            </w:r>
          </w:p>
        </w:tc>
        <w:tc>
          <w:tcPr>
            <w:tcW w:w="1088"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color w:val="000000"/>
                <w:kern w:val="0"/>
                <w:sz w:val="24"/>
                <w:szCs w:val="24"/>
                <w:lang w:val="en-US" w:bidi="ar"/>
              </w:rPr>
            </w:pPr>
            <w:r>
              <w:rPr>
                <w:rFonts w:hint="eastAsia" w:ascii="宋体" w:hAnsi="宋体" w:eastAsia="宋体" w:cs="宋体"/>
                <w:b w:val="0"/>
                <w:bCs w:val="0"/>
                <w:sz w:val="24"/>
                <w:szCs w:val="24"/>
                <w:vertAlign w:val="baseline"/>
                <w:lang w:val="en-US" w:eastAsia="zh-CN"/>
              </w:rPr>
              <w:t>110101</w:t>
            </w:r>
          </w:p>
        </w:tc>
        <w:tc>
          <w:tcPr>
            <w:tcW w:w="1472" w:type="dxa"/>
            <w:tcBorders>
              <w:top w:val="single" w:color="000000" w:sz="8" w:space="0"/>
              <w:left w:val="nil"/>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1208</w:t>
            </w:r>
          </w:p>
        </w:tc>
      </w:tr>
      <w:tr>
        <w:tblPrEx>
          <w:tblCellMar>
            <w:top w:w="0" w:type="dxa"/>
            <w:left w:w="108" w:type="dxa"/>
            <w:bottom w:w="0" w:type="dxa"/>
            <w:right w:w="108" w:type="dxa"/>
          </w:tblCellMar>
        </w:tblPrEx>
        <w:trPr>
          <w:trHeight w:val="340" w:hRule="atLeast"/>
          <w:jc w:val="center"/>
        </w:trPr>
        <w:tc>
          <w:tcPr>
            <w:tcW w:w="1614" w:type="dxa"/>
            <w:tcBorders>
              <w:top w:val="nil"/>
              <w:left w:val="single" w:color="000000" w:sz="8" w:space="0"/>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0801</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472"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r>
      <w:tr>
        <w:tblPrEx>
          <w:tblCellMar>
            <w:top w:w="0" w:type="dxa"/>
            <w:left w:w="108" w:type="dxa"/>
            <w:bottom w:w="0" w:type="dxa"/>
            <w:right w:w="108" w:type="dxa"/>
          </w:tblCellMar>
        </w:tblPrEx>
        <w:trPr>
          <w:trHeight w:val="340" w:hRule="atLeast"/>
          <w:jc w:val="center"/>
        </w:trPr>
        <w:tc>
          <w:tcPr>
            <w:tcW w:w="1614" w:type="dxa"/>
            <w:tcBorders>
              <w:top w:val="nil"/>
              <w:left w:val="single" w:color="000000" w:sz="8" w:space="0"/>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0901</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472"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r>
      <w:tr>
        <w:tblPrEx>
          <w:tblCellMar>
            <w:top w:w="0" w:type="dxa"/>
            <w:left w:w="108" w:type="dxa"/>
            <w:bottom w:w="0" w:type="dxa"/>
            <w:right w:w="108" w:type="dxa"/>
          </w:tblCellMar>
        </w:tblPrEx>
        <w:trPr>
          <w:trHeight w:val="340" w:hRule="atLeast"/>
          <w:jc w:val="center"/>
        </w:trPr>
        <w:tc>
          <w:tcPr>
            <w:tcW w:w="1614" w:type="dxa"/>
            <w:tcBorders>
              <w:top w:val="nil"/>
              <w:left w:val="single" w:color="000000" w:sz="8" w:space="0"/>
              <w:bottom w:val="single" w:color="000000" w:sz="8"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100101</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72"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CellMar>
            <w:top w:w="0" w:type="dxa"/>
            <w:left w:w="108" w:type="dxa"/>
            <w:bottom w:w="0" w:type="dxa"/>
            <w:right w:w="108" w:type="dxa"/>
          </w:tblCellMar>
        </w:tblPrEx>
        <w:trPr>
          <w:trHeight w:val="340" w:hRule="atLeast"/>
          <w:jc w:val="center"/>
        </w:trPr>
        <w:tc>
          <w:tcPr>
            <w:tcW w:w="1614" w:type="dxa"/>
            <w:tcBorders>
              <w:top w:val="nil"/>
              <w:left w:val="single" w:color="000000" w:sz="8" w:space="0"/>
              <w:bottom w:val="single" w:color="auto" w:sz="4" w:space="0"/>
              <w:right w:val="single" w:color="000000" w:sz="8"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100102</w:t>
            </w:r>
          </w:p>
        </w:tc>
        <w:tc>
          <w:tcPr>
            <w:tcW w:w="1088"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w:t>
            </w:r>
          </w:p>
        </w:tc>
        <w:tc>
          <w:tcPr>
            <w:tcW w:w="1088"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lang w:val="en-US" w:eastAsia="zh-CN"/>
              </w:rPr>
            </w:pPr>
            <w:r>
              <w:rPr>
                <w:rFonts w:hint="eastAsia"/>
                <w:lang w:val="en-US" w:eastAsia="zh-CN"/>
              </w:rPr>
              <w:t>○</w:t>
            </w:r>
          </w:p>
        </w:tc>
        <w:tc>
          <w:tcPr>
            <w:tcW w:w="1088"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lang w:val="en-US" w:eastAsia="zh-CN"/>
              </w:rPr>
              <w:t>○</w:t>
            </w:r>
          </w:p>
        </w:tc>
        <w:tc>
          <w:tcPr>
            <w:tcW w:w="1088"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088"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72" w:type="dxa"/>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CellMar>
            <w:top w:w="0" w:type="dxa"/>
            <w:left w:w="108" w:type="dxa"/>
            <w:bottom w:w="0" w:type="dxa"/>
            <w:right w:w="108" w:type="dxa"/>
          </w:tblCellMar>
        </w:tblPrEx>
        <w:trPr>
          <w:trHeight w:val="371"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vertAlign w:val="baseline"/>
                <w:lang w:val="en-US" w:eastAsia="zh-CN"/>
              </w:rPr>
              <w:t>110101</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val="0"/>
                <w:bCs w:val="0"/>
                <w:color w:val="000000"/>
                <w:kern w:val="0"/>
                <w:sz w:val="24"/>
                <w:szCs w:val="24"/>
                <w:lang w:bidi="ar"/>
              </w:rPr>
            </w:pPr>
            <w:r>
              <w:rPr>
                <w:rFonts w:hint="eastAsia" w:ascii="宋体" w:hAnsi="宋体" w:eastAsia="宋体" w:cs="宋体"/>
                <w:sz w:val="24"/>
                <w:szCs w:val="24"/>
                <w:vertAlign w:val="baseline"/>
                <w:lang w:val="en-US" w:eastAsia="zh-CN"/>
              </w:rPr>
              <w:t>●</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CellMar>
            <w:top w:w="0" w:type="dxa"/>
            <w:left w:w="108" w:type="dxa"/>
            <w:bottom w:w="0" w:type="dxa"/>
            <w:right w:w="108" w:type="dxa"/>
          </w:tblCellMar>
        </w:tblPrEx>
        <w:trPr>
          <w:trHeight w:val="387" w:hRule="atLeast"/>
          <w:jc w:val="center"/>
        </w:trPr>
        <w:tc>
          <w:tcPr>
            <w:tcW w:w="161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firstLine="0" w:firstLineChars="0"/>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1208</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bl>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注：●—允许兼容    ○—条件允许时经批准可兼容    空格—不兼容</w:t>
      </w:r>
    </w:p>
    <w:p>
      <w:pPr>
        <w:spacing w:line="360" w:lineRule="auto"/>
        <w:ind w:firstLine="560" w:firstLineChars="200"/>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 xml:space="preserve">附表 </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3 开发强度控制一览表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309"/>
        <w:gridCol w:w="230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8"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类型</w:t>
            </w:r>
          </w:p>
        </w:tc>
        <w:tc>
          <w:tcPr>
            <w:tcW w:w="2309"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容积率</w:t>
            </w:r>
          </w:p>
        </w:tc>
        <w:tc>
          <w:tcPr>
            <w:tcW w:w="2309"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建筑密度（%）</w:t>
            </w:r>
          </w:p>
        </w:tc>
        <w:tc>
          <w:tcPr>
            <w:tcW w:w="1962"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公共管理与公共服务用地</w:t>
            </w:r>
          </w:p>
        </w:tc>
        <w:tc>
          <w:tcPr>
            <w:tcW w:w="2309" w:type="dxa"/>
            <w:vAlign w:val="center"/>
          </w:tcPr>
          <w:p>
            <w:pPr>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230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≤35</w:t>
            </w:r>
          </w:p>
        </w:tc>
        <w:tc>
          <w:tcPr>
            <w:tcW w:w="196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eastAsia="宋体" w:cs="宋体"/>
                <w:sz w:val="24"/>
                <w:szCs w:val="24"/>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商业服务业用地</w:t>
            </w:r>
          </w:p>
        </w:tc>
        <w:tc>
          <w:tcPr>
            <w:tcW w:w="2309" w:type="dxa"/>
            <w:vAlign w:val="center"/>
          </w:tcPr>
          <w:p>
            <w:pPr>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≤3.5</w:t>
            </w:r>
          </w:p>
        </w:tc>
        <w:tc>
          <w:tcPr>
            <w:tcW w:w="230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≤60</w:t>
            </w:r>
          </w:p>
        </w:tc>
        <w:tc>
          <w:tcPr>
            <w:tcW w:w="196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工矿用地</w:t>
            </w:r>
          </w:p>
        </w:tc>
        <w:tc>
          <w:tcPr>
            <w:tcW w:w="2309" w:type="dxa"/>
            <w:vAlign w:val="center"/>
          </w:tcPr>
          <w:p>
            <w:pPr>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shd w:val="clear" w:color="auto" w:fill="FFFFFF"/>
                <w:vertAlign w:val="baseline"/>
                <w:lang w:val="en-US" w:eastAsia="zh-CN"/>
              </w:rPr>
              <w:t>≥1.0</w:t>
            </w:r>
          </w:p>
        </w:tc>
        <w:tc>
          <w:tcPr>
            <w:tcW w:w="230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≥40</w:t>
            </w:r>
          </w:p>
        </w:tc>
        <w:tc>
          <w:tcPr>
            <w:tcW w:w="196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仓储用地</w:t>
            </w:r>
          </w:p>
        </w:tc>
        <w:tc>
          <w:tcPr>
            <w:tcW w:w="2309" w:type="dxa"/>
            <w:vAlign w:val="center"/>
          </w:tcPr>
          <w:p>
            <w:pPr>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0.5≤FAR≤1.0</w:t>
            </w:r>
          </w:p>
        </w:tc>
        <w:tc>
          <w:tcPr>
            <w:tcW w:w="230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≤40</w:t>
            </w:r>
          </w:p>
        </w:tc>
        <w:tc>
          <w:tcPr>
            <w:tcW w:w="196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0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交通运输用地</w:t>
            </w:r>
          </w:p>
        </w:tc>
        <w:tc>
          <w:tcPr>
            <w:tcW w:w="2309" w:type="dxa"/>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230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≤25</w:t>
            </w:r>
          </w:p>
        </w:tc>
        <w:tc>
          <w:tcPr>
            <w:tcW w:w="196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≤18</w:t>
            </w:r>
          </w:p>
        </w:tc>
      </w:tr>
    </w:tbl>
    <w:p>
      <w:pPr>
        <w:spacing w:line="360" w:lineRule="auto"/>
        <w:ind w:firstLine="560" w:firstLineChars="200"/>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 xml:space="preserve">附表 </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4 建设用地绿地率控制指标表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项目类别</w:t>
            </w:r>
          </w:p>
        </w:tc>
        <w:tc>
          <w:tcPr>
            <w:tcW w:w="2793" w:type="dxa"/>
            <w:vAlign w:val="top"/>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代码</w:t>
            </w:r>
          </w:p>
        </w:tc>
        <w:tc>
          <w:tcPr>
            <w:tcW w:w="2903" w:type="dxa"/>
            <w:vAlign w:val="top"/>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绿地率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机关团体用地</w:t>
            </w:r>
          </w:p>
        </w:tc>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0801</w:t>
            </w:r>
          </w:p>
        </w:tc>
        <w:tc>
          <w:tcPr>
            <w:tcW w:w="290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≥35</w:t>
            </w:r>
            <w:r>
              <w:rPr>
                <w:rFonts w:hint="default" w:ascii="宋体" w:hAnsi="宋体" w:eastAsia="宋体" w:cs="宋体"/>
                <w:sz w:val="24"/>
                <w:szCs w:val="24"/>
                <w:shd w:val="clear" w:color="auto"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商业用地</w:t>
            </w:r>
          </w:p>
        </w:tc>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0901</w:t>
            </w:r>
          </w:p>
        </w:tc>
        <w:tc>
          <w:tcPr>
            <w:tcW w:w="290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≥20</w:t>
            </w:r>
            <w:r>
              <w:rPr>
                <w:rFonts w:hint="default" w:ascii="宋体" w:hAnsi="宋体" w:eastAsia="宋体" w:cs="宋体"/>
                <w:sz w:val="24"/>
                <w:szCs w:val="24"/>
                <w:shd w:val="clear" w:color="auto"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工矿用地</w:t>
            </w:r>
          </w:p>
        </w:tc>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1001</w:t>
            </w:r>
          </w:p>
        </w:tc>
        <w:tc>
          <w:tcPr>
            <w:tcW w:w="290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一类物流仓储用地</w:t>
            </w:r>
          </w:p>
        </w:tc>
        <w:tc>
          <w:tcPr>
            <w:tcW w:w="2793" w:type="dxa"/>
            <w:vAlign w:val="top"/>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110101</w:t>
            </w:r>
          </w:p>
        </w:tc>
        <w:tc>
          <w:tcPr>
            <w:tcW w:w="290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交通场站用地</w:t>
            </w:r>
          </w:p>
        </w:tc>
        <w:tc>
          <w:tcPr>
            <w:tcW w:w="279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1208</w:t>
            </w:r>
          </w:p>
        </w:tc>
        <w:tc>
          <w:tcPr>
            <w:tcW w:w="2903" w:type="dxa"/>
            <w:vAlign w:val="top"/>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公园绿地</w:t>
            </w:r>
          </w:p>
        </w:tc>
        <w:tc>
          <w:tcPr>
            <w:tcW w:w="2793" w:type="dxa"/>
            <w:vAlign w:val="top"/>
          </w:tcPr>
          <w:p>
            <w:pPr>
              <w:spacing w:line="360" w:lineRule="auto"/>
              <w:jc w:val="center"/>
              <w:rPr>
                <w:rFonts w:hint="eastAsia"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1401</w:t>
            </w:r>
          </w:p>
        </w:tc>
        <w:tc>
          <w:tcPr>
            <w:tcW w:w="2903" w:type="dxa"/>
            <w:vAlign w:val="top"/>
          </w:tcPr>
          <w:p>
            <w:pPr>
              <w:spacing w:line="360" w:lineRule="auto"/>
              <w:jc w:val="center"/>
              <w:rPr>
                <w:rFonts w:hint="eastAsia"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3" w:type="dxa"/>
            <w:vAlign w:val="top"/>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防护绿地</w:t>
            </w:r>
          </w:p>
        </w:tc>
        <w:tc>
          <w:tcPr>
            <w:tcW w:w="2793" w:type="dxa"/>
            <w:vAlign w:val="top"/>
          </w:tcPr>
          <w:p>
            <w:pPr>
              <w:spacing w:line="360" w:lineRule="auto"/>
              <w:jc w:val="center"/>
              <w:rPr>
                <w:rFonts w:hint="eastAsia"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1402</w:t>
            </w:r>
          </w:p>
        </w:tc>
        <w:tc>
          <w:tcPr>
            <w:tcW w:w="2903" w:type="dxa"/>
            <w:vAlign w:val="top"/>
          </w:tcPr>
          <w:p>
            <w:pPr>
              <w:spacing w:line="360" w:lineRule="auto"/>
              <w:jc w:val="center"/>
              <w:rPr>
                <w:rFonts w:hint="eastAsia"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≥90%</w:t>
            </w:r>
          </w:p>
        </w:tc>
      </w:tr>
    </w:tbl>
    <w:p>
      <w:pPr>
        <w:spacing w:line="360" w:lineRule="auto"/>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 xml:space="preserve">附表 5 </w:t>
      </w: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规划道路控制表</w:t>
      </w:r>
    </w:p>
    <w:tbl>
      <w:tblPr>
        <w:tblStyle w:val="10"/>
        <w:tblW w:w="97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9"/>
        <w:gridCol w:w="698"/>
        <w:gridCol w:w="1475"/>
        <w:gridCol w:w="806"/>
        <w:gridCol w:w="2550"/>
        <w:gridCol w:w="1144"/>
        <w:gridCol w:w="110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9"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698"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75"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路名</w:t>
            </w:r>
          </w:p>
        </w:tc>
        <w:tc>
          <w:tcPr>
            <w:tcW w:w="806"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走向</w:t>
            </w:r>
          </w:p>
        </w:tc>
        <w:tc>
          <w:tcPr>
            <w:tcW w:w="2550"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起讫点</w:t>
            </w:r>
          </w:p>
        </w:tc>
        <w:tc>
          <w:tcPr>
            <w:tcW w:w="1144"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长度</w:t>
            </w:r>
          </w:p>
        </w:tc>
        <w:tc>
          <w:tcPr>
            <w:tcW w:w="1106"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红线宽度（米）</w:t>
            </w:r>
          </w:p>
        </w:tc>
        <w:tc>
          <w:tcPr>
            <w:tcW w:w="1067" w:type="dxa"/>
            <w:vMerge w:val="restar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39"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698"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475"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806"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2550"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144"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c>
          <w:tcPr>
            <w:tcW w:w="1106"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1067" w:type="dxa"/>
            <w:vMerge w:val="continue"/>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restar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主干路</w:t>
            </w: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蓟河路-规划横六路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3649</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40</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海河路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2854</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规划横三路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843</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规划横五路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规划纵以路-曲陆高速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1012</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42</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5529" w:type="dxa"/>
            <w:gridSpan w:val="4"/>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小计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8358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restar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次干路</w:t>
            </w: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蓟河路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寥廓南路-曲陆高速</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895</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规划横一路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寥廓南路-规划纵一路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391</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规划横二路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寥廓南路-规划纵一路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658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规划横四路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规划纵一路-规划纵二路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738</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规划横六路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东西</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规划纵一路-规划纵二路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715</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规划纵一路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000000" w:themeColor="text1"/>
                <w:sz w:val="28"/>
                <w:szCs w:val="28"/>
                <w:lang w:val="en-US" w:eastAsia="zh-CN"/>
                <w14:textFill>
                  <w14:solidFill>
                    <w14:schemeClr w14:val="tx1"/>
                  </w14:solidFill>
                </w14:textFill>
              </w:rPr>
              <w:t>蓟河路—</w:t>
            </w:r>
            <w:r>
              <w:rPr>
                <w:rFonts w:hint="eastAsia" w:ascii="宋体" w:hAnsi="宋体" w:eastAsia="宋体" w:cs="宋体"/>
                <w:i w:val="0"/>
                <w:iCs w:val="0"/>
                <w:color w:val="auto"/>
                <w:kern w:val="0"/>
                <w:sz w:val="24"/>
                <w:szCs w:val="24"/>
                <w:u w:val="none"/>
                <w:lang w:val="en-US" w:eastAsia="zh-CN" w:bidi="ar"/>
              </w:rPr>
              <w:t>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3724</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698"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475"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规划纵二路</w:t>
            </w:r>
          </w:p>
        </w:tc>
        <w:tc>
          <w:tcPr>
            <w:tcW w:w="8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南北</w:t>
            </w:r>
          </w:p>
        </w:tc>
        <w:tc>
          <w:tcPr>
            <w:tcW w:w="2550"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规划横三路—规划横六路</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1460</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vMerge w:val="continue"/>
            <w:shd w:val="clear" w:color="auto" w:fill="auto"/>
            <w:noWrap/>
            <w:vAlign w:val="center"/>
          </w:tcPr>
          <w:p>
            <w:pPr>
              <w:spacing w:line="360" w:lineRule="auto"/>
              <w:jc w:val="center"/>
              <w:rPr>
                <w:rFonts w:hint="eastAsia" w:ascii="宋体" w:hAnsi="宋体" w:eastAsia="宋体" w:cs="宋体"/>
                <w:b/>
                <w:bCs/>
                <w:i w:val="0"/>
                <w:iCs w:val="0"/>
                <w:color w:val="auto"/>
                <w:sz w:val="24"/>
                <w:szCs w:val="24"/>
                <w:u w:val="none"/>
              </w:rPr>
            </w:pPr>
          </w:p>
        </w:tc>
        <w:tc>
          <w:tcPr>
            <w:tcW w:w="5529" w:type="dxa"/>
            <w:gridSpan w:val="4"/>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小计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8581</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8" w:type="dxa"/>
            <w:gridSpan w:val="5"/>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144" w:type="dxa"/>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16939</w:t>
            </w:r>
          </w:p>
        </w:tc>
        <w:tc>
          <w:tcPr>
            <w:tcW w:w="1106"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p>
        </w:tc>
        <w:tc>
          <w:tcPr>
            <w:tcW w:w="1067"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p>
        </w:tc>
      </w:tr>
    </w:tbl>
    <w:p>
      <w:pPr>
        <w:spacing w:line="360" w:lineRule="auto"/>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附表 6 建筑退让城市道路红线最小距离表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道路红线宽度 D（米）</w:t>
            </w: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建筑高度 H（米）</w:t>
            </w: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城市旧区建筑退让红线距离（米）</w:t>
            </w:r>
          </w:p>
        </w:tc>
        <w:tc>
          <w:tcPr>
            <w:tcW w:w="2566"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城市新区建筑退让红线距离（米）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快速路</w:t>
            </w:r>
          </w:p>
        </w:tc>
        <w:tc>
          <w:tcPr>
            <w:tcW w:w="2565"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sz w:val="24"/>
                <w:szCs w:val="24"/>
                <w:shd w:val="clear" w:color="auto" w:fill="FFFFFF"/>
                <w:vertAlign w:val="baseline"/>
                <w:lang w:val="en-US" w:eastAsia="zh-CN"/>
              </w:rPr>
              <w:t>/</w:t>
            </w: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≥30</w:t>
            </w:r>
          </w:p>
        </w:tc>
        <w:tc>
          <w:tcPr>
            <w:tcW w:w="2566"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restart"/>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D≥25</w:t>
            </w:r>
          </w:p>
        </w:tc>
        <w:tc>
          <w:tcPr>
            <w:tcW w:w="2565"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H≤24</w:t>
            </w:r>
          </w:p>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居住建筑：27</w:t>
            </w:r>
          </w:p>
        </w:tc>
        <w:tc>
          <w:tcPr>
            <w:tcW w:w="2565"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≥5</w:t>
            </w:r>
          </w:p>
        </w:tc>
        <w:tc>
          <w:tcPr>
            <w:tcW w:w="2566"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24＜H≤50</w:t>
            </w:r>
          </w:p>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居住建筑：27＜H≤54</w:t>
            </w:r>
          </w:p>
        </w:tc>
        <w:tc>
          <w:tcPr>
            <w:tcW w:w="2565"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≥8</w:t>
            </w:r>
          </w:p>
        </w:tc>
        <w:tc>
          <w:tcPr>
            <w:tcW w:w="2566"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50＜H≤100</w:t>
            </w:r>
          </w:p>
        </w:tc>
        <w:tc>
          <w:tcPr>
            <w:tcW w:w="2565"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≥10</w:t>
            </w:r>
          </w:p>
        </w:tc>
        <w:tc>
          <w:tcPr>
            <w:tcW w:w="2566"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H＞100</w:t>
            </w:r>
          </w:p>
        </w:tc>
        <w:tc>
          <w:tcPr>
            <w:tcW w:w="2565"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≥12</w:t>
            </w:r>
          </w:p>
        </w:tc>
        <w:tc>
          <w:tcPr>
            <w:tcW w:w="2566"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restart"/>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D＜25</w:t>
            </w:r>
          </w:p>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H≤24</w:t>
            </w:r>
          </w:p>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居住建筑：27</w:t>
            </w:r>
          </w:p>
        </w:tc>
        <w:tc>
          <w:tcPr>
            <w:tcW w:w="2565"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≥5</w:t>
            </w:r>
          </w:p>
        </w:tc>
        <w:tc>
          <w:tcPr>
            <w:tcW w:w="2566"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24＜H≤50</w:t>
            </w:r>
          </w:p>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居住建筑：27＜H≤54</w:t>
            </w:r>
          </w:p>
        </w:tc>
        <w:tc>
          <w:tcPr>
            <w:tcW w:w="2565" w:type="dxa"/>
            <w:vMerge w:val="restart"/>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≥8</w:t>
            </w:r>
          </w:p>
        </w:tc>
        <w:tc>
          <w:tcPr>
            <w:tcW w:w="2566"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50＜H≤100</w:t>
            </w:r>
          </w:p>
        </w:tc>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6" w:type="dxa"/>
            <w:vAlign w:val="center"/>
          </w:tcPr>
          <w:p>
            <w:pPr>
              <w:spacing w:line="360" w:lineRule="auto"/>
              <w:jc w:val="center"/>
              <w:rPr>
                <w:rFonts w:hint="default" w:ascii="宋体" w:hAnsi="宋体" w:eastAsia="宋体" w:cs="宋体"/>
                <w:sz w:val="24"/>
                <w:szCs w:val="24"/>
                <w:shd w:val="clear" w:color="auto" w:fill="FFFFFF"/>
                <w:vertAlign w:val="baseline"/>
                <w:lang w:val="en-US" w:eastAsia="zh-CN"/>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Merge w:val="continue"/>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p>
        </w:tc>
        <w:tc>
          <w:tcPr>
            <w:tcW w:w="2565" w:type="dxa"/>
            <w:vAlign w:val="center"/>
          </w:tcPr>
          <w:p>
            <w:pPr>
              <w:keepNext w:val="0"/>
              <w:keepLines w:val="0"/>
              <w:widowControl/>
              <w:suppressLineNumbers w:val="0"/>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H＞100</w:t>
            </w:r>
          </w:p>
        </w:tc>
        <w:tc>
          <w:tcPr>
            <w:tcW w:w="2565"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≥10</w:t>
            </w:r>
          </w:p>
        </w:tc>
        <w:tc>
          <w:tcPr>
            <w:tcW w:w="2566" w:type="dxa"/>
            <w:vAlign w:val="center"/>
          </w:tcPr>
          <w:p>
            <w:pPr>
              <w:spacing w:line="360" w:lineRule="auto"/>
              <w:jc w:val="center"/>
              <w:rPr>
                <w:rFonts w:hint="eastAsia" w:ascii="宋体" w:hAnsi="宋体" w:eastAsia="宋体" w:cs="宋体"/>
                <w:sz w:val="24"/>
                <w:szCs w:val="24"/>
                <w:shd w:val="clear" w:color="auto" w:fill="FFFFFF"/>
                <w:vertAlign w:val="baseline"/>
                <w:lang w:val="zh-CN" w:eastAsia="zh-CN"/>
              </w:rPr>
            </w:pPr>
            <w:r>
              <w:rPr>
                <w:rFonts w:hint="eastAsia" w:ascii="宋体" w:hAnsi="宋体" w:eastAsia="宋体" w:cs="宋体"/>
                <w:color w:val="000000"/>
                <w:kern w:val="0"/>
                <w:sz w:val="24"/>
                <w:szCs w:val="24"/>
                <w:lang w:val="en-US" w:eastAsia="zh-CN" w:bidi="ar"/>
              </w:rPr>
              <w:t>≥12</w:t>
            </w:r>
          </w:p>
        </w:tc>
      </w:tr>
    </w:tbl>
    <w:p>
      <w:pPr>
        <w:spacing w:line="360" w:lineRule="auto"/>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 xml:space="preserve">附表 </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t xml:space="preserve"> 城市绿线控制表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3420"/>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类别</w:t>
            </w:r>
          </w:p>
        </w:tc>
        <w:tc>
          <w:tcPr>
            <w:tcW w:w="3420" w:type="dxa"/>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位置</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restart"/>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公园绿地</w:t>
            </w:r>
          </w:p>
        </w:tc>
        <w:tc>
          <w:tcPr>
            <w:tcW w:w="3420" w:type="dxa"/>
            <w:vAlign w:val="center"/>
          </w:tcPr>
          <w:p>
            <w:pPr>
              <w:keepNext w:val="0"/>
              <w:keepLines w:val="0"/>
              <w:widowControl/>
              <w:suppressLineNumbers w:val="0"/>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zh-CN" w:eastAsia="zh-CN" w:bidi="ar"/>
              </w:rPr>
              <w:t>蓟河路</w:t>
            </w:r>
            <w:r>
              <w:rPr>
                <w:rFonts w:hint="eastAsia" w:ascii="宋体" w:hAnsi="宋体" w:eastAsia="宋体" w:cs="宋体"/>
                <w:color w:val="000000"/>
                <w:kern w:val="0"/>
                <w:sz w:val="24"/>
                <w:szCs w:val="24"/>
                <w:lang w:val="en-US" w:eastAsia="zh-CN" w:bidi="ar"/>
              </w:rPr>
              <w:t>以南街边绿地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continue"/>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p>
        </w:tc>
        <w:tc>
          <w:tcPr>
            <w:tcW w:w="3420"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南干渠两侧绿地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continue"/>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p>
        </w:tc>
        <w:tc>
          <w:tcPr>
            <w:tcW w:w="3420" w:type="dxa"/>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口袋公园、街头绿地</w:t>
            </w:r>
          </w:p>
        </w:tc>
        <w:tc>
          <w:tcPr>
            <w:tcW w:w="3421" w:type="dxa"/>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continue"/>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p>
        </w:tc>
        <w:tc>
          <w:tcPr>
            <w:tcW w:w="3420" w:type="dxa"/>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4"/>
                <w:szCs w:val="24"/>
                <w:u w:val="none"/>
                <w:lang w:val="zh-CN" w:eastAsia="zh-CN" w:bidi="ar"/>
              </w:rPr>
            </w:pPr>
            <w:r>
              <w:rPr>
                <w:rFonts w:hint="eastAsia" w:ascii="宋体" w:hAnsi="宋体" w:eastAsia="宋体" w:cs="宋体"/>
                <w:color w:val="000000"/>
                <w:kern w:val="0"/>
                <w:sz w:val="24"/>
                <w:szCs w:val="24"/>
                <w:lang w:val="en-US" w:eastAsia="zh-CN" w:bidi="ar"/>
              </w:rPr>
              <w:t>寥廓南路街边绿地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continue"/>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p>
        </w:tc>
        <w:tc>
          <w:tcPr>
            <w:tcW w:w="3420"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规划横五路两侧绿地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restart"/>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防护绿地</w:t>
            </w:r>
          </w:p>
        </w:tc>
        <w:tc>
          <w:tcPr>
            <w:tcW w:w="3420"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曲陆高速两侧绿地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vMerge w:val="continue"/>
            <w:vAlign w:val="center"/>
          </w:tcPr>
          <w:p>
            <w:pPr>
              <w:spacing w:line="360" w:lineRule="auto"/>
              <w:jc w:val="center"/>
              <w:rPr>
                <w:rFonts w:hint="eastAsia" w:ascii="宋体" w:hAnsi="宋体" w:eastAsia="宋体" w:cs="宋体"/>
                <w:b w:val="0"/>
                <w:bCs w:val="0"/>
                <w:i w:val="0"/>
                <w:iCs w:val="0"/>
                <w:color w:val="000000"/>
                <w:kern w:val="0"/>
                <w:sz w:val="24"/>
                <w:szCs w:val="24"/>
                <w:u w:val="none"/>
                <w:lang w:val="zh-CN" w:eastAsia="zh-CN" w:bidi="ar"/>
              </w:rPr>
            </w:pPr>
          </w:p>
        </w:tc>
        <w:tc>
          <w:tcPr>
            <w:tcW w:w="3420"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南绕城高速两侧绿地</w:t>
            </w:r>
          </w:p>
        </w:tc>
        <w:tc>
          <w:tcPr>
            <w:tcW w:w="3421" w:type="dxa"/>
            <w:vAlign w:val="center"/>
          </w:tcPr>
          <w:p>
            <w:pPr>
              <w:spacing w:line="360" w:lineRule="auto"/>
              <w:jc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≥50米</w:t>
            </w:r>
          </w:p>
        </w:tc>
      </w:tr>
    </w:tbl>
    <w:p>
      <w:pPr>
        <w:spacing w:line="360" w:lineRule="auto"/>
        <w:rPr>
          <w:rFonts w:hint="eastAsia" w:ascii="宋体" w:hAnsi="宋体" w:eastAsia="宋体" w:cs="宋体"/>
          <w:color w:val="000000" w:themeColor="text1"/>
          <w:sz w:val="28"/>
          <w:szCs w:val="28"/>
          <w:shd w:val="clear" w:color="auto" w:fill="FFFFFF"/>
          <w:lang w:val="zh-CN" w:eastAsia="zh-CN"/>
          <w14:textFill>
            <w14:solidFill>
              <w14:schemeClr w14:val="tx1"/>
            </w14:solidFill>
          </w14:textFill>
        </w:rPr>
      </w:pPr>
    </w:p>
    <w:sectPr>
      <w:headerReference r:id="rId4" w:type="default"/>
      <w:footerReference r:id="rId5" w:type="default"/>
      <w:pgSz w:w="23811" w:h="16838" w:orient="landscape"/>
      <w:pgMar w:top="1800" w:right="1440" w:bottom="1800" w:left="1440" w:header="851" w:footer="992" w:gutter="0"/>
      <w:pgNumType w:fmt="numberInDash" w:start="1"/>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p>
    <w:pPr>
      <w:pStyle w:val="7"/>
      <w:pBdr>
        <w:bottom w:val="none" w:color="auto" w:sz="0" w:space="1"/>
      </w:pBdr>
    </w:pPr>
  </w:p>
  <w:p>
    <w:pPr>
      <w:pStyle w:val="7"/>
    </w:pPr>
    <w:r>
      <w:rPr>
        <w:rFonts w:hint="eastAsia"/>
        <w:sz w:val="21"/>
        <w:szCs w:val="21"/>
      </w:rPr>
      <w:t>罗汉山产业园区Q-32单元控制性详细规划及Q-29-01街区控制性详细规划——文本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Style w:val="7"/>
      <w:rPr>
        <w:rFonts w:hint="eastAsia"/>
        <w:sz w:val="21"/>
        <w:szCs w:val="21"/>
      </w:rPr>
    </w:pPr>
  </w:p>
  <w:p>
    <w:pPr>
      <w:pStyle w:val="7"/>
      <w:rPr>
        <w:rFonts w:hint="eastAsia"/>
        <w:sz w:val="21"/>
        <w:szCs w:val="21"/>
      </w:rPr>
    </w:pPr>
    <w:r>
      <w:rPr>
        <w:rFonts w:hint="eastAsia"/>
        <w:sz w:val="21"/>
        <w:szCs w:val="21"/>
      </w:rPr>
      <w:t>罗汉山产业园区Q-32单元控制性详细规划及Q-29-01街区控制性详细规划——文本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6086"/>
    <w:multiLevelType w:val="singleLevel"/>
    <w:tmpl w:val="20326086"/>
    <w:lvl w:ilvl="0" w:tentative="0">
      <w:start w:val="1"/>
      <w:numFmt w:val="chineseCounting"/>
      <w:suff w:val="space"/>
      <w:lvlText w:val="第%1章"/>
      <w:lvlJc w:val="left"/>
      <w:rPr>
        <w:rFonts w:hint="eastAsia"/>
      </w:rPr>
    </w:lvl>
  </w:abstractNum>
  <w:abstractNum w:abstractNumId="1">
    <w:nsid w:val="3A8408F7"/>
    <w:multiLevelType w:val="multilevel"/>
    <w:tmpl w:val="3A8408F7"/>
    <w:lvl w:ilvl="0" w:tentative="0">
      <w:start w:val="1"/>
      <w:numFmt w:val="chineseCountingThousand"/>
      <w:lvlText w:val="第%1条"/>
      <w:lvlJc w:val="left"/>
      <w:pPr>
        <w:ind w:left="420" w:hanging="420"/>
      </w:pPr>
      <w:rPr>
        <w:rFonts w:hint="eastAsia"/>
        <w:b/>
        <w:i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61AB638F"/>
    <w:rsid w:val="00042A05"/>
    <w:rsid w:val="0005499F"/>
    <w:rsid w:val="000F76D5"/>
    <w:rsid w:val="001741DF"/>
    <w:rsid w:val="00177235"/>
    <w:rsid w:val="001F6495"/>
    <w:rsid w:val="002B5E11"/>
    <w:rsid w:val="002C0127"/>
    <w:rsid w:val="003062F3"/>
    <w:rsid w:val="00352009"/>
    <w:rsid w:val="00357943"/>
    <w:rsid w:val="003B625E"/>
    <w:rsid w:val="00454BBB"/>
    <w:rsid w:val="0048184A"/>
    <w:rsid w:val="0048258E"/>
    <w:rsid w:val="004C2242"/>
    <w:rsid w:val="00521BF4"/>
    <w:rsid w:val="005369A5"/>
    <w:rsid w:val="0057392B"/>
    <w:rsid w:val="005A2B9D"/>
    <w:rsid w:val="005D3026"/>
    <w:rsid w:val="00673321"/>
    <w:rsid w:val="006E0991"/>
    <w:rsid w:val="00784425"/>
    <w:rsid w:val="007964B8"/>
    <w:rsid w:val="00881D04"/>
    <w:rsid w:val="00885879"/>
    <w:rsid w:val="008C4C08"/>
    <w:rsid w:val="008F4ED8"/>
    <w:rsid w:val="00900896"/>
    <w:rsid w:val="009279EF"/>
    <w:rsid w:val="009C6370"/>
    <w:rsid w:val="00A17322"/>
    <w:rsid w:val="00A52EC1"/>
    <w:rsid w:val="00A72549"/>
    <w:rsid w:val="00A86721"/>
    <w:rsid w:val="00A93A4E"/>
    <w:rsid w:val="00AB6586"/>
    <w:rsid w:val="00AF7E9A"/>
    <w:rsid w:val="00B13697"/>
    <w:rsid w:val="00B26BDD"/>
    <w:rsid w:val="00B3058D"/>
    <w:rsid w:val="00B430A8"/>
    <w:rsid w:val="00B64510"/>
    <w:rsid w:val="00C64AF4"/>
    <w:rsid w:val="00C908ED"/>
    <w:rsid w:val="00CA2279"/>
    <w:rsid w:val="00D30E16"/>
    <w:rsid w:val="00D63F0F"/>
    <w:rsid w:val="00DA18B4"/>
    <w:rsid w:val="00E32574"/>
    <w:rsid w:val="00EB5FA8"/>
    <w:rsid w:val="00EC56ED"/>
    <w:rsid w:val="00F05082"/>
    <w:rsid w:val="02693032"/>
    <w:rsid w:val="02A51F81"/>
    <w:rsid w:val="02BA78D1"/>
    <w:rsid w:val="03155B98"/>
    <w:rsid w:val="03163B6F"/>
    <w:rsid w:val="03DA05AA"/>
    <w:rsid w:val="0655497A"/>
    <w:rsid w:val="066B5CCB"/>
    <w:rsid w:val="06A96AFB"/>
    <w:rsid w:val="06B515B8"/>
    <w:rsid w:val="06F03A7B"/>
    <w:rsid w:val="07A1396F"/>
    <w:rsid w:val="091C4DD6"/>
    <w:rsid w:val="097B1BFE"/>
    <w:rsid w:val="09C76BEE"/>
    <w:rsid w:val="09DE0562"/>
    <w:rsid w:val="0A2A7C4B"/>
    <w:rsid w:val="0A590531"/>
    <w:rsid w:val="0A863748"/>
    <w:rsid w:val="0C000C64"/>
    <w:rsid w:val="0C3D4FBA"/>
    <w:rsid w:val="0D4D2FC1"/>
    <w:rsid w:val="0D8742AF"/>
    <w:rsid w:val="0E656FFD"/>
    <w:rsid w:val="0F006398"/>
    <w:rsid w:val="0F697AF2"/>
    <w:rsid w:val="0FE22231"/>
    <w:rsid w:val="0FEB1B4E"/>
    <w:rsid w:val="10534C72"/>
    <w:rsid w:val="11211CA5"/>
    <w:rsid w:val="11415405"/>
    <w:rsid w:val="12BA7692"/>
    <w:rsid w:val="131750AF"/>
    <w:rsid w:val="13C755FC"/>
    <w:rsid w:val="149F7CC3"/>
    <w:rsid w:val="16A81867"/>
    <w:rsid w:val="17397720"/>
    <w:rsid w:val="17553B60"/>
    <w:rsid w:val="1811244B"/>
    <w:rsid w:val="1BAE3118"/>
    <w:rsid w:val="1CAC629E"/>
    <w:rsid w:val="1FE67D19"/>
    <w:rsid w:val="1FE85338"/>
    <w:rsid w:val="20146634"/>
    <w:rsid w:val="20410241"/>
    <w:rsid w:val="213A15FB"/>
    <w:rsid w:val="21982BC5"/>
    <w:rsid w:val="22AC524A"/>
    <w:rsid w:val="22DA6EEF"/>
    <w:rsid w:val="234D2B28"/>
    <w:rsid w:val="23FB73F4"/>
    <w:rsid w:val="24515D4E"/>
    <w:rsid w:val="24B55F73"/>
    <w:rsid w:val="256C2645"/>
    <w:rsid w:val="25EB5F21"/>
    <w:rsid w:val="25FE088A"/>
    <w:rsid w:val="26075CA4"/>
    <w:rsid w:val="27573E65"/>
    <w:rsid w:val="27A75FE0"/>
    <w:rsid w:val="27C941A8"/>
    <w:rsid w:val="27DD2CC1"/>
    <w:rsid w:val="281E6393"/>
    <w:rsid w:val="29312005"/>
    <w:rsid w:val="29B570DA"/>
    <w:rsid w:val="2A7D13AA"/>
    <w:rsid w:val="2B1D0B6D"/>
    <w:rsid w:val="2BB921D9"/>
    <w:rsid w:val="2BC81628"/>
    <w:rsid w:val="2D7A75C0"/>
    <w:rsid w:val="2DD6201F"/>
    <w:rsid w:val="2E5E078B"/>
    <w:rsid w:val="2EC6073D"/>
    <w:rsid w:val="30D55DF2"/>
    <w:rsid w:val="324A4228"/>
    <w:rsid w:val="327613D0"/>
    <w:rsid w:val="35537950"/>
    <w:rsid w:val="355E51EF"/>
    <w:rsid w:val="35BD1E02"/>
    <w:rsid w:val="36114676"/>
    <w:rsid w:val="36CD6EA5"/>
    <w:rsid w:val="37C10217"/>
    <w:rsid w:val="3817340A"/>
    <w:rsid w:val="382E6314"/>
    <w:rsid w:val="38B90269"/>
    <w:rsid w:val="39335DC8"/>
    <w:rsid w:val="398D444A"/>
    <w:rsid w:val="3A9C3C47"/>
    <w:rsid w:val="3B634FF2"/>
    <w:rsid w:val="3C504A40"/>
    <w:rsid w:val="3D2336A9"/>
    <w:rsid w:val="3D6D61E0"/>
    <w:rsid w:val="3F910F45"/>
    <w:rsid w:val="3FC8548E"/>
    <w:rsid w:val="3FDD65EB"/>
    <w:rsid w:val="40132208"/>
    <w:rsid w:val="40C7284E"/>
    <w:rsid w:val="40CB0EDD"/>
    <w:rsid w:val="40EA7438"/>
    <w:rsid w:val="413404E4"/>
    <w:rsid w:val="417E3DFD"/>
    <w:rsid w:val="41D771CD"/>
    <w:rsid w:val="433230F1"/>
    <w:rsid w:val="43895080"/>
    <w:rsid w:val="43D140F2"/>
    <w:rsid w:val="462652E0"/>
    <w:rsid w:val="48E2538E"/>
    <w:rsid w:val="497D7535"/>
    <w:rsid w:val="49A6332D"/>
    <w:rsid w:val="4B42108B"/>
    <w:rsid w:val="4BB10299"/>
    <w:rsid w:val="4CC62AEC"/>
    <w:rsid w:val="4D41465D"/>
    <w:rsid w:val="4E4168DE"/>
    <w:rsid w:val="4F3505D3"/>
    <w:rsid w:val="517F1B99"/>
    <w:rsid w:val="51E412AD"/>
    <w:rsid w:val="53346A12"/>
    <w:rsid w:val="55460B79"/>
    <w:rsid w:val="55674E7D"/>
    <w:rsid w:val="55983288"/>
    <w:rsid w:val="55F83D27"/>
    <w:rsid w:val="56B07357"/>
    <w:rsid w:val="58922210"/>
    <w:rsid w:val="58C82874"/>
    <w:rsid w:val="58F773CC"/>
    <w:rsid w:val="59B77065"/>
    <w:rsid w:val="59F77D5A"/>
    <w:rsid w:val="5A3612C1"/>
    <w:rsid w:val="5B237707"/>
    <w:rsid w:val="5C880E84"/>
    <w:rsid w:val="5DF9063C"/>
    <w:rsid w:val="5F1131A2"/>
    <w:rsid w:val="5FD21144"/>
    <w:rsid w:val="605D5A9B"/>
    <w:rsid w:val="610619ED"/>
    <w:rsid w:val="61AB638F"/>
    <w:rsid w:val="62B743A7"/>
    <w:rsid w:val="63477B89"/>
    <w:rsid w:val="63977DC5"/>
    <w:rsid w:val="63DE4E6F"/>
    <w:rsid w:val="652F6BC9"/>
    <w:rsid w:val="65491EA9"/>
    <w:rsid w:val="6562740E"/>
    <w:rsid w:val="66746EB1"/>
    <w:rsid w:val="66C7577B"/>
    <w:rsid w:val="67141D56"/>
    <w:rsid w:val="67362901"/>
    <w:rsid w:val="680E2D64"/>
    <w:rsid w:val="68776D2D"/>
    <w:rsid w:val="6A0C16F7"/>
    <w:rsid w:val="6BE20961"/>
    <w:rsid w:val="6C944351"/>
    <w:rsid w:val="6E364D1B"/>
    <w:rsid w:val="70204855"/>
    <w:rsid w:val="70744007"/>
    <w:rsid w:val="708566AC"/>
    <w:rsid w:val="70B278B0"/>
    <w:rsid w:val="70EE4F3A"/>
    <w:rsid w:val="7195689D"/>
    <w:rsid w:val="72453E66"/>
    <w:rsid w:val="748C1DB2"/>
    <w:rsid w:val="74FB1F0E"/>
    <w:rsid w:val="75456E97"/>
    <w:rsid w:val="7614205F"/>
    <w:rsid w:val="76742AFE"/>
    <w:rsid w:val="767E0834"/>
    <w:rsid w:val="76A604BB"/>
    <w:rsid w:val="76D0185E"/>
    <w:rsid w:val="76D070C1"/>
    <w:rsid w:val="77EB372B"/>
    <w:rsid w:val="78635A04"/>
    <w:rsid w:val="78871067"/>
    <w:rsid w:val="78AB1EB9"/>
    <w:rsid w:val="7A5073DE"/>
    <w:rsid w:val="7B5C22D4"/>
    <w:rsid w:val="7C2F3AF6"/>
    <w:rsid w:val="7CA64316"/>
    <w:rsid w:val="7CB4634A"/>
    <w:rsid w:val="7D921E35"/>
    <w:rsid w:val="7D933270"/>
    <w:rsid w:val="7E3E236F"/>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lang w:val="zh-CN" w:bidi="zh-C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eastAsia="宋体" w:asciiTheme="minorAscii" w:hAnsiTheme="minorAscii"/>
      <w:sz w:val="32"/>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No Spacing"/>
    <w:basedOn w:val="1"/>
    <w:qFormat/>
    <w:uiPriority w:val="0"/>
    <w:pPr>
      <w:widowControl/>
      <w:spacing w:line="360" w:lineRule="auto"/>
      <w:ind w:firstLine="480" w:firstLineChars="200"/>
      <w:jc w:val="left"/>
    </w:pPr>
    <w:rPr>
      <w:sz w:val="22"/>
      <w:szCs w:val="22"/>
      <w:lang w:eastAsia="en-US" w:bidi="en-US"/>
    </w:rPr>
  </w:style>
  <w:style w:type="character" w:customStyle="1" w:styleId="14">
    <w:name w:val="页眉 字符"/>
    <w:basedOn w:val="12"/>
    <w:link w:val="7"/>
    <w:qFormat/>
    <w:uiPriority w:val="0"/>
    <w:rPr>
      <w:rFonts w:asciiTheme="minorHAnsi" w:hAnsiTheme="minorHAnsi" w:eastAsiaTheme="minorEastAsia" w:cstheme="minorBidi"/>
      <w:kern w:val="2"/>
      <w:sz w:val="18"/>
      <w:szCs w:val="18"/>
    </w:rPr>
  </w:style>
  <w:style w:type="character" w:customStyle="1" w:styleId="15">
    <w:name w:val="页脚 字符"/>
    <w:basedOn w:val="12"/>
    <w:link w:val="6"/>
    <w:qFormat/>
    <w:uiPriority w:val="0"/>
    <w:rPr>
      <w:rFonts w:asciiTheme="minorHAnsi" w:hAnsiTheme="minorHAnsi" w:eastAsiaTheme="minorEastAsia" w:cstheme="minorBidi"/>
      <w:kern w:val="2"/>
      <w:sz w:val="18"/>
      <w:szCs w:val="18"/>
    </w:rPr>
  </w:style>
  <w:style w:type="paragraph" w:customStyle="1" w:styleId="1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14</Pages>
  <Words>10157</Words>
  <Characters>11099</Characters>
  <Lines>51</Lines>
  <Paragraphs>14</Paragraphs>
  <TotalTime>0</TotalTime>
  <ScaleCrop>false</ScaleCrop>
  <LinksUpToDate>false</LinksUpToDate>
  <CharactersWithSpaces>11212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2022-09-08T07:26:00Z</dcterms:created>
  <dc:creator>Administrator</dc:creator>
  <cp:lastModifiedBy>WPS_1577147775</cp:lastModifiedBy>
  <dcterms:modified xsi:type="dcterms:W3CDTF">2025-01-08T08:44:18Z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25C0BA5D20944201BEEB8FDF58BE52F4_13</vt:lpwstr>
  </property>
</Properties>
</file>