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widowControl w:val="0"/>
        <w:shd w:val="clear" w:color="auto" w:fill="auto"/>
        <w:bidi w:val="0"/>
        <w:spacing w:before="0" w:after="723"/>
        <w:ind w:left="0" w:right="0" w:firstLine="0"/>
        <w:rPr>
          <w:rFonts w:hint="eastAsia" w:ascii="黑体" w:hAnsi="黑体" w:eastAsia="黑体" w:cs="黑体"/>
          <w:b/>
          <w:bCs/>
          <w:sz w:val="36"/>
          <w:szCs w:val="36"/>
        </w:rPr>
      </w:pPr>
      <w:bookmarkStart w:id="3" w:name="_GoBack"/>
      <w:bookmarkEnd w:id="3"/>
      <w:bookmarkStart w:id="0" w:name="bookmark0"/>
      <w:r>
        <w:rPr>
          <w:rStyle w:val="10"/>
          <w:rFonts w:hint="eastAsia" w:ascii="黑体" w:hAnsi="黑体" w:eastAsia="黑体" w:cs="黑体"/>
          <w:b/>
          <w:bCs/>
          <w:i w:val="0"/>
          <w:iCs w:val="0"/>
          <w:smallCaps w:val="0"/>
          <w:strike w:val="0"/>
          <w:sz w:val="36"/>
          <w:szCs w:val="36"/>
        </w:rPr>
        <w:t>2023</w:t>
      </w:r>
      <w:r>
        <w:rPr>
          <w:rFonts w:hint="eastAsia" w:ascii="黑体" w:hAnsi="黑体" w:eastAsia="黑体" w:cs="黑体"/>
          <w:b/>
          <w:bCs/>
          <w:color w:val="000000"/>
          <w:spacing w:val="0"/>
          <w:w w:val="100"/>
          <w:position w:val="0"/>
          <w:sz w:val="36"/>
          <w:szCs w:val="36"/>
          <w:lang w:val="zh-CN" w:eastAsia="zh-CN" w:bidi="zh-CN"/>
        </w:rPr>
        <w:t>年曲靖市麒麟区一般公共预算、政府性基金</w:t>
      </w:r>
      <w:r>
        <w:rPr>
          <w:rFonts w:hint="eastAsia" w:ascii="黑体" w:hAnsi="黑体" w:eastAsia="黑体" w:cs="黑体"/>
          <w:b/>
          <w:bCs/>
          <w:color w:val="000000"/>
          <w:spacing w:val="0"/>
          <w:w w:val="100"/>
          <w:position w:val="0"/>
          <w:sz w:val="36"/>
          <w:szCs w:val="36"/>
          <w:lang w:val="en-US" w:eastAsia="zh-CN" w:bidi="zh-CN"/>
        </w:rPr>
        <w:t>预算</w:t>
      </w:r>
      <w:r>
        <w:rPr>
          <w:rFonts w:hint="eastAsia" w:ascii="黑体" w:hAnsi="黑体" w:eastAsia="黑体" w:cs="黑体"/>
          <w:b/>
          <w:bCs/>
          <w:color w:val="000000"/>
          <w:spacing w:val="0"/>
          <w:w w:val="100"/>
          <w:position w:val="0"/>
          <w:sz w:val="36"/>
          <w:szCs w:val="36"/>
          <w:lang w:val="zh-CN" w:eastAsia="zh-CN" w:bidi="zh-CN"/>
        </w:rPr>
        <w:t>和国有资本经营预算执行变动情况说明</w:t>
      </w:r>
      <w:bookmarkEnd w:id="0"/>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67" w:line="400" w:lineRule="exact"/>
        <w:ind w:left="20" w:right="0"/>
        <w:jc w:val="both"/>
        <w:textAlignment w:val="auto"/>
        <w:rPr>
          <w:rFonts w:hint="eastAsia" w:ascii="黑体" w:hAnsi="黑体" w:eastAsia="黑体" w:cs="黑体"/>
          <w:color w:val="000000"/>
          <w:spacing w:val="0"/>
          <w:w w:val="100"/>
          <w:position w:val="0"/>
          <w:sz w:val="32"/>
          <w:szCs w:val="32"/>
          <w:lang w:val="zh-CN" w:eastAsia="zh-CN" w:bidi="zh-CN"/>
        </w:rPr>
      </w:pPr>
      <w:r>
        <w:rPr>
          <w:rFonts w:hint="eastAsia" w:ascii="黑体" w:hAnsi="黑体" w:eastAsia="黑体" w:cs="黑体"/>
          <w:color w:val="000000"/>
          <w:spacing w:val="0"/>
          <w:w w:val="100"/>
          <w:position w:val="0"/>
          <w:sz w:val="32"/>
          <w:szCs w:val="32"/>
          <w:lang w:val="zh-CN" w:eastAsia="zh-CN" w:bidi="zh-CN"/>
        </w:rPr>
        <w:t>一、</w:t>
      </w:r>
      <w:r>
        <w:rPr>
          <w:rStyle w:val="13"/>
          <w:rFonts w:hint="eastAsia" w:ascii="黑体" w:hAnsi="黑体" w:eastAsia="黑体" w:cs="黑体"/>
          <w:b/>
          <w:bCs/>
          <w:i w:val="0"/>
          <w:iCs w:val="0"/>
          <w:smallCaps w:val="0"/>
          <w:strike w:val="0"/>
          <w:sz w:val="32"/>
          <w:szCs w:val="32"/>
        </w:rPr>
        <w:t>2023</w:t>
      </w:r>
      <w:r>
        <w:rPr>
          <w:rFonts w:hint="eastAsia" w:ascii="黑体" w:hAnsi="黑体" w:eastAsia="黑体" w:cs="黑体"/>
          <w:color w:val="000000"/>
          <w:spacing w:val="0"/>
          <w:w w:val="100"/>
          <w:position w:val="0"/>
          <w:sz w:val="32"/>
          <w:szCs w:val="32"/>
          <w:lang w:val="zh-CN" w:eastAsia="zh-CN" w:bidi="zh-CN"/>
        </w:rPr>
        <w:t>年麒麟区一般公共预算支出变动说明</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1.20102政协事务支出比上年决算数下降22.55%，主要原因是：核减区政协部门人员经费，导致人员经费支出和日常公用经费支出较上年都有所下降，本年度有人员变动，社保基数变动人员经费增加。</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2.20106财政事务支出比上年决算数下降49.96%，主要原因是：23年财政核心业务一体化项目经费、乡镇财政公共服务能力建设专项资金，工资指标支出相对减少。</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3.20123民族事务支出比上年决算数下降33.99%，主要原因是：减少原因是退休1人、民族专项补助经费减少。</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4.20138市场监督管理事务支出比上年决算数下降25.56%，主要原因是：在职人员减少14人，人员经费减少；公用经费、项目经费未列支，支出减少。</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5.20199其他一般公共服务支出比上年决算数下降26.47%，主要原因是：失地农民保障金专项资金，珠算心算补助经费，南部新城项目专项补助资金，代编项目经费，独木村委会社会维稳工作经费，易地扶贫搬迁项目贷款本金及利息等相关补助资金项目支出相对减少。</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6.203国防支出比上年决算数增长12.10%，主要原因是：23年增加了作战指挥体系建设及民兵训练基地建设，曲靖城区防控警报维护经费两个项目的支出。</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7.20405法院支出比上年决算数下降87.14%，主要原因是：2023年法院区级项目支出减少。</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8.20499其他公共安全支出比上年决算数下降84.78%，主要原因是：2023年严控其他公共按照支出科目列支的经费。</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9.20502普通教育支出比上年决算数下降23.69%，主要原因是：2023年缓拨教育经费增加，减少支出。</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10.20508进行及培训支出比上年决算数下降20.59%，主要原因是：2023年教师进行学校人员调出导致人数减少5人，人员经费支出减少。</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11.20599其他教育支出比上年决算数下降51.22%，主要原因是：2023年度严控列支其他教育支出科目的经费。</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12.20701文化旅游支出比上年决算数下降40.21%，主要原因是：2023年减少旅游工作经费资金安排，人员减少导致公用经费减少，中央公共文华服务资金减少。</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13.20799其他文化旅游体育与传媒支出比上年决算数下降42.53%，主要原因是：2023年减少旅游工作经费资金安排，中央公共文化服务资金减少。</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14.20802民政管理事务支出比上年决算数增长38.38%，主要原因是：23年企业退休人员社会化，社区招聘（灵活就业）工作人员补助经费，婚姻登记员经费，敬老院补助等项目经费增加。</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15.20807就业补助支出比上年决算数增长70.29%，主要原因是：2022年追减指标2156.55万元在2023年执行。</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16.20809退役安置支出比上年决算数下降45.82%，主要原因是：2023年自谋职业一次性补助及待安置期间生活补助571.2596万元未支付，此项资金在2024年支付。</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17.20810社会福利支出比上年决算数增长23.87%，主要原因是：由于疫情2023年增加发放一线工作人员临时补贴491万元；2023年收到上级指标曲财建{2023}22号，社会服务设施兜底线工程中央基建投资预算经费，22年没有该项目的支出。</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18.20811残疾人事业支出比上年决算数增长23.61%，主要原因是：2023年残疾人生活护理补贴提高标准。</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19.20820临时救助支出比上年决算数下降25.22%，主要原因是：2023年救助人数减少。</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20.21001卫生健康管理事务支出比上年决算数下降24.94%，主要原因是：2023年人员减少及无非税收入安排。</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21.21002公立医院支出比上年决算数增长25.42%，主要原因是：增加原因为以前年度缓拨资金在2023年执行。</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22.21004公共卫生支出比上年决算数下降40.05%，主要原因是：2022年疫情突发公共卫生支出662.22万元，2023年下降支出62.6万元。基本公卫2023年缓拨3991万元。</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23.21006中医药支出比上年决算数下降100%，主要原因是：2022年上级拨付40万元，2023年上级未下达。</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24.21007计划生育事务支出比上年决算数增长41.97%，主要原因是：2023年国家实行二孩、三孩生育补助奖励导致增加。</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25.21013医疗救助支出比上年决算数下降38.43%，主要原因是：2023年642.76万元指标缓拨到2024年导致减少。</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26.21014优抚对象医疗支出比上年决算数增长46.30%，主要原因是：上级资金加大投入。</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27.21099其他卫生健康支出比上年决算数下降58.34%，主要原因是：社保口2022年847.87万元，2023年615.23万元，未超20%。2023年区级和市级村医补助未下在此款项。2022年省级村医补助96.2万元下在次款项，2023年未在此项列支。</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28.21101环境保护管理事务支出比上年决算数下降82.61%，主要原因是：2021年曲靖市生态环境麒麟分局整体上划至曲靖市生态环境局，自2021年1月1日起，曲靖市生态环境麒麟分局经费由市级财政承担，在垂改过程中，导致区级相应支出减少。</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29.21102环境监测与监察支出比上年决算数下降100%，主要原因是：2021年曲靖市生态环境麒麟分局整体上划至曲靖市生态环境局，自2021年1月1日起，曲靖市生态环境麒麟分局经费由市级财政承担，在垂改过程中，导致区级相应支出减少。</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30.21104自然生态保护支出比上年决算数下降70.88%，主要原因是：区级自然保护地整合优化预算编制工作经费减少。</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31.21105天然林保护支出比上年决算数增长334.48%，主要原因是：中央财政林业草原生态保护恢复资金（天保工程管护）、第三批中央财政林业草原生态保护恢复资金（天保工程保险）增加。</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32.21106退耕还林还草支出比上年决算数下降100%，主要原因是：一轮退耕还林工程项目2023年无该项目。</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33.21201城乡社区管理事务支出比上年决算数增长20.17%，主要原因是：市政道路维护维修专项经费、城市照明设施维护维修专项经费项目支出变化较大。</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34.21203城乡社区公共设施支出比上年决算数下降87.46%，主要原因是：城市内涝治理工程专项经费、采煤沉陷区补助、南部新城基础设施建设补助资金、基础设施建设补助资金、麒麟区南片区污水处理运营服务费补助资金项目支出变化较大。</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35.21205城乡社区环境卫生支出比上年决算数下降15.03%，主要原因是：城市道路保洁经费专项经费，绿美城市建设项目资金，非税收入列支补助经费项目支出变化较大。</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36.21299其他城乡社区支出比上年决算数下降98.77%，主要原因是：国有企业退休人员社会化管理补助资金，巩固提升全国文明城市创建重点工作补短板经费项目支出变化较大。</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37.21301农业农村支出比上年决算数下降34.63%，主要原因是：15人退休，公用经费，培训费，农业试验示范基地大春、小春作物新品种试验示范推广购买农膜、农药等物资费用、农产品质量安全抽检费用、中央农业资源及生态保护补助草原生态补助、农业结构调整耕地休耕补贴资金，造成农业资源保护修复与利用资金（对个人农业生产补贴）、中央渔业发展资金支出，中央农田建设项目资金支出、中央农田建设项目资金支出等支出减少。</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38.21302林业和草原支出比上年决算数下降32.30%，主要原因是：为本年收省级森林生态效益补偿、国家级及地方公益林管护费、林草产业高质量发展等项目资金未拨入。</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39.21308 普惠金融发展支出比上年决算数下降53.21%，主要原因是：2022年支付三个季度（2021年四季度、2022年一、二季度）的创业担保贴息资金737.61万元万元，奖补资金50.15万元，支付农业保险160.88万元；2023年支付2022年三季度创业担保贷款298.74万元，支付农业保险145.26万元，奖补资金未支付。下降的主要原因是创业担保贷款贴息资金未及时拨付。</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40.21399其他农林水支出比上年决算数增长24.72%，主要原因是：增加原因是财政支农资金。</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41.21406车辆购置税支出比上年决算数下降71.39%，主要原因是：车辆购置税收入补助地方专项资金该项目支出变化较大。</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42.21499其他交通运输支出比上年决算数下降100%，主要原因是：2022年有农村客运和出租车行业油价财政补贴资金，2023年该科目下不涉及以上项目的支出。</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43.21501资源勘探开发支出比上年决算数下降35.98%，主要原因是：区能源局工作经费项目支出变化加大。</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44.21505工业和信息产业监管支出比上年决算数下降95.43%，主要原因是：2022年下达了工业和信息化发展专项补助经费，基础设施建设补助资金。2023年该科目下不涉及以上项目支出。</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45.21508支持中小企业发展和管理支出比上年决算数下降100%，主要原因是：2022年下达了中小企业发展专项资金，2023年该科目不涉及以上项目的支出。</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46.21699其他商业服务业等支出比上年决算数下降51.67%，主要原因是：城市冷链和国家物流枢纽建设补助资金项目支出变化较大。</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47.21703金融发展支出比上年决算数下降50.00%，主要原因是：金融担保体系建设资金由区融资担保公司向省厅申报，2022年省厅下达15.71万元；2023年省厅下达7.75万元，剩余的5.05万元于2024年清算下达。</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48.22005气象事务支出比上年决算数下降28.52%，主要原因是：业务补助工作经费支出、人工增雨防雹专项经费支出、防雹作业点改扩建项目支出减少。</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49.22101保障性安居工程支出比上年决算数下降55.07%，主要原因是：2022年涉及棚户区老旧小区项目专项资金、一汽红塔棚改电力工程改造经费、保障安居工程项目专项资金，2023年该科目下不涉及以上项目支出。</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50.22401应急管理事务支出比上年决算数下降64.03%，主要原因是：非煤矿山淘汰关闭整合资金减少。</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51.22402消防救援应急支出比上年决算数下降39.99%，主要原因是：消防救援大队差额补助、区级消防车辆及水域救援装备购置经费、森林消防大队管养专项经费减少。</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52.22406自然灾害防治支出比上年决算数下降66.50%，主要原因是：地质灾害防治经费、滑坡治理项目、地质灾害风险普查编制技术服务费减少。</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53.22407自然灾害救灾及恢复支出比上年决算数下降32.04%，主要原因是：中央自然灾害冬春救助资金由各乡镇街道发放。</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54.22499其他灾害防治支出比上年决算数下降100%，主要原因是：中央自然灾害抗旱专项资金减少。</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left="640" w:leftChars="0" w:right="20" w:rightChars="0"/>
        <w:jc w:val="both"/>
        <w:textAlignment w:val="auto"/>
        <w:rPr>
          <w:rFonts w:hint="eastAsia" w:ascii="黑体" w:hAnsi="黑体" w:eastAsia="黑体" w:cs="黑体"/>
          <w:sz w:val="32"/>
          <w:szCs w:val="32"/>
        </w:rPr>
      </w:pPr>
      <w:bookmarkStart w:id="1" w:name="bookmark1"/>
      <w:r>
        <w:rPr>
          <w:rFonts w:hint="eastAsia" w:ascii="黑体" w:hAnsi="黑体" w:eastAsia="黑体" w:cs="黑体"/>
          <w:sz w:val="32"/>
          <w:szCs w:val="32"/>
          <w:lang w:val="en-US"/>
        </w:rPr>
        <w:t>二、</w:t>
      </w:r>
      <w:r>
        <w:rPr>
          <w:rFonts w:hint="eastAsia" w:ascii="黑体" w:hAnsi="黑体" w:eastAsia="黑体" w:cs="黑体"/>
          <w:sz w:val="32"/>
          <w:szCs w:val="32"/>
          <w:lang w:eastAsia="zh-CN"/>
        </w:rPr>
        <w:t>2023</w:t>
      </w:r>
      <w:r>
        <w:rPr>
          <w:rFonts w:hint="eastAsia" w:ascii="黑体" w:hAnsi="黑体" w:eastAsia="黑体" w:cs="黑体"/>
          <w:sz w:val="32"/>
          <w:szCs w:val="32"/>
          <w:lang w:val="zh-CN" w:eastAsia="zh-CN"/>
        </w:rPr>
        <w:t>年麒麟区政府性基金预算支出变动说明</w:t>
      </w:r>
      <w:bookmarkEnd w:id="1"/>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6" w:lineRule="exact"/>
        <w:ind w:right="2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国家电影事业发展专项资金安排的支出</w:t>
      </w:r>
      <w:r>
        <w:rPr>
          <w:rFonts w:hint="eastAsia" w:ascii="仿宋_GB2312" w:hAnsi="仿宋_GB2312" w:eastAsia="仿宋_GB2312" w:cs="仿宋_GB2312"/>
          <w:b w:val="0"/>
          <w:bCs w:val="0"/>
          <w:color w:val="000000"/>
          <w:spacing w:val="0"/>
          <w:w w:val="100"/>
          <w:position w:val="0"/>
          <w:sz w:val="32"/>
          <w:szCs w:val="32"/>
          <w:lang w:val="zh-CN" w:eastAsia="zh-CN" w:bidi="zh-CN"/>
        </w:rPr>
        <w:t>款比</w:t>
      </w:r>
      <w:r>
        <w:rPr>
          <w:rStyle w:val="16"/>
          <w:rFonts w:hint="eastAsia" w:ascii="仿宋_GB2312" w:hAnsi="仿宋_GB2312" w:eastAsia="仿宋_GB2312" w:cs="仿宋_GB2312"/>
          <w:b w:val="0"/>
          <w:bCs w:val="0"/>
          <w:i w:val="0"/>
          <w:iCs w:val="0"/>
          <w:smallCaps w:val="0"/>
          <w:strike w:val="0"/>
          <w:sz w:val="32"/>
          <w:szCs w:val="32"/>
        </w:rPr>
        <w:t>20</w:t>
      </w:r>
      <w:r>
        <w:rPr>
          <w:rStyle w:val="16"/>
          <w:rFonts w:hint="eastAsia" w:ascii="仿宋_GB2312" w:hAnsi="仿宋_GB2312" w:eastAsia="仿宋_GB2312" w:cs="仿宋_GB2312"/>
          <w:b w:val="0"/>
          <w:bCs w:val="0"/>
          <w:i w:val="0"/>
          <w:iCs w:val="0"/>
          <w:smallCaps w:val="0"/>
          <w:strike w:val="0"/>
          <w:sz w:val="32"/>
          <w:szCs w:val="32"/>
          <w:lang w:val="en-US"/>
        </w:rPr>
        <w:t>22</w:t>
      </w:r>
      <w:r>
        <w:rPr>
          <w:rFonts w:hint="eastAsia" w:ascii="仿宋_GB2312" w:hAnsi="仿宋_GB2312" w:eastAsia="仿宋_GB2312" w:cs="仿宋_GB2312"/>
          <w:b w:val="0"/>
          <w:bCs w:val="0"/>
          <w:color w:val="000000"/>
          <w:spacing w:val="0"/>
          <w:w w:val="100"/>
          <w:position w:val="0"/>
          <w:sz w:val="32"/>
          <w:szCs w:val="32"/>
          <w:lang w:val="zh-CN" w:eastAsia="zh-CN" w:bidi="zh-CN"/>
        </w:rPr>
        <w:t>年决算数</w:t>
      </w:r>
      <w:r>
        <w:rPr>
          <w:rFonts w:hint="eastAsia" w:ascii="仿宋_GB2312" w:hAnsi="仿宋_GB2312" w:eastAsia="仿宋_GB2312" w:cs="仿宋_GB2312"/>
          <w:b w:val="0"/>
          <w:bCs w:val="0"/>
          <w:color w:val="000000"/>
          <w:spacing w:val="0"/>
          <w:w w:val="100"/>
          <w:position w:val="0"/>
          <w:sz w:val="32"/>
          <w:szCs w:val="32"/>
          <w:lang w:val="en-US" w:eastAsia="zh-CN" w:bidi="zh-CN"/>
        </w:rPr>
        <w:t>下降100%</w:t>
      </w:r>
      <w:r>
        <w:rPr>
          <w:rFonts w:hint="eastAsia" w:ascii="仿宋_GB2312" w:hAnsi="仿宋_GB2312" w:eastAsia="仿宋_GB2312" w:cs="仿宋_GB2312"/>
          <w:b w:val="0"/>
          <w:bCs w:val="0"/>
          <w:color w:val="000000"/>
          <w:spacing w:val="0"/>
          <w:w w:val="100"/>
          <w:position w:val="0"/>
          <w:sz w:val="32"/>
          <w:szCs w:val="32"/>
          <w:lang w:val="zh-CN" w:eastAsia="zh-CN" w:bidi="zh-CN"/>
        </w:rPr>
        <w:t>。主要原因：</w:t>
      </w:r>
      <w:r>
        <w:rPr>
          <w:rFonts w:hint="eastAsia" w:ascii="仿宋_GB2312" w:hAnsi="仿宋_GB2312" w:eastAsia="仿宋_GB2312" w:cs="仿宋_GB2312"/>
          <w:b w:val="0"/>
          <w:bCs w:val="0"/>
          <w:color w:val="000000"/>
          <w:spacing w:val="0"/>
          <w:w w:val="100"/>
          <w:position w:val="0"/>
          <w:sz w:val="32"/>
          <w:szCs w:val="32"/>
          <w:lang w:val="en-US" w:eastAsia="zh-CN" w:bidi="zh-CN"/>
        </w:rPr>
        <w:t>2022年麒麟区委宣传部支付国家电影专项资金42万元，2023年没有发生该项支出。</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6" w:lineRule="exact"/>
        <w:ind w:right="20" w:rightChars="0" w:firstLine="640" w:firstLineChars="200"/>
        <w:jc w:val="both"/>
        <w:textAlignment w:val="auto"/>
        <w:rPr>
          <w:rFonts w:hint="default" w:ascii="仿宋_GB2312" w:hAnsi="仿宋_GB2312" w:eastAsia="仿宋_GB2312" w:cs="仿宋_GB2312"/>
          <w:b w:val="0"/>
          <w:bCs w:val="0"/>
          <w:color w:val="000000"/>
          <w:spacing w:val="0"/>
          <w:w w:val="100"/>
          <w:position w:val="0"/>
          <w:sz w:val="32"/>
          <w:szCs w:val="32"/>
          <w:lang w:val="en-US" w:eastAsia="zh-CN" w:bidi="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其他政府性基金及对应专项债务收入安排的支出</w:t>
      </w:r>
      <w:r>
        <w:rPr>
          <w:rFonts w:hint="eastAsia" w:ascii="仿宋_GB2312" w:hAnsi="仿宋_GB2312" w:eastAsia="仿宋_GB2312" w:cs="仿宋_GB2312"/>
          <w:b w:val="0"/>
          <w:bCs w:val="0"/>
          <w:sz w:val="32"/>
          <w:szCs w:val="32"/>
          <w:lang w:val="en-US" w:eastAsia="zh-CN"/>
        </w:rPr>
        <w:t>款</w:t>
      </w:r>
      <w:r>
        <w:rPr>
          <w:rFonts w:hint="eastAsia" w:ascii="仿宋_GB2312" w:hAnsi="仿宋_GB2312" w:eastAsia="仿宋_GB2312" w:cs="仿宋_GB2312"/>
          <w:b w:val="0"/>
          <w:bCs w:val="0"/>
          <w:color w:val="000000"/>
          <w:spacing w:val="0"/>
          <w:w w:val="100"/>
          <w:position w:val="0"/>
          <w:sz w:val="32"/>
          <w:szCs w:val="32"/>
          <w:lang w:val="zh-CN" w:eastAsia="zh-CN" w:bidi="zh-CN"/>
        </w:rPr>
        <w:t>比</w:t>
      </w:r>
      <w:r>
        <w:rPr>
          <w:rStyle w:val="16"/>
          <w:rFonts w:hint="eastAsia" w:ascii="仿宋_GB2312" w:hAnsi="仿宋_GB2312" w:eastAsia="仿宋_GB2312" w:cs="仿宋_GB2312"/>
          <w:b w:val="0"/>
          <w:bCs w:val="0"/>
          <w:i w:val="0"/>
          <w:iCs w:val="0"/>
          <w:smallCaps w:val="0"/>
          <w:strike w:val="0"/>
          <w:sz w:val="32"/>
          <w:szCs w:val="32"/>
        </w:rPr>
        <w:t>20</w:t>
      </w:r>
      <w:r>
        <w:rPr>
          <w:rStyle w:val="16"/>
          <w:rFonts w:hint="eastAsia" w:ascii="仿宋_GB2312" w:hAnsi="仿宋_GB2312" w:eastAsia="仿宋_GB2312" w:cs="仿宋_GB2312"/>
          <w:b w:val="0"/>
          <w:bCs w:val="0"/>
          <w:i w:val="0"/>
          <w:iCs w:val="0"/>
          <w:smallCaps w:val="0"/>
          <w:strike w:val="0"/>
          <w:sz w:val="32"/>
          <w:szCs w:val="32"/>
          <w:lang w:val="en-US"/>
        </w:rPr>
        <w:t>22</w:t>
      </w:r>
      <w:r>
        <w:rPr>
          <w:rFonts w:hint="eastAsia" w:ascii="仿宋_GB2312" w:hAnsi="仿宋_GB2312" w:eastAsia="仿宋_GB2312" w:cs="仿宋_GB2312"/>
          <w:b w:val="0"/>
          <w:bCs w:val="0"/>
          <w:color w:val="000000"/>
          <w:spacing w:val="0"/>
          <w:w w:val="100"/>
          <w:position w:val="0"/>
          <w:sz w:val="32"/>
          <w:szCs w:val="32"/>
          <w:lang w:val="zh-CN" w:eastAsia="zh-CN" w:bidi="zh-CN"/>
        </w:rPr>
        <w:t>年决算数</w:t>
      </w:r>
      <w:r>
        <w:rPr>
          <w:rFonts w:hint="eastAsia" w:ascii="仿宋_GB2312" w:hAnsi="仿宋_GB2312" w:eastAsia="仿宋_GB2312" w:cs="仿宋_GB2312"/>
          <w:b w:val="0"/>
          <w:bCs w:val="0"/>
          <w:color w:val="000000"/>
          <w:spacing w:val="0"/>
          <w:w w:val="100"/>
          <w:position w:val="0"/>
          <w:sz w:val="32"/>
          <w:szCs w:val="32"/>
          <w:lang w:val="en-US" w:eastAsia="zh-CN" w:bidi="zh-CN"/>
        </w:rPr>
        <w:t>下降63.64%</w:t>
      </w:r>
      <w:r>
        <w:rPr>
          <w:rFonts w:hint="eastAsia" w:ascii="仿宋_GB2312" w:hAnsi="仿宋_GB2312" w:eastAsia="仿宋_GB2312" w:cs="仿宋_GB2312"/>
          <w:b w:val="0"/>
          <w:bCs w:val="0"/>
          <w:color w:val="000000"/>
          <w:spacing w:val="0"/>
          <w:w w:val="100"/>
          <w:position w:val="0"/>
          <w:sz w:val="32"/>
          <w:szCs w:val="32"/>
          <w:lang w:val="zh-CN" w:eastAsia="zh-CN" w:bidi="zh-CN"/>
        </w:rPr>
        <w:t>。主要原因是：</w:t>
      </w:r>
      <w:r>
        <w:rPr>
          <w:rFonts w:hint="eastAsia" w:ascii="仿宋_GB2312" w:hAnsi="仿宋_GB2312" w:eastAsia="仿宋_GB2312" w:cs="仿宋_GB2312"/>
          <w:b w:val="0"/>
          <w:bCs w:val="0"/>
          <w:color w:val="000000"/>
          <w:spacing w:val="0"/>
          <w:w w:val="100"/>
          <w:position w:val="0"/>
          <w:sz w:val="32"/>
          <w:szCs w:val="32"/>
          <w:lang w:val="en-US" w:eastAsia="zh-CN" w:bidi="zh-CN"/>
        </w:rPr>
        <w:t>2023年新增其他地方自行试点项目收益专项债券转贷收入比2022年减少321100万元。</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6" w:lineRule="exact"/>
        <w:ind w:right="2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彩票公益金安排的支出</w:t>
      </w:r>
      <w:r>
        <w:rPr>
          <w:rFonts w:hint="eastAsia" w:ascii="仿宋_GB2312" w:hAnsi="仿宋_GB2312" w:eastAsia="仿宋_GB2312" w:cs="仿宋_GB2312"/>
          <w:b w:val="0"/>
          <w:bCs w:val="0"/>
          <w:sz w:val="32"/>
          <w:szCs w:val="32"/>
          <w:lang w:val="en-US" w:eastAsia="zh-CN"/>
        </w:rPr>
        <w:t>款</w:t>
      </w:r>
      <w:r>
        <w:rPr>
          <w:rFonts w:hint="eastAsia" w:ascii="仿宋_GB2312" w:hAnsi="仿宋_GB2312" w:eastAsia="仿宋_GB2312" w:cs="仿宋_GB2312"/>
          <w:b w:val="0"/>
          <w:bCs w:val="0"/>
          <w:color w:val="000000"/>
          <w:spacing w:val="0"/>
          <w:w w:val="100"/>
          <w:position w:val="0"/>
          <w:sz w:val="32"/>
          <w:szCs w:val="32"/>
          <w:lang w:val="zh-CN" w:eastAsia="zh-CN" w:bidi="zh-CN"/>
        </w:rPr>
        <w:t>比</w:t>
      </w:r>
      <w:r>
        <w:rPr>
          <w:rStyle w:val="16"/>
          <w:rFonts w:hint="eastAsia" w:ascii="仿宋_GB2312" w:hAnsi="仿宋_GB2312" w:eastAsia="仿宋_GB2312" w:cs="仿宋_GB2312"/>
          <w:b w:val="0"/>
          <w:bCs w:val="0"/>
          <w:i w:val="0"/>
          <w:iCs w:val="0"/>
          <w:smallCaps w:val="0"/>
          <w:strike w:val="0"/>
          <w:sz w:val="32"/>
          <w:szCs w:val="32"/>
          <w:lang w:val="en-US"/>
        </w:rPr>
        <w:t>2022</w:t>
      </w:r>
      <w:r>
        <w:rPr>
          <w:rFonts w:hint="eastAsia" w:ascii="仿宋_GB2312" w:hAnsi="仿宋_GB2312" w:eastAsia="仿宋_GB2312" w:cs="仿宋_GB2312"/>
          <w:b w:val="0"/>
          <w:bCs w:val="0"/>
          <w:color w:val="000000"/>
          <w:spacing w:val="0"/>
          <w:w w:val="100"/>
          <w:position w:val="0"/>
          <w:sz w:val="32"/>
          <w:szCs w:val="32"/>
          <w:lang w:val="zh-CN" w:eastAsia="zh-CN" w:bidi="zh-CN"/>
        </w:rPr>
        <w:t>年决算数</w:t>
      </w:r>
      <w:r>
        <w:rPr>
          <w:rFonts w:hint="eastAsia" w:ascii="仿宋_GB2312" w:hAnsi="仿宋_GB2312" w:eastAsia="仿宋_GB2312" w:cs="仿宋_GB2312"/>
          <w:b w:val="0"/>
          <w:bCs w:val="0"/>
          <w:color w:val="000000"/>
          <w:spacing w:val="0"/>
          <w:w w:val="100"/>
          <w:position w:val="0"/>
          <w:sz w:val="32"/>
          <w:szCs w:val="32"/>
          <w:lang w:val="en-US" w:eastAsia="zh-CN" w:bidi="zh-CN"/>
        </w:rPr>
        <w:t>增长168.57%</w:t>
      </w:r>
      <w:r>
        <w:rPr>
          <w:rFonts w:hint="eastAsia" w:ascii="仿宋_GB2312" w:hAnsi="仿宋_GB2312" w:eastAsia="仿宋_GB2312" w:cs="仿宋_GB2312"/>
          <w:b w:val="0"/>
          <w:bCs w:val="0"/>
          <w:color w:val="000000"/>
          <w:spacing w:val="0"/>
          <w:w w:val="100"/>
          <w:position w:val="0"/>
          <w:sz w:val="32"/>
          <w:szCs w:val="32"/>
          <w:lang w:val="zh-CN" w:eastAsia="zh-CN" w:bidi="zh-CN"/>
        </w:rPr>
        <w:t>。主要原因是</w:t>
      </w:r>
      <w:r>
        <w:rPr>
          <w:rFonts w:hint="eastAsia" w:ascii="仿宋_GB2312" w:hAnsi="仿宋_GB2312" w:eastAsia="仿宋_GB2312" w:cs="仿宋_GB2312"/>
          <w:b w:val="0"/>
          <w:bCs w:val="0"/>
          <w:color w:val="000000"/>
          <w:spacing w:val="0"/>
          <w:w w:val="100"/>
          <w:position w:val="0"/>
          <w:sz w:val="32"/>
          <w:szCs w:val="32"/>
          <w:lang w:val="en-US" w:eastAsia="zh-CN" w:bidi="zh-CN"/>
        </w:rPr>
        <w:t>:2023年麒麟区教体局支付村委会、社区体育场馆建设及运动健身经费，麒麟区民政局支付各乡镇（街道）敬老院经费。</w:t>
      </w:r>
      <w:bookmarkStart w:id="2" w:name="bookmark2"/>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6" w:lineRule="exact"/>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4.地方政府专项债务付息支出</w:t>
      </w:r>
      <w:r>
        <w:rPr>
          <w:rFonts w:hint="eastAsia" w:ascii="仿宋_GB2312" w:hAnsi="仿宋_GB2312" w:eastAsia="仿宋_GB2312" w:cs="仿宋_GB2312"/>
          <w:b w:val="0"/>
          <w:bCs w:val="0"/>
          <w:color w:val="000000"/>
          <w:spacing w:val="0"/>
          <w:w w:val="100"/>
          <w:position w:val="0"/>
          <w:sz w:val="32"/>
          <w:szCs w:val="32"/>
          <w:lang w:val="zh-CN" w:eastAsia="zh-CN" w:bidi="zh-CN"/>
        </w:rPr>
        <w:t>比</w:t>
      </w:r>
      <w:r>
        <w:rPr>
          <w:rStyle w:val="16"/>
          <w:rFonts w:hint="eastAsia" w:ascii="仿宋_GB2312" w:hAnsi="仿宋_GB2312" w:eastAsia="仿宋_GB2312" w:cs="仿宋_GB2312"/>
          <w:b w:val="0"/>
          <w:bCs w:val="0"/>
          <w:i w:val="0"/>
          <w:iCs w:val="0"/>
          <w:smallCaps w:val="0"/>
          <w:strike w:val="0"/>
          <w:sz w:val="32"/>
          <w:szCs w:val="32"/>
        </w:rPr>
        <w:t>20</w:t>
      </w:r>
      <w:r>
        <w:rPr>
          <w:rStyle w:val="16"/>
          <w:rFonts w:hint="eastAsia" w:ascii="仿宋_GB2312" w:hAnsi="仿宋_GB2312" w:eastAsia="仿宋_GB2312" w:cs="仿宋_GB2312"/>
          <w:b w:val="0"/>
          <w:bCs w:val="0"/>
          <w:i w:val="0"/>
          <w:iCs w:val="0"/>
          <w:smallCaps w:val="0"/>
          <w:strike w:val="0"/>
          <w:sz w:val="32"/>
          <w:szCs w:val="32"/>
          <w:lang w:val="en-US"/>
        </w:rPr>
        <w:t>22</w:t>
      </w:r>
      <w:r>
        <w:rPr>
          <w:rFonts w:hint="eastAsia" w:ascii="仿宋_GB2312" w:hAnsi="仿宋_GB2312" w:eastAsia="仿宋_GB2312" w:cs="仿宋_GB2312"/>
          <w:b w:val="0"/>
          <w:bCs w:val="0"/>
          <w:color w:val="000000"/>
          <w:spacing w:val="0"/>
          <w:w w:val="100"/>
          <w:position w:val="0"/>
          <w:sz w:val="32"/>
          <w:szCs w:val="32"/>
          <w:lang w:val="zh-CN" w:eastAsia="zh-CN" w:bidi="zh-CN"/>
        </w:rPr>
        <w:t>年决算数</w:t>
      </w:r>
      <w:r>
        <w:rPr>
          <w:rFonts w:hint="eastAsia" w:ascii="仿宋_GB2312" w:hAnsi="仿宋_GB2312" w:eastAsia="仿宋_GB2312" w:cs="仿宋_GB2312"/>
          <w:b w:val="0"/>
          <w:bCs w:val="0"/>
          <w:color w:val="000000"/>
          <w:spacing w:val="0"/>
          <w:w w:val="100"/>
          <w:position w:val="0"/>
          <w:sz w:val="32"/>
          <w:szCs w:val="32"/>
          <w:lang w:val="en-US" w:eastAsia="zh-CN" w:bidi="zh-CN"/>
        </w:rPr>
        <w:t>增长76.57</w:t>
      </w:r>
      <w:r>
        <w:rPr>
          <w:rStyle w:val="17"/>
          <w:rFonts w:hint="eastAsia" w:ascii="仿宋_GB2312" w:hAnsi="仿宋_GB2312" w:eastAsia="仿宋_GB2312" w:cs="仿宋_GB2312"/>
          <w:b w:val="0"/>
          <w:bCs w:val="0"/>
          <w:i w:val="0"/>
          <w:iCs w:val="0"/>
          <w:smallCaps w:val="0"/>
          <w:strike w:val="0"/>
          <w:sz w:val="32"/>
          <w:szCs w:val="32"/>
          <w:lang w:val="zh-CN" w:eastAsia="zh-CN" w:bidi="zh-CN"/>
        </w:rPr>
        <w:t>%</w:t>
      </w:r>
      <w:r>
        <w:rPr>
          <w:rFonts w:hint="eastAsia" w:ascii="仿宋_GB2312" w:hAnsi="仿宋_GB2312" w:eastAsia="仿宋_GB2312" w:cs="仿宋_GB2312"/>
          <w:b w:val="0"/>
          <w:bCs w:val="0"/>
          <w:color w:val="000000"/>
          <w:spacing w:val="0"/>
          <w:w w:val="100"/>
          <w:position w:val="0"/>
          <w:sz w:val="32"/>
          <w:szCs w:val="32"/>
          <w:lang w:val="zh-CN" w:eastAsia="zh-CN" w:bidi="zh-CN"/>
        </w:rPr>
        <w:t>。主要原</w:t>
      </w:r>
      <w:r>
        <w:rPr>
          <w:rFonts w:hint="eastAsia" w:ascii="仿宋_GB2312" w:hAnsi="仿宋_GB2312" w:eastAsia="仿宋_GB2312" w:cs="仿宋_GB2312"/>
          <w:b w:val="0"/>
          <w:bCs w:val="0"/>
          <w:sz w:val="32"/>
          <w:szCs w:val="32"/>
          <w:lang w:val="zh-CN" w:eastAsia="zh-CN"/>
        </w:rPr>
        <w:t>因是：</w:t>
      </w:r>
      <w:r>
        <w:rPr>
          <w:rFonts w:hint="eastAsia" w:ascii="仿宋_GB2312" w:hAnsi="仿宋_GB2312" w:eastAsia="仿宋_GB2312" w:cs="仿宋_GB2312"/>
          <w:b w:val="0"/>
          <w:bCs w:val="0"/>
          <w:sz w:val="32"/>
          <w:szCs w:val="32"/>
          <w:lang w:val="en-US" w:eastAsia="zh-CN"/>
        </w:rPr>
        <w:t>2022年新增专项债券502100万元，导致地方政府专项转贷债券规模骤增，</w:t>
      </w:r>
      <w:r>
        <w:rPr>
          <w:rFonts w:hint="eastAsia" w:ascii="仿宋_GB2312" w:hAnsi="仿宋_GB2312" w:eastAsia="仿宋_GB2312" w:cs="仿宋_GB2312"/>
          <w:b w:val="0"/>
          <w:bCs w:val="0"/>
          <w:sz w:val="32"/>
          <w:szCs w:val="32"/>
          <w:lang w:val="zh-CN" w:eastAsia="zh-CN"/>
        </w:rPr>
        <w:t>2023年</w:t>
      </w:r>
      <w:r>
        <w:rPr>
          <w:rFonts w:hint="eastAsia" w:ascii="仿宋_GB2312" w:hAnsi="仿宋_GB2312" w:eastAsia="仿宋_GB2312" w:cs="仿宋_GB2312"/>
          <w:b w:val="0"/>
          <w:bCs w:val="0"/>
          <w:sz w:val="32"/>
          <w:szCs w:val="32"/>
          <w:lang w:val="en-US" w:eastAsia="zh-CN"/>
        </w:rPr>
        <w:t>地方政府专项债务付息支出较上年增长过多。</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6" w:lineRule="exact"/>
        <w:ind w:right="20" w:rightChars="0" w:firstLine="640" w:firstLineChars="200"/>
        <w:jc w:val="both"/>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val="zh-CN" w:eastAsia="zh-CN"/>
        </w:rPr>
        <w:t>2023年麒麟区国有资本经营预算收入、支出变动说明</w:t>
      </w:r>
      <w:bookmarkEnd w:id="2"/>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6" w:lineRule="exact"/>
        <w:ind w:right="2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eastAsia="zh-CN"/>
        </w:rPr>
        <w:t>国有资本经营预算收入比上年决算数</w:t>
      </w:r>
      <w:r>
        <w:rPr>
          <w:rFonts w:hint="eastAsia" w:ascii="仿宋_GB2312" w:hAnsi="仿宋_GB2312" w:eastAsia="仿宋_GB2312" w:cs="仿宋_GB2312"/>
          <w:sz w:val="32"/>
          <w:szCs w:val="32"/>
          <w:lang w:val="en-US" w:eastAsia="zh-CN"/>
        </w:rPr>
        <w:t>增长219.49</w:t>
      </w:r>
      <w:r>
        <w:rPr>
          <w:rFonts w:hint="eastAsia" w:ascii="仿宋_GB2312" w:hAnsi="仿宋_GB2312" w:eastAsia="仿宋_GB2312" w:cs="仿宋_GB2312"/>
          <w:sz w:val="32"/>
          <w:szCs w:val="32"/>
          <w:lang w:val="zh-CN" w:eastAsia="zh-CN"/>
        </w:rPr>
        <w:t>%，主要原因是：区属国企增加上缴利润补缴及以前年度欠缴的国资收益</w:t>
      </w:r>
      <w:r>
        <w:rPr>
          <w:rFonts w:hint="eastAsia" w:ascii="仿宋_GB2312" w:hAnsi="仿宋_GB2312" w:eastAsia="仿宋_GB2312" w:cs="仿宋_GB2312"/>
          <w:sz w:val="32"/>
          <w:szCs w:val="32"/>
          <w:lang w:val="en-US" w:eastAsia="zh-CN"/>
        </w:rPr>
        <w:t>。</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6" w:lineRule="exact"/>
        <w:ind w:right="2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eastAsia="zh-CN"/>
        </w:rPr>
        <w:t>解决历史遗留问题及改革成本支出比上年决算数</w:t>
      </w:r>
      <w:r>
        <w:rPr>
          <w:rFonts w:hint="eastAsia" w:ascii="仿宋_GB2312" w:hAnsi="仿宋_GB2312" w:eastAsia="仿宋_GB2312" w:cs="仿宋_GB2312"/>
          <w:sz w:val="32"/>
          <w:szCs w:val="32"/>
          <w:lang w:val="en-US" w:eastAsia="zh-CN"/>
        </w:rPr>
        <w:t>下降29.84</w:t>
      </w:r>
      <w:r>
        <w:rPr>
          <w:rFonts w:hint="eastAsia" w:ascii="仿宋_GB2312" w:hAnsi="仿宋_GB2312" w:eastAsia="仿宋_GB2312" w:cs="仿宋_GB2312"/>
          <w:sz w:val="32"/>
          <w:szCs w:val="32"/>
          <w:lang w:val="zh-CN" w:eastAsia="zh-CN"/>
        </w:rPr>
        <w:t>%，主要原因是：</w:t>
      </w:r>
      <w:r>
        <w:rPr>
          <w:rFonts w:hint="eastAsia" w:ascii="仿宋_GB2312" w:hAnsi="仿宋_GB2312" w:eastAsia="仿宋_GB2312" w:cs="仿宋_GB2312"/>
          <w:sz w:val="32"/>
          <w:szCs w:val="32"/>
          <w:lang w:val="en-US" w:eastAsia="zh-CN"/>
        </w:rPr>
        <w:t>2023年拨付国有企业退休人员社会化管理补助资金、“三供一业”移交补助和遗属生活困难补助898万元，比2022年国有企业退休人员社会化管理支出减少。</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6" w:lineRule="exact"/>
        <w:ind w:right="2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3.其他国有资本经营预算支出(款)比上年决算数增长100%，主要原因是：2023年安排城乡投集团公益性设施项目经费1903万元,2022年并无此项支出。</w:t>
      </w:r>
    </w:p>
    <w:sectPr>
      <w:footerReference r:id="rId5" w:type="default"/>
      <w:footnotePr>
        <w:numFmt w:val="decimal"/>
      </w:footnotePr>
      <w:type w:val="continuous"/>
      <w:pgSz w:w="11906" w:h="16838"/>
      <w:pgMar w:top="1655" w:right="1792" w:bottom="1655" w:left="1805"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Century Schoolbook">
    <w:panose1 w:val="02040604050505020304"/>
    <w:charset w:val="00"/>
    <w:family w:val="auto"/>
    <w:pitch w:val="default"/>
    <w:sig w:usb0="00000287" w:usb1="00000000" w:usb2="00000000" w:usb3="00000000" w:csb0="2000009F" w:csb1="DFD70000"/>
  </w:font>
  <w:font w:name="CordiaUPC">
    <w:altName w:val="Yu Gothic UI Light"/>
    <w:panose1 w:val="020B0304020202020204"/>
    <w:charset w:val="00"/>
    <w:family w:val="auto"/>
    <w:pitch w:val="default"/>
    <w:sig w:usb0="00000000" w:usb1="00000000" w:usb2="00000000" w:usb3="00000000" w:csb0="00010001" w:csb1="00000000"/>
  </w:font>
  <w:font w:name="仿宋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GU5YTk2NWU3OTRhNTU0YjZlNWE0ODExMjY4YzM0MTgifQ=="/>
  </w:docVars>
  <w:rsids>
    <w:rsidRoot w:val="00172A27"/>
    <w:rsid w:val="000364B7"/>
    <w:rsid w:val="01AC20BB"/>
    <w:rsid w:val="02DD2C6C"/>
    <w:rsid w:val="034736C5"/>
    <w:rsid w:val="03E4476B"/>
    <w:rsid w:val="055554A8"/>
    <w:rsid w:val="071156EA"/>
    <w:rsid w:val="071C110D"/>
    <w:rsid w:val="07242593"/>
    <w:rsid w:val="07266DE7"/>
    <w:rsid w:val="07444B6E"/>
    <w:rsid w:val="0838656D"/>
    <w:rsid w:val="08F33994"/>
    <w:rsid w:val="09F72C45"/>
    <w:rsid w:val="0AA34794"/>
    <w:rsid w:val="0C093253"/>
    <w:rsid w:val="0C50326C"/>
    <w:rsid w:val="0E47458A"/>
    <w:rsid w:val="0E634696"/>
    <w:rsid w:val="0EA030E3"/>
    <w:rsid w:val="102A20CC"/>
    <w:rsid w:val="103D67CE"/>
    <w:rsid w:val="10A140B8"/>
    <w:rsid w:val="12682E95"/>
    <w:rsid w:val="140D23E2"/>
    <w:rsid w:val="153F10D9"/>
    <w:rsid w:val="15B06353"/>
    <w:rsid w:val="16237481"/>
    <w:rsid w:val="17E82259"/>
    <w:rsid w:val="18135D9A"/>
    <w:rsid w:val="18376BC4"/>
    <w:rsid w:val="19333D27"/>
    <w:rsid w:val="1A0832DB"/>
    <w:rsid w:val="1A825003"/>
    <w:rsid w:val="1CE53C04"/>
    <w:rsid w:val="1CFF7957"/>
    <w:rsid w:val="1DA95F67"/>
    <w:rsid w:val="1E7C4DEE"/>
    <w:rsid w:val="1EA637CE"/>
    <w:rsid w:val="1FDD793F"/>
    <w:rsid w:val="21087CDE"/>
    <w:rsid w:val="212F4D5D"/>
    <w:rsid w:val="231464FF"/>
    <w:rsid w:val="237945EB"/>
    <w:rsid w:val="24213B6A"/>
    <w:rsid w:val="26427D4B"/>
    <w:rsid w:val="2AB63484"/>
    <w:rsid w:val="2AF11855"/>
    <w:rsid w:val="2AF42A17"/>
    <w:rsid w:val="2C3B47A8"/>
    <w:rsid w:val="2C6640D0"/>
    <w:rsid w:val="2C807CF4"/>
    <w:rsid w:val="2E4350D7"/>
    <w:rsid w:val="2EF31968"/>
    <w:rsid w:val="2FE37991"/>
    <w:rsid w:val="302B55DE"/>
    <w:rsid w:val="30D117FF"/>
    <w:rsid w:val="324F1ACE"/>
    <w:rsid w:val="32B03F5D"/>
    <w:rsid w:val="32D7794C"/>
    <w:rsid w:val="33FE17E3"/>
    <w:rsid w:val="34402292"/>
    <w:rsid w:val="3466642B"/>
    <w:rsid w:val="3622400D"/>
    <w:rsid w:val="363447DA"/>
    <w:rsid w:val="36484B8C"/>
    <w:rsid w:val="36F57BA1"/>
    <w:rsid w:val="37EA70C0"/>
    <w:rsid w:val="3863270C"/>
    <w:rsid w:val="3A367068"/>
    <w:rsid w:val="3A5F27BF"/>
    <w:rsid w:val="3B6B3F5B"/>
    <w:rsid w:val="3BDC38B5"/>
    <w:rsid w:val="3D8C657A"/>
    <w:rsid w:val="3DB82317"/>
    <w:rsid w:val="3E054960"/>
    <w:rsid w:val="3E2230D7"/>
    <w:rsid w:val="3E732460"/>
    <w:rsid w:val="401B6796"/>
    <w:rsid w:val="418271AC"/>
    <w:rsid w:val="431B19A4"/>
    <w:rsid w:val="431D2D3A"/>
    <w:rsid w:val="44624EFA"/>
    <w:rsid w:val="4600410D"/>
    <w:rsid w:val="46BC676E"/>
    <w:rsid w:val="47622275"/>
    <w:rsid w:val="47802142"/>
    <w:rsid w:val="488A2990"/>
    <w:rsid w:val="48A56A12"/>
    <w:rsid w:val="49C30246"/>
    <w:rsid w:val="49F01FC1"/>
    <w:rsid w:val="4AC45387"/>
    <w:rsid w:val="4D6A0D44"/>
    <w:rsid w:val="4D860D10"/>
    <w:rsid w:val="4F6370B4"/>
    <w:rsid w:val="4FC356A0"/>
    <w:rsid w:val="4FF4564E"/>
    <w:rsid w:val="50FE1F62"/>
    <w:rsid w:val="51C22CAC"/>
    <w:rsid w:val="53CF153C"/>
    <w:rsid w:val="547478FE"/>
    <w:rsid w:val="56D8632D"/>
    <w:rsid w:val="574E2524"/>
    <w:rsid w:val="58D070E1"/>
    <w:rsid w:val="5C175A3A"/>
    <w:rsid w:val="5D56509D"/>
    <w:rsid w:val="5DD2022B"/>
    <w:rsid w:val="5E565E16"/>
    <w:rsid w:val="608E68B0"/>
    <w:rsid w:val="623D5376"/>
    <w:rsid w:val="625D7E9C"/>
    <w:rsid w:val="628F6F0B"/>
    <w:rsid w:val="63156261"/>
    <w:rsid w:val="63876D47"/>
    <w:rsid w:val="63D72606"/>
    <w:rsid w:val="66256F28"/>
    <w:rsid w:val="66C3475C"/>
    <w:rsid w:val="67510767"/>
    <w:rsid w:val="6889720B"/>
    <w:rsid w:val="692C7E15"/>
    <w:rsid w:val="692F201C"/>
    <w:rsid w:val="697564AA"/>
    <w:rsid w:val="69FB077C"/>
    <w:rsid w:val="6A5E2AB1"/>
    <w:rsid w:val="6A6F4C36"/>
    <w:rsid w:val="6C1369DD"/>
    <w:rsid w:val="6E97357A"/>
    <w:rsid w:val="6EA359EF"/>
    <w:rsid w:val="6EA856FE"/>
    <w:rsid w:val="6EB94B79"/>
    <w:rsid w:val="6FD81DFF"/>
    <w:rsid w:val="70560955"/>
    <w:rsid w:val="70CF0631"/>
    <w:rsid w:val="7102098F"/>
    <w:rsid w:val="7137268A"/>
    <w:rsid w:val="73AB13FF"/>
    <w:rsid w:val="73B171E2"/>
    <w:rsid w:val="74A76BCF"/>
    <w:rsid w:val="7616388F"/>
    <w:rsid w:val="76841B7D"/>
    <w:rsid w:val="77837446"/>
    <w:rsid w:val="77BB0BA3"/>
    <w:rsid w:val="78A507F6"/>
    <w:rsid w:val="78B10E6D"/>
    <w:rsid w:val="7A8E7169"/>
    <w:rsid w:val="7AD257E4"/>
    <w:rsid w:val="7CD54654"/>
    <w:rsid w:val="7E9D319F"/>
    <w:rsid w:val="7F677A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lang w:val="zh-CN" w:eastAsia="zh-CN" w:bidi="zh-CN"/>
    </w:rPr>
  </w:style>
  <w:style w:type="character" w:default="1" w:styleId="6">
    <w:name w:val="Default Paragraph Font"/>
    <w:qFormat/>
    <w:uiPriority w:val="0"/>
    <w:rPr>
      <w:rFonts w:ascii="Courier New" w:hAnsi="Courier New" w:eastAsia="Courier New" w:cs="Courier New"/>
      <w:color w:val="000000"/>
      <w:spacing w:val="0"/>
      <w:w w:val="100"/>
      <w:position w:val="0"/>
      <w:sz w:val="24"/>
      <w:szCs w:val="24"/>
      <w:lang w:val="zh-CN" w:eastAsia="zh-CN" w:bidi="zh-CN"/>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qFormat/>
    <w:uiPriority w:val="0"/>
    <w:rPr>
      <w:color w:val="0066CC"/>
      <w:u w:val="single"/>
    </w:rPr>
  </w:style>
  <w:style w:type="character" w:customStyle="1" w:styleId="8">
    <w:name w:val="标题 #1_"/>
    <w:basedOn w:val="6"/>
    <w:link w:val="9"/>
    <w:qFormat/>
    <w:uiPriority w:val="0"/>
    <w:rPr>
      <w:rFonts w:ascii="MingLiU" w:hAnsi="MingLiU" w:eastAsia="MingLiU" w:cs="MingLiU"/>
      <w:sz w:val="34"/>
      <w:szCs w:val="34"/>
      <w:u w:val="none"/>
    </w:rPr>
  </w:style>
  <w:style w:type="paragraph" w:customStyle="1" w:styleId="9">
    <w:name w:val="标题 #1"/>
    <w:basedOn w:val="1"/>
    <w:link w:val="8"/>
    <w:qFormat/>
    <w:uiPriority w:val="0"/>
    <w:pPr>
      <w:widowControl w:val="0"/>
      <w:shd w:val="clear" w:color="auto" w:fill="FFFFFF"/>
      <w:spacing w:after="540" w:line="629" w:lineRule="exact"/>
      <w:jc w:val="center"/>
      <w:outlineLvl w:val="0"/>
    </w:pPr>
    <w:rPr>
      <w:rFonts w:ascii="MingLiU" w:hAnsi="MingLiU" w:eastAsia="MingLiU" w:cs="MingLiU"/>
      <w:sz w:val="34"/>
      <w:szCs w:val="34"/>
      <w:u w:val="none"/>
    </w:rPr>
  </w:style>
  <w:style w:type="character" w:customStyle="1" w:styleId="10">
    <w:name w:val="标题 #1 + Century Schoolbook"/>
    <w:basedOn w:val="8"/>
    <w:qFormat/>
    <w:uiPriority w:val="0"/>
    <w:rPr>
      <w:rFonts w:ascii="Century Schoolbook" w:hAnsi="Century Schoolbook" w:eastAsia="Century Schoolbook" w:cs="Century Schoolbook"/>
      <w:b/>
      <w:bCs/>
      <w:color w:val="000000"/>
      <w:spacing w:val="0"/>
      <w:w w:val="100"/>
      <w:position w:val="0"/>
      <w:lang w:val="zh-CN" w:eastAsia="zh-CN" w:bidi="zh-CN"/>
    </w:rPr>
  </w:style>
  <w:style w:type="character" w:customStyle="1" w:styleId="11">
    <w:name w:val="正文文本 (2)_"/>
    <w:basedOn w:val="6"/>
    <w:link w:val="12"/>
    <w:qFormat/>
    <w:uiPriority w:val="0"/>
    <w:rPr>
      <w:rFonts w:ascii="MingLiU" w:hAnsi="MingLiU" w:eastAsia="MingLiU" w:cs="MingLiU"/>
      <w:sz w:val="28"/>
      <w:szCs w:val="28"/>
      <w:u w:val="none"/>
    </w:rPr>
  </w:style>
  <w:style w:type="paragraph" w:customStyle="1" w:styleId="12">
    <w:name w:val="正文文本 (2)"/>
    <w:basedOn w:val="1"/>
    <w:link w:val="11"/>
    <w:qFormat/>
    <w:uiPriority w:val="0"/>
    <w:pPr>
      <w:widowControl w:val="0"/>
      <w:shd w:val="clear" w:color="auto" w:fill="FFFFFF"/>
      <w:spacing w:before="540" w:after="360" w:line="0" w:lineRule="exact"/>
      <w:ind w:firstLine="620"/>
    </w:pPr>
    <w:rPr>
      <w:rFonts w:ascii="MingLiU" w:hAnsi="MingLiU" w:eastAsia="MingLiU" w:cs="MingLiU"/>
      <w:sz w:val="28"/>
      <w:szCs w:val="28"/>
      <w:u w:val="none"/>
    </w:rPr>
  </w:style>
  <w:style w:type="character" w:customStyle="1" w:styleId="13">
    <w:name w:val="正文文本 (2) + CordiaUPC"/>
    <w:basedOn w:val="11"/>
    <w:qFormat/>
    <w:uiPriority w:val="0"/>
    <w:rPr>
      <w:rFonts w:ascii="CordiaUPC" w:hAnsi="CordiaUPC" w:eastAsia="CordiaUPC" w:cs="CordiaUPC"/>
      <w:b/>
      <w:bCs/>
      <w:color w:val="000000"/>
      <w:spacing w:val="0"/>
      <w:w w:val="100"/>
      <w:position w:val="0"/>
      <w:sz w:val="40"/>
      <w:szCs w:val="40"/>
      <w:lang w:val="zh-CN" w:eastAsia="zh-CN" w:bidi="zh-CN"/>
    </w:rPr>
  </w:style>
  <w:style w:type="character" w:customStyle="1" w:styleId="14">
    <w:name w:val="正文文本_"/>
    <w:basedOn w:val="6"/>
    <w:link w:val="15"/>
    <w:qFormat/>
    <w:uiPriority w:val="0"/>
    <w:rPr>
      <w:rFonts w:ascii="MingLiU" w:hAnsi="MingLiU" w:eastAsia="MingLiU" w:cs="MingLiU"/>
      <w:sz w:val="26"/>
      <w:szCs w:val="26"/>
      <w:u w:val="none"/>
    </w:rPr>
  </w:style>
  <w:style w:type="paragraph" w:customStyle="1" w:styleId="15">
    <w:name w:val="正文文本1"/>
    <w:basedOn w:val="1"/>
    <w:link w:val="14"/>
    <w:qFormat/>
    <w:uiPriority w:val="0"/>
    <w:pPr>
      <w:widowControl w:val="0"/>
      <w:shd w:val="clear" w:color="auto" w:fill="FFFFFF"/>
      <w:spacing w:before="360" w:line="590" w:lineRule="exact"/>
    </w:pPr>
    <w:rPr>
      <w:rFonts w:ascii="MingLiU" w:hAnsi="MingLiU" w:eastAsia="MingLiU" w:cs="MingLiU"/>
      <w:sz w:val="26"/>
      <w:szCs w:val="26"/>
      <w:u w:val="none"/>
    </w:rPr>
  </w:style>
  <w:style w:type="character" w:customStyle="1" w:styleId="16">
    <w:name w:val="正文文本 + Century Schoolbook"/>
    <w:basedOn w:val="14"/>
    <w:qFormat/>
    <w:uiPriority w:val="0"/>
    <w:rPr>
      <w:rFonts w:ascii="Century Schoolbook" w:hAnsi="Century Schoolbook" w:eastAsia="Century Schoolbook" w:cs="Century Schoolbook"/>
      <w:b/>
      <w:bCs/>
      <w:color w:val="000000"/>
      <w:spacing w:val="0"/>
      <w:w w:val="75"/>
      <w:position w:val="0"/>
      <w:lang w:val="zh-CN" w:eastAsia="zh-CN" w:bidi="zh-CN"/>
    </w:rPr>
  </w:style>
  <w:style w:type="character" w:customStyle="1" w:styleId="17">
    <w:name w:val="正文文本 + Century Schoolbook1"/>
    <w:basedOn w:val="14"/>
    <w:qFormat/>
    <w:uiPriority w:val="0"/>
    <w:rPr>
      <w:rFonts w:ascii="Century Schoolbook" w:hAnsi="Century Schoolbook" w:eastAsia="Century Schoolbook" w:cs="Century Schoolbook"/>
      <w:b/>
      <w:bCs/>
      <w:color w:val="000000"/>
      <w:spacing w:val="0"/>
      <w:w w:val="100"/>
      <w:position w:val="0"/>
      <w:sz w:val="21"/>
      <w:szCs w:val="21"/>
      <w:lang w:val="en-US" w:eastAsia="en-US" w:bidi="en-US"/>
    </w:rPr>
  </w:style>
  <w:style w:type="character" w:customStyle="1" w:styleId="18">
    <w:name w:val="正文文本 + 斜体"/>
    <w:basedOn w:val="14"/>
    <w:qFormat/>
    <w:uiPriority w:val="0"/>
    <w:rPr>
      <w:i/>
      <w:iCs/>
      <w:color w:val="000000"/>
      <w:spacing w:val="0"/>
      <w:w w:val="100"/>
      <w:position w:val="0"/>
      <w:lang w:val="zh-CN" w:eastAsia="zh-CN" w:bidi="zh-CN"/>
    </w:rPr>
  </w:style>
  <w:style w:type="character" w:customStyle="1" w:styleId="19">
    <w:name w:val="标题 #2_"/>
    <w:basedOn w:val="6"/>
    <w:link w:val="20"/>
    <w:qFormat/>
    <w:uiPriority w:val="0"/>
    <w:rPr>
      <w:rFonts w:ascii="MingLiU" w:hAnsi="MingLiU" w:eastAsia="MingLiU" w:cs="MingLiU"/>
      <w:sz w:val="28"/>
      <w:szCs w:val="28"/>
      <w:u w:val="none"/>
    </w:rPr>
  </w:style>
  <w:style w:type="paragraph" w:customStyle="1" w:styleId="20">
    <w:name w:val="标题 #2"/>
    <w:basedOn w:val="1"/>
    <w:link w:val="19"/>
    <w:qFormat/>
    <w:uiPriority w:val="0"/>
    <w:pPr>
      <w:widowControl w:val="0"/>
      <w:shd w:val="clear" w:color="auto" w:fill="FFFFFF"/>
      <w:spacing w:before="480" w:after="360" w:line="0" w:lineRule="exact"/>
      <w:ind w:firstLine="600"/>
      <w:jc w:val="distribute"/>
      <w:outlineLvl w:val="1"/>
    </w:pPr>
    <w:rPr>
      <w:rFonts w:ascii="MingLiU" w:hAnsi="MingLiU" w:eastAsia="MingLiU" w:cs="MingLiU"/>
      <w:sz w:val="28"/>
      <w:szCs w:val="28"/>
      <w:u w:val="none"/>
    </w:rPr>
  </w:style>
  <w:style w:type="character" w:customStyle="1" w:styleId="21">
    <w:name w:val="标题 #2 + CordiaUPC"/>
    <w:basedOn w:val="19"/>
    <w:qFormat/>
    <w:uiPriority w:val="0"/>
    <w:rPr>
      <w:rFonts w:ascii="CordiaUPC" w:hAnsi="CordiaUPC" w:eastAsia="CordiaUPC" w:cs="CordiaUPC"/>
      <w:b/>
      <w:bCs/>
      <w:color w:val="000000"/>
      <w:spacing w:val="0"/>
      <w:w w:val="100"/>
      <w:position w:val="0"/>
      <w:sz w:val="40"/>
      <w:szCs w:val="40"/>
      <w:lang w:val="zh-CN" w:eastAsia="zh-CN" w:bidi="zh-CN"/>
    </w:rPr>
  </w:style>
  <w:style w:type="character" w:customStyle="1" w:styleId="22">
    <w:name w:val="正文文本 + Century Schoolbook2"/>
    <w:basedOn w:val="14"/>
    <w:qFormat/>
    <w:uiPriority w:val="0"/>
    <w:rPr>
      <w:rFonts w:ascii="Century Schoolbook" w:hAnsi="Century Schoolbook" w:eastAsia="Century Schoolbook" w:cs="Century Schoolbook"/>
      <w:b/>
      <w:bCs/>
      <w:color w:val="000000"/>
      <w:spacing w:val="0"/>
      <w:w w:val="75"/>
      <w:position w:val="0"/>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4065</Words>
  <Characters>5053</Characters>
  <Lines>0</Lines>
  <Paragraphs>0</Paragraphs>
  <TotalTime>9</TotalTime>
  <ScaleCrop>false</ScaleCrop>
  <LinksUpToDate>false</LinksUpToDate>
  <CharactersWithSpaces>5054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2020-09-01T08:10:00Z</dcterms:created>
  <dc:creator>gll</dc:creator>
  <cp:lastModifiedBy>WPS_1577147775</cp:lastModifiedBy>
  <cp:lastPrinted>2021-09-07T08:47:00Z</cp:lastPrinted>
  <dcterms:modified xsi:type="dcterms:W3CDTF">2025-02-27T03:02:35Z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7FAC9E5522034A8D81AF38BECDA28BEC_13</vt:lpwstr>
  </property>
</Properties>
</file>