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135D"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Hlk74664425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曲靖市麒麟区中心城区530302013010013单元国土空间详细规划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公众参</w:t>
      </w:r>
      <w:r>
        <w:rPr>
          <w:rFonts w:hint="eastAsia" w:ascii="Times New Roman" w:eastAsia="方正小标宋_GBK" w:cs="Times New Roman"/>
          <w:sz w:val="44"/>
          <w:szCs w:val="44"/>
          <w:lang w:val="en-US" w:eastAsia="zh-CN"/>
        </w:rPr>
        <w:t>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情况</w:t>
      </w:r>
      <w:r>
        <w:rPr>
          <w:rFonts w:hint="eastAsia" w:ascii="Times New Roman" w:eastAsia="方正小标宋_GBK" w:cs="Times New Roman"/>
          <w:sz w:val="44"/>
          <w:szCs w:val="44"/>
          <w:lang w:val="en-US" w:eastAsia="zh-CN"/>
        </w:rPr>
        <w:t>公示</w:t>
      </w:r>
    </w:p>
    <w:bookmarkEnd w:id="0"/>
    <w:p w14:paraId="085B2CBE"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53D649">
      <w:pPr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曲靖市麒麟区中心城区530302013010013单元国土空间</w:t>
      </w:r>
    </w:p>
    <w:p w14:paraId="7D10DFF6">
      <w:pPr>
        <w:spacing w:line="52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详细规划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eastAsia="方正仿宋_GBK" w:cs="Times New Roman"/>
          <w:sz w:val="32"/>
          <w:szCs w:val="32"/>
          <w:lang w:val="en-US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月启动编制，通过调研走访、会议研讨、意见征询、网上公示等形式充分征求了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各街道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以及公众的意见。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规划编制过程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始终坚持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政府组织、专家领衔、部门合作、公众参与、科学决策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的原则，广泛征求公众意见，将收集到的公众意见整理成册，认真研究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予以落实。</w:t>
      </w:r>
    </w:p>
    <w:p w14:paraId="1F736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本次详细规划于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月形成初步成果，规划草案于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日在网上进行公示</w:t>
      </w:r>
      <w:bookmarkStart w:id="1" w:name="_GoBack"/>
      <w:bookmarkEnd w:id="1"/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，公示结束后收到意见2条；并于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日举行了听证会，听证会现场收到了意见26条，归纳总结为意见5条。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公众参与意见及采纳情况如下：</w:t>
      </w:r>
    </w:p>
    <w:p w14:paraId="50848C5B">
      <w:pPr>
        <w:spacing w:line="520" w:lineRule="exact"/>
        <w:jc w:val="center"/>
        <w:rPr>
          <w:rFonts w:hint="default" w:ascii="方正楷体_GBK" w:hAnsi="方正楷体_GBK" w:eastAsia="方正楷体_GBK" w:cs="方正楷体_GBK"/>
          <w:b w:val="0"/>
          <w:bCs w:val="0"/>
        </w:rPr>
      </w:pPr>
      <w:r>
        <w:rPr>
          <w:rFonts w:hint="default" w:ascii="方正楷体_GBK" w:hAnsi="方正楷体_GBK" w:eastAsia="方正楷体_GBK" w:cs="方正楷体_GBK"/>
          <w:b w:val="0"/>
          <w:bCs w:val="0"/>
        </w:rPr>
        <w:t>公众参与意见及采纳情况汇总表</w:t>
      </w:r>
    </w:p>
    <w:tbl>
      <w:tblPr>
        <w:tblStyle w:val="5"/>
        <w:tblW w:w="5107" w:type="pct"/>
        <w:tblCellSpacing w:w="0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941"/>
        <w:gridCol w:w="1634"/>
        <w:gridCol w:w="3313"/>
        <w:gridCol w:w="1882"/>
      </w:tblGrid>
      <w:tr w14:paraId="05F5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84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B8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lang w:eastAsia="zh-CN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lang w:val="en-US" w:eastAsia="zh-CN"/>
              </w:rPr>
              <w:t>时间</w:t>
            </w:r>
          </w:p>
        </w:tc>
        <w:tc>
          <w:tcPr>
            <w:tcW w:w="534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AE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lang w:val="en-US" w:eastAsia="zh-CN"/>
              </w:rPr>
              <w:t>业务流程</w:t>
            </w:r>
          </w:p>
        </w:tc>
        <w:tc>
          <w:tcPr>
            <w:tcW w:w="9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7F1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lang w:eastAsia="zh-CN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lang w:val="en-US" w:eastAsia="zh-CN"/>
              </w:rPr>
              <w:t>单元编号</w:t>
            </w:r>
          </w:p>
        </w:tc>
        <w:tc>
          <w:tcPr>
            <w:tcW w:w="1882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6F1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</w:rPr>
              <w:t>意见</w:t>
            </w:r>
          </w:p>
        </w:tc>
        <w:tc>
          <w:tcPr>
            <w:tcW w:w="106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EB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</w:rPr>
              <w:t>备注</w:t>
            </w:r>
          </w:p>
        </w:tc>
      </w:tr>
      <w:tr w14:paraId="69B3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584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02F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default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default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534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B5C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征求意见</w:t>
            </w:r>
          </w:p>
        </w:tc>
        <w:tc>
          <w:tcPr>
            <w:tcW w:w="9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29B5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曲靖市麒麟区中心城区530302013010013单元</w:t>
            </w:r>
          </w:p>
        </w:tc>
        <w:tc>
          <w:tcPr>
            <w:tcW w:w="1882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A034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对规划初稿进行用地布局研究，最终确定规划用地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性质</w:t>
            </w: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道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路网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结构</w:t>
            </w: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；2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对规划中期方案进行研究，最终确定局部用地性质调整。</w:t>
            </w:r>
          </w:p>
          <w:p w14:paraId="7B3250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A7E0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全部采纳，已根据实际情况，进一步衔接相关规划、政策文件，完善本规划方案。</w:t>
            </w:r>
          </w:p>
        </w:tc>
      </w:tr>
      <w:tr w14:paraId="276E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84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F89F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default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default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11.22-12.23</w:t>
            </w:r>
          </w:p>
        </w:tc>
        <w:tc>
          <w:tcPr>
            <w:tcW w:w="534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8552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草案公示</w:t>
            </w:r>
          </w:p>
        </w:tc>
        <w:tc>
          <w:tcPr>
            <w:tcW w:w="9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270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曲靖市麒麟区中心城区530302013010013单元</w:t>
            </w:r>
          </w:p>
        </w:tc>
        <w:tc>
          <w:tcPr>
            <w:tcW w:w="1882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FAA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在太和山垃圾填埋场附近建设一座占地约20亩的生活垃圾分拣中心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该片区</w:t>
            </w: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规划面积约3.53平方公里。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按照《城市环境卫生设施规划标准》（GBT50337-2018）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建议增加设置公共厕所11座，设置洒水（冲洗）车供水器2个，环卫工人作息场所2座。</w:t>
            </w:r>
          </w:p>
          <w:p w14:paraId="545BBF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DD3A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1.不</w:t>
            </w: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采纳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，根据上位《垃圾专项规划》，该片区未设置垃圾填埋场。2.采纳。</w:t>
            </w:r>
          </w:p>
        </w:tc>
      </w:tr>
      <w:tr w14:paraId="13B8F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84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86A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2024.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12.12</w:t>
            </w:r>
          </w:p>
        </w:tc>
        <w:tc>
          <w:tcPr>
            <w:tcW w:w="534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B47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专家意见征询</w:t>
            </w:r>
          </w:p>
        </w:tc>
        <w:tc>
          <w:tcPr>
            <w:tcW w:w="9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B88D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曲靖市麒麟区中心城区530302013010013单元</w:t>
            </w:r>
          </w:p>
        </w:tc>
        <w:tc>
          <w:tcPr>
            <w:tcW w:w="1882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D210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加强工业用地和加气站邻避性要求，在说明书中补充双友钢铁厂近年的相关规划、环评、交评等成果；2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深化单元定位与规划内容的衔接；3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核实居住人口与用地的符合性；4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结合总规对快速路的防护绿地要求，合理确定绿地规模；5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加强与总规综合交通的衔接，明确翠峰北路远期断面、开口要求，提升片区路网密度；6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核实工业用地红线；7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结合低效闲置用地，优化各类用地布局及交通组织；8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校核图纸、文本、说明书。</w:t>
            </w:r>
          </w:p>
          <w:p w14:paraId="6E523F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  <w:p w14:paraId="60ED8D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/>
                <w:lang w:val="en-US"/>
              </w:rPr>
            </w:pPr>
          </w:p>
          <w:p w14:paraId="386CFE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  <w:p w14:paraId="24DACB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</w:p>
          <w:p w14:paraId="37430D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  <w:p w14:paraId="1717F9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  <w:p w14:paraId="566474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  <w:p w14:paraId="5AC02F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8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全部采纳，已根据实际情况，进一步衔接相关规划、政策文件，完善本规划方案。</w:t>
            </w:r>
          </w:p>
        </w:tc>
      </w:tr>
      <w:tr w14:paraId="5C6C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tblCellSpacing w:w="0" w:type="dxa"/>
        </w:trPr>
        <w:tc>
          <w:tcPr>
            <w:tcW w:w="584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61A9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.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534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666B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8"/>
                <w:szCs w:val="28"/>
                <w:lang w:val="en-US" w:eastAsia="zh-CN" w:bidi="ar-SA"/>
              </w:rPr>
              <w:t>听证会意见征询</w:t>
            </w:r>
          </w:p>
        </w:tc>
        <w:tc>
          <w:tcPr>
            <w:tcW w:w="9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9B4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曲靖市麒麟区中心城区530302013010013单元</w:t>
            </w:r>
          </w:p>
        </w:tc>
        <w:tc>
          <w:tcPr>
            <w:tcW w:w="1882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D0A2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.加强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与上位规划、其他专项规划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衔接；2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优化用地布局调整；3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.加强研究片区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人口发展与资源配置共享；</w:t>
            </w:r>
            <w:r>
              <w:rPr>
                <w:rFonts w:hint="eastAsia" w:asci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4.仔细</w:t>
            </w:r>
            <w:r>
              <w:rPr>
                <w:rFonts w:hint="eastAsia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校对文本成果。</w:t>
            </w:r>
          </w:p>
          <w:p w14:paraId="0476CD4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9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565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kern w:val="0"/>
                <w:sz w:val="24"/>
                <w:szCs w:val="24"/>
                <w:lang w:val="en-US" w:eastAsia="zh-CN" w:bidi="ar-SA"/>
              </w:rPr>
              <w:t>全部采纳</w:t>
            </w:r>
          </w:p>
        </w:tc>
      </w:tr>
    </w:tbl>
    <w:p w14:paraId="766FFF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20" w:lineRule="exact"/>
        <w:textAlignment w:val="auto"/>
        <w:rPr>
          <w:rFonts w:hint="default" w:ascii="Times New Roman" w:hAnsi="Times New Roman" w:eastAsia="仿宋_GB2312" w:cs="Times New Roman"/>
          <w:b w:val="0"/>
          <w:snapToGrid w:val="0"/>
          <w:kern w:val="0"/>
          <w:sz w:val="28"/>
          <w:szCs w:val="28"/>
          <w:lang w:val="en" w:eastAsia="zh-CN" w:bidi="ar-SA"/>
        </w:rPr>
      </w:pPr>
    </w:p>
    <w:p w14:paraId="4677D9AA">
      <w:pPr>
        <w:pStyle w:val="2"/>
        <w:numPr>
          <w:ilvl w:val="1"/>
          <w:numId w:val="0"/>
        </w:numPr>
        <w:ind w:left="6930" w:leftChars="0"/>
        <w:jc w:val="both"/>
        <w:rPr>
          <w:rFonts w:hint="default"/>
          <w:lang w:val="en-US" w:eastAsia="zh-CN"/>
        </w:rPr>
      </w:pPr>
    </w:p>
    <w:p w14:paraId="5D5045CE">
      <w:p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lang w:val="en-US" w:eastAsia="zh-CN"/>
        </w:rPr>
        <w:t>曲靖市麒麟区中心城区530302013010013单元</w:t>
      </w:r>
    </w:p>
    <w:p w14:paraId="43B22527">
      <w:pPr>
        <w:spacing w:line="520" w:lineRule="exact"/>
        <w:jc w:val="center"/>
        <w:rPr>
          <w:rFonts w:hint="default" w:ascii="方正楷体_GBK" w:hAnsi="方正楷体_GBK" w:eastAsia="方正楷体_GBK" w:cs="方正楷体_GBK"/>
          <w:b w:val="0"/>
          <w:bCs w:val="0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lang w:val="en-US" w:eastAsia="zh-CN"/>
        </w:rPr>
        <w:t>国土空间详细规划</w:t>
      </w:r>
    </w:p>
    <w:p w14:paraId="0F439C60">
      <w:pPr>
        <w:spacing w:line="520" w:lineRule="exact"/>
        <w:jc w:val="center"/>
        <w:rPr>
          <w:rFonts w:hint="default" w:ascii="方正楷体_GBK" w:hAnsi="方正楷体_GBK" w:eastAsia="方正楷体_GBK" w:cs="方正楷体_GBK"/>
          <w:b w:val="0"/>
          <w:bCs w:val="0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lang w:eastAsia="zh-CN"/>
        </w:rPr>
        <w:t>(</w:t>
      </w:r>
      <w:r>
        <w:rPr>
          <w:rFonts w:hint="eastAsia" w:ascii="方正楷体_GBK" w:hAnsi="方正楷体_GBK" w:eastAsia="方正楷体_GBK" w:cs="方正楷体_GBK"/>
          <w:b w:val="0"/>
          <w:bCs w:val="0"/>
          <w:lang w:val="en-US" w:eastAsia="zh-CN"/>
        </w:rPr>
        <w:t>区</w:t>
      </w:r>
      <w:r>
        <w:rPr>
          <w:rFonts w:hint="eastAsia" w:ascii="方正楷体_GBK" w:hAnsi="方正楷体_GBK" w:eastAsia="方正楷体_GBK" w:cs="方正楷体_GBK"/>
          <w:b w:val="0"/>
          <w:bCs w:val="0"/>
          <w:lang w:eastAsia="zh-CN"/>
        </w:rPr>
        <w:t>人民政府网站</w:t>
      </w:r>
      <w:r>
        <w:rPr>
          <w:rFonts w:hint="eastAsia" w:ascii="方正楷体_GBK" w:hAnsi="方正楷体_GBK" w:eastAsia="方正楷体_GBK" w:cs="方正楷体_GBK"/>
          <w:b w:val="0"/>
          <w:bCs w:val="0"/>
          <w:lang w:val="en-US" w:eastAsia="zh-CN"/>
        </w:rPr>
        <w:t>草案</w:t>
      </w:r>
      <w:r>
        <w:rPr>
          <w:rFonts w:hint="eastAsia" w:ascii="方正楷体_GBK" w:hAnsi="方正楷体_GBK" w:eastAsia="方正楷体_GBK" w:cs="方正楷体_GBK"/>
          <w:b w:val="0"/>
          <w:bCs w:val="0"/>
          <w:lang w:eastAsia="zh-CN"/>
        </w:rPr>
        <w:t>公示</w:t>
      </w:r>
      <w:r>
        <w:rPr>
          <w:rFonts w:hint="default" w:ascii="方正楷体_GBK" w:hAnsi="方正楷体_GBK" w:eastAsia="方正楷体_GBK" w:cs="方正楷体_GBK"/>
          <w:b w:val="0"/>
          <w:bCs w:val="0"/>
          <w:lang w:eastAsia="zh-CN"/>
        </w:rPr>
        <w:t>)</w:t>
      </w:r>
    </w:p>
    <w:p w14:paraId="49C2A949">
      <w:r>
        <w:drawing>
          <wp:inline distT="0" distB="0" distL="114300" distR="114300">
            <wp:extent cx="5748020" cy="4719955"/>
            <wp:effectExtent l="0" t="0" r="5080" b="444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rcRect b="14129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B5163"/>
    <w:multiLevelType w:val="multilevel"/>
    <w:tmpl w:val="1E4B5163"/>
    <w:lvl w:ilvl="0" w:tentative="0">
      <w:start w:val="1"/>
      <w:numFmt w:val="decimal"/>
      <w:lvlText w:val="第%1条"/>
      <w:lvlJc w:val="left"/>
      <w:pPr>
        <w:tabs>
          <w:tab w:val="left" w:pos="720"/>
        </w:tabs>
        <w:ind w:left="432" w:hanging="432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chineseCountingThousand"/>
      <w:pStyle w:val="2"/>
      <w:lvlText w:val="第%2章"/>
      <w:lvlJc w:val="left"/>
      <w:pPr>
        <w:tabs>
          <w:tab w:val="left" w:pos="3921"/>
        </w:tabs>
        <w:ind w:left="7506" w:hanging="576"/>
      </w:pPr>
      <w:rPr>
        <w:rFonts w:hint="eastAsia"/>
      </w:rPr>
    </w:lvl>
    <w:lvl w:ilvl="2" w:tentative="0">
      <w:start w:val="1"/>
      <w:numFmt w:val="chineseCountingThousand"/>
      <w:lvlText w:val="第%3节"/>
      <w:lvlJc w:val="left"/>
      <w:pPr>
        <w:tabs>
          <w:tab w:val="left" w:pos="720"/>
        </w:tabs>
        <w:ind w:left="720" w:hanging="720"/>
      </w:pPr>
      <w:rPr>
        <w:rFonts w:hint="eastAsia" w:ascii="宋体" w:eastAsia="宋体"/>
        <w:b/>
        <w:i w:val="0"/>
        <w:sz w:val="24"/>
      </w:rPr>
    </w:lvl>
    <w:lvl w:ilvl="3" w:tentative="0">
      <w:start w:val="1"/>
      <w:numFmt w:val="decimal"/>
      <w:lvlRestart w:val="0"/>
      <w:lvlText w:val="第%4条"/>
      <w:lvlJc w:val="left"/>
      <w:pPr>
        <w:tabs>
          <w:tab w:val="left" w:pos="3005"/>
        </w:tabs>
        <w:ind w:left="3005" w:hanging="3005"/>
      </w:pPr>
      <w:rPr>
        <w:rFonts w:hint="eastAsia" w:ascii="宋体" w:eastAsia="宋体"/>
        <w:b w:val="0"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TBiOGE4Y2Y3M2IwNDk1ZDlmODUzN2I5ZGM2OGMifQ=="/>
  </w:docVars>
  <w:rsids>
    <w:rsidRoot w:val="232965E4"/>
    <w:rsid w:val="04EE4FB8"/>
    <w:rsid w:val="232965E4"/>
    <w:rsid w:val="267C5589"/>
    <w:rsid w:val="3566247F"/>
    <w:rsid w:val="36EE5C90"/>
    <w:rsid w:val="3F680E8C"/>
    <w:rsid w:val="48CC1E7E"/>
    <w:rsid w:val="4B7C4BBE"/>
    <w:rsid w:val="5D9B1437"/>
    <w:rsid w:val="61DA6D71"/>
    <w:rsid w:val="6B9F0AF5"/>
    <w:rsid w:val="712C0FF0"/>
    <w:rsid w:val="753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adjustRightInd w:val="0"/>
      <w:snapToGrid w:val="0"/>
      <w:spacing w:before="240" w:after="240"/>
      <w:jc w:val="center"/>
      <w:textAlignment w:val="baseline"/>
      <w:outlineLvl w:val="1"/>
    </w:pPr>
    <w:rPr>
      <w:rFonts w:ascii="Times New Roman" w:hAnsi="Times New Roman" w:eastAsia="黑体" w:cs="Times New Roman"/>
      <w:b/>
      <w:kern w:val="0"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1127</Characters>
  <Lines>0</Lines>
  <Paragraphs>0</Paragraphs>
  <TotalTime>9</TotalTime>
  <ScaleCrop>false</ScaleCrop>
  <LinksUpToDate>false</LinksUpToDate>
  <CharactersWithSpaces>1127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2025-02-26T02:09:00Z</dcterms:created>
  <dc:creator>Administrator</dc:creator>
  <cp:lastModifiedBy>包华</cp:lastModifiedBy>
  <dcterms:modified xsi:type="dcterms:W3CDTF">2025-02-27T07:34:35Z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25A428944866492BB3AFD93FD3839E33_13</vt:lpwstr>
  </property>
  <property fmtid="{D5CDD505-2E9C-101B-9397-08002B2CF9AE}" pid="4" name="KSOTemplateDocerSaveRecord">
    <vt:lpwstr>eyJoZGlkIjoiZTY5NDAzODdjNjIwNzFlNzMwZTQ1MDcyYmJkYmFhOTciLCJ1c2VySWQiOiI3NzEyNjk1NzMifQ==</vt:lpwstr>
  </property>
</Properties>
</file>