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b/>
          <w:bCs/>
          <w:color w:val="000000" w:themeColor="text1"/>
          <w14:textFill>
            <w14:solidFill>
              <w14:schemeClr w14:val="tx1"/>
            </w14:solidFill>
          </w14:textFill>
        </w:rPr>
        <w:id w:val="147467856"/>
        <w:docPartObj>
          <w:docPartGallery w:val="Table of Contents"/>
          <w:docPartUnique/>
        </w:docPartObj>
      </w:sdtPr>
      <w:sdtEndPr>
        <w:rPr>
          <w:rFonts w:hint="eastAsia" w:ascii="黑体" w:hAnsi="黑体" w:eastAsia="黑体" w:cs="黑体"/>
          <w:b/>
          <w:bCs/>
          <w:snapToGrid w:val="0"/>
          <w:color w:val="000000" w:themeColor="text1"/>
          <w:kern w:val="0"/>
          <w:sz w:val="21"/>
          <w:szCs w:val="21"/>
          <w14:textFill>
            <w14:solidFill>
              <w14:schemeClr w14:val="tx1"/>
            </w14:solidFill>
          </w14:textFill>
        </w:rPr>
      </w:sdtEndPr>
      <w:sdtContent>
        <w:p w14:paraId="2570BE0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b/>
              <w:bCs/>
              <w:color w:val="000000" w:themeColor="text1"/>
              <w14:textFill>
                <w14:solidFill>
                  <w14:schemeClr w14:val="tx1"/>
                </w14:solidFill>
              </w14:textFill>
            </w:rPr>
          </w:pPr>
          <w:bookmarkStart w:id="0" w:name="_Toc10280"/>
          <w:bookmarkStart w:id="1" w:name="_Toc14235"/>
          <w:r>
            <w:rPr>
              <w:rFonts w:ascii="宋体" w:hAnsi="宋体"/>
              <w:b/>
              <w:bCs/>
              <w:color w:val="000000" w:themeColor="text1"/>
              <w:sz w:val="28"/>
              <w:szCs w:val="28"/>
              <w14:textFill>
                <w14:solidFill>
                  <w14:schemeClr w14:val="tx1"/>
                </w14:solidFill>
              </w14:textFill>
            </w:rPr>
            <w:t>目</w:t>
          </w:r>
          <w:r>
            <w:rPr>
              <w:rFonts w:hint="eastAsia" w:ascii="宋体" w:hAnsi="宋体"/>
              <w:b/>
              <w:bCs/>
              <w:color w:val="000000" w:themeColor="text1"/>
              <w:sz w:val="28"/>
              <w:szCs w:val="28"/>
              <w:lang w:val="en-US" w:eastAsia="zh-CN"/>
              <w14:textFill>
                <w14:solidFill>
                  <w14:schemeClr w14:val="tx1"/>
                </w14:solidFill>
              </w14:textFill>
            </w:rPr>
            <w:t xml:space="preserve"> </w:t>
          </w:r>
          <w:r>
            <w:rPr>
              <w:rFonts w:ascii="宋体" w:hAnsi="宋体"/>
              <w:b/>
              <w:bCs/>
              <w:color w:val="000000" w:themeColor="text1"/>
              <w:sz w:val="28"/>
              <w:szCs w:val="28"/>
              <w14:textFill>
                <w14:solidFill>
                  <w14:schemeClr w14:val="tx1"/>
                </w14:solidFill>
              </w14:textFill>
            </w:rPr>
            <w:t>录</w:t>
          </w:r>
          <w:bookmarkEnd w:id="0"/>
          <w:bookmarkEnd w:id="1"/>
        </w:p>
        <w:p w14:paraId="37E11F34">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黑体" w:hAnsi="黑体" w:eastAsia="黑体" w:cs="黑体"/>
              <w:snapToGrid w:val="0"/>
              <w:color w:val="000000" w:themeColor="text1"/>
              <w:sz w:val="21"/>
              <w:szCs w:val="21"/>
              <w14:textFill>
                <w14:solidFill>
                  <w14:schemeClr w14:val="tx1"/>
                </w14:solidFill>
              </w14:textFill>
            </w:rPr>
            <w:fldChar w:fldCharType="begin"/>
          </w:r>
          <w:r>
            <w:rPr>
              <w:rFonts w:hint="eastAsia" w:ascii="黑体" w:hAnsi="黑体" w:eastAsia="黑体" w:cs="黑体"/>
              <w:snapToGrid w:val="0"/>
              <w:color w:val="000000" w:themeColor="text1"/>
              <w:sz w:val="21"/>
              <w:szCs w:val="21"/>
              <w14:textFill>
                <w14:solidFill>
                  <w14:schemeClr w14:val="tx1"/>
                </w14:solidFill>
              </w14:textFill>
            </w:rPr>
            <w:instrText xml:space="preserve">TOC \o "1-3" \h \u </w:instrText>
          </w:r>
          <w:r>
            <w:rPr>
              <w:rFonts w:hint="eastAsia" w:ascii="黑体" w:hAnsi="黑体" w:eastAsia="黑体" w:cs="黑体"/>
              <w:snapToGrid w:val="0"/>
              <w:color w:val="000000" w:themeColor="text1"/>
              <w:sz w:val="21"/>
              <w:szCs w:val="21"/>
              <w14:textFill>
                <w14:solidFill>
                  <w14:schemeClr w14:val="tx1"/>
                </w14:solidFill>
              </w14:textFill>
            </w:rPr>
            <w:fldChar w:fldCharType="separate"/>
          </w:r>
          <w:r>
            <w:rPr>
              <w:rFonts w:hint="eastAsia" w:ascii="宋体" w:hAnsi="宋体" w:eastAsia="宋体" w:cs="宋体"/>
              <w:b/>
              <w:bCs/>
              <w:snapToGrid w:val="0"/>
              <w:color w:val="000000" w:themeColor="text1"/>
              <w:sz w:val="28"/>
              <w:szCs w:val="28"/>
              <w14:textFill>
                <w14:solidFill>
                  <w14:schemeClr w14:val="tx1"/>
                </w14:solidFill>
              </w14:textFill>
            </w:rPr>
            <w:fldChar w:fldCharType="begin"/>
          </w:r>
          <w:r>
            <w:rPr>
              <w:rFonts w:hint="eastAsia" w:ascii="宋体" w:hAnsi="宋体" w:eastAsia="宋体" w:cs="宋体"/>
              <w:b/>
              <w:bCs/>
              <w:snapToGrid w:val="0"/>
              <w:color w:val="000000" w:themeColor="text1"/>
              <w:sz w:val="28"/>
              <w:szCs w:val="28"/>
              <w14:textFill>
                <w14:solidFill>
                  <w14:schemeClr w14:val="tx1"/>
                </w14:solidFill>
              </w14:textFill>
            </w:rPr>
            <w:instrText xml:space="preserve"> HYPERLINK \l _Toc14867 </w:instrText>
          </w:r>
          <w:r>
            <w:rPr>
              <w:rFonts w:hint="eastAsia" w:ascii="宋体" w:hAnsi="宋体" w:eastAsia="宋体" w:cs="宋体"/>
              <w:b/>
              <w:bCs/>
              <w:snapToGrid w:val="0"/>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一、建设项目基本情况</w:t>
          </w:r>
          <w:r>
            <w:rPr>
              <w:rFonts w:hint="eastAsia" w:ascii="宋体" w:hAnsi="宋体" w:eastAsia="宋体" w:cs="宋体"/>
              <w:b/>
              <w:bCs/>
              <w:color w:val="000000" w:themeColor="text1"/>
              <w:sz w:val="28"/>
              <w:szCs w:val="28"/>
              <w14:textFill>
                <w14:solidFill>
                  <w14:schemeClr w14:val="tx1"/>
                </w14:solidFill>
              </w14:textFill>
            </w:rPr>
            <w:tab/>
          </w:r>
          <w:r>
            <w:rPr>
              <w:rFonts w:hint="eastAsia" w:ascii="宋体" w:hAnsi="宋体" w:eastAsia="宋体" w:cs="宋体"/>
              <w:b/>
              <w:bCs/>
              <w:color w:val="000000" w:themeColor="text1"/>
              <w:sz w:val="28"/>
              <w:szCs w:val="28"/>
              <w14:textFill>
                <w14:solidFill>
                  <w14:schemeClr w14:val="tx1"/>
                </w14:solidFill>
              </w14:textFill>
            </w:rPr>
            <w:fldChar w:fldCharType="begin"/>
          </w:r>
          <w:r>
            <w:rPr>
              <w:rFonts w:hint="eastAsia" w:ascii="宋体" w:hAnsi="宋体" w:eastAsia="宋体" w:cs="宋体"/>
              <w:b/>
              <w:bCs/>
              <w:color w:val="000000" w:themeColor="text1"/>
              <w:sz w:val="28"/>
              <w:szCs w:val="28"/>
              <w14:textFill>
                <w14:solidFill>
                  <w14:schemeClr w14:val="tx1"/>
                </w14:solidFill>
              </w14:textFill>
            </w:rPr>
            <w:instrText xml:space="preserve"> PAGEREF _Toc14867 \h </w:instrText>
          </w:r>
          <w:r>
            <w:rPr>
              <w:rFonts w:hint="eastAsia" w:ascii="宋体" w:hAnsi="宋体" w:eastAsia="宋体" w:cs="宋体"/>
              <w:b/>
              <w:bCs/>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1</w:t>
          </w:r>
          <w:r>
            <w:rPr>
              <w:rFonts w:hint="eastAsia" w:ascii="宋体" w:hAnsi="宋体" w:eastAsia="宋体" w:cs="宋体"/>
              <w:b/>
              <w:bCs/>
              <w:color w:val="000000" w:themeColor="text1"/>
              <w:sz w:val="28"/>
              <w:szCs w:val="28"/>
              <w14:textFill>
                <w14:solidFill>
                  <w14:schemeClr w14:val="tx1"/>
                </w14:solidFill>
              </w14:textFill>
            </w:rPr>
            <w:fldChar w:fldCharType="end"/>
          </w:r>
          <w:r>
            <w:rPr>
              <w:rFonts w:hint="eastAsia" w:ascii="宋体" w:hAnsi="宋体" w:eastAsia="宋体" w:cs="宋体"/>
              <w:b/>
              <w:bCs/>
              <w:snapToGrid w:val="0"/>
              <w:color w:val="000000" w:themeColor="text1"/>
              <w:sz w:val="28"/>
              <w:szCs w:val="28"/>
              <w14:textFill>
                <w14:solidFill>
                  <w14:schemeClr w14:val="tx1"/>
                </w14:solidFill>
              </w14:textFill>
            </w:rPr>
            <w:fldChar w:fldCharType="end"/>
          </w:r>
        </w:p>
        <w:p w14:paraId="532ACC39">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snapToGrid w:val="0"/>
              <w:color w:val="000000" w:themeColor="text1"/>
              <w:sz w:val="28"/>
              <w:szCs w:val="28"/>
              <w14:textFill>
                <w14:solidFill>
                  <w14:schemeClr w14:val="tx1"/>
                </w14:solidFill>
              </w14:textFill>
            </w:rPr>
            <w:fldChar w:fldCharType="begin"/>
          </w:r>
          <w:r>
            <w:rPr>
              <w:rFonts w:hint="eastAsia" w:ascii="宋体" w:hAnsi="宋体" w:eastAsia="宋体" w:cs="宋体"/>
              <w:b/>
              <w:bCs/>
              <w:snapToGrid w:val="0"/>
              <w:color w:val="000000" w:themeColor="text1"/>
              <w:sz w:val="28"/>
              <w:szCs w:val="28"/>
              <w14:textFill>
                <w14:solidFill>
                  <w14:schemeClr w14:val="tx1"/>
                </w14:solidFill>
              </w14:textFill>
            </w:rPr>
            <w:instrText xml:space="preserve"> HYPERLINK \l _Toc1580 </w:instrText>
          </w:r>
          <w:r>
            <w:rPr>
              <w:rFonts w:hint="eastAsia" w:ascii="宋体" w:hAnsi="宋体" w:eastAsia="宋体" w:cs="宋体"/>
              <w:b/>
              <w:bCs/>
              <w:snapToGrid w:val="0"/>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二、建设项目工程分析</w:t>
          </w:r>
          <w:r>
            <w:rPr>
              <w:rFonts w:hint="eastAsia" w:ascii="宋体" w:hAnsi="宋体" w:eastAsia="宋体" w:cs="宋体"/>
              <w:b/>
              <w:bCs/>
              <w:color w:val="000000" w:themeColor="text1"/>
              <w:sz w:val="28"/>
              <w:szCs w:val="28"/>
              <w14:textFill>
                <w14:solidFill>
                  <w14:schemeClr w14:val="tx1"/>
                </w14:solidFill>
              </w14:textFill>
            </w:rPr>
            <w:tab/>
          </w:r>
          <w:r>
            <w:rPr>
              <w:rFonts w:hint="eastAsia" w:ascii="宋体" w:hAnsi="宋体" w:eastAsia="宋体" w:cs="宋体"/>
              <w:b/>
              <w:bCs/>
              <w:color w:val="000000" w:themeColor="text1"/>
              <w:sz w:val="28"/>
              <w:szCs w:val="28"/>
              <w14:textFill>
                <w14:solidFill>
                  <w14:schemeClr w14:val="tx1"/>
                </w14:solidFill>
              </w14:textFill>
            </w:rPr>
            <w:fldChar w:fldCharType="begin"/>
          </w:r>
          <w:r>
            <w:rPr>
              <w:rFonts w:hint="eastAsia" w:ascii="宋体" w:hAnsi="宋体" w:eastAsia="宋体" w:cs="宋体"/>
              <w:b/>
              <w:bCs/>
              <w:color w:val="000000" w:themeColor="text1"/>
              <w:sz w:val="28"/>
              <w:szCs w:val="28"/>
              <w14:textFill>
                <w14:solidFill>
                  <w14:schemeClr w14:val="tx1"/>
                </w14:solidFill>
              </w14:textFill>
            </w:rPr>
            <w:instrText xml:space="preserve"> PAGEREF _Toc1580 \h </w:instrText>
          </w:r>
          <w:r>
            <w:rPr>
              <w:rFonts w:hint="eastAsia" w:ascii="宋体" w:hAnsi="宋体" w:eastAsia="宋体" w:cs="宋体"/>
              <w:b/>
              <w:bCs/>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34</w:t>
          </w:r>
          <w:r>
            <w:rPr>
              <w:rFonts w:hint="eastAsia" w:ascii="宋体" w:hAnsi="宋体" w:eastAsia="宋体" w:cs="宋体"/>
              <w:b/>
              <w:bCs/>
              <w:color w:val="000000" w:themeColor="text1"/>
              <w:sz w:val="28"/>
              <w:szCs w:val="28"/>
              <w14:textFill>
                <w14:solidFill>
                  <w14:schemeClr w14:val="tx1"/>
                </w14:solidFill>
              </w14:textFill>
            </w:rPr>
            <w:fldChar w:fldCharType="end"/>
          </w:r>
          <w:r>
            <w:rPr>
              <w:rFonts w:hint="eastAsia" w:ascii="宋体" w:hAnsi="宋体" w:eastAsia="宋体" w:cs="宋体"/>
              <w:b/>
              <w:bCs/>
              <w:snapToGrid w:val="0"/>
              <w:color w:val="000000" w:themeColor="text1"/>
              <w:sz w:val="28"/>
              <w:szCs w:val="28"/>
              <w14:textFill>
                <w14:solidFill>
                  <w14:schemeClr w14:val="tx1"/>
                </w14:solidFill>
              </w14:textFill>
            </w:rPr>
            <w:fldChar w:fldCharType="end"/>
          </w:r>
        </w:p>
        <w:p w14:paraId="74A0622A">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snapToGrid w:val="0"/>
              <w:color w:val="000000" w:themeColor="text1"/>
              <w:sz w:val="28"/>
              <w:szCs w:val="28"/>
              <w14:textFill>
                <w14:solidFill>
                  <w14:schemeClr w14:val="tx1"/>
                </w14:solidFill>
              </w14:textFill>
            </w:rPr>
            <w:fldChar w:fldCharType="begin"/>
          </w:r>
          <w:r>
            <w:rPr>
              <w:rFonts w:hint="eastAsia" w:ascii="宋体" w:hAnsi="宋体" w:eastAsia="宋体" w:cs="宋体"/>
              <w:b/>
              <w:bCs/>
              <w:snapToGrid w:val="0"/>
              <w:color w:val="000000" w:themeColor="text1"/>
              <w:sz w:val="28"/>
              <w:szCs w:val="28"/>
              <w14:textFill>
                <w14:solidFill>
                  <w14:schemeClr w14:val="tx1"/>
                </w14:solidFill>
              </w14:textFill>
            </w:rPr>
            <w:instrText xml:space="preserve"> HYPERLINK \l _Toc21128 </w:instrText>
          </w:r>
          <w:r>
            <w:rPr>
              <w:rFonts w:hint="eastAsia" w:ascii="宋体" w:hAnsi="宋体" w:eastAsia="宋体" w:cs="宋体"/>
              <w:b/>
              <w:bCs/>
              <w:snapToGrid w:val="0"/>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三、区域环境质量现状、环境保护目标及评价标准</w:t>
          </w:r>
          <w:r>
            <w:rPr>
              <w:rFonts w:hint="eastAsia" w:ascii="宋体" w:hAnsi="宋体" w:eastAsia="宋体" w:cs="宋体"/>
              <w:b/>
              <w:bCs/>
              <w:color w:val="000000" w:themeColor="text1"/>
              <w:sz w:val="28"/>
              <w:szCs w:val="28"/>
              <w14:textFill>
                <w14:solidFill>
                  <w14:schemeClr w14:val="tx1"/>
                </w14:solidFill>
              </w14:textFill>
            </w:rPr>
            <w:tab/>
          </w:r>
          <w:r>
            <w:rPr>
              <w:rFonts w:hint="eastAsia" w:ascii="宋体" w:hAnsi="宋体" w:eastAsia="宋体" w:cs="宋体"/>
              <w:b/>
              <w:bCs/>
              <w:color w:val="000000" w:themeColor="text1"/>
              <w:sz w:val="28"/>
              <w:szCs w:val="28"/>
              <w14:textFill>
                <w14:solidFill>
                  <w14:schemeClr w14:val="tx1"/>
                </w14:solidFill>
              </w14:textFill>
            </w:rPr>
            <w:fldChar w:fldCharType="begin"/>
          </w:r>
          <w:r>
            <w:rPr>
              <w:rFonts w:hint="eastAsia" w:ascii="宋体" w:hAnsi="宋体" w:eastAsia="宋体" w:cs="宋体"/>
              <w:b/>
              <w:bCs/>
              <w:color w:val="000000" w:themeColor="text1"/>
              <w:sz w:val="28"/>
              <w:szCs w:val="28"/>
              <w14:textFill>
                <w14:solidFill>
                  <w14:schemeClr w14:val="tx1"/>
                </w14:solidFill>
              </w14:textFill>
            </w:rPr>
            <w:instrText xml:space="preserve"> PAGEREF _Toc21128 \h </w:instrText>
          </w:r>
          <w:r>
            <w:rPr>
              <w:rFonts w:hint="eastAsia" w:ascii="宋体" w:hAnsi="宋体" w:eastAsia="宋体" w:cs="宋体"/>
              <w:b/>
              <w:bCs/>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47</w:t>
          </w:r>
          <w:r>
            <w:rPr>
              <w:rFonts w:hint="eastAsia" w:ascii="宋体" w:hAnsi="宋体" w:eastAsia="宋体" w:cs="宋体"/>
              <w:b/>
              <w:bCs/>
              <w:color w:val="000000" w:themeColor="text1"/>
              <w:sz w:val="28"/>
              <w:szCs w:val="28"/>
              <w14:textFill>
                <w14:solidFill>
                  <w14:schemeClr w14:val="tx1"/>
                </w14:solidFill>
              </w14:textFill>
            </w:rPr>
            <w:fldChar w:fldCharType="end"/>
          </w:r>
          <w:r>
            <w:rPr>
              <w:rFonts w:hint="eastAsia" w:ascii="宋体" w:hAnsi="宋体" w:eastAsia="宋体" w:cs="宋体"/>
              <w:b/>
              <w:bCs/>
              <w:snapToGrid w:val="0"/>
              <w:color w:val="000000" w:themeColor="text1"/>
              <w:sz w:val="28"/>
              <w:szCs w:val="28"/>
              <w14:textFill>
                <w14:solidFill>
                  <w14:schemeClr w14:val="tx1"/>
                </w14:solidFill>
              </w14:textFill>
            </w:rPr>
            <w:fldChar w:fldCharType="end"/>
          </w:r>
        </w:p>
        <w:p w14:paraId="276B080B">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snapToGrid w:val="0"/>
              <w:color w:val="000000" w:themeColor="text1"/>
              <w:sz w:val="28"/>
              <w:szCs w:val="28"/>
              <w14:textFill>
                <w14:solidFill>
                  <w14:schemeClr w14:val="tx1"/>
                </w14:solidFill>
              </w14:textFill>
            </w:rPr>
            <w:fldChar w:fldCharType="begin"/>
          </w:r>
          <w:r>
            <w:rPr>
              <w:rFonts w:hint="eastAsia" w:ascii="宋体" w:hAnsi="宋体" w:eastAsia="宋体" w:cs="宋体"/>
              <w:b/>
              <w:bCs/>
              <w:snapToGrid w:val="0"/>
              <w:color w:val="000000" w:themeColor="text1"/>
              <w:sz w:val="28"/>
              <w:szCs w:val="28"/>
              <w14:textFill>
                <w14:solidFill>
                  <w14:schemeClr w14:val="tx1"/>
                </w14:solidFill>
              </w14:textFill>
            </w:rPr>
            <w:instrText xml:space="preserve"> HYPERLINK \l _Toc30954 </w:instrText>
          </w:r>
          <w:r>
            <w:rPr>
              <w:rFonts w:hint="eastAsia" w:ascii="宋体" w:hAnsi="宋体" w:eastAsia="宋体" w:cs="宋体"/>
              <w:b/>
              <w:bCs/>
              <w:snapToGrid w:val="0"/>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四、主要环境影响和保护措施</w:t>
          </w:r>
          <w:r>
            <w:rPr>
              <w:rFonts w:hint="eastAsia" w:ascii="宋体" w:hAnsi="宋体" w:eastAsia="宋体" w:cs="宋体"/>
              <w:b/>
              <w:bCs/>
              <w:color w:val="000000" w:themeColor="text1"/>
              <w:sz w:val="28"/>
              <w:szCs w:val="28"/>
              <w14:textFill>
                <w14:solidFill>
                  <w14:schemeClr w14:val="tx1"/>
                </w14:solidFill>
              </w14:textFill>
            </w:rPr>
            <w:tab/>
          </w:r>
          <w:r>
            <w:rPr>
              <w:rFonts w:hint="eastAsia" w:ascii="宋体" w:hAnsi="宋体" w:eastAsia="宋体" w:cs="宋体"/>
              <w:b/>
              <w:bCs/>
              <w:color w:val="000000" w:themeColor="text1"/>
              <w:sz w:val="28"/>
              <w:szCs w:val="28"/>
              <w14:textFill>
                <w14:solidFill>
                  <w14:schemeClr w14:val="tx1"/>
                </w14:solidFill>
              </w14:textFill>
            </w:rPr>
            <w:fldChar w:fldCharType="begin"/>
          </w:r>
          <w:r>
            <w:rPr>
              <w:rFonts w:hint="eastAsia" w:ascii="宋体" w:hAnsi="宋体" w:eastAsia="宋体" w:cs="宋体"/>
              <w:b/>
              <w:bCs/>
              <w:color w:val="000000" w:themeColor="text1"/>
              <w:sz w:val="28"/>
              <w:szCs w:val="28"/>
              <w14:textFill>
                <w14:solidFill>
                  <w14:schemeClr w14:val="tx1"/>
                </w14:solidFill>
              </w14:textFill>
            </w:rPr>
            <w:instrText xml:space="preserve"> PAGEREF _Toc30954 \h </w:instrText>
          </w:r>
          <w:r>
            <w:rPr>
              <w:rFonts w:hint="eastAsia" w:ascii="宋体" w:hAnsi="宋体" w:eastAsia="宋体" w:cs="宋体"/>
              <w:b/>
              <w:bCs/>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59</w:t>
          </w:r>
          <w:r>
            <w:rPr>
              <w:rFonts w:hint="eastAsia" w:ascii="宋体" w:hAnsi="宋体" w:eastAsia="宋体" w:cs="宋体"/>
              <w:b/>
              <w:bCs/>
              <w:color w:val="000000" w:themeColor="text1"/>
              <w:sz w:val="28"/>
              <w:szCs w:val="28"/>
              <w14:textFill>
                <w14:solidFill>
                  <w14:schemeClr w14:val="tx1"/>
                </w14:solidFill>
              </w14:textFill>
            </w:rPr>
            <w:fldChar w:fldCharType="end"/>
          </w:r>
          <w:r>
            <w:rPr>
              <w:rFonts w:hint="eastAsia" w:ascii="宋体" w:hAnsi="宋体" w:eastAsia="宋体" w:cs="宋体"/>
              <w:b/>
              <w:bCs/>
              <w:snapToGrid w:val="0"/>
              <w:color w:val="000000" w:themeColor="text1"/>
              <w:sz w:val="28"/>
              <w:szCs w:val="28"/>
              <w14:textFill>
                <w14:solidFill>
                  <w14:schemeClr w14:val="tx1"/>
                </w14:solidFill>
              </w14:textFill>
            </w:rPr>
            <w:fldChar w:fldCharType="end"/>
          </w:r>
        </w:p>
        <w:p w14:paraId="325016F1">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snapToGrid w:val="0"/>
              <w:color w:val="000000" w:themeColor="text1"/>
              <w:sz w:val="28"/>
              <w:szCs w:val="28"/>
              <w14:textFill>
                <w14:solidFill>
                  <w14:schemeClr w14:val="tx1"/>
                </w14:solidFill>
              </w14:textFill>
            </w:rPr>
            <w:fldChar w:fldCharType="begin"/>
          </w:r>
          <w:r>
            <w:rPr>
              <w:rFonts w:hint="eastAsia" w:ascii="宋体" w:hAnsi="宋体" w:eastAsia="宋体" w:cs="宋体"/>
              <w:b/>
              <w:bCs/>
              <w:snapToGrid w:val="0"/>
              <w:color w:val="000000" w:themeColor="text1"/>
              <w:sz w:val="28"/>
              <w:szCs w:val="28"/>
              <w14:textFill>
                <w14:solidFill>
                  <w14:schemeClr w14:val="tx1"/>
                </w14:solidFill>
              </w14:textFill>
            </w:rPr>
            <w:instrText xml:space="preserve"> HYPERLINK \l _Toc19218 </w:instrText>
          </w:r>
          <w:r>
            <w:rPr>
              <w:rFonts w:hint="eastAsia" w:ascii="宋体" w:hAnsi="宋体" w:eastAsia="宋体" w:cs="宋体"/>
              <w:b/>
              <w:bCs/>
              <w:snapToGrid w:val="0"/>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五、环境保护措施监督检查清单</w:t>
          </w:r>
          <w:r>
            <w:rPr>
              <w:rFonts w:hint="eastAsia" w:ascii="宋体" w:hAnsi="宋体" w:eastAsia="宋体" w:cs="宋体"/>
              <w:b/>
              <w:bCs/>
              <w:color w:val="000000" w:themeColor="text1"/>
              <w:sz w:val="28"/>
              <w:szCs w:val="28"/>
              <w14:textFill>
                <w14:solidFill>
                  <w14:schemeClr w14:val="tx1"/>
                </w14:solidFill>
              </w14:textFill>
            </w:rPr>
            <w:tab/>
          </w:r>
          <w:r>
            <w:rPr>
              <w:rFonts w:hint="eastAsia" w:ascii="宋体" w:hAnsi="宋体" w:eastAsia="宋体" w:cs="宋体"/>
              <w:b/>
              <w:bCs/>
              <w:color w:val="000000" w:themeColor="text1"/>
              <w:sz w:val="28"/>
              <w:szCs w:val="28"/>
              <w14:textFill>
                <w14:solidFill>
                  <w14:schemeClr w14:val="tx1"/>
                </w14:solidFill>
              </w14:textFill>
            </w:rPr>
            <w:fldChar w:fldCharType="begin"/>
          </w:r>
          <w:r>
            <w:rPr>
              <w:rFonts w:hint="eastAsia" w:ascii="宋体" w:hAnsi="宋体" w:eastAsia="宋体" w:cs="宋体"/>
              <w:b/>
              <w:bCs/>
              <w:color w:val="000000" w:themeColor="text1"/>
              <w:sz w:val="28"/>
              <w:szCs w:val="28"/>
              <w14:textFill>
                <w14:solidFill>
                  <w14:schemeClr w14:val="tx1"/>
                </w14:solidFill>
              </w14:textFill>
            </w:rPr>
            <w:instrText xml:space="preserve"> PAGEREF _Toc19218 \h </w:instrText>
          </w:r>
          <w:r>
            <w:rPr>
              <w:rFonts w:hint="eastAsia" w:ascii="宋体" w:hAnsi="宋体" w:eastAsia="宋体" w:cs="宋体"/>
              <w:b/>
              <w:bCs/>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81</w:t>
          </w:r>
          <w:r>
            <w:rPr>
              <w:rFonts w:hint="eastAsia" w:ascii="宋体" w:hAnsi="宋体" w:eastAsia="宋体" w:cs="宋体"/>
              <w:b/>
              <w:bCs/>
              <w:color w:val="000000" w:themeColor="text1"/>
              <w:sz w:val="28"/>
              <w:szCs w:val="28"/>
              <w14:textFill>
                <w14:solidFill>
                  <w14:schemeClr w14:val="tx1"/>
                </w14:solidFill>
              </w14:textFill>
            </w:rPr>
            <w:fldChar w:fldCharType="end"/>
          </w:r>
          <w:r>
            <w:rPr>
              <w:rFonts w:hint="eastAsia" w:ascii="宋体" w:hAnsi="宋体" w:eastAsia="宋体" w:cs="宋体"/>
              <w:b/>
              <w:bCs/>
              <w:snapToGrid w:val="0"/>
              <w:color w:val="000000" w:themeColor="text1"/>
              <w:sz w:val="28"/>
              <w:szCs w:val="28"/>
              <w14:textFill>
                <w14:solidFill>
                  <w14:schemeClr w14:val="tx1"/>
                </w14:solidFill>
              </w14:textFill>
            </w:rPr>
            <w:fldChar w:fldCharType="end"/>
          </w:r>
        </w:p>
        <w:p w14:paraId="5F4F5BAB">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eastAsia" w:ascii="黑体" w:hAnsi="黑体" w:eastAsia="黑体" w:cs="黑体"/>
              <w:color w:val="000000" w:themeColor="text1"/>
              <w:sz w:val="28"/>
              <w:szCs w:val="28"/>
              <w14:textFill>
                <w14:solidFill>
                  <w14:schemeClr w14:val="tx1"/>
                </w14:solidFill>
              </w14:textFill>
            </w:rPr>
          </w:pPr>
          <w:r>
            <w:rPr>
              <w:rFonts w:hint="eastAsia" w:ascii="宋体" w:hAnsi="宋体" w:eastAsia="宋体" w:cs="宋体"/>
              <w:b/>
              <w:bCs/>
              <w:snapToGrid w:val="0"/>
              <w:color w:val="000000" w:themeColor="text1"/>
              <w:sz w:val="28"/>
              <w:szCs w:val="28"/>
              <w14:textFill>
                <w14:solidFill>
                  <w14:schemeClr w14:val="tx1"/>
                </w14:solidFill>
              </w14:textFill>
            </w:rPr>
            <w:fldChar w:fldCharType="begin"/>
          </w:r>
          <w:r>
            <w:rPr>
              <w:rFonts w:hint="eastAsia" w:ascii="宋体" w:hAnsi="宋体" w:eastAsia="宋体" w:cs="宋体"/>
              <w:b/>
              <w:bCs/>
              <w:snapToGrid w:val="0"/>
              <w:color w:val="000000" w:themeColor="text1"/>
              <w:sz w:val="28"/>
              <w:szCs w:val="28"/>
              <w14:textFill>
                <w14:solidFill>
                  <w14:schemeClr w14:val="tx1"/>
                </w14:solidFill>
              </w14:textFill>
            </w:rPr>
            <w:instrText xml:space="preserve"> HYPERLINK \l _Toc3488 </w:instrText>
          </w:r>
          <w:r>
            <w:rPr>
              <w:rFonts w:hint="eastAsia" w:ascii="宋体" w:hAnsi="宋体" w:eastAsia="宋体" w:cs="宋体"/>
              <w:b/>
              <w:bCs/>
              <w:snapToGrid w:val="0"/>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lang w:val="en-US" w:eastAsia="zh-CN"/>
              <w14:textFill>
                <w14:solidFill>
                  <w14:schemeClr w14:val="tx1"/>
                </w14:solidFill>
              </w14:textFill>
            </w:rPr>
            <w:t>六、结论</w:t>
          </w:r>
          <w:r>
            <w:rPr>
              <w:rFonts w:hint="eastAsia" w:ascii="宋体" w:hAnsi="宋体" w:eastAsia="宋体" w:cs="宋体"/>
              <w:b/>
              <w:bCs/>
              <w:color w:val="000000" w:themeColor="text1"/>
              <w:sz w:val="28"/>
              <w:szCs w:val="28"/>
              <w14:textFill>
                <w14:solidFill>
                  <w14:schemeClr w14:val="tx1"/>
                </w14:solidFill>
              </w14:textFill>
            </w:rPr>
            <w:tab/>
          </w:r>
          <w:r>
            <w:rPr>
              <w:rFonts w:hint="eastAsia" w:ascii="宋体" w:hAnsi="宋体" w:eastAsia="宋体" w:cs="宋体"/>
              <w:b/>
              <w:bCs/>
              <w:color w:val="000000" w:themeColor="text1"/>
              <w:sz w:val="28"/>
              <w:szCs w:val="28"/>
              <w14:textFill>
                <w14:solidFill>
                  <w14:schemeClr w14:val="tx1"/>
                </w14:solidFill>
              </w14:textFill>
            </w:rPr>
            <w:fldChar w:fldCharType="begin"/>
          </w:r>
          <w:r>
            <w:rPr>
              <w:rFonts w:hint="eastAsia" w:ascii="宋体" w:hAnsi="宋体" w:eastAsia="宋体" w:cs="宋体"/>
              <w:b/>
              <w:bCs/>
              <w:color w:val="000000" w:themeColor="text1"/>
              <w:sz w:val="28"/>
              <w:szCs w:val="28"/>
              <w14:textFill>
                <w14:solidFill>
                  <w14:schemeClr w14:val="tx1"/>
                </w14:solidFill>
              </w14:textFill>
            </w:rPr>
            <w:instrText xml:space="preserve"> PAGEREF _Toc3488 \h </w:instrText>
          </w:r>
          <w:r>
            <w:rPr>
              <w:rFonts w:hint="eastAsia" w:ascii="宋体" w:hAnsi="宋体" w:eastAsia="宋体" w:cs="宋体"/>
              <w:b/>
              <w:bCs/>
              <w:color w:val="000000" w:themeColor="text1"/>
              <w:sz w:val="28"/>
              <w:szCs w:val="28"/>
              <w14:textFill>
                <w14:solidFill>
                  <w14:schemeClr w14:val="tx1"/>
                </w14:solidFill>
              </w14:textFill>
            </w:rPr>
            <w:fldChar w:fldCharType="separate"/>
          </w:r>
          <w:r>
            <w:rPr>
              <w:rFonts w:hint="eastAsia" w:ascii="宋体" w:hAnsi="宋体" w:eastAsia="宋体" w:cs="宋体"/>
              <w:b/>
              <w:bCs/>
              <w:color w:val="000000" w:themeColor="text1"/>
              <w:sz w:val="28"/>
              <w:szCs w:val="28"/>
              <w14:textFill>
                <w14:solidFill>
                  <w14:schemeClr w14:val="tx1"/>
                </w14:solidFill>
              </w14:textFill>
            </w:rPr>
            <w:t>84</w:t>
          </w:r>
          <w:r>
            <w:rPr>
              <w:rFonts w:hint="eastAsia" w:ascii="宋体" w:hAnsi="宋体" w:eastAsia="宋体" w:cs="宋体"/>
              <w:b/>
              <w:bCs/>
              <w:color w:val="000000" w:themeColor="text1"/>
              <w:sz w:val="28"/>
              <w:szCs w:val="28"/>
              <w14:textFill>
                <w14:solidFill>
                  <w14:schemeClr w14:val="tx1"/>
                </w14:solidFill>
              </w14:textFill>
            </w:rPr>
            <w:fldChar w:fldCharType="end"/>
          </w:r>
          <w:r>
            <w:rPr>
              <w:rFonts w:hint="eastAsia" w:ascii="宋体" w:hAnsi="宋体" w:eastAsia="宋体" w:cs="宋体"/>
              <w:b/>
              <w:bCs/>
              <w:snapToGrid w:val="0"/>
              <w:color w:val="000000" w:themeColor="text1"/>
              <w:sz w:val="28"/>
              <w:szCs w:val="28"/>
              <w14:textFill>
                <w14:solidFill>
                  <w14:schemeClr w14:val="tx1"/>
                </w14:solidFill>
              </w14:textFill>
            </w:rPr>
            <w:fldChar w:fldCharType="end"/>
          </w:r>
        </w:p>
        <w:p w14:paraId="1B5CA020">
          <w:pPr>
            <w:pStyle w:val="19"/>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eastAsia" w:ascii="黑体" w:hAnsi="黑体" w:eastAsia="黑体" w:cs="黑体"/>
              <w:color w:val="000000" w:themeColor="text1"/>
              <w:sz w:val="21"/>
              <w:szCs w:val="21"/>
              <w14:textFill>
                <w14:solidFill>
                  <w14:schemeClr w14:val="tx1"/>
                </w14:solidFill>
              </w14:textFill>
            </w:rPr>
          </w:pPr>
        </w:p>
        <w:p w14:paraId="02D52629">
          <w:pPr>
            <w:pStyle w:val="22"/>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outlineLvl w:val="9"/>
          </w:pPr>
          <w:r>
            <w:rPr>
              <w:rFonts w:hint="eastAsia" w:ascii="黑体" w:hAnsi="黑体" w:eastAsia="黑体" w:cs="黑体"/>
              <w:snapToGrid w:val="0"/>
              <w:color w:val="000000" w:themeColor="text1"/>
              <w:sz w:val="21"/>
              <w:szCs w:val="21"/>
              <w14:textFill>
                <w14:solidFill>
                  <w14:schemeClr w14:val="tx1"/>
                </w14:solidFill>
              </w14:textFill>
            </w:rPr>
            <w:fldChar w:fldCharType="end"/>
          </w:r>
        </w:p>
      </w:sdtContent>
    </w:sdt>
    <w:p w14:paraId="0EC36320">
      <w:pPr>
        <w:pStyle w:val="22"/>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outlineLvl w:val="9"/>
        <w:rPr>
          <w:rFonts w:hint="eastAsia" w:ascii="Times New Roman" w:hAnsi="Times New Roman" w:eastAsia="宋体" w:cs="Times New Roman"/>
          <w:b/>
          <w:bCs/>
          <w:color w:val="000000" w:themeColor="text1"/>
          <w:sz w:val="28"/>
          <w:szCs w:val="28"/>
          <w:lang w:eastAsia="zh-CN"/>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附件</w:t>
      </w:r>
      <w:r>
        <w:rPr>
          <w:rFonts w:hint="eastAsia" w:ascii="Times New Roman" w:hAnsi="Times New Roman" w:cs="Times New Roman"/>
          <w:b/>
          <w:bCs/>
          <w:color w:val="000000" w:themeColor="text1"/>
          <w:sz w:val="28"/>
          <w:szCs w:val="28"/>
          <w:lang w:eastAsia="zh-CN"/>
          <w14:textFill>
            <w14:solidFill>
              <w14:schemeClr w14:val="tx1"/>
            </w14:solidFill>
          </w14:textFill>
        </w:rPr>
        <w:t>：</w:t>
      </w:r>
    </w:p>
    <w:p w14:paraId="62C72D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附件1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环评委托书</w:t>
      </w:r>
    </w:p>
    <w:p w14:paraId="39AF48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附件2  建设单位营业执照</w:t>
      </w:r>
    </w:p>
    <w:p w14:paraId="461588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 xml:space="preserve">3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项目投资备案证</w:t>
      </w:r>
    </w:p>
    <w:p w14:paraId="0ABDEE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4  项目土地租赁协议</w:t>
      </w:r>
    </w:p>
    <w:p w14:paraId="5DD691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 xml:space="preserve">5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项目建设情况说明—街道盖章</w:t>
      </w:r>
    </w:p>
    <w:p w14:paraId="4B990B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项目用地说明</w:t>
      </w:r>
    </w:p>
    <w:p w14:paraId="505746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7  委托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运输合同</w:t>
      </w:r>
    </w:p>
    <w:p w14:paraId="6823D7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 xml:space="preserve">8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委托处置协议</w:t>
      </w:r>
    </w:p>
    <w:p w14:paraId="138C92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附件9  </w:t>
      </w:r>
      <w:r>
        <w:rPr>
          <w:rFonts w:hint="eastAsia" w:cs="Times New Roman"/>
          <w:color w:val="000000" w:themeColor="text1"/>
          <w:sz w:val="24"/>
          <w:szCs w:val="24"/>
          <w:lang w:val="en-US" w:eastAsia="zh-CN"/>
          <w14:textFill>
            <w14:solidFill>
              <w14:schemeClr w14:val="tx1"/>
            </w14:solidFill>
          </w14:textFill>
        </w:rPr>
        <w:t>“三区三线”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查询意见</w:t>
      </w:r>
    </w:p>
    <w:p w14:paraId="7D737C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附件10 项目三线一单查询结果</w:t>
      </w:r>
    </w:p>
    <w:p w14:paraId="33BDC1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环境质量现状监测报告</w:t>
      </w:r>
    </w:p>
    <w:p w14:paraId="12BBFB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12  环评合同</w:t>
      </w:r>
    </w:p>
    <w:p w14:paraId="44FA2C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 xml:space="preserve">附件13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环评工作进度表</w:t>
      </w:r>
    </w:p>
    <w:p w14:paraId="1E340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附件1</w:t>
      </w:r>
      <w:r>
        <w:rPr>
          <w:rFonts w:hint="eastAsia"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内部审核记录表</w:t>
      </w:r>
    </w:p>
    <w:p w14:paraId="19549C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附件1</w:t>
      </w:r>
      <w:r>
        <w:rPr>
          <w:rFonts w:hint="eastAsia"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确认书</w:t>
      </w:r>
    </w:p>
    <w:p w14:paraId="5773628A">
      <w:pPr>
        <w:keepNext w:val="0"/>
        <w:keepLines w:val="0"/>
        <w:pageBreakBefore w:val="0"/>
        <w:tabs>
          <w:tab w:val="left" w:pos="1393"/>
        </w:tabs>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p>
    <w:p w14:paraId="040128EF">
      <w:pPr>
        <w:keepNext w:val="0"/>
        <w:keepLines w:val="0"/>
        <w:pageBreakBefore w:val="0"/>
        <w:widowControl w:val="0"/>
        <w:tabs>
          <w:tab w:val="left" w:pos="1393"/>
        </w:tabs>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附图</w:t>
      </w:r>
      <w:r>
        <w:rPr>
          <w:rFonts w:hint="eastAsia" w:ascii="Times New Roman" w:hAnsi="Times New Roman" w:eastAsia="宋体" w:cs="Times New Roman"/>
          <w:b/>
          <w:bCs/>
          <w:color w:val="000000" w:themeColor="text1"/>
          <w:sz w:val="28"/>
          <w:szCs w:val="28"/>
          <w:lang w:eastAsia="zh-CN"/>
          <w14:textFill>
            <w14:solidFill>
              <w14:schemeClr w14:val="tx1"/>
            </w14:solidFill>
          </w14:textFill>
        </w:rPr>
        <w:t>：</w:t>
      </w:r>
    </w:p>
    <w:p w14:paraId="406C60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附图1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项目地理位置图</w:t>
      </w:r>
    </w:p>
    <w:p w14:paraId="3F5F80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附图2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项目区水系图</w:t>
      </w:r>
    </w:p>
    <w:p w14:paraId="1BF19A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附图3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项目平面布置图</w:t>
      </w:r>
    </w:p>
    <w:p w14:paraId="726F05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附图4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项目周边关系图</w:t>
      </w:r>
    </w:p>
    <w:p w14:paraId="63A6E8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附图5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项目分区防渗图</w:t>
      </w:r>
    </w:p>
    <w:p w14:paraId="36DA0D86">
      <w:pPr>
        <w:keepNext w:val="0"/>
        <w:keepLines w:val="0"/>
        <w:pageBreakBefore w:val="0"/>
        <w:tabs>
          <w:tab w:val="left" w:pos="1393"/>
        </w:tabs>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color w:val="000000" w:themeColor="text1"/>
          <w:sz w:val="21"/>
          <w:szCs w:val="21"/>
          <w14:textFill>
            <w14:solidFill>
              <w14:schemeClr w14:val="tx1"/>
            </w14:solidFill>
          </w14:textFill>
        </w:rPr>
      </w:pPr>
    </w:p>
    <w:p w14:paraId="60BA6A45">
      <w:pPr>
        <w:keepNext w:val="0"/>
        <w:keepLines w:val="0"/>
        <w:pageBreakBefore w:val="0"/>
        <w:tabs>
          <w:tab w:val="left" w:pos="1393"/>
        </w:tabs>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color w:val="000000" w:themeColor="text1"/>
          <w:sz w:val="21"/>
          <w:szCs w:val="21"/>
          <w14:textFill>
            <w14:solidFill>
              <w14:schemeClr w14:val="tx1"/>
            </w14:solidFill>
          </w14:textFill>
        </w:rPr>
        <w:sectPr>
          <w:headerReference r:id="rId3" w:type="default"/>
          <w:footerReference r:id="rId4" w:type="default"/>
          <w:pgSz w:w="11906" w:h="16838"/>
          <w:pgMar w:top="1701"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1B25CDD9">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right="0" w:rightChars="0" w:firstLine="0" w:firstLineChars="0"/>
        <w:jc w:val="both"/>
        <w:textAlignment w:val="auto"/>
        <w:outlineLvl w:val="0"/>
        <w:rPr>
          <w:rFonts w:hint="eastAsia" w:ascii="宋体" w:hAnsi="宋体" w:eastAsia="宋体" w:cs="宋体"/>
          <w:b/>
          <w:bCs/>
          <w:color w:val="000000" w:themeColor="text1"/>
          <w:sz w:val="32"/>
          <w:szCs w:val="32"/>
          <w14:textFill>
            <w14:solidFill>
              <w14:schemeClr w14:val="tx1"/>
            </w14:solidFill>
          </w14:textFill>
        </w:rPr>
      </w:pPr>
      <w:bookmarkStart w:id="2" w:name="_Toc14867"/>
      <w:r>
        <w:rPr>
          <w:rFonts w:hint="eastAsia" w:ascii="宋体" w:hAnsi="宋体" w:eastAsia="宋体" w:cs="宋体"/>
          <w:b/>
          <w:bCs/>
          <w:color w:val="000000" w:themeColor="text1"/>
          <w:sz w:val="32"/>
          <w:szCs w:val="32"/>
          <w14:textFill>
            <w14:solidFill>
              <w14:schemeClr w14:val="tx1"/>
            </w14:solidFill>
          </w14:textFill>
        </w:rPr>
        <w:t>一、建设项目基本情况</w:t>
      </w:r>
      <w:bookmarkEnd w:id="2"/>
    </w:p>
    <w:tbl>
      <w:tblPr>
        <w:tblStyle w:val="26"/>
        <w:tblW w:w="512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508"/>
        <w:gridCol w:w="1811"/>
        <w:gridCol w:w="4166"/>
      </w:tblGrid>
      <w:tr w14:paraId="14FB8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36" w:type="dxa"/>
            <w:tcMar>
              <w:top w:w="16" w:type="dxa"/>
              <w:left w:w="16" w:type="dxa"/>
              <w:right w:w="16" w:type="dxa"/>
            </w:tcMar>
            <w:vAlign w:val="center"/>
          </w:tcPr>
          <w:p w14:paraId="6E651B86">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8400" w:type="dxa"/>
            <w:gridSpan w:val="3"/>
            <w:vAlign w:val="center"/>
          </w:tcPr>
          <w:p w14:paraId="630BF7A8">
            <w:pPr>
              <w:pageBreakBefore w:val="0"/>
              <w:kinsoku/>
              <w:wordWrap/>
              <w:overflowPunct/>
              <w:topLinePunct w:val="0"/>
              <w:bidi w:val="0"/>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6000吨/年废旧电池及废矿物油集中收集、中转项目</w:t>
            </w:r>
          </w:p>
        </w:tc>
      </w:tr>
      <w:tr w14:paraId="0672F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36" w:type="dxa"/>
            <w:tcMar>
              <w:top w:w="16" w:type="dxa"/>
              <w:left w:w="16" w:type="dxa"/>
              <w:right w:w="16" w:type="dxa"/>
            </w:tcMar>
            <w:vAlign w:val="center"/>
          </w:tcPr>
          <w:p w14:paraId="60E34905">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8400" w:type="dxa"/>
            <w:gridSpan w:val="3"/>
            <w:vAlign w:val="center"/>
          </w:tcPr>
          <w:p w14:paraId="0F91BAE3">
            <w:pPr>
              <w:pageBreakBefore w:val="0"/>
              <w:kinsoku/>
              <w:wordWrap/>
              <w:overflowPunct/>
              <w:topLinePunct w:val="0"/>
              <w:bidi w:val="0"/>
              <w:adjustRightInd w:val="0"/>
              <w:snapToGrid w:val="0"/>
              <w:jc w:val="center"/>
              <w:rPr>
                <w:rFonts w:hint="default" w:eastAsia="宋体"/>
                <w:color w:val="000000" w:themeColor="text1"/>
                <w:sz w:val="24"/>
                <w:lang w:val="en-US"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2410-530302-04-01-179633</w:t>
            </w:r>
          </w:p>
        </w:tc>
      </w:tr>
      <w:tr w14:paraId="42014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36" w:type="dxa"/>
            <w:tcMar>
              <w:top w:w="16" w:type="dxa"/>
              <w:left w:w="16" w:type="dxa"/>
              <w:right w:w="16" w:type="dxa"/>
            </w:tcMar>
            <w:vAlign w:val="center"/>
          </w:tcPr>
          <w:p w14:paraId="0449C21F">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483" w:type="dxa"/>
            <w:vAlign w:val="center"/>
          </w:tcPr>
          <w:p w14:paraId="4C5F5C05">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p>
        </w:tc>
        <w:tc>
          <w:tcPr>
            <w:tcW w:w="1793" w:type="dxa"/>
            <w:vAlign w:val="center"/>
          </w:tcPr>
          <w:p w14:paraId="0220B6F6">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4124" w:type="dxa"/>
            <w:vAlign w:val="center"/>
          </w:tcPr>
          <w:p w14:paraId="5441D720">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bookmarkStart w:id="35" w:name="_GoBack"/>
            <w:bookmarkEnd w:id="35"/>
          </w:p>
        </w:tc>
      </w:tr>
      <w:tr w14:paraId="484DE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36" w:type="dxa"/>
            <w:tcMar>
              <w:top w:w="16" w:type="dxa"/>
              <w:left w:w="16" w:type="dxa"/>
              <w:right w:w="16" w:type="dxa"/>
            </w:tcMar>
            <w:vAlign w:val="center"/>
          </w:tcPr>
          <w:p w14:paraId="1B873BDF">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8400" w:type="dxa"/>
            <w:gridSpan w:val="3"/>
            <w:vAlign w:val="center"/>
          </w:tcPr>
          <w:p w14:paraId="7FB21843">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曲靖市麒麟区珠街街道办事处珠街社区珠街村666号2栋18-19-20</w:t>
            </w:r>
          </w:p>
        </w:tc>
      </w:tr>
      <w:tr w14:paraId="2DD1A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36" w:type="dxa"/>
            <w:tcMar>
              <w:top w:w="16" w:type="dxa"/>
              <w:left w:w="16" w:type="dxa"/>
              <w:right w:w="16" w:type="dxa"/>
            </w:tcMar>
            <w:vAlign w:val="center"/>
          </w:tcPr>
          <w:p w14:paraId="782D05CA">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8400" w:type="dxa"/>
            <w:gridSpan w:val="3"/>
            <w:vAlign w:val="center"/>
          </w:tcPr>
          <w:p w14:paraId="07A83764">
            <w:pPr>
              <w:pageBreakBefore w:val="0"/>
              <w:kinsoku/>
              <w:wordWrap/>
              <w:overflowPunct/>
              <w:topLinePunct w:val="0"/>
              <w:bidi w:val="0"/>
              <w:jc w:val="center"/>
              <w:rPr>
                <w:rFonts w:hint="eastAsia" w:eastAsia="宋体"/>
                <w:color w:val="000000" w:themeColor="text1"/>
                <w:sz w:val="24"/>
                <w:lang w:eastAsia="zh-CN"/>
                <w14:textFill>
                  <w14:solidFill>
                    <w14:schemeClr w14:val="tx1"/>
                  </w14:solidFill>
                </w14:textFill>
              </w:rPr>
            </w:pPr>
            <w:r>
              <w:rPr>
                <w:color w:val="000000" w:themeColor="text1"/>
                <w:sz w:val="24"/>
                <w:u w:val="single"/>
                <w14:textFill>
                  <w14:solidFill>
                    <w14:schemeClr w14:val="tx1"/>
                  </w14:solidFill>
                </w14:textFill>
              </w:rPr>
              <w:t>10</w:t>
            </w:r>
            <w:r>
              <w:rPr>
                <w:rFonts w:hint="eastAsia"/>
                <w:color w:val="000000" w:themeColor="text1"/>
                <w:sz w:val="24"/>
                <w:u w:val="single"/>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度</w:t>
            </w:r>
            <w:r>
              <w:rPr>
                <w:rFonts w:hint="eastAsia"/>
                <w:color w:val="000000" w:themeColor="text1"/>
                <w:sz w:val="24"/>
                <w:u w:val="single"/>
                <w:lang w:val="en-US" w:eastAsia="zh-CN"/>
                <w14:textFill>
                  <w14:solidFill>
                    <w14:schemeClr w14:val="tx1"/>
                  </w14:solidFill>
                </w14:textFill>
              </w:rPr>
              <w:t>53</w:t>
            </w:r>
            <w:r>
              <w:rPr>
                <w:rFonts w:hint="eastAsia"/>
                <w:color w:val="000000" w:themeColor="text1"/>
                <w:sz w:val="24"/>
                <w:lang w:val="en-US" w:eastAsia="zh-CN"/>
                <w14:textFill>
                  <w14:solidFill>
                    <w14:schemeClr w14:val="tx1"/>
                  </w14:solidFill>
                </w14:textFill>
              </w:rPr>
              <w:t>分</w:t>
            </w:r>
            <w:r>
              <w:rPr>
                <w:rFonts w:hint="eastAsia"/>
                <w:color w:val="000000" w:themeColor="text1"/>
                <w:sz w:val="24"/>
                <w:u w:val="single"/>
                <w:lang w:val="en-US" w:eastAsia="zh-CN"/>
                <w14:textFill>
                  <w14:solidFill>
                    <w14:schemeClr w14:val="tx1"/>
                  </w14:solidFill>
                </w14:textFill>
              </w:rPr>
              <w:t>6.436</w:t>
            </w:r>
            <w:r>
              <w:rPr>
                <w:rFonts w:hint="eastAsia"/>
                <w:color w:val="000000" w:themeColor="text1"/>
                <w:sz w:val="24"/>
                <w:lang w:val="en-US" w:eastAsia="zh-CN"/>
                <w14:textFill>
                  <w14:solidFill>
                    <w14:schemeClr w14:val="tx1"/>
                  </w14:solidFill>
                </w14:textFill>
              </w:rPr>
              <w:t>秒</w:t>
            </w:r>
            <w:r>
              <w:rPr>
                <w:rFonts w:hint="eastAsia"/>
                <w:color w:val="000000" w:themeColor="text1"/>
                <w:sz w:val="24"/>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25</w:t>
            </w:r>
            <w:r>
              <w:rPr>
                <w:rFonts w:hint="eastAsia"/>
                <w:color w:val="000000" w:themeColor="text1"/>
                <w:sz w:val="24"/>
                <w:lang w:val="en-US" w:eastAsia="zh-CN"/>
                <w14:textFill>
                  <w14:solidFill>
                    <w14:schemeClr w14:val="tx1"/>
                  </w14:solidFill>
                </w14:textFill>
              </w:rPr>
              <w:t>度</w:t>
            </w:r>
            <w:r>
              <w:rPr>
                <w:rFonts w:hint="eastAsia"/>
                <w:color w:val="000000" w:themeColor="text1"/>
                <w:sz w:val="24"/>
                <w:u w:val="single"/>
                <w:lang w:val="en-US" w:eastAsia="zh-CN"/>
                <w14:textFill>
                  <w14:solidFill>
                    <w14:schemeClr w14:val="tx1"/>
                  </w14:solidFill>
                </w14:textFill>
              </w:rPr>
              <w:t>30</w:t>
            </w:r>
            <w:r>
              <w:rPr>
                <w:rFonts w:hint="eastAsia"/>
                <w:color w:val="000000" w:themeColor="text1"/>
                <w:sz w:val="24"/>
                <w:u w:val="none"/>
                <w:lang w:val="en-US" w:eastAsia="zh-CN"/>
                <w14:textFill>
                  <w14:solidFill>
                    <w14:schemeClr w14:val="tx1"/>
                  </w14:solidFill>
                </w14:textFill>
              </w:rPr>
              <w:t>分</w:t>
            </w:r>
            <w:r>
              <w:rPr>
                <w:rFonts w:hint="eastAsia"/>
                <w:color w:val="000000" w:themeColor="text1"/>
                <w:sz w:val="24"/>
                <w:u w:val="single"/>
                <w:lang w:val="en-US" w:eastAsia="zh-CN"/>
                <w14:textFill>
                  <w14:solidFill>
                    <w14:schemeClr w14:val="tx1"/>
                  </w14:solidFill>
                </w14:textFill>
              </w:rPr>
              <w:t>44.116</w:t>
            </w:r>
            <w:r>
              <w:rPr>
                <w:rFonts w:hint="eastAsia"/>
                <w:color w:val="000000" w:themeColor="text1"/>
                <w:sz w:val="24"/>
                <w:lang w:val="en-US" w:eastAsia="zh-CN"/>
                <w14:textFill>
                  <w14:solidFill>
                    <w14:schemeClr w14:val="tx1"/>
                  </w14:solidFill>
                </w14:textFill>
              </w:rPr>
              <w:t>秒</w:t>
            </w:r>
          </w:p>
        </w:tc>
      </w:tr>
      <w:tr w14:paraId="393CF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tcMar>
              <w:top w:w="16" w:type="dxa"/>
              <w:left w:w="16" w:type="dxa"/>
              <w:right w:w="16" w:type="dxa"/>
            </w:tcMar>
            <w:vAlign w:val="center"/>
          </w:tcPr>
          <w:p w14:paraId="187E3F94">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国民经济行业类别</w:t>
            </w:r>
          </w:p>
        </w:tc>
        <w:tc>
          <w:tcPr>
            <w:tcW w:w="2483" w:type="dxa"/>
            <w:vAlign w:val="center"/>
          </w:tcPr>
          <w:p w14:paraId="24B7C39D">
            <w:pPr>
              <w:pageBreakBefore w:val="0"/>
              <w:kinsoku/>
              <w:wordWrap/>
              <w:overflowPunct/>
              <w:topLinePunct w:val="0"/>
              <w:bidi w:val="0"/>
              <w:adjustRightInd w:val="0"/>
              <w:snapToGrid w:val="0"/>
              <w:jc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N</w:t>
            </w:r>
            <w:r>
              <w:rPr>
                <w:rFonts w:hint="default" w:eastAsia="宋体"/>
                <w:color w:val="000000" w:themeColor="text1"/>
                <w:sz w:val="24"/>
                <w:lang w:val="en-US" w:eastAsia="zh-CN"/>
                <w14:textFill>
                  <w14:solidFill>
                    <w14:schemeClr w14:val="tx1"/>
                  </w14:solidFill>
                </w14:textFill>
              </w:rPr>
              <w:t>772</w:t>
            </w:r>
            <w:r>
              <w:rPr>
                <w:rFonts w:hint="eastAsia"/>
                <w:color w:val="000000" w:themeColor="text1"/>
                <w:sz w:val="24"/>
                <w:lang w:val="en-US" w:eastAsia="zh-CN"/>
                <w14:textFill>
                  <w14:solidFill>
                    <w14:schemeClr w14:val="tx1"/>
                  </w14:solidFill>
                </w14:textFill>
              </w:rPr>
              <w:t>3</w:t>
            </w:r>
            <w:r>
              <w:rPr>
                <w:rFonts w:hint="default" w:eastAsia="宋体"/>
                <w:color w:val="000000" w:themeColor="text1"/>
                <w:sz w:val="24"/>
                <w:lang w:val="en-US" w:eastAsia="zh-CN"/>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固体</w:t>
            </w:r>
            <w:r>
              <w:rPr>
                <w:rFonts w:hint="default" w:eastAsia="宋体"/>
                <w:color w:val="000000" w:themeColor="text1"/>
                <w:sz w:val="24"/>
                <w:lang w:val="en-US" w:eastAsia="zh-CN"/>
                <w14:textFill>
                  <w14:solidFill>
                    <w14:schemeClr w14:val="tx1"/>
                  </w14:solidFill>
                </w14:textFill>
              </w:rPr>
              <w:t>废物</w:t>
            </w:r>
            <w:r>
              <w:rPr>
                <w:rFonts w:hint="eastAsia"/>
                <w:color w:val="000000" w:themeColor="text1"/>
                <w:sz w:val="24"/>
                <w:lang w:val="en-US" w:eastAsia="zh-CN"/>
                <w14:textFill>
                  <w14:solidFill>
                    <w14:schemeClr w14:val="tx1"/>
                  </w14:solidFill>
                </w14:textFill>
              </w:rPr>
              <w:t>治理</w:t>
            </w:r>
          </w:p>
          <w:p w14:paraId="6B3AE390">
            <w:pPr>
              <w:pageBreakBefore w:val="0"/>
              <w:kinsoku/>
              <w:wordWrap/>
              <w:overflowPunct/>
              <w:topLinePunct w:val="0"/>
              <w:bidi w:val="0"/>
              <w:adjustRightInd w:val="0"/>
              <w:snapToGrid w:val="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N</w:t>
            </w:r>
            <w:r>
              <w:rPr>
                <w:rFonts w:hint="default" w:eastAsia="宋体"/>
                <w:color w:val="000000" w:themeColor="text1"/>
                <w:sz w:val="24"/>
                <w:lang w:val="en-US" w:eastAsia="zh-CN"/>
                <w14:textFill>
                  <w14:solidFill>
                    <w14:schemeClr w14:val="tx1"/>
                  </w14:solidFill>
                </w14:textFill>
              </w:rPr>
              <w:t>7724 危险废物</w:t>
            </w:r>
            <w:r>
              <w:rPr>
                <w:rFonts w:hint="eastAsia"/>
                <w:color w:val="000000" w:themeColor="text1"/>
                <w:sz w:val="24"/>
                <w:lang w:val="en-US" w:eastAsia="zh-CN"/>
                <w14:textFill>
                  <w14:solidFill>
                    <w14:schemeClr w14:val="tx1"/>
                  </w14:solidFill>
                </w14:textFill>
              </w:rPr>
              <w:t>治理</w:t>
            </w:r>
          </w:p>
        </w:tc>
        <w:tc>
          <w:tcPr>
            <w:tcW w:w="1793" w:type="dxa"/>
            <w:vAlign w:val="center"/>
          </w:tcPr>
          <w:p w14:paraId="67689ED3">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bookmarkStart w:id="3" w:name="_Hlk49843745"/>
            <w:r>
              <w:rPr>
                <w:color w:val="000000" w:themeColor="text1"/>
                <w:sz w:val="24"/>
                <w14:textFill>
                  <w14:solidFill>
                    <w14:schemeClr w14:val="tx1"/>
                  </w14:solidFill>
                </w14:textFill>
              </w:rPr>
              <w:t>建设项目</w:t>
            </w:r>
          </w:p>
          <w:p w14:paraId="573CC1FE">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3"/>
          </w:p>
        </w:tc>
        <w:tc>
          <w:tcPr>
            <w:tcW w:w="4124" w:type="dxa"/>
            <w:vAlign w:val="center"/>
          </w:tcPr>
          <w:p w14:paraId="4521ADBA">
            <w:pPr>
              <w:pageBreakBefore w:val="0"/>
              <w:kinsoku/>
              <w:wordWrap/>
              <w:overflowPunct/>
              <w:topLinePunct w:val="0"/>
              <w:bidi w:val="0"/>
              <w:adjustRightInd w:val="0"/>
              <w:snapToGrid w:val="0"/>
              <w:jc w:val="left"/>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四十七、 生态保护和环境治理业，101.危险废物（不含医疗废物）利用及处置-其他</w:t>
            </w:r>
          </w:p>
        </w:tc>
      </w:tr>
      <w:tr w14:paraId="3E8BB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936" w:type="dxa"/>
            <w:tcMar>
              <w:top w:w="16" w:type="dxa"/>
              <w:left w:w="16" w:type="dxa"/>
              <w:right w:w="16" w:type="dxa"/>
            </w:tcMar>
            <w:vAlign w:val="center"/>
          </w:tcPr>
          <w:p w14:paraId="7DB8A093">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483" w:type="dxa"/>
            <w:vAlign w:val="center"/>
          </w:tcPr>
          <w:p w14:paraId="004E471B">
            <w:pPr>
              <w:pageBreakBefore w:val="0"/>
              <w:kinsoku/>
              <w:wordWrap/>
              <w:overflowPunct/>
              <w:topLinePunct w:val="0"/>
              <w:bidi w:val="0"/>
              <w:jc w:val="left"/>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新建（迁建）</w:t>
            </w:r>
          </w:p>
          <w:p w14:paraId="3305DD63">
            <w:pPr>
              <w:pageBreakBefore w:val="0"/>
              <w:kinsoku/>
              <w:wordWrap/>
              <w:overflowPunct/>
              <w:topLinePunct w:val="0"/>
              <w:bidi w:val="0"/>
              <w:jc w:val="left"/>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改建</w:t>
            </w:r>
          </w:p>
          <w:p w14:paraId="0FE813B3">
            <w:pPr>
              <w:pageBreakBefore w:val="0"/>
              <w:kinsoku/>
              <w:wordWrap/>
              <w:overflowPunct/>
              <w:topLinePunct w:val="0"/>
              <w:bidi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扩建</w:t>
            </w:r>
          </w:p>
          <w:p w14:paraId="774BC1E8">
            <w:pPr>
              <w:pageBreakBefore w:val="0"/>
              <w:kinsoku/>
              <w:wordWrap/>
              <w:overflowPunct/>
              <w:topLinePunct w:val="0"/>
              <w:bidi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技术改造</w:t>
            </w:r>
          </w:p>
        </w:tc>
        <w:tc>
          <w:tcPr>
            <w:tcW w:w="1793" w:type="dxa"/>
            <w:vAlign w:val="center"/>
          </w:tcPr>
          <w:p w14:paraId="3E609E88">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22474A09">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4124" w:type="dxa"/>
            <w:vAlign w:val="center"/>
          </w:tcPr>
          <w:p w14:paraId="472A88E2">
            <w:pPr>
              <w:pageBreakBefore w:val="0"/>
              <w:kinsoku/>
              <w:wordWrap/>
              <w:overflowPunct/>
              <w:topLinePunct w:val="0"/>
              <w:bidi w:val="0"/>
              <w:jc w:val="left"/>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首次申报项目</w:t>
            </w:r>
          </w:p>
          <w:p w14:paraId="5BC555D5">
            <w:pPr>
              <w:pageBreakBefore w:val="0"/>
              <w:kinsoku/>
              <w:wordWrap/>
              <w:overflowPunct/>
              <w:topLinePunct w:val="0"/>
              <w:bidi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不予批准后再次申报项目</w:t>
            </w:r>
          </w:p>
          <w:p w14:paraId="5AA51A45">
            <w:pPr>
              <w:pageBreakBefore w:val="0"/>
              <w:kinsoku/>
              <w:wordWrap/>
              <w:overflowPunct/>
              <w:topLinePunct w:val="0"/>
              <w:bidi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超五年重新审核项目</w:t>
            </w:r>
          </w:p>
          <w:p w14:paraId="531FE516">
            <w:pPr>
              <w:pageBreakBefore w:val="0"/>
              <w:kinsoku/>
              <w:wordWrap/>
              <w:overflowPunct/>
              <w:topLinePunct w:val="0"/>
              <w:bidi w:val="0"/>
              <w:jc w:val="left"/>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重大变动重新报批项目</w:t>
            </w:r>
          </w:p>
        </w:tc>
      </w:tr>
      <w:tr w14:paraId="7E8D8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36" w:type="dxa"/>
            <w:tcMar>
              <w:top w:w="16" w:type="dxa"/>
              <w:left w:w="16" w:type="dxa"/>
              <w:right w:w="16" w:type="dxa"/>
            </w:tcMar>
            <w:vAlign w:val="center"/>
          </w:tcPr>
          <w:p w14:paraId="5375E9F1">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2483" w:type="dxa"/>
            <w:vAlign w:val="center"/>
          </w:tcPr>
          <w:p w14:paraId="38D24C9F">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曲靖市麒麟区发展和改革局</w:t>
            </w:r>
          </w:p>
        </w:tc>
        <w:tc>
          <w:tcPr>
            <w:tcW w:w="1793" w:type="dxa"/>
            <w:vAlign w:val="center"/>
          </w:tcPr>
          <w:p w14:paraId="65B6964D">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项目审批（核准/备案）文号（选填）</w:t>
            </w:r>
          </w:p>
        </w:tc>
        <w:tc>
          <w:tcPr>
            <w:tcW w:w="4124" w:type="dxa"/>
            <w:vAlign w:val="center"/>
          </w:tcPr>
          <w:p w14:paraId="2DF01BB9">
            <w:pPr>
              <w:pageBreakBefore w:val="0"/>
              <w:kinsoku/>
              <w:wordWrap/>
              <w:overflowPunct/>
              <w:topLinePunct w:val="0"/>
              <w:bidi w:val="0"/>
              <w:adjustRightInd w:val="0"/>
              <w:snapToGrid w:val="0"/>
              <w:jc w:val="center"/>
              <w:rPr>
                <w:rFonts w:hint="eastAsia" w:eastAsia="宋体"/>
                <w:color w:val="000000" w:themeColor="text1"/>
                <w:sz w:val="24"/>
                <w:lang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2410-530302-04-01-179633</w:t>
            </w:r>
          </w:p>
        </w:tc>
      </w:tr>
      <w:tr w14:paraId="2A056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36" w:type="dxa"/>
            <w:tcMar>
              <w:top w:w="16" w:type="dxa"/>
              <w:left w:w="16" w:type="dxa"/>
              <w:right w:w="16" w:type="dxa"/>
            </w:tcMar>
            <w:vAlign w:val="center"/>
          </w:tcPr>
          <w:p w14:paraId="70C80979">
            <w:pPr>
              <w:pageBreakBefore w:val="0"/>
              <w:kinsoku/>
              <w:wordWrap/>
              <w:overflowPunct/>
              <w:topLinePunct w:val="0"/>
              <w:bidi w:val="0"/>
              <w:adjustRightInd w:val="0"/>
              <w:snapToGrid w:val="0"/>
              <w:jc w:val="center"/>
              <w:rPr>
                <w:color w:val="00B050"/>
                <w:sz w:val="24"/>
              </w:rPr>
            </w:pPr>
            <w:r>
              <w:rPr>
                <w:color w:val="00B050"/>
                <w:sz w:val="24"/>
              </w:rPr>
              <w:t>总投资（万元）</w:t>
            </w:r>
          </w:p>
        </w:tc>
        <w:tc>
          <w:tcPr>
            <w:tcW w:w="2483" w:type="dxa"/>
            <w:vAlign w:val="center"/>
          </w:tcPr>
          <w:p w14:paraId="050D07D2">
            <w:pPr>
              <w:pageBreakBefore w:val="0"/>
              <w:kinsoku/>
              <w:wordWrap/>
              <w:overflowPunct/>
              <w:topLinePunct w:val="0"/>
              <w:bidi w:val="0"/>
              <w:adjustRightInd w:val="0"/>
              <w:snapToGrid w:val="0"/>
              <w:jc w:val="center"/>
              <w:rPr>
                <w:rFonts w:hint="default" w:eastAsia="宋体"/>
                <w:color w:val="00B050"/>
                <w:sz w:val="24"/>
                <w:lang w:val="en-US" w:eastAsia="zh-CN"/>
              </w:rPr>
            </w:pPr>
            <w:r>
              <w:rPr>
                <w:rFonts w:hint="eastAsia"/>
                <w:color w:val="00B050"/>
                <w:sz w:val="24"/>
                <w:lang w:val="en-US" w:eastAsia="zh-CN"/>
              </w:rPr>
              <w:t>300</w:t>
            </w:r>
          </w:p>
        </w:tc>
        <w:tc>
          <w:tcPr>
            <w:tcW w:w="1793" w:type="dxa"/>
            <w:tcMar>
              <w:top w:w="16" w:type="dxa"/>
              <w:left w:w="16" w:type="dxa"/>
              <w:right w:w="16" w:type="dxa"/>
            </w:tcMar>
            <w:vAlign w:val="center"/>
          </w:tcPr>
          <w:p w14:paraId="7D620571">
            <w:pPr>
              <w:pageBreakBefore w:val="0"/>
              <w:kinsoku/>
              <w:wordWrap/>
              <w:overflowPunct/>
              <w:topLinePunct w:val="0"/>
              <w:bidi w:val="0"/>
              <w:adjustRightInd w:val="0"/>
              <w:snapToGrid w:val="0"/>
              <w:jc w:val="center"/>
              <w:rPr>
                <w:color w:val="00B050"/>
                <w:sz w:val="24"/>
              </w:rPr>
            </w:pPr>
            <w:r>
              <w:rPr>
                <w:color w:val="00B050"/>
                <w:sz w:val="24"/>
              </w:rPr>
              <w:t>环保投资</w:t>
            </w:r>
          </w:p>
          <w:p w14:paraId="5D5AF475">
            <w:pPr>
              <w:pageBreakBefore w:val="0"/>
              <w:kinsoku/>
              <w:wordWrap/>
              <w:overflowPunct/>
              <w:topLinePunct w:val="0"/>
              <w:bidi w:val="0"/>
              <w:adjustRightInd w:val="0"/>
              <w:snapToGrid w:val="0"/>
              <w:jc w:val="center"/>
              <w:rPr>
                <w:color w:val="00B050"/>
                <w:sz w:val="24"/>
              </w:rPr>
            </w:pPr>
            <w:r>
              <w:rPr>
                <w:color w:val="00B050"/>
                <w:sz w:val="24"/>
              </w:rPr>
              <w:t>（万元）</w:t>
            </w:r>
          </w:p>
        </w:tc>
        <w:tc>
          <w:tcPr>
            <w:tcW w:w="4124" w:type="dxa"/>
            <w:vAlign w:val="center"/>
          </w:tcPr>
          <w:p w14:paraId="3F849EDF">
            <w:pPr>
              <w:pageBreakBefore w:val="0"/>
              <w:kinsoku/>
              <w:wordWrap/>
              <w:overflowPunct/>
              <w:topLinePunct w:val="0"/>
              <w:bidi w:val="0"/>
              <w:adjustRightInd w:val="0"/>
              <w:snapToGrid w:val="0"/>
              <w:jc w:val="center"/>
              <w:rPr>
                <w:rFonts w:hint="default" w:eastAsia="宋体"/>
                <w:color w:val="00B050"/>
                <w:sz w:val="24"/>
                <w:lang w:val="en-US" w:eastAsia="zh-CN"/>
              </w:rPr>
            </w:pPr>
            <w:r>
              <w:rPr>
                <w:rFonts w:hint="eastAsia"/>
                <w:color w:val="00B050"/>
                <w:sz w:val="24"/>
                <w:lang w:val="en-US" w:eastAsia="zh-CN"/>
              </w:rPr>
              <w:t>87</w:t>
            </w:r>
          </w:p>
        </w:tc>
      </w:tr>
      <w:tr w14:paraId="36D2A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36" w:type="dxa"/>
            <w:tcMar>
              <w:top w:w="16" w:type="dxa"/>
              <w:left w:w="16" w:type="dxa"/>
              <w:right w:w="16" w:type="dxa"/>
            </w:tcMar>
            <w:vAlign w:val="center"/>
          </w:tcPr>
          <w:p w14:paraId="76E01C0D">
            <w:pPr>
              <w:pageBreakBefore w:val="0"/>
              <w:kinsoku/>
              <w:wordWrap/>
              <w:overflowPunct/>
              <w:topLinePunct w:val="0"/>
              <w:bidi w:val="0"/>
              <w:adjustRightInd w:val="0"/>
              <w:snapToGrid w:val="0"/>
              <w:jc w:val="center"/>
              <w:rPr>
                <w:color w:val="00B050"/>
                <w:sz w:val="24"/>
              </w:rPr>
            </w:pPr>
            <w:r>
              <w:rPr>
                <w:color w:val="00B050"/>
                <w:sz w:val="24"/>
              </w:rPr>
              <w:t>环保投资占比（%）</w:t>
            </w:r>
          </w:p>
        </w:tc>
        <w:tc>
          <w:tcPr>
            <w:tcW w:w="2483" w:type="dxa"/>
            <w:vAlign w:val="center"/>
          </w:tcPr>
          <w:p w14:paraId="364A347A">
            <w:pPr>
              <w:pageBreakBefore w:val="0"/>
              <w:kinsoku/>
              <w:wordWrap/>
              <w:overflowPunct/>
              <w:topLinePunct w:val="0"/>
              <w:bidi w:val="0"/>
              <w:adjustRightInd w:val="0"/>
              <w:snapToGrid w:val="0"/>
              <w:jc w:val="center"/>
              <w:rPr>
                <w:rFonts w:hint="default" w:eastAsia="宋体"/>
                <w:color w:val="00B050"/>
                <w:sz w:val="24"/>
                <w:lang w:val="en-US" w:eastAsia="zh-CN"/>
              </w:rPr>
            </w:pPr>
            <w:r>
              <w:rPr>
                <w:rFonts w:hint="eastAsia"/>
                <w:color w:val="00B050"/>
                <w:sz w:val="24"/>
                <w:lang w:val="en-US" w:eastAsia="zh-CN"/>
              </w:rPr>
              <w:t>29</w:t>
            </w:r>
          </w:p>
        </w:tc>
        <w:tc>
          <w:tcPr>
            <w:tcW w:w="1793" w:type="dxa"/>
            <w:tcMar>
              <w:top w:w="16" w:type="dxa"/>
              <w:left w:w="16" w:type="dxa"/>
              <w:right w:w="16" w:type="dxa"/>
            </w:tcMar>
            <w:vAlign w:val="center"/>
          </w:tcPr>
          <w:p w14:paraId="483A9F13">
            <w:pPr>
              <w:pageBreakBefore w:val="0"/>
              <w:kinsoku/>
              <w:wordWrap/>
              <w:overflowPunct/>
              <w:topLinePunct w:val="0"/>
              <w:bidi w:val="0"/>
              <w:adjustRightInd w:val="0"/>
              <w:snapToGrid w:val="0"/>
              <w:jc w:val="center"/>
              <w:rPr>
                <w:color w:val="00B050"/>
                <w:sz w:val="24"/>
              </w:rPr>
            </w:pPr>
            <w:r>
              <w:rPr>
                <w:color w:val="00B050"/>
                <w:sz w:val="24"/>
              </w:rPr>
              <w:t>施工工期</w:t>
            </w:r>
          </w:p>
          <w:p w14:paraId="6ED0449F">
            <w:pPr>
              <w:pageBreakBefore w:val="0"/>
              <w:kinsoku/>
              <w:wordWrap/>
              <w:overflowPunct/>
              <w:topLinePunct w:val="0"/>
              <w:bidi w:val="0"/>
              <w:adjustRightInd w:val="0"/>
              <w:snapToGrid w:val="0"/>
              <w:jc w:val="center"/>
              <w:rPr>
                <w:rFonts w:hint="eastAsia" w:eastAsia="宋体"/>
                <w:color w:val="00B050"/>
                <w:sz w:val="24"/>
                <w:lang w:eastAsia="zh-CN"/>
              </w:rPr>
            </w:pPr>
            <w:r>
              <w:rPr>
                <w:rFonts w:hint="eastAsia"/>
                <w:color w:val="00B050"/>
                <w:sz w:val="24"/>
                <w:lang w:eastAsia="zh-CN"/>
              </w:rPr>
              <w:t>（</w:t>
            </w:r>
            <w:r>
              <w:rPr>
                <w:rFonts w:hint="eastAsia"/>
                <w:color w:val="00B050"/>
                <w:sz w:val="24"/>
                <w:lang w:val="en-US" w:eastAsia="zh-CN"/>
              </w:rPr>
              <w:t>月</w:t>
            </w:r>
            <w:r>
              <w:rPr>
                <w:rFonts w:hint="eastAsia"/>
                <w:color w:val="00B050"/>
                <w:sz w:val="24"/>
                <w:lang w:eastAsia="zh-CN"/>
              </w:rPr>
              <w:t>）</w:t>
            </w:r>
          </w:p>
        </w:tc>
        <w:tc>
          <w:tcPr>
            <w:tcW w:w="4124" w:type="dxa"/>
            <w:vAlign w:val="center"/>
          </w:tcPr>
          <w:p w14:paraId="7E08C777">
            <w:pPr>
              <w:pageBreakBefore w:val="0"/>
              <w:kinsoku/>
              <w:wordWrap/>
              <w:overflowPunct/>
              <w:topLinePunct w:val="0"/>
              <w:bidi w:val="0"/>
              <w:adjustRightInd w:val="0"/>
              <w:snapToGrid w:val="0"/>
              <w:jc w:val="center"/>
              <w:rPr>
                <w:rFonts w:hint="default" w:eastAsia="宋体"/>
                <w:color w:val="00B050"/>
                <w:sz w:val="24"/>
                <w:lang w:val="en-US" w:eastAsia="zh-CN"/>
              </w:rPr>
            </w:pPr>
            <w:r>
              <w:rPr>
                <w:rFonts w:hint="eastAsia"/>
                <w:color w:val="00B050"/>
                <w:sz w:val="24"/>
                <w:lang w:val="en-US" w:eastAsia="zh-CN"/>
              </w:rPr>
              <w:t>6</w:t>
            </w:r>
          </w:p>
        </w:tc>
      </w:tr>
      <w:tr w14:paraId="1D3B0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36" w:type="dxa"/>
            <w:tcMar>
              <w:top w:w="16" w:type="dxa"/>
              <w:left w:w="16" w:type="dxa"/>
              <w:right w:w="16" w:type="dxa"/>
            </w:tcMar>
            <w:vAlign w:val="center"/>
          </w:tcPr>
          <w:p w14:paraId="6F41B03B">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483" w:type="dxa"/>
            <w:vAlign w:val="center"/>
          </w:tcPr>
          <w:p w14:paraId="06DD58E6">
            <w:pPr>
              <w:pageBreakBefore w:val="0"/>
              <w:kinsoku/>
              <w:wordWrap/>
              <w:overflowPunct/>
              <w:topLinePunct w:val="0"/>
              <w:bidi w:val="0"/>
              <w:adjustRightInd w:val="0"/>
              <w:snapToGrid w:val="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否</w:t>
            </w:r>
          </w:p>
          <w:p w14:paraId="398CC863">
            <w:pPr>
              <w:pageBreakBefore w:val="0"/>
              <w:kinsoku/>
              <w:wordWrap/>
              <w:overflowPunct/>
              <w:topLinePunct w:val="0"/>
              <w:bidi w:val="0"/>
              <w:adjustRightInd w:val="0"/>
              <w:snapToGrid w:val="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是：</w:t>
            </w:r>
            <w:r>
              <w:rPr>
                <w:rFonts w:hint="eastAsia"/>
                <w:color w:val="000000" w:themeColor="text1"/>
                <w:sz w:val="24"/>
                <w:u w:val="single"/>
                <w:lang w:val="en-US" w:eastAsia="zh-CN"/>
                <w14:textFill>
                  <w14:solidFill>
                    <w14:schemeClr w14:val="tx1"/>
                  </w14:solidFill>
                </w14:textFill>
              </w:rPr>
              <w:t xml:space="preserve">                 </w:t>
            </w:r>
          </w:p>
        </w:tc>
        <w:tc>
          <w:tcPr>
            <w:tcW w:w="1793" w:type="dxa"/>
            <w:tcMar>
              <w:top w:w="16" w:type="dxa"/>
              <w:left w:w="16" w:type="dxa"/>
              <w:right w:w="16" w:type="dxa"/>
            </w:tcMar>
            <w:vAlign w:val="center"/>
          </w:tcPr>
          <w:p w14:paraId="6859A1E8">
            <w:pPr>
              <w:pageBreakBefore w:val="0"/>
              <w:kinsoku/>
              <w:wordWrap/>
              <w:overflowPunct/>
              <w:topLinePunct w:val="0"/>
              <w:bidi w:val="0"/>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14:paraId="5CEB92E6">
            <w:pPr>
              <w:pageBreakBefore w:val="0"/>
              <w:kinsoku/>
              <w:wordWrap/>
              <w:overflowPunct/>
              <w:topLinePunct w:val="0"/>
              <w:bidi w:val="0"/>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4124" w:type="dxa"/>
            <w:vAlign w:val="center"/>
          </w:tcPr>
          <w:p w14:paraId="0A654020">
            <w:pPr>
              <w:pageBreakBefore w:val="0"/>
              <w:kinsoku/>
              <w:wordWrap/>
              <w:overflowPunct/>
              <w:topLinePunct w:val="0"/>
              <w:bidi w:val="0"/>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720</w:t>
            </w:r>
          </w:p>
        </w:tc>
      </w:tr>
      <w:tr w14:paraId="7BDAC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6" w:type="dxa"/>
            <w:vAlign w:val="center"/>
          </w:tcPr>
          <w:p w14:paraId="0E857661">
            <w:pPr>
              <w:pageBreakBefore w:val="0"/>
              <w:kinsoku/>
              <w:wordWrap/>
              <w:overflowPunct/>
              <w:topLinePunct w:val="0"/>
              <w:autoSpaceDE w:val="0"/>
              <w:autoSpaceDN w:val="0"/>
              <w:bidi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8400" w:type="dxa"/>
            <w:gridSpan w:val="3"/>
            <w:vAlign w:val="center"/>
          </w:tcPr>
          <w:p w14:paraId="4A267A66">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根据《建设环境影响评价报告表编制技术指南》（污染影响类）专项评价设置原则，本项目专项设置情况见下表</w:t>
            </w:r>
            <w:r>
              <w:rPr>
                <w:rFonts w:hint="eastAsia" w:ascii="宋体" w:hAnsi="宋体"/>
                <w:color w:val="000000" w:themeColor="text1"/>
                <w:sz w:val="24"/>
                <w:lang w:val="en-US" w:eastAsia="zh-CN"/>
                <w14:textFill>
                  <w14:solidFill>
                    <w14:schemeClr w14:val="tx1"/>
                  </w14:solidFill>
                </w14:textFill>
              </w:rPr>
              <w:t>1所示</w:t>
            </w:r>
            <w:r>
              <w:rPr>
                <w:rFonts w:hint="eastAsia" w:ascii="宋体" w:hAnsi="宋体"/>
                <w:color w:val="000000" w:themeColor="text1"/>
                <w:sz w:val="24"/>
                <w14:textFill>
                  <w14:solidFill>
                    <w14:schemeClr w14:val="tx1"/>
                  </w14:solidFill>
                </w14:textFill>
              </w:rPr>
              <w:t>。</w:t>
            </w:r>
          </w:p>
          <w:p w14:paraId="7E6477DB">
            <w:pPr>
              <w:pStyle w:val="97"/>
              <w:rPr>
                <w:rFonts w:hint="eastAsia" w:ascii="宋体" w:hAnsi="宋体" w:eastAsia="宋体"/>
                <w:color w:val="000000" w:themeColor="text1"/>
                <w:sz w:val="24"/>
                <w:lang w:val="en-US" w:eastAsia="zh-CN"/>
                <w14:textFill>
                  <w14:solidFill>
                    <w14:schemeClr w14:val="tx1"/>
                  </w14:solidFill>
                </w14:textFill>
              </w:rPr>
            </w:pPr>
            <w:r>
              <w:rPr>
                <w:rFonts w:hint="eastAsia"/>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专项情况设置一览</w:t>
            </w:r>
            <w:r>
              <w:rPr>
                <w:rFonts w:hint="eastAsia"/>
                <w:color w:val="000000" w:themeColor="text1"/>
                <w:lang w:val="en-US" w:eastAsia="zh-CN"/>
                <w14:textFill>
                  <w14:solidFill>
                    <w14:schemeClr w14:val="tx1"/>
                  </w14:solidFill>
                </w14:textFill>
              </w:rPr>
              <w:t>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2959"/>
              <w:gridCol w:w="3263"/>
              <w:gridCol w:w="1058"/>
            </w:tblGrid>
            <w:tr w14:paraId="4E13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noWrap/>
                  <w:vAlign w:val="center"/>
                </w:tcPr>
                <w:p w14:paraId="1833AB62">
                  <w:pPr>
                    <w:pageBreakBefore w:val="0"/>
                    <w:kinsoku/>
                    <w:wordWrap/>
                    <w:overflowPunct/>
                    <w:topLinePunct w:val="0"/>
                    <w:bidi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专项评价类别</w:t>
                  </w:r>
                </w:p>
              </w:tc>
              <w:tc>
                <w:tcPr>
                  <w:tcW w:w="2959" w:type="dxa"/>
                  <w:noWrap/>
                  <w:vAlign w:val="center"/>
                </w:tcPr>
                <w:p w14:paraId="057D6A35">
                  <w:pPr>
                    <w:pageBreakBefore w:val="0"/>
                    <w:kinsoku/>
                    <w:wordWrap/>
                    <w:overflowPunct/>
                    <w:topLinePunct w:val="0"/>
                    <w:autoSpaceDE w:val="0"/>
                    <w:autoSpaceDN w:val="0"/>
                    <w:bidi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设置原则</w:t>
                  </w:r>
                </w:p>
              </w:tc>
              <w:tc>
                <w:tcPr>
                  <w:tcW w:w="3263" w:type="dxa"/>
                  <w:noWrap/>
                  <w:vAlign w:val="center"/>
                </w:tcPr>
                <w:p w14:paraId="3AF51202">
                  <w:pPr>
                    <w:pageBreakBefore w:val="0"/>
                    <w:kinsoku/>
                    <w:wordWrap/>
                    <w:overflowPunct/>
                    <w:topLinePunct w:val="0"/>
                    <w:autoSpaceDE w:val="0"/>
                    <w:autoSpaceDN w:val="0"/>
                    <w:bidi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w:t>
                  </w:r>
                </w:p>
              </w:tc>
              <w:tc>
                <w:tcPr>
                  <w:tcW w:w="1058" w:type="dxa"/>
                  <w:noWrap/>
                  <w:vAlign w:val="center"/>
                </w:tcPr>
                <w:p w14:paraId="4BD1F88D">
                  <w:pPr>
                    <w:pageBreakBefore w:val="0"/>
                    <w:kinsoku/>
                    <w:wordWrap/>
                    <w:overflowPunct/>
                    <w:topLinePunct w:val="0"/>
                    <w:autoSpaceDE w:val="0"/>
                    <w:autoSpaceDN w:val="0"/>
                    <w:bidi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专项设置情况</w:t>
                  </w:r>
                </w:p>
              </w:tc>
            </w:tr>
            <w:tr w14:paraId="6A41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noWrap/>
                  <w:vAlign w:val="center"/>
                </w:tcPr>
                <w:p w14:paraId="668DE111">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tc>
              <w:tc>
                <w:tcPr>
                  <w:tcW w:w="2959" w:type="dxa"/>
                  <w:noWrap/>
                  <w:vAlign w:val="center"/>
                </w:tcPr>
                <w:p w14:paraId="6CAC7A5B">
                  <w:pPr>
                    <w:pageBreakBefore w:val="0"/>
                    <w:kinsoku/>
                    <w:wordWrap/>
                    <w:overflowPunct/>
                    <w:topLinePunct w:val="0"/>
                    <w:autoSpaceDE w:val="0"/>
                    <w:autoSpaceDN w:val="0"/>
                    <w:bidi w:val="0"/>
                    <w:rPr>
                      <w:color w:val="000000" w:themeColor="text1"/>
                      <w:szCs w:val="21"/>
                      <w14:textFill>
                        <w14:solidFill>
                          <w14:schemeClr w14:val="tx1"/>
                        </w14:solidFill>
                      </w14:textFill>
                    </w:rPr>
                  </w:pPr>
                  <w:r>
                    <w:rPr>
                      <w:color w:val="000000" w:themeColor="text1"/>
                      <w14:textFill>
                        <w14:solidFill>
                          <w14:schemeClr w14:val="tx1"/>
                        </w14:solidFill>
                      </w14:textFill>
                    </w:rPr>
                    <w:t>排放废气含有毒有害污染物、二噁英、苯并〔a〕芘、氰化物、氯气且厂界外500m范围内有环境空气保护目标的建设项目</w:t>
                  </w:r>
                </w:p>
              </w:tc>
              <w:tc>
                <w:tcPr>
                  <w:tcW w:w="3263" w:type="dxa"/>
                  <w:noWrap/>
                  <w:vAlign w:val="center"/>
                </w:tcPr>
                <w:p w14:paraId="4B41F653">
                  <w:pPr>
                    <w:pStyle w:val="83"/>
                    <w:keepNext w:val="0"/>
                    <w:keepLines w:val="0"/>
                    <w:pageBreakBefore w:val="0"/>
                    <w:widowControl/>
                    <w:kinsoku/>
                    <w:wordWrap/>
                    <w:overflowPunct w:val="0"/>
                    <w:topLinePunct w:val="0"/>
                    <w:bidi w:val="0"/>
                    <w:adjustRightInd/>
                    <w:snapToGrid/>
                    <w:spacing w:line="240" w:lineRule="auto"/>
                    <w:jc w:val="both"/>
                    <w:textAlignment w:val="baseline"/>
                    <w:rPr>
                      <w:rFonts w:hint="default" w:eastAsia="宋体"/>
                      <w:bCs/>
                      <w:snapToGrid/>
                      <w:color w:val="000000" w:themeColor="text1"/>
                      <w:kern w:val="0"/>
                      <w:sz w:val="21"/>
                      <w:szCs w:val="21"/>
                      <w:lang w:val="en-US" w:eastAsia="zh-CN"/>
                      <w14:textFill>
                        <w14:solidFill>
                          <w14:schemeClr w14:val="tx1"/>
                        </w14:solidFill>
                      </w14:textFill>
                    </w:rPr>
                  </w:pPr>
                  <w:r>
                    <w:rPr>
                      <w:bCs/>
                      <w:snapToGrid/>
                      <w:color w:val="000000" w:themeColor="text1"/>
                      <w:kern w:val="0"/>
                      <w:sz w:val="21"/>
                      <w:szCs w:val="21"/>
                      <w14:textFill>
                        <w14:solidFill>
                          <w14:schemeClr w14:val="tx1"/>
                        </w14:solidFill>
                      </w14:textFill>
                    </w:rPr>
                    <w:t>项目排放的大气污染物</w:t>
                  </w:r>
                  <w:r>
                    <w:rPr>
                      <w:rFonts w:hint="eastAsia"/>
                      <w:bCs/>
                      <w:snapToGrid/>
                      <w:color w:val="000000" w:themeColor="text1"/>
                      <w:kern w:val="0"/>
                      <w:sz w:val="21"/>
                      <w:szCs w:val="21"/>
                      <w:lang w:val="en-US" w:eastAsia="zh-CN"/>
                      <w14:textFill>
                        <w14:solidFill>
                          <w14:schemeClr w14:val="tx1"/>
                        </w14:solidFill>
                      </w14:textFill>
                    </w:rPr>
                    <w:t>主要为NMHC、酸性废气、异味等，</w:t>
                  </w:r>
                  <w:r>
                    <w:rPr>
                      <w:rFonts w:hint="eastAsia"/>
                      <w:color w:val="000000" w:themeColor="text1"/>
                      <w14:textFill>
                        <w14:solidFill>
                          <w14:schemeClr w14:val="tx1"/>
                        </w14:solidFill>
                      </w14:textFill>
                    </w:rPr>
                    <w:t>不属于编制指南中列举的二噁英、苯并[a]芘、氰化物、氯气；也不属于《有毒有害大气污染物名录》中列出的</w:t>
                  </w:r>
                  <w:r>
                    <w:rPr>
                      <w:rFonts w:hint="eastAsia"/>
                      <w:color w:val="000000" w:themeColor="text1"/>
                      <w:lang w:eastAsia="zh-CN"/>
                      <w14:textFill>
                        <w14:solidFill>
                          <w14:schemeClr w14:val="tx1"/>
                        </w14:solidFill>
                      </w14:textFill>
                    </w:rPr>
                    <w:t>有毒有害污染物</w:t>
                  </w:r>
                </w:p>
              </w:tc>
              <w:tc>
                <w:tcPr>
                  <w:tcW w:w="1058" w:type="dxa"/>
                  <w:noWrap/>
                  <w:vAlign w:val="center"/>
                </w:tcPr>
                <w:p w14:paraId="3D816252">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p>
              </w:tc>
            </w:tr>
            <w:tr w14:paraId="0346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noWrap/>
                  <w:vAlign w:val="center"/>
                </w:tcPr>
                <w:p w14:paraId="099DE321">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tc>
              <w:tc>
                <w:tcPr>
                  <w:tcW w:w="2959" w:type="dxa"/>
                  <w:noWrap/>
                  <w:vAlign w:val="center"/>
                </w:tcPr>
                <w:p w14:paraId="32E55E7C">
                  <w:pPr>
                    <w:pageBreakBefore w:val="0"/>
                    <w:kinsoku/>
                    <w:wordWrap/>
                    <w:overflowPunct/>
                    <w:topLinePunct w:val="0"/>
                    <w:autoSpaceDE w:val="0"/>
                    <w:autoSpaceDN w:val="0"/>
                    <w:bidi w:val="0"/>
                    <w:rPr>
                      <w:color w:val="00B050"/>
                      <w:szCs w:val="21"/>
                    </w:rPr>
                  </w:pPr>
                  <w:r>
                    <w:rPr>
                      <w:color w:val="00B050"/>
                      <w:szCs w:val="21"/>
                    </w:rPr>
                    <w:t>新增工业废水直排建设项目（槽罐车外送污水处理厂的除外）；新增废水直接排放的污水集中处理厂</w:t>
                  </w:r>
                  <w:r>
                    <w:rPr>
                      <w:rFonts w:hint="eastAsia"/>
                      <w:color w:val="00B050"/>
                      <w:szCs w:val="21"/>
                    </w:rPr>
                    <w:t>。</w:t>
                  </w:r>
                </w:p>
              </w:tc>
              <w:tc>
                <w:tcPr>
                  <w:tcW w:w="3263" w:type="dxa"/>
                  <w:noWrap/>
                  <w:vAlign w:val="center"/>
                </w:tcPr>
                <w:p w14:paraId="3FA2F0B1">
                  <w:pPr>
                    <w:pStyle w:val="83"/>
                    <w:keepNext w:val="0"/>
                    <w:keepLines w:val="0"/>
                    <w:pageBreakBefore w:val="0"/>
                    <w:widowControl/>
                    <w:kinsoku/>
                    <w:wordWrap/>
                    <w:overflowPunct w:val="0"/>
                    <w:topLinePunct w:val="0"/>
                    <w:bidi w:val="0"/>
                    <w:adjustRightInd/>
                    <w:snapToGrid/>
                    <w:spacing w:line="240" w:lineRule="auto"/>
                    <w:jc w:val="both"/>
                    <w:textAlignment w:val="baseline"/>
                    <w:rPr>
                      <w:bCs/>
                      <w:snapToGrid/>
                      <w:color w:val="00B050"/>
                      <w:kern w:val="0"/>
                      <w:sz w:val="21"/>
                      <w:szCs w:val="21"/>
                    </w:rPr>
                  </w:pPr>
                  <w:r>
                    <w:rPr>
                      <w:rFonts w:hint="eastAsia"/>
                      <w:bCs/>
                      <w:snapToGrid/>
                      <w:color w:val="00B050"/>
                      <w:kern w:val="0"/>
                      <w:sz w:val="21"/>
                      <w:szCs w:val="21"/>
                    </w:rPr>
                    <w:t>项目采取雨污分流，项目产生碱洗废水经0.5m</w:t>
                  </w:r>
                  <w:r>
                    <w:rPr>
                      <w:rFonts w:hint="eastAsia"/>
                      <w:bCs/>
                      <w:snapToGrid/>
                      <w:color w:val="00B050"/>
                      <w:kern w:val="0"/>
                      <w:sz w:val="21"/>
                      <w:szCs w:val="21"/>
                      <w:vertAlign w:val="superscript"/>
                    </w:rPr>
                    <w:t>3</w:t>
                  </w:r>
                  <w:r>
                    <w:rPr>
                      <w:rFonts w:hint="eastAsia"/>
                      <w:bCs/>
                      <w:snapToGrid/>
                      <w:color w:val="00B050"/>
                      <w:kern w:val="0"/>
                      <w:sz w:val="21"/>
                      <w:szCs w:val="21"/>
                    </w:rPr>
                    <w:t>收集桶收集后委托碱洗废水处置单位进行清运处置；生活污水依托曲靖市东五六供应链管理有限公司已建化粪池（容积：10m</w:t>
                  </w:r>
                  <w:r>
                    <w:rPr>
                      <w:rFonts w:hint="eastAsia"/>
                      <w:bCs/>
                      <w:snapToGrid/>
                      <w:color w:val="00B050"/>
                      <w:kern w:val="0"/>
                      <w:sz w:val="21"/>
                      <w:szCs w:val="21"/>
                      <w:vertAlign w:val="superscript"/>
                    </w:rPr>
                    <w:t>3</w:t>
                  </w:r>
                  <w:r>
                    <w:rPr>
                      <w:rFonts w:hint="eastAsia"/>
                      <w:bCs/>
                      <w:snapToGrid/>
                      <w:color w:val="00B050"/>
                      <w:kern w:val="0"/>
                      <w:sz w:val="21"/>
                      <w:szCs w:val="21"/>
                    </w:rPr>
                    <w:t>）收集后委托麒麟区环卫部门清掏处理，不外排。</w:t>
                  </w:r>
                </w:p>
              </w:tc>
              <w:tc>
                <w:tcPr>
                  <w:tcW w:w="1058" w:type="dxa"/>
                  <w:noWrap/>
                  <w:vAlign w:val="center"/>
                </w:tcPr>
                <w:p w14:paraId="17BEBBE9">
                  <w:pPr>
                    <w:pageBreakBefore w:val="0"/>
                    <w:kinsoku/>
                    <w:wordWrap/>
                    <w:overflowPunct/>
                    <w:topLinePunct w:val="0"/>
                    <w:autoSpaceDE w:val="0"/>
                    <w:autoSpaceDN w:val="0"/>
                    <w:bidi w:val="0"/>
                    <w:jc w:val="center"/>
                    <w:rPr>
                      <w:color w:val="00B050"/>
                      <w:szCs w:val="21"/>
                    </w:rPr>
                  </w:pPr>
                  <w:r>
                    <w:rPr>
                      <w:rFonts w:hint="eastAsia"/>
                      <w:color w:val="00B050"/>
                      <w:szCs w:val="21"/>
                    </w:rPr>
                    <w:t>无</w:t>
                  </w:r>
                </w:p>
              </w:tc>
            </w:tr>
            <w:tr w14:paraId="656E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noWrap/>
                  <w:vAlign w:val="center"/>
                </w:tcPr>
                <w:p w14:paraId="64222C36">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w:t>
                  </w:r>
                </w:p>
              </w:tc>
              <w:tc>
                <w:tcPr>
                  <w:tcW w:w="2959" w:type="dxa"/>
                  <w:noWrap/>
                  <w:vAlign w:val="center"/>
                </w:tcPr>
                <w:p w14:paraId="1F99B3E2">
                  <w:pPr>
                    <w:pageBreakBefore w:val="0"/>
                    <w:kinsoku/>
                    <w:wordWrap/>
                    <w:overflowPunct/>
                    <w:topLinePunct w:val="0"/>
                    <w:autoSpaceDE w:val="0"/>
                    <w:autoSpaceDN w:val="0"/>
                    <w:bidi w:val="0"/>
                    <w:rPr>
                      <w:color w:val="00B050"/>
                      <w:szCs w:val="21"/>
                    </w:rPr>
                  </w:pPr>
                  <w:r>
                    <w:rPr>
                      <w:color w:val="00B050"/>
                      <w:szCs w:val="21"/>
                    </w:rPr>
                    <w:t>有毒有害和易燃易爆危险物质储存量超过临界量</w:t>
                  </w:r>
                  <w:r>
                    <w:rPr>
                      <w:color w:val="00B050"/>
                      <w:szCs w:val="21"/>
                      <w:vertAlign w:val="superscript"/>
                    </w:rPr>
                    <w:t>3</w:t>
                  </w:r>
                  <w:r>
                    <w:rPr>
                      <w:color w:val="00B050"/>
                      <w:szCs w:val="21"/>
                    </w:rPr>
                    <w:t>的建设项目</w:t>
                  </w:r>
                </w:p>
              </w:tc>
              <w:tc>
                <w:tcPr>
                  <w:tcW w:w="3263" w:type="dxa"/>
                  <w:noWrap/>
                  <w:vAlign w:val="center"/>
                </w:tcPr>
                <w:p w14:paraId="2BF3AA52">
                  <w:pPr>
                    <w:pStyle w:val="83"/>
                    <w:keepNext w:val="0"/>
                    <w:keepLines w:val="0"/>
                    <w:pageBreakBefore w:val="0"/>
                    <w:widowControl/>
                    <w:kinsoku/>
                    <w:wordWrap/>
                    <w:overflowPunct w:val="0"/>
                    <w:topLinePunct w:val="0"/>
                    <w:bidi w:val="0"/>
                    <w:adjustRightInd/>
                    <w:snapToGrid/>
                    <w:spacing w:line="240" w:lineRule="auto"/>
                    <w:jc w:val="both"/>
                    <w:textAlignment w:val="baseline"/>
                    <w:rPr>
                      <w:rFonts w:hint="default" w:eastAsia="宋体"/>
                      <w:b/>
                      <w:bCs w:val="0"/>
                      <w:snapToGrid/>
                      <w:color w:val="00B050"/>
                      <w:kern w:val="0"/>
                      <w:sz w:val="21"/>
                      <w:szCs w:val="21"/>
                      <w:lang w:val="en-US" w:eastAsia="zh-CN"/>
                    </w:rPr>
                  </w:pPr>
                  <w:r>
                    <w:rPr>
                      <w:b/>
                      <w:bCs w:val="0"/>
                      <w:color w:val="00B050"/>
                      <w:spacing w:val="19"/>
                      <w:szCs w:val="21"/>
                    </w:rPr>
                    <w:t>项目</w:t>
                  </w:r>
                  <w:r>
                    <w:rPr>
                      <w:rFonts w:hint="eastAsia"/>
                      <w:b/>
                      <w:bCs w:val="0"/>
                      <w:color w:val="00B050"/>
                      <w:spacing w:val="19"/>
                      <w:szCs w:val="21"/>
                      <w:lang w:val="en-US" w:eastAsia="zh-CN"/>
                    </w:rPr>
                    <w:t>除废矿物油外，其余危险废物列入健康危险急性毒性物质（类别2，类别3）中，合计最大存在量115t，</w:t>
                  </w:r>
                  <w:r>
                    <w:rPr>
                      <w:b/>
                      <w:bCs w:val="0"/>
                      <w:color w:val="00B050"/>
                      <w:spacing w:val="-5"/>
                      <w:szCs w:val="21"/>
                    </w:rPr>
                    <w:t>超过临界量</w:t>
                  </w:r>
                  <w:r>
                    <w:rPr>
                      <w:rFonts w:hint="eastAsia"/>
                      <w:b/>
                      <w:bCs w:val="0"/>
                      <w:color w:val="00B050"/>
                      <w:spacing w:val="-5"/>
                      <w:szCs w:val="21"/>
                      <w:lang w:eastAsia="zh-CN"/>
                    </w:rPr>
                    <w:t>（</w:t>
                  </w:r>
                  <w:r>
                    <w:rPr>
                      <w:rFonts w:hint="eastAsia"/>
                      <w:b/>
                      <w:bCs w:val="0"/>
                      <w:color w:val="00B050"/>
                      <w:spacing w:val="-5"/>
                      <w:szCs w:val="21"/>
                      <w:lang w:val="en-US" w:eastAsia="zh-CN"/>
                    </w:rPr>
                    <w:t>50t</w:t>
                  </w:r>
                  <w:r>
                    <w:rPr>
                      <w:rFonts w:hint="eastAsia"/>
                      <w:b/>
                      <w:bCs w:val="0"/>
                      <w:color w:val="00B050"/>
                      <w:spacing w:val="-5"/>
                      <w:szCs w:val="21"/>
                      <w:lang w:eastAsia="zh-CN"/>
                    </w:rPr>
                    <w:t>）</w:t>
                  </w:r>
                </w:p>
              </w:tc>
              <w:tc>
                <w:tcPr>
                  <w:tcW w:w="1058" w:type="dxa"/>
                  <w:noWrap/>
                  <w:vAlign w:val="center"/>
                </w:tcPr>
                <w:p w14:paraId="2ACC6E9F">
                  <w:pPr>
                    <w:pageBreakBefore w:val="0"/>
                    <w:kinsoku/>
                    <w:wordWrap/>
                    <w:overflowPunct/>
                    <w:topLinePunct w:val="0"/>
                    <w:autoSpaceDE w:val="0"/>
                    <w:autoSpaceDN w:val="0"/>
                    <w:bidi w:val="0"/>
                    <w:jc w:val="center"/>
                    <w:rPr>
                      <w:rFonts w:hint="eastAsia" w:eastAsia="宋体"/>
                      <w:b/>
                      <w:bCs w:val="0"/>
                      <w:color w:val="00B050"/>
                      <w:szCs w:val="21"/>
                      <w:lang w:eastAsia="zh-CN"/>
                    </w:rPr>
                  </w:pPr>
                  <w:r>
                    <w:rPr>
                      <w:rFonts w:hint="eastAsia"/>
                      <w:b/>
                      <w:bCs w:val="0"/>
                      <w:color w:val="00B050"/>
                      <w:szCs w:val="21"/>
                      <w:lang w:val="en-US" w:eastAsia="zh-CN"/>
                    </w:rPr>
                    <w:t>是</w:t>
                  </w:r>
                </w:p>
              </w:tc>
            </w:tr>
            <w:tr w14:paraId="00FB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noWrap/>
                  <w:vAlign w:val="center"/>
                </w:tcPr>
                <w:p w14:paraId="01C7DBBE">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w:t>
                  </w:r>
                </w:p>
              </w:tc>
              <w:tc>
                <w:tcPr>
                  <w:tcW w:w="2959" w:type="dxa"/>
                  <w:noWrap/>
                  <w:vAlign w:val="center"/>
                </w:tcPr>
                <w:p w14:paraId="54BE0096">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取水口下游500m范围内有重要水生生物的自然产卵场、索饵场、越冬场和洄游通道的新增河道取水的污染类建设项目</w:t>
                  </w:r>
                </w:p>
              </w:tc>
              <w:tc>
                <w:tcPr>
                  <w:tcW w:w="3263" w:type="dxa"/>
                  <w:noWrap/>
                  <w:vAlign w:val="center"/>
                </w:tcPr>
                <w:p w14:paraId="79FA6A8A">
                  <w:pPr>
                    <w:pStyle w:val="83"/>
                    <w:keepNext w:val="0"/>
                    <w:keepLines w:val="0"/>
                    <w:pageBreakBefore w:val="0"/>
                    <w:widowControl/>
                    <w:kinsoku/>
                    <w:wordWrap/>
                    <w:overflowPunct w:val="0"/>
                    <w:topLinePunct w:val="0"/>
                    <w:bidi w:val="0"/>
                    <w:adjustRightInd/>
                    <w:snapToGrid/>
                    <w:spacing w:line="240" w:lineRule="auto"/>
                    <w:ind w:firstLine="420" w:firstLineChars="200"/>
                    <w:jc w:val="both"/>
                    <w:textAlignment w:val="baseline"/>
                    <w:rPr>
                      <w:bCs/>
                      <w:snapToGrid/>
                      <w:color w:val="000000" w:themeColor="text1"/>
                      <w:kern w:val="0"/>
                      <w:sz w:val="21"/>
                      <w:szCs w:val="21"/>
                      <w14:textFill>
                        <w14:solidFill>
                          <w14:schemeClr w14:val="tx1"/>
                        </w14:solidFill>
                      </w14:textFill>
                    </w:rPr>
                  </w:pPr>
                  <w:r>
                    <w:rPr>
                      <w:bCs/>
                      <w:snapToGrid/>
                      <w:color w:val="000000" w:themeColor="text1"/>
                      <w:kern w:val="0"/>
                      <w:sz w:val="21"/>
                      <w:szCs w:val="21"/>
                      <w14:textFill>
                        <w14:solidFill>
                          <w14:schemeClr w14:val="tx1"/>
                        </w14:solidFill>
                      </w14:textFill>
                    </w:rPr>
                    <w:t>项目不涉及河道取水。</w:t>
                  </w:r>
                </w:p>
              </w:tc>
              <w:tc>
                <w:tcPr>
                  <w:tcW w:w="1058" w:type="dxa"/>
                  <w:noWrap/>
                  <w:vAlign w:val="center"/>
                </w:tcPr>
                <w:p w14:paraId="039ED01F">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p>
              </w:tc>
            </w:tr>
            <w:tr w14:paraId="645D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noWrap/>
                  <w:vAlign w:val="center"/>
                </w:tcPr>
                <w:p w14:paraId="33CE6EBF">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海洋</w:t>
                  </w:r>
                </w:p>
              </w:tc>
              <w:tc>
                <w:tcPr>
                  <w:tcW w:w="2959" w:type="dxa"/>
                  <w:noWrap/>
                  <w:vAlign w:val="center"/>
                </w:tcPr>
                <w:p w14:paraId="688BE7E0">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直接向海排放污染物的海洋工程建设项目</w:t>
                  </w:r>
                </w:p>
              </w:tc>
              <w:tc>
                <w:tcPr>
                  <w:tcW w:w="3263" w:type="dxa"/>
                  <w:noWrap/>
                  <w:vAlign w:val="center"/>
                </w:tcPr>
                <w:p w14:paraId="4E524376">
                  <w:pPr>
                    <w:pStyle w:val="83"/>
                    <w:keepNext w:val="0"/>
                    <w:keepLines w:val="0"/>
                    <w:pageBreakBefore w:val="0"/>
                    <w:widowControl/>
                    <w:kinsoku/>
                    <w:wordWrap/>
                    <w:overflowPunct w:val="0"/>
                    <w:topLinePunct w:val="0"/>
                    <w:bidi w:val="0"/>
                    <w:adjustRightInd/>
                    <w:snapToGrid/>
                    <w:spacing w:line="240" w:lineRule="auto"/>
                    <w:jc w:val="both"/>
                    <w:textAlignment w:val="baseline"/>
                    <w:rPr>
                      <w:bCs/>
                      <w:snapToGrid/>
                      <w:color w:val="000000" w:themeColor="text1"/>
                      <w:kern w:val="0"/>
                      <w:sz w:val="21"/>
                      <w:szCs w:val="21"/>
                      <w14:textFill>
                        <w14:solidFill>
                          <w14:schemeClr w14:val="tx1"/>
                        </w14:solidFill>
                      </w14:textFill>
                    </w:rPr>
                  </w:pPr>
                  <w:r>
                    <w:rPr>
                      <w:bCs/>
                      <w:snapToGrid/>
                      <w:color w:val="000000" w:themeColor="text1"/>
                      <w:kern w:val="0"/>
                      <w:sz w:val="21"/>
                      <w:szCs w:val="21"/>
                      <w14:textFill>
                        <w14:solidFill>
                          <w14:schemeClr w14:val="tx1"/>
                        </w14:solidFill>
                      </w14:textFill>
                    </w:rPr>
                    <w:t>项目不涉</w:t>
                  </w:r>
                  <w:r>
                    <w:rPr>
                      <w:color w:val="000000" w:themeColor="text1"/>
                      <w:szCs w:val="21"/>
                      <w14:textFill>
                        <w14:solidFill>
                          <w14:schemeClr w14:val="tx1"/>
                        </w14:solidFill>
                      </w14:textFill>
                    </w:rPr>
                    <w:t>向海排放污染物的海洋工程建设项目</w:t>
                  </w:r>
                </w:p>
              </w:tc>
              <w:tc>
                <w:tcPr>
                  <w:tcW w:w="1058" w:type="dxa"/>
                  <w:noWrap/>
                  <w:vAlign w:val="center"/>
                </w:tcPr>
                <w:p w14:paraId="26C8AB57">
                  <w:pPr>
                    <w:pageBreakBefore w:val="0"/>
                    <w:kinsoku/>
                    <w:wordWrap/>
                    <w:overflowPunct/>
                    <w:topLinePunct w:val="0"/>
                    <w:autoSpaceDE w:val="0"/>
                    <w:autoSpaceDN w:val="0"/>
                    <w:bidi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p>
              </w:tc>
            </w:tr>
            <w:tr w14:paraId="3453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9" w:type="dxa"/>
                  <w:gridSpan w:val="4"/>
                  <w:noWrap/>
                  <w:vAlign w:val="center"/>
                </w:tcPr>
                <w:p w14:paraId="22C6B283">
                  <w:pPr>
                    <w:pageBreakBefore w:val="0"/>
                    <w:kinsoku/>
                    <w:wordWrap/>
                    <w:overflowPunct/>
                    <w:topLinePunct w:val="0"/>
                    <w:autoSpaceDE w:val="0"/>
                    <w:autoSpaceDN w:val="0"/>
                    <w:bidi w:val="0"/>
                    <w:ind w:firstLine="360" w:firstLineChars="20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注：1.废气中有毒有害污染物指纳入《有毒有害大气污染物名录》的污染物（不包括无排放标准的污染物）。</w:t>
                  </w:r>
                </w:p>
                <w:p w14:paraId="6C45A702">
                  <w:pPr>
                    <w:pageBreakBefore w:val="0"/>
                    <w:kinsoku/>
                    <w:wordWrap/>
                    <w:overflowPunct/>
                    <w:topLinePunct w:val="0"/>
                    <w:autoSpaceDE w:val="0"/>
                    <w:autoSpaceDN w:val="0"/>
                    <w:bidi w:val="0"/>
                    <w:ind w:firstLine="720" w:firstLineChars="40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2.环境空气保护目标指自然保护区、风景名胜区、居住区、文化区和农村地区中人群较集中的区域。</w:t>
                  </w:r>
                </w:p>
                <w:p w14:paraId="021A76E4">
                  <w:pPr>
                    <w:pageBreakBefore w:val="0"/>
                    <w:kinsoku/>
                    <w:wordWrap/>
                    <w:overflowPunct/>
                    <w:topLinePunct w:val="0"/>
                    <w:autoSpaceDE w:val="0"/>
                    <w:autoSpaceDN w:val="0"/>
                    <w:bidi w:val="0"/>
                    <w:ind w:firstLine="720" w:firstLineChars="400"/>
                    <w:rPr>
                      <w:color w:val="000000" w:themeColor="text1"/>
                      <w:szCs w:val="21"/>
                      <w14:textFill>
                        <w14:solidFill>
                          <w14:schemeClr w14:val="tx1"/>
                        </w14:solidFill>
                      </w14:textFill>
                    </w:rPr>
                  </w:pPr>
                  <w:r>
                    <w:rPr>
                      <w:color w:val="000000" w:themeColor="text1"/>
                      <w:sz w:val="18"/>
                      <w:szCs w:val="18"/>
                      <w14:textFill>
                        <w14:solidFill>
                          <w14:schemeClr w14:val="tx1"/>
                        </w14:solidFill>
                      </w14:textFill>
                    </w:rPr>
                    <w:t>3.临界量及其计算方法可参考《建设项目环境风险评价技术导则》（HJ169）附录B、附录C。</w:t>
                  </w:r>
                </w:p>
              </w:tc>
            </w:tr>
          </w:tbl>
          <w:p w14:paraId="7BBCD2A5">
            <w:pPr>
              <w:pageBreakBefore w:val="0"/>
              <w:kinsoku/>
              <w:wordWrap/>
              <w:overflowPunct/>
              <w:topLinePunct w:val="0"/>
              <w:autoSpaceDE w:val="0"/>
              <w:autoSpaceDN w:val="0"/>
              <w:bidi w:val="0"/>
              <w:adjustRightInd w:val="0"/>
              <w:snapToGrid w:val="0"/>
              <w:jc w:val="center"/>
              <w:rPr>
                <w:color w:val="000000" w:themeColor="text1"/>
                <w:kern w:val="0"/>
                <w:sz w:val="24"/>
                <w14:textFill>
                  <w14:solidFill>
                    <w14:schemeClr w14:val="tx1"/>
                  </w14:solidFill>
                </w14:textFill>
              </w:rPr>
            </w:pPr>
          </w:p>
        </w:tc>
      </w:tr>
      <w:tr w14:paraId="44F4C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Align w:val="center"/>
          </w:tcPr>
          <w:p w14:paraId="665F42DD">
            <w:pPr>
              <w:pageBreakBefore w:val="0"/>
              <w:kinsoku/>
              <w:wordWrap/>
              <w:overflowPunct/>
              <w:topLinePunct w:val="0"/>
              <w:autoSpaceDE w:val="0"/>
              <w:autoSpaceDN w:val="0"/>
              <w:bidi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8400" w:type="dxa"/>
            <w:gridSpan w:val="3"/>
            <w:vAlign w:val="center"/>
          </w:tcPr>
          <w:p w14:paraId="787BB49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w:t>
            </w:r>
          </w:p>
        </w:tc>
      </w:tr>
      <w:tr w14:paraId="0E5DE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6" w:type="dxa"/>
            <w:vAlign w:val="center"/>
          </w:tcPr>
          <w:p w14:paraId="4BD3FFA8">
            <w:pPr>
              <w:pageBreakBefore w:val="0"/>
              <w:kinsoku/>
              <w:wordWrap/>
              <w:overflowPunct/>
              <w:topLinePunct w:val="0"/>
              <w:bidi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8400" w:type="dxa"/>
            <w:gridSpan w:val="3"/>
            <w:vAlign w:val="center"/>
          </w:tcPr>
          <w:p w14:paraId="5402882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w:t>
            </w:r>
          </w:p>
        </w:tc>
      </w:tr>
      <w:tr w14:paraId="10112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936" w:type="dxa"/>
            <w:vAlign w:val="center"/>
          </w:tcPr>
          <w:p w14:paraId="74DC3B0B">
            <w:pPr>
              <w:pageBreakBefore w:val="0"/>
              <w:kinsoku/>
              <w:wordWrap/>
              <w:overflowPunct/>
              <w:topLinePunct w:val="0"/>
              <w:autoSpaceDE w:val="0"/>
              <w:autoSpaceDN w:val="0"/>
              <w:bidi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8400" w:type="dxa"/>
            <w:gridSpan w:val="3"/>
            <w:vAlign w:val="center"/>
          </w:tcPr>
          <w:p w14:paraId="125803B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w:t>
            </w:r>
          </w:p>
        </w:tc>
      </w:tr>
      <w:tr w14:paraId="60AD6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6" w:type="dxa"/>
            <w:vAlign w:val="center"/>
          </w:tcPr>
          <w:p w14:paraId="3ADE941D">
            <w:pPr>
              <w:pageBreakBefore w:val="0"/>
              <w:kinsoku/>
              <w:wordWrap/>
              <w:overflowPunct/>
              <w:topLinePunct w:val="0"/>
              <w:autoSpaceDE w:val="0"/>
              <w:autoSpaceDN w:val="0"/>
              <w:bidi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400" w:type="dxa"/>
            <w:gridSpan w:val="3"/>
            <w:vAlign w:val="center"/>
          </w:tcPr>
          <w:p w14:paraId="77754F92">
            <w:pPr>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1.1产业政策符合性分析</w:t>
            </w:r>
          </w:p>
          <w:p w14:paraId="6FB0F0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根据《产业结构调整指导目录（20</w:t>
            </w:r>
            <w:r>
              <w:rPr>
                <w:rFonts w:hint="eastAsia"/>
                <w:color w:val="000000" w:themeColor="text1"/>
                <w:kern w:val="0"/>
                <w:sz w:val="24"/>
                <w:highlight w:val="none"/>
                <w:lang w:val="en-US" w:eastAsia="zh-CN"/>
                <w14:textFill>
                  <w14:solidFill>
                    <w14:schemeClr w14:val="tx1"/>
                  </w14:solidFill>
                </w14:textFill>
              </w:rPr>
              <w:t>24</w:t>
            </w:r>
            <w:r>
              <w:rPr>
                <w:rFonts w:hint="eastAsia"/>
                <w:color w:val="000000" w:themeColor="text1"/>
                <w:kern w:val="0"/>
                <w:sz w:val="24"/>
                <w:highlight w:val="none"/>
                <w14:textFill>
                  <w14:solidFill>
                    <w14:schemeClr w14:val="tx1"/>
                  </w14:solidFill>
                </w14:textFill>
              </w:rPr>
              <w:t>年本）》，项目属于</w:t>
            </w:r>
            <w:r>
              <w:rPr>
                <w:rFonts w:hint="eastAsia"/>
                <w:b/>
                <w:bCs/>
                <w:color w:val="000000" w:themeColor="text1"/>
                <w:kern w:val="0"/>
                <w:sz w:val="24"/>
                <w:highlight w:val="none"/>
                <w14:textFill>
                  <w14:solidFill>
                    <w14:schemeClr w14:val="tx1"/>
                  </w14:solidFill>
                </w14:textFill>
              </w:rPr>
              <w:t>鼓励类</w:t>
            </w:r>
            <w:r>
              <w:rPr>
                <w:rFonts w:hint="eastAsia"/>
                <w:color w:val="000000" w:themeColor="text1"/>
                <w:kern w:val="0"/>
                <w:sz w:val="24"/>
                <w:highlight w:val="none"/>
                <w14:textFill>
                  <w14:solidFill>
                    <w14:schemeClr w14:val="tx1"/>
                  </w14:solidFill>
                </w14:textFill>
              </w:rPr>
              <w:t>“四十</w:t>
            </w:r>
            <w:r>
              <w:rPr>
                <w:rFonts w:hint="eastAsia"/>
                <w:color w:val="000000" w:themeColor="text1"/>
                <w:kern w:val="0"/>
                <w:sz w:val="24"/>
                <w:highlight w:val="none"/>
                <w:lang w:val="en-US" w:eastAsia="zh-CN"/>
                <w14:textFill>
                  <w14:solidFill>
                    <w14:schemeClr w14:val="tx1"/>
                  </w14:solidFill>
                </w14:textFill>
              </w:rPr>
              <w:t>二</w:t>
            </w:r>
            <w:r>
              <w:rPr>
                <w:rFonts w:hint="eastAsia"/>
                <w:color w:val="000000" w:themeColor="text1"/>
                <w:kern w:val="0"/>
                <w:sz w:val="24"/>
                <w:highlight w:val="none"/>
                <w14:textFill>
                  <w14:solidFill>
                    <w14:schemeClr w14:val="tx1"/>
                  </w14:solidFill>
                </w14:textFill>
              </w:rPr>
              <w:t>、环境保护与资源节约综合利用”中“1</w:t>
            </w:r>
            <w:r>
              <w:rPr>
                <w:rFonts w:hint="eastAsia"/>
                <w:color w:val="000000" w:themeColor="text1"/>
                <w:kern w:val="0"/>
                <w:sz w:val="24"/>
                <w:highlight w:val="none"/>
                <w:lang w:val="en-US" w:eastAsia="zh-CN"/>
                <w14:textFill>
                  <w14:solidFill>
                    <w14:schemeClr w14:val="tx1"/>
                  </w14:solidFill>
                </w14:textFill>
              </w:rPr>
              <w:t>0</w:t>
            </w:r>
            <w:r>
              <w:rPr>
                <w:rFonts w:hint="eastAsia"/>
                <w:color w:val="000000" w:themeColor="text1"/>
                <w:kern w:val="0"/>
                <w:sz w:val="24"/>
                <w:highlight w:val="none"/>
                <w14:textFill>
                  <w14:solidFill>
                    <w14:schemeClr w14:val="tx1"/>
                  </w14:solidFill>
                </w14:textFill>
              </w:rPr>
              <w:t>、‘三废’综合利用与治理技术、装备和工程”。</w:t>
            </w:r>
          </w:p>
          <w:p w14:paraId="004271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kern w:val="0"/>
                <w:sz w:val="24"/>
                <w:highlight w:val="none"/>
                <w:lang w:eastAsia="zh-CN"/>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本项目于202</w:t>
            </w:r>
            <w:r>
              <w:rPr>
                <w:rFonts w:hint="eastAsia"/>
                <w:color w:val="000000" w:themeColor="text1"/>
                <w:kern w:val="0"/>
                <w:sz w:val="24"/>
                <w:highlight w:val="none"/>
                <w:lang w:val="en-US" w:eastAsia="zh-CN"/>
                <w14:textFill>
                  <w14:solidFill>
                    <w14:schemeClr w14:val="tx1"/>
                  </w14:solidFill>
                </w14:textFill>
              </w:rPr>
              <w:t>4</w:t>
            </w:r>
            <w:r>
              <w:rPr>
                <w:rFonts w:hint="eastAsia"/>
                <w:color w:val="000000" w:themeColor="text1"/>
                <w:kern w:val="0"/>
                <w:sz w:val="24"/>
                <w:highlight w:val="none"/>
                <w14:textFill>
                  <w14:solidFill>
                    <w14:schemeClr w14:val="tx1"/>
                  </w14:solidFill>
                </w14:textFill>
              </w:rPr>
              <w:t>年</w:t>
            </w:r>
            <w:r>
              <w:rPr>
                <w:rFonts w:hint="eastAsia"/>
                <w:color w:val="000000" w:themeColor="text1"/>
                <w:kern w:val="0"/>
                <w:sz w:val="24"/>
                <w:highlight w:val="none"/>
                <w:lang w:val="en-US" w:eastAsia="zh-CN"/>
                <w14:textFill>
                  <w14:solidFill>
                    <w14:schemeClr w14:val="tx1"/>
                  </w14:solidFill>
                </w14:textFill>
              </w:rPr>
              <w:t>10</w:t>
            </w:r>
            <w:r>
              <w:rPr>
                <w:rFonts w:hint="eastAsia"/>
                <w:color w:val="000000" w:themeColor="text1"/>
                <w:kern w:val="0"/>
                <w:sz w:val="24"/>
                <w:highlight w:val="none"/>
                <w14:textFill>
                  <w14:solidFill>
                    <w14:schemeClr w14:val="tx1"/>
                  </w14:solidFill>
                </w14:textFill>
              </w:rPr>
              <w:t>月</w:t>
            </w:r>
            <w:r>
              <w:rPr>
                <w:rFonts w:hint="eastAsia"/>
                <w:color w:val="000000" w:themeColor="text1"/>
                <w:kern w:val="0"/>
                <w:sz w:val="24"/>
                <w:highlight w:val="none"/>
                <w:lang w:val="en-US" w:eastAsia="zh-CN"/>
                <w14:textFill>
                  <w14:solidFill>
                    <w14:schemeClr w14:val="tx1"/>
                  </w14:solidFill>
                </w14:textFill>
              </w:rPr>
              <w:t>31日</w:t>
            </w:r>
            <w:r>
              <w:rPr>
                <w:rFonts w:hint="eastAsia"/>
                <w:color w:val="000000" w:themeColor="text1"/>
                <w:kern w:val="0"/>
                <w:sz w:val="24"/>
                <w:highlight w:val="none"/>
                <w14:textFill>
                  <w14:solidFill>
                    <w14:schemeClr w14:val="tx1"/>
                  </w14:solidFill>
                </w14:textFill>
              </w:rPr>
              <w:t>取得曲靖市麒麟区发展和改革局的投资备案，项目代码：2410-530302-04-01-179633</w:t>
            </w:r>
            <w:r>
              <w:rPr>
                <w:rFonts w:hint="eastAsia"/>
                <w:color w:val="000000" w:themeColor="text1"/>
                <w:kern w:val="0"/>
                <w:sz w:val="24"/>
                <w:highlight w:val="none"/>
                <w:lang w:eastAsia="zh-CN"/>
                <w14:textFill>
                  <w14:solidFill>
                    <w14:schemeClr w14:val="tx1"/>
                  </w14:solidFill>
                </w14:textFill>
              </w:rPr>
              <w:t>。</w:t>
            </w:r>
          </w:p>
          <w:p w14:paraId="4C5C92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项目的建设符合国家现行产业政策。</w:t>
            </w:r>
          </w:p>
          <w:p w14:paraId="41C79874">
            <w:pPr>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00B050"/>
                <w:kern w:val="0"/>
                <w:sz w:val="28"/>
                <w:szCs w:val="28"/>
                <w:highlight w:val="none"/>
                <w:lang w:val="en-US" w:eastAsia="zh-CN"/>
              </w:rPr>
            </w:pPr>
            <w:r>
              <w:rPr>
                <w:rFonts w:hint="eastAsia" w:ascii="Times New Roman" w:hAnsi="Times New Roman" w:eastAsia="宋体" w:cs="Times New Roman"/>
                <w:b/>
                <w:bCs/>
                <w:color w:val="00B050"/>
                <w:kern w:val="0"/>
                <w:sz w:val="28"/>
                <w:szCs w:val="28"/>
                <w:highlight w:val="none"/>
                <w:lang w:val="en-US" w:eastAsia="zh-CN"/>
              </w:rPr>
              <w:t>1.2项目与《曲靖市生态环境分区管控动态更新方案（</w:t>
            </w:r>
            <w:r>
              <w:rPr>
                <w:rFonts w:hint="default" w:ascii="Times New Roman" w:hAnsi="Times New Roman" w:eastAsia="宋体" w:cs="Times New Roman"/>
                <w:b/>
                <w:bCs/>
                <w:color w:val="00B050"/>
                <w:kern w:val="0"/>
                <w:sz w:val="28"/>
                <w:szCs w:val="28"/>
                <w:highlight w:val="none"/>
                <w:lang w:val="en-US" w:eastAsia="zh-CN"/>
              </w:rPr>
              <w:t>2023年）》</w:t>
            </w:r>
            <w:r>
              <w:rPr>
                <w:rFonts w:hint="eastAsia" w:ascii="Times New Roman" w:hAnsi="Times New Roman" w:eastAsia="宋体" w:cs="Times New Roman"/>
                <w:b/>
                <w:bCs/>
                <w:color w:val="00B050"/>
                <w:kern w:val="0"/>
                <w:sz w:val="28"/>
                <w:szCs w:val="28"/>
                <w:highlight w:val="none"/>
                <w:lang w:val="en-US" w:eastAsia="zh-CN"/>
              </w:rPr>
              <w:t>（</w:t>
            </w:r>
            <w:r>
              <w:rPr>
                <w:rFonts w:hint="default" w:ascii="Times New Roman" w:hAnsi="Times New Roman" w:eastAsia="宋体" w:cs="Times New Roman"/>
                <w:b/>
                <w:bCs/>
                <w:color w:val="00B050"/>
                <w:kern w:val="0"/>
                <w:sz w:val="28"/>
                <w:szCs w:val="28"/>
                <w:highlight w:val="none"/>
                <w:lang w:val="en-US" w:eastAsia="zh-CN"/>
              </w:rPr>
              <w:t>曲环通〔2024〕36号</w:t>
            </w:r>
            <w:r>
              <w:rPr>
                <w:rFonts w:hint="eastAsia" w:ascii="Times New Roman" w:hAnsi="Times New Roman" w:eastAsia="宋体" w:cs="Times New Roman"/>
                <w:b/>
                <w:bCs/>
                <w:color w:val="00B050"/>
                <w:kern w:val="0"/>
                <w:sz w:val="28"/>
                <w:szCs w:val="28"/>
                <w:highlight w:val="none"/>
                <w:lang w:val="en-US" w:eastAsia="zh-CN"/>
              </w:rPr>
              <w:t>）符合性分析</w:t>
            </w:r>
          </w:p>
          <w:p w14:paraId="54F695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B050"/>
                <w:kern w:val="0"/>
                <w:sz w:val="24"/>
                <w:highlight w:val="none"/>
                <w:lang w:val="en-US" w:eastAsia="zh-CN"/>
              </w:rPr>
            </w:pPr>
            <w:r>
              <w:rPr>
                <w:rFonts w:hint="eastAsia" w:ascii="Times New Roman" w:hAnsi="Times New Roman" w:eastAsia="宋体" w:cs="Times New Roman"/>
                <w:color w:val="00B050"/>
                <w:kern w:val="0"/>
                <w:sz w:val="24"/>
                <w:highlight w:val="none"/>
                <w:lang w:val="en-US" w:eastAsia="zh-CN"/>
              </w:rPr>
              <w:t>根据2024年7月15日曲靖市生态环境局公开发布的《曲靖市生态环境分区管控动态更新方案（</w:t>
            </w:r>
            <w:r>
              <w:rPr>
                <w:rFonts w:hint="default" w:ascii="Times New Roman" w:hAnsi="Times New Roman" w:eastAsia="宋体" w:cs="Times New Roman"/>
                <w:color w:val="00B050"/>
                <w:kern w:val="0"/>
                <w:sz w:val="24"/>
                <w:highlight w:val="none"/>
                <w:lang w:val="en-US" w:eastAsia="zh-CN"/>
              </w:rPr>
              <w:t>2023年）》</w:t>
            </w:r>
            <w:r>
              <w:rPr>
                <w:rFonts w:hint="eastAsia" w:ascii="Times New Roman" w:hAnsi="Times New Roman" w:eastAsia="宋体" w:cs="Times New Roman"/>
                <w:color w:val="00B050"/>
                <w:kern w:val="0"/>
                <w:sz w:val="24"/>
                <w:highlight w:val="none"/>
                <w:lang w:val="en-US" w:eastAsia="zh-CN"/>
              </w:rPr>
              <w:t>（</w:t>
            </w:r>
            <w:r>
              <w:rPr>
                <w:rFonts w:hint="default" w:ascii="Times New Roman" w:hAnsi="Times New Roman" w:eastAsia="宋体" w:cs="Times New Roman"/>
                <w:color w:val="00B050"/>
                <w:kern w:val="0"/>
                <w:sz w:val="24"/>
                <w:highlight w:val="none"/>
                <w:lang w:val="en-US" w:eastAsia="zh-CN"/>
              </w:rPr>
              <w:t>曲环通〔2024〕36号</w:t>
            </w:r>
            <w:r>
              <w:rPr>
                <w:rFonts w:hint="eastAsia" w:ascii="Times New Roman" w:hAnsi="Times New Roman" w:eastAsia="宋体" w:cs="Times New Roman"/>
                <w:color w:val="00B050"/>
                <w:kern w:val="0"/>
                <w:sz w:val="24"/>
                <w:highlight w:val="none"/>
                <w:lang w:val="en-US" w:eastAsia="zh-CN"/>
              </w:rPr>
              <w:t>），项目与其符合性分析如下表1.2-1所示。</w:t>
            </w:r>
          </w:p>
          <w:p w14:paraId="61F36947">
            <w:pPr>
              <w:pStyle w:val="99"/>
              <w:keepNext w:val="0"/>
              <w:keepLines w:val="0"/>
              <w:pageBreakBefore w:val="0"/>
              <w:widowControl w:val="0"/>
              <w:numPr>
                <w:ilvl w:val="0"/>
                <w:numId w:val="0"/>
              </w:numPr>
              <w:kinsoku/>
              <w:wordWrap w:val="0"/>
              <w:overflowPunct/>
              <w:topLinePunct w:val="0"/>
              <w:autoSpaceDE w:val="0"/>
              <w:autoSpaceDN w:val="0"/>
              <w:bidi w:val="0"/>
              <w:adjustRightInd w:val="0"/>
              <w:snapToGrid w:val="0"/>
              <w:spacing w:before="0" w:beforeLines="0" w:after="0" w:afterLines="0" w:line="240" w:lineRule="auto"/>
              <w:jc w:val="center"/>
              <w:textAlignment w:val="auto"/>
              <w:rPr>
                <w:rFonts w:hint="eastAsia" w:cs="宋体"/>
                <w:color w:val="000000" w:themeColor="text1"/>
                <w:sz w:val="21"/>
                <w:szCs w:val="21"/>
                <w:lang w:val="en-US" w:eastAsia="zh-CN" w:bidi="en-US"/>
                <w14:textFill>
                  <w14:solidFill>
                    <w14:schemeClr w14:val="tx1"/>
                  </w14:solidFill>
                </w14:textFill>
              </w:rPr>
            </w:pPr>
            <w:r>
              <w:rPr>
                <w:rFonts w:hint="eastAsia" w:cs="宋体"/>
                <w:color w:val="000000" w:themeColor="text1"/>
                <w:sz w:val="21"/>
                <w:szCs w:val="21"/>
                <w:lang w:val="en-US" w:eastAsia="zh-CN" w:bidi="en-US"/>
                <w14:textFill>
                  <w14:solidFill>
                    <w14:schemeClr w14:val="tx1"/>
                  </w14:solidFill>
                </w14:textFill>
              </w:rPr>
              <w:t>表1.2-1 项目与</w:t>
            </w:r>
            <w:r>
              <w:rPr>
                <w:rFonts w:hint="eastAsia" w:ascii="Times New Roman" w:hAnsi="Times New Roman" w:eastAsia="宋体" w:cs="宋体"/>
                <w:color w:val="000000" w:themeColor="text1"/>
                <w:sz w:val="21"/>
                <w:szCs w:val="21"/>
                <w:lang w:val="en-US" w:eastAsia="zh-CN" w:bidi="en-US"/>
                <w14:textFill>
                  <w14:solidFill>
                    <w14:schemeClr w14:val="tx1"/>
                  </w14:solidFill>
                </w14:textFill>
              </w:rPr>
              <w:t>《曲靖市生态环境分区管控动态更新方案（</w:t>
            </w:r>
            <w:r>
              <w:rPr>
                <w:rFonts w:hint="default" w:ascii="Times New Roman" w:hAnsi="Times New Roman" w:eastAsia="宋体" w:cs="宋体"/>
                <w:color w:val="000000" w:themeColor="text1"/>
                <w:sz w:val="21"/>
                <w:szCs w:val="21"/>
                <w:lang w:val="en-US" w:eastAsia="zh-CN" w:bidi="en-US"/>
                <w14:textFill>
                  <w14:solidFill>
                    <w14:schemeClr w14:val="tx1"/>
                  </w14:solidFill>
                </w14:textFill>
              </w:rPr>
              <w:t>2023年）》</w:t>
            </w:r>
            <w:r>
              <w:rPr>
                <w:rFonts w:hint="eastAsia" w:cs="宋体"/>
                <w:color w:val="000000" w:themeColor="text1"/>
                <w:sz w:val="21"/>
                <w:szCs w:val="21"/>
                <w:lang w:val="en-US" w:eastAsia="zh-CN" w:bidi="en-US"/>
                <w14:textFill>
                  <w14:solidFill>
                    <w14:schemeClr w14:val="tx1"/>
                  </w14:solidFill>
                </w14:textFill>
              </w:rPr>
              <w:t>（</w:t>
            </w:r>
            <w:r>
              <w:rPr>
                <w:rFonts w:hint="default" w:ascii="Times New Roman" w:hAnsi="Times New Roman" w:eastAsia="宋体" w:cs="宋体"/>
                <w:color w:val="000000" w:themeColor="text1"/>
                <w:sz w:val="21"/>
                <w:szCs w:val="21"/>
                <w:lang w:val="en-US" w:eastAsia="zh-CN" w:bidi="en-US"/>
                <w14:textFill>
                  <w14:solidFill>
                    <w14:schemeClr w14:val="tx1"/>
                  </w14:solidFill>
                </w14:textFill>
              </w:rPr>
              <w:t>曲环通〔2024〕36号</w:t>
            </w:r>
            <w:r>
              <w:rPr>
                <w:rFonts w:hint="eastAsia" w:cs="宋体"/>
                <w:color w:val="000000" w:themeColor="text1"/>
                <w:sz w:val="21"/>
                <w:szCs w:val="21"/>
                <w:lang w:val="en-US" w:eastAsia="zh-CN" w:bidi="en-US"/>
                <w14:textFill>
                  <w14:solidFill>
                    <w14:schemeClr w14:val="tx1"/>
                  </w14:solidFill>
                </w14:textFill>
              </w:rPr>
              <w:t>）符合性分析</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601"/>
              <w:gridCol w:w="2705"/>
              <w:gridCol w:w="3174"/>
              <w:gridCol w:w="916"/>
            </w:tblGrid>
            <w:tr w14:paraId="6156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5" w:type="pct"/>
                  <w:gridSpan w:val="2"/>
                  <w:vAlign w:val="center"/>
                </w:tcPr>
                <w:p w14:paraId="609B7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类别</w:t>
                  </w:r>
                </w:p>
              </w:tc>
              <w:tc>
                <w:tcPr>
                  <w:tcW w:w="1638" w:type="pct"/>
                  <w:vAlign w:val="center"/>
                </w:tcPr>
                <w:p w14:paraId="41B860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文件内容</w:t>
                  </w:r>
                </w:p>
              </w:tc>
              <w:tc>
                <w:tcPr>
                  <w:tcW w:w="1922" w:type="pct"/>
                  <w:vAlign w:val="center"/>
                </w:tcPr>
                <w:p w14:paraId="5F8C34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相符性分析</w:t>
                  </w:r>
                </w:p>
              </w:tc>
              <w:tc>
                <w:tcPr>
                  <w:tcW w:w="554" w:type="pct"/>
                  <w:vAlign w:val="center"/>
                </w:tcPr>
                <w:p w14:paraId="6D8AD9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符合性</w:t>
                  </w:r>
                </w:p>
              </w:tc>
            </w:tr>
            <w:tr w14:paraId="095A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vAlign w:val="center"/>
                </w:tcPr>
                <w:p w14:paraId="15E889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生态环境管控总体要求</w:t>
                  </w:r>
                </w:p>
              </w:tc>
              <w:tc>
                <w:tcPr>
                  <w:tcW w:w="364" w:type="pct"/>
                  <w:vAlign w:val="center"/>
                </w:tcPr>
                <w:p w14:paraId="1B46CD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空间布局约束</w:t>
                  </w:r>
                </w:p>
              </w:tc>
              <w:tc>
                <w:tcPr>
                  <w:tcW w:w="1638" w:type="pct"/>
                  <w:vAlign w:val="center"/>
                </w:tcPr>
                <w:p w14:paraId="30E63605">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严格执行《长江经济带发展负面清单指南（试行，2022 年版）》《云南省长江经济带发展负面清单指南实施细则（试行）》等产业准入有关要求。</w:t>
                  </w:r>
                </w:p>
                <w:p w14:paraId="7AD8D21A">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严格实施化解过剩产能和淘汰落后产能，制定产能过剩行业淘汰计划，确保国家、省下达的淘汰落后产能目标任务全面完成。</w:t>
                  </w:r>
                </w:p>
                <w:p w14:paraId="44A591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将资源承载能力、生态环境容量作为承接产业转移的基础和前提，合理确定承接产业转移重点，禁止引进环境污染大、资源消耗高、技术落后的生产能力。</w:t>
                  </w:r>
                </w:p>
                <w:p w14:paraId="66C550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4.支持现有各类产业园区有供热需求的实施热电联产或者集中供热改造，具备条件的工业园区实现集中供热。</w:t>
                  </w:r>
                </w:p>
                <w:p w14:paraId="5ED815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5.严格控制在生态脆弱或环境敏感地区建设《环境保护综合名录》中“高污染、高环境风险”行业项目。</w:t>
                  </w:r>
                </w:p>
                <w:p w14:paraId="0E3C11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6.禁止在合规园区外新建、扩建钢铁、石化、化工、焦化、建材、有色行业中的高污染项目。</w:t>
                  </w:r>
                </w:p>
                <w:p w14:paraId="2E0F90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集中式饮用水水源地严格执行《中华人民共和国水污染防治法》《地下水管理条例》《饮用水水源保护区污染防治管理规定》《曲靖市集中式饮用水水源地保护条例》《云南省曲靖独木水库保护条例》，水源地内城镇开发边界范围已开发区域强化环境基础设施建设与运行维护。</w:t>
                  </w:r>
                </w:p>
                <w:p w14:paraId="70A220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各县（市、区）产业园区重点管控单元、曲靖经济开发区重点管控单元、曲靖高新技术产业开发区重点管控单元、宣威市经济技术开发区重点管控单元空间布局约束、污染物排放管控、环境风险防控、资源利用效率四个维度严格执行现行有效的园区规划、规划环评及其审查意见。</w:t>
                  </w:r>
                </w:p>
              </w:tc>
              <w:tc>
                <w:tcPr>
                  <w:tcW w:w="1922" w:type="pct"/>
                  <w:vAlign w:val="center"/>
                </w:tcPr>
                <w:p w14:paraId="4F13F9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b w:val="0"/>
                      <w:bCs/>
                      <w:color w:val="000000" w:themeColor="text1"/>
                      <w:spacing w:val="10"/>
                      <w:sz w:val="21"/>
                      <w:szCs w:val="21"/>
                      <w:highlight w:val="none"/>
                      <w:lang w:val="en-US" w:eastAsia="zh-CN"/>
                      <w14:textFill>
                        <w14:solidFill>
                          <w14:schemeClr w14:val="tx1"/>
                        </w14:solidFill>
                      </w14:textFill>
                    </w:rPr>
                    <w:t>项目主要废旧电池及废矿物油集中收集、中转项目</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运营期严格</w:t>
                  </w:r>
                  <w:r>
                    <w:rPr>
                      <w:rFonts w:hint="eastAsia" w:cs="Times New Roman"/>
                      <w:color w:val="000000" w:themeColor="text1"/>
                      <w:sz w:val="21"/>
                      <w:szCs w:val="21"/>
                      <w:lang w:val="en-US" w:eastAsia="zh-CN"/>
                      <w14:textFill>
                        <w14:solidFill>
                          <w14:schemeClr w14:val="tx1"/>
                        </w14:solidFill>
                      </w14:textFill>
                    </w:rPr>
                    <w:t>执行</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《长江经济带发展负面清单指南（试行，2022年版）》《云南省长江经济带发展负面清单指南实施细则（试行）》等产业准入有关要求；</w:t>
                  </w:r>
                </w:p>
                <w:p w14:paraId="641D122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产业结构调整指导目录（2024年本）》，项目属于鼓励类“四十二、环境保护与资源节约综合利用”中“10、‘三废’综合利用与治理技术、装备和工程”。同时本项目于2024年10月31日取得曲靖市麒麟区发展和改革局的投资备案，项目代码：2410-530302-04-01-179633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5253945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项目属于</w:t>
                  </w:r>
                  <w:r>
                    <w:rPr>
                      <w:rFonts w:hint="default" w:ascii="Times New Roman" w:hAnsi="Times New Roman" w:eastAsia="宋体" w:cs="Times New Roman"/>
                      <w:b w:val="0"/>
                      <w:bCs w:val="0"/>
                      <w:color w:val="000000" w:themeColor="text1"/>
                      <w:sz w:val="21"/>
                      <w:szCs w:val="21"/>
                      <w14:textFill>
                        <w14:solidFill>
                          <w14:schemeClr w14:val="tx1"/>
                        </w14:solidFill>
                      </w14:textFill>
                    </w:rPr>
                    <w:t>废旧电池及废矿物油集中收集、中转项目</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不属于</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环境污染大、资源消耗高、技术落后的生产能力</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的行业</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p w14:paraId="5456FA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项目属于</w:t>
                  </w:r>
                  <w:r>
                    <w:rPr>
                      <w:rFonts w:hint="default" w:ascii="Times New Roman" w:hAnsi="Times New Roman" w:eastAsia="宋体" w:cs="Times New Roman"/>
                      <w:b w:val="0"/>
                      <w:bCs w:val="0"/>
                      <w:color w:val="000000" w:themeColor="text1"/>
                      <w:sz w:val="21"/>
                      <w:szCs w:val="21"/>
                      <w14:textFill>
                        <w14:solidFill>
                          <w14:schemeClr w14:val="tx1"/>
                        </w14:solidFill>
                      </w14:textFill>
                    </w:rPr>
                    <w:t>废旧电池及废矿物油集中收集、中转项目</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不涉及供热。</w:t>
                  </w:r>
                </w:p>
                <w:p w14:paraId="4549028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项目位于</w:t>
                  </w:r>
                  <w:r>
                    <w:rPr>
                      <w:rFonts w:hint="eastAsia"/>
                      <w:color w:val="000000" w:themeColor="text1"/>
                      <w:sz w:val="21"/>
                      <w:szCs w:val="21"/>
                      <w:lang w:val="en-US" w:eastAsia="zh-CN"/>
                      <w14:textFill>
                        <w14:solidFill>
                          <w14:schemeClr w14:val="tx1"/>
                        </w14:solidFill>
                      </w14:textFill>
                    </w:rPr>
                    <w:t>曲靖市麒麟区珠街街道办事处珠街社区珠街村666号2栋18-19-20</w:t>
                  </w:r>
                  <w:r>
                    <w:rPr>
                      <w:rFonts w:hint="eastAsia"/>
                      <w:color w:val="000000" w:themeColor="text1"/>
                      <w:sz w:val="21"/>
                      <w:szCs w:val="21"/>
                      <w:highlight w:val="none"/>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不涉及</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生态脆弱或环境敏感地区</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p w14:paraId="06C97A34">
                  <w:pPr>
                    <w:pStyle w:val="4"/>
                    <w:pageBreakBefore w:val="0"/>
                    <w:widowControl w:val="0"/>
                    <w:kinsoku/>
                    <w:overflowPunct/>
                    <w:topLinePunct w:val="0"/>
                    <w:bidi w:val="0"/>
                    <w:adjustRightInd/>
                    <w:snapToGrid/>
                    <w:spacing w:before="0"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属于</w:t>
                  </w:r>
                  <w:r>
                    <w:rPr>
                      <w:rFonts w:hint="default" w:ascii="Times New Roman" w:hAnsi="Times New Roman" w:eastAsia="宋体" w:cs="Times New Roman"/>
                      <w:b w:val="0"/>
                      <w:bCs w:val="0"/>
                      <w:color w:val="000000" w:themeColor="text1"/>
                      <w:sz w:val="21"/>
                      <w:szCs w:val="21"/>
                      <w14:textFill>
                        <w14:solidFill>
                          <w14:schemeClr w14:val="tx1"/>
                        </w14:solidFill>
                      </w14:textFill>
                    </w:rPr>
                    <w:t>废旧电池及废矿物油集中收集、中转项目</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不属于</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钢铁、石化、化工、焦化、建材、有色行业中的高污染项目</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p w14:paraId="049846EC">
                  <w:pPr>
                    <w:pStyle w:val="6"/>
                    <w:pageBreakBefore w:val="0"/>
                    <w:widowControl w:val="0"/>
                    <w:kinsoku/>
                    <w:overflowPunct/>
                    <w:topLinePunct w:val="0"/>
                    <w:bidi w:val="0"/>
                    <w:adjustRightInd/>
                    <w:snapToGrid/>
                    <w:spacing w:line="240" w:lineRule="auto"/>
                    <w:ind w:firstLine="0" w:firstLineChars="0"/>
                    <w:jc w:val="both"/>
                    <w:textAlignment w:val="auto"/>
                    <w:rPr>
                      <w:rFonts w:hint="eastAsia"/>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7、</w:t>
                  </w:r>
                  <w:r>
                    <w:rPr>
                      <w:rFonts w:hint="eastAsia"/>
                      <w:bCs/>
                      <w:snapToGrid/>
                      <w:color w:val="00B050"/>
                      <w:kern w:val="0"/>
                      <w:sz w:val="21"/>
                      <w:szCs w:val="21"/>
                    </w:rPr>
                    <w:t>项目采取雨污分流，项目产生碱洗废水经0.5m</w:t>
                  </w:r>
                  <w:r>
                    <w:rPr>
                      <w:rFonts w:hint="eastAsia"/>
                      <w:bCs/>
                      <w:snapToGrid/>
                      <w:color w:val="00B050"/>
                      <w:kern w:val="0"/>
                      <w:sz w:val="21"/>
                      <w:szCs w:val="21"/>
                      <w:vertAlign w:val="superscript"/>
                    </w:rPr>
                    <w:t>3</w:t>
                  </w:r>
                  <w:r>
                    <w:rPr>
                      <w:rFonts w:hint="eastAsia"/>
                      <w:bCs/>
                      <w:snapToGrid/>
                      <w:color w:val="00B050"/>
                      <w:kern w:val="0"/>
                      <w:sz w:val="21"/>
                      <w:szCs w:val="21"/>
                    </w:rPr>
                    <w:t>收集桶收集后委托碱洗废水处置单位进行清运处置；生活污水依托曲靖市东五六供应链管理有限公司已建化粪池（容积：10m</w:t>
                  </w:r>
                  <w:r>
                    <w:rPr>
                      <w:rFonts w:hint="eastAsia"/>
                      <w:bCs/>
                      <w:snapToGrid/>
                      <w:color w:val="00B050"/>
                      <w:kern w:val="0"/>
                      <w:sz w:val="21"/>
                      <w:szCs w:val="21"/>
                      <w:vertAlign w:val="superscript"/>
                    </w:rPr>
                    <w:t>3</w:t>
                  </w:r>
                  <w:r>
                    <w:rPr>
                      <w:rFonts w:hint="eastAsia"/>
                      <w:bCs/>
                      <w:snapToGrid/>
                      <w:color w:val="00B050"/>
                      <w:kern w:val="0"/>
                      <w:sz w:val="21"/>
                      <w:szCs w:val="21"/>
                    </w:rPr>
                    <w:t>）收集后委托麒麟区环卫部门清掏处理，不外排。</w:t>
                  </w:r>
                  <w:r>
                    <w:rPr>
                      <w:rFonts w:hint="eastAsia" w:ascii="Times New Roman" w:hAnsi="Times New Roman" w:eastAsia="宋体"/>
                      <w:snapToGrid w:val="0"/>
                      <w:color w:val="000000" w:themeColor="text1"/>
                      <w:sz w:val="21"/>
                      <w:szCs w:val="21"/>
                      <w:lang w:val="en-US" w:eastAsia="zh-CN"/>
                      <w14:textFill>
                        <w14:solidFill>
                          <w14:schemeClr w14:val="tx1"/>
                        </w14:solidFill>
                      </w14:textFill>
                    </w:rPr>
                    <w:t>采取本次环评提出的各项措施后</w:t>
                  </w:r>
                  <w:r>
                    <w:rPr>
                      <w:rFonts w:hint="eastAsia"/>
                      <w:snapToGrid w:val="0"/>
                      <w:color w:val="000000" w:themeColor="text1"/>
                      <w:sz w:val="21"/>
                      <w:szCs w:val="21"/>
                      <w:lang w:val="en-US" w:eastAsia="zh-CN"/>
                      <w14:textFill>
                        <w14:solidFill>
                          <w14:schemeClr w14:val="tx1"/>
                        </w14:solidFill>
                      </w14:textFill>
                    </w:rPr>
                    <w:t>能够做到达标排放。项目对周边地表水环境及大气环境影响较小；</w:t>
                  </w:r>
                </w:p>
                <w:p w14:paraId="17E0EF71">
                  <w:pPr>
                    <w:pStyle w:val="6"/>
                    <w:pageBreakBefore w:val="0"/>
                    <w:widowControl w:val="0"/>
                    <w:kinsoku/>
                    <w:overflowPunct/>
                    <w:topLinePunct w:val="0"/>
                    <w:bidi w:val="0"/>
                    <w:adjustRightInd/>
                    <w:snapToGrid/>
                    <w:spacing w:line="240" w:lineRule="auto"/>
                    <w:ind w:firstLine="0" w:firstLineChars="0"/>
                    <w:jc w:val="both"/>
                    <w:textAlignment w:val="auto"/>
                    <w:rPr>
                      <w:rFonts w:hint="eastAsia"/>
                      <w:b/>
                      <w:bCs/>
                      <w:color w:val="000000" w:themeColor="text1"/>
                      <w:sz w:val="21"/>
                      <w:szCs w:val="21"/>
                      <w:lang w:val="en-US" w:eastAsia="zh-CN" w:bidi="en-US"/>
                      <w14:textFill>
                        <w14:solidFill>
                          <w14:schemeClr w14:val="tx1"/>
                        </w14:solidFill>
                      </w14:textFill>
                    </w:rPr>
                  </w:pPr>
                  <w:r>
                    <w:rPr>
                      <w:rFonts w:hint="eastAsia"/>
                      <w:snapToGrid w:val="0"/>
                      <w:color w:val="000000" w:themeColor="text1"/>
                      <w:sz w:val="21"/>
                      <w:szCs w:val="21"/>
                      <w:lang w:val="en-US" w:eastAsia="zh-CN"/>
                      <w14:textFill>
                        <w14:solidFill>
                          <w14:schemeClr w14:val="tx1"/>
                        </w14:solidFill>
                      </w14:textFill>
                    </w:rPr>
                    <w:t>8、项目位于</w:t>
                  </w:r>
                  <w:r>
                    <w:rPr>
                      <w:rFonts w:hint="eastAsia"/>
                      <w:color w:val="000000" w:themeColor="text1"/>
                      <w:sz w:val="21"/>
                      <w:szCs w:val="21"/>
                      <w:lang w:val="en-US" w:eastAsia="zh-CN" w:bidi="en-US"/>
                      <w14:textFill>
                        <w14:solidFill>
                          <w14:schemeClr w14:val="tx1"/>
                        </w14:solidFill>
                      </w14:textFill>
                    </w:rPr>
                    <w:t>曲靖市麒麟区珠街街道办事处珠街社区珠街村666号2栋18-19-20；经查询项目所在区域</w:t>
                  </w:r>
                  <w:r>
                    <w:rPr>
                      <w:rFonts w:hint="eastAsia"/>
                      <w:b w:val="0"/>
                      <w:bCs w:val="0"/>
                      <w:color w:val="000000" w:themeColor="text1"/>
                      <w:sz w:val="21"/>
                      <w:szCs w:val="21"/>
                      <w:lang w:val="en-US" w:eastAsia="zh-CN" w:bidi="en-US"/>
                      <w14:textFill>
                        <w14:solidFill>
                          <w14:schemeClr w14:val="tx1"/>
                        </w14:solidFill>
                      </w14:textFill>
                    </w:rPr>
                    <w:t>属于</w:t>
                  </w:r>
                  <w:r>
                    <w:rPr>
                      <w:rFonts w:hint="eastAsia"/>
                      <w:b w:val="0"/>
                      <w:bCs w:val="0"/>
                      <w:color w:val="000000" w:themeColor="text1"/>
                      <w:sz w:val="21"/>
                      <w:szCs w:val="21"/>
                      <w:lang w:bidi="en-US"/>
                      <w14:textFill>
                        <w14:solidFill>
                          <w14:schemeClr w14:val="tx1"/>
                        </w14:solidFill>
                      </w14:textFill>
                    </w:rPr>
                    <w:t>曲靖市一般管控单元</w:t>
                  </w:r>
                  <w:r>
                    <w:rPr>
                      <w:rFonts w:hint="eastAsia"/>
                      <w:b w:val="0"/>
                      <w:bCs w:val="0"/>
                      <w:color w:val="000000" w:themeColor="text1"/>
                      <w:sz w:val="21"/>
                      <w:szCs w:val="21"/>
                      <w:lang w:eastAsia="zh-CN" w:bidi="en-US"/>
                      <w14:textFill>
                        <w14:solidFill>
                          <w14:schemeClr w14:val="tx1"/>
                        </w14:solidFill>
                      </w14:textFill>
                    </w:rPr>
                    <w:t>、</w:t>
                  </w:r>
                  <w:r>
                    <w:rPr>
                      <w:rFonts w:cs="Times New Roman"/>
                      <w:color w:val="00B050"/>
                      <w:kern w:val="0"/>
                      <w:sz w:val="21"/>
                      <w:szCs w:val="21"/>
                    </w:rPr>
                    <w:t>麒麟区农业农村面源污染重点管控单元</w:t>
                  </w:r>
                  <w:r>
                    <w:rPr>
                      <w:rFonts w:hint="eastAsia"/>
                      <w:b w:val="0"/>
                      <w:bCs w:val="0"/>
                      <w:color w:val="000000" w:themeColor="text1"/>
                      <w:sz w:val="21"/>
                      <w:szCs w:val="21"/>
                      <w:lang w:eastAsia="zh-CN" w:bidi="en-US"/>
                      <w14:textFill>
                        <w14:solidFill>
                          <w14:schemeClr w14:val="tx1"/>
                        </w14:solidFill>
                      </w14:textFill>
                    </w:rPr>
                    <w:t>；</w:t>
                  </w:r>
                </w:p>
              </w:tc>
              <w:tc>
                <w:tcPr>
                  <w:tcW w:w="554" w:type="pct"/>
                  <w:vAlign w:val="center"/>
                </w:tcPr>
                <w:p w14:paraId="240E1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1D43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vAlign w:val="center"/>
                </w:tcPr>
                <w:p w14:paraId="163078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64" w:type="pct"/>
                  <w:vAlign w:val="center"/>
                </w:tcPr>
                <w:p w14:paraId="790D54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污染物排放管控</w:t>
                  </w:r>
                </w:p>
              </w:tc>
              <w:tc>
                <w:tcPr>
                  <w:tcW w:w="1638" w:type="pct"/>
                  <w:vAlign w:val="center"/>
                </w:tcPr>
                <w:p w14:paraId="0C557846">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推进以能源、化工、冶金、建材、造纸、农副食品加工、工业涂装和包装印刷等行业为重点的清洁生产审核工作，具体行业包括但不限于煤矿、火力发电，甲醇、焦化、氮肥、磷肥、氯碱、电石、制药、农药、黄磷、铬盐生产，钢铁、铁合金铅锌铝冶炼及再生，水泥、石灰、建筑陶瓷、平板玻璃、沥青防水材料，</w:t>
                  </w:r>
                  <w:r>
                    <w:rPr>
                      <w:rFonts w:hint="eastAsia" w:cs="Times New Roman"/>
                      <w:color w:val="000000" w:themeColor="text1"/>
                      <w:kern w:val="0"/>
                      <w:sz w:val="21"/>
                      <w:szCs w:val="21"/>
                      <w:lang w:eastAsia="zh-CN"/>
                      <w14:textFill>
                        <w14:solidFill>
                          <w14:schemeClr w14:val="tx1"/>
                        </w14:solidFill>
                      </w14:textFill>
                    </w:rPr>
                    <w:t>制浆</w:t>
                  </w:r>
                  <w:r>
                    <w:rPr>
                      <w:rFonts w:hint="default" w:ascii="Times New Roman" w:hAnsi="Times New Roman" w:cs="Times New Roman"/>
                      <w:color w:val="000000" w:themeColor="text1"/>
                      <w:kern w:val="0"/>
                      <w:sz w:val="21"/>
                      <w:szCs w:val="21"/>
                      <w14:textFill>
                        <w14:solidFill>
                          <w14:schemeClr w14:val="tx1"/>
                        </w14:solidFill>
                      </w14:textFill>
                    </w:rPr>
                    <w:t>造纸，酿造、味精、柠檬酸、酶制剂、酵母，新能源电池</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正负极材料），多晶硅、单晶硅、有机硅，工业涂装和包装印刷等行业。</w:t>
                  </w:r>
                </w:p>
                <w:p w14:paraId="0D1D2825">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2.落实云南省碳达峰碳中和相关要求，处理好发展和减排、整体和局部、长远目标和短期目标、政府和市场的关系，加快推动减污降碳协同创新试点，坚定不移走生态优先、绿色低碳的高质量发展道路。</w:t>
                  </w:r>
                </w:p>
                <w:p w14:paraId="7BE0E1B7">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加大重点流域水污染防治，确保水质如期达标。南盘江龚家坝、北盘江旧营桥等断面汇水区，新建、改建、扩建重点行业建设项目实行主要污染物排放减量置换。到2025年，牛栏江、南盘江、北盘江流域内所有城镇区域内实现生活污水处理设施全覆盖、生活污水全处理。</w:t>
                  </w:r>
                </w:p>
                <w:p w14:paraId="07068E6F">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牛栏江等流域内，严格按照《云南省牛栏江保护条例》《牛栏江流域（云南部分）水环境保护规划报告》及其中期评估报告有关要求，禁止在牛栏江水源保护区核心区新建、改建、扩建排污口。牛栏江流域上游保护区内已设置排污口的生产企业，排放水污染物应当符合国家或者地方规定的水污染物排放标准和重点水污染物排放总量控制指标。</w:t>
                  </w:r>
                </w:p>
                <w:p w14:paraId="6B287B6B">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5.严格保护集中式饮用水水源地，整治饮用水源保护区内的污染源，确保饮水安全。</w:t>
                  </w:r>
                </w:p>
                <w:p w14:paraId="0154A63B">
                  <w:pPr>
                    <w:keepNext w:val="0"/>
                    <w:keepLines w:val="0"/>
                    <w:pageBreakBefore w:val="0"/>
                    <w:widowControl w:val="0"/>
                    <w:kinsoku/>
                    <w:overflowPunct/>
                    <w:topLinePunct w:val="0"/>
                    <w:autoSpaceDE/>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6.全面开展城市（县城）排水管网排查整治，消除城市建成区管网空白区、污水直排口，解决雨污混流、管网破损漏损、错接混接等问题。加大城市生活污水提标改造及扩容工作力度，麒麟区、沾益区、曲靖经开区新、改、扩建城市生活污水集中处理设施及工业园区污水集中处理设施污染物排放标准严格执行《地表水环境质量标准》</w:t>
                  </w:r>
                  <w:r>
                    <w:rPr>
                      <w:rFonts w:hint="eastAsia" w:cs="Times New Roman"/>
                      <w:color w:val="000000" w:themeColor="text1"/>
                      <w:kern w:val="0"/>
                      <w:sz w:val="21"/>
                      <w:szCs w:val="21"/>
                      <w:lang w:eastAsia="zh-CN"/>
                      <w14:textFill>
                        <w14:solidFill>
                          <w14:schemeClr w14:val="tx1"/>
                        </w14:solidFill>
                      </w14:textFill>
                    </w:rPr>
                    <w:t>Ⅳ类</w:t>
                  </w:r>
                  <w:r>
                    <w:rPr>
                      <w:rFonts w:hint="default" w:ascii="Times New Roman" w:hAnsi="Times New Roman" w:cs="Times New Roman"/>
                      <w:color w:val="000000" w:themeColor="text1"/>
                      <w:kern w:val="0"/>
                      <w:sz w:val="21"/>
                      <w:szCs w:val="21"/>
                      <w14:textFill>
                        <w14:solidFill>
                          <w14:schemeClr w14:val="tx1"/>
                        </w14:solidFill>
                      </w14:textFill>
                    </w:rPr>
                    <w:t>标准 （其中总氮&lt;10mg/L，</w:t>
                  </w:r>
                  <w:r>
                    <w:rPr>
                      <w:rFonts w:hint="eastAsia" w:cs="Times New Roman"/>
                      <w:color w:val="000000" w:themeColor="text1"/>
                      <w:kern w:val="0"/>
                      <w:sz w:val="21"/>
                      <w:szCs w:val="21"/>
                      <w:lang w:eastAsia="zh-CN"/>
                      <w14:textFill>
                        <w14:solidFill>
                          <w14:schemeClr w14:val="tx1"/>
                        </w14:solidFill>
                      </w14:textFill>
                    </w:rPr>
                    <w:t>粪大肠菌群</w:t>
                  </w:r>
                  <w:r>
                    <w:rPr>
                      <w:rFonts w:hint="default" w:ascii="Times New Roman" w:hAnsi="Times New Roman" w:cs="Times New Roman"/>
                      <w:color w:val="000000" w:themeColor="text1"/>
                      <w:kern w:val="0"/>
                      <w:sz w:val="21"/>
                      <w:szCs w:val="21"/>
                      <w14:textFill>
                        <w14:solidFill>
                          <w14:schemeClr w14:val="tx1"/>
                        </w14:solidFill>
                      </w14:textFill>
                    </w:rPr>
                    <w:t>&lt;1000 个/L）。陆良县、宣威市根据水生态环境质量变化趋势适时推进执行《地表水环境质量标准》</w:t>
                  </w:r>
                  <w:r>
                    <w:rPr>
                      <w:rFonts w:hint="eastAsia" w:cs="Times New Roman"/>
                      <w:color w:val="000000" w:themeColor="text1"/>
                      <w:kern w:val="0"/>
                      <w:sz w:val="21"/>
                      <w:szCs w:val="21"/>
                      <w:lang w:eastAsia="zh-CN"/>
                      <w14:textFill>
                        <w14:solidFill>
                          <w14:schemeClr w14:val="tx1"/>
                        </w14:solidFill>
                      </w14:textFill>
                    </w:rPr>
                    <w:t>Ⅳ类</w:t>
                  </w:r>
                  <w:r>
                    <w:rPr>
                      <w:rFonts w:hint="default" w:ascii="Times New Roman" w:hAnsi="Times New Roman" w:cs="Times New Roman"/>
                      <w:color w:val="000000" w:themeColor="text1"/>
                      <w:kern w:val="0"/>
                      <w:sz w:val="21"/>
                      <w:szCs w:val="21"/>
                      <w14:textFill>
                        <w14:solidFill>
                          <w14:schemeClr w14:val="tx1"/>
                        </w14:solidFill>
                      </w14:textFill>
                    </w:rPr>
                    <w:t>标准</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其中总氮&lt;10mg/L，</w:t>
                  </w:r>
                  <w:r>
                    <w:rPr>
                      <w:rFonts w:hint="eastAsia" w:cs="Times New Roman"/>
                      <w:color w:val="000000" w:themeColor="text1"/>
                      <w:kern w:val="0"/>
                      <w:sz w:val="21"/>
                      <w:szCs w:val="21"/>
                      <w:lang w:eastAsia="zh-CN"/>
                      <w14:textFill>
                        <w14:solidFill>
                          <w14:schemeClr w14:val="tx1"/>
                        </w14:solidFill>
                      </w14:textFill>
                    </w:rPr>
                    <w:t>粪大肠菌群</w:t>
                  </w:r>
                  <w:r>
                    <w:rPr>
                      <w:rFonts w:hint="default" w:ascii="Times New Roman" w:hAnsi="Times New Roman" w:cs="Times New Roman"/>
                      <w:color w:val="000000" w:themeColor="text1"/>
                      <w:kern w:val="0"/>
                      <w:sz w:val="21"/>
                      <w:szCs w:val="21"/>
                      <w14:textFill>
                        <w14:solidFill>
                          <w14:schemeClr w14:val="tx1"/>
                        </w14:solidFill>
                      </w14:textFill>
                    </w:rPr>
                    <w:t>&lt;1000个/L）。其他县（市、区）执行《城镇污水处理厂污染物排放标准》一级标准 A 标准。</w:t>
                  </w:r>
                </w:p>
                <w:p w14:paraId="62857214">
                  <w:pPr>
                    <w:keepNext w:val="0"/>
                    <w:keepLines w:val="0"/>
                    <w:pageBreakBefore w:val="0"/>
                    <w:widowControl w:val="0"/>
                    <w:kinsoku/>
                    <w:overflowPunct/>
                    <w:topLinePunct w:val="0"/>
                    <w:autoSpaceDE/>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7.加快推进污泥无害化处理处置工程建设，鼓励采用资源化利用方式处理处置污泥，经处理后的污泥达到《农用污泥污染物控制标准》（GB4282—2018）要求的用于还田利用。</w:t>
                  </w:r>
                </w:p>
                <w:p w14:paraId="714B35A5">
                  <w:pPr>
                    <w:keepNext w:val="0"/>
                    <w:keepLines w:val="0"/>
                    <w:pageBreakBefore w:val="0"/>
                    <w:widowControl w:val="0"/>
                    <w:kinsoku/>
                    <w:overflowPunct/>
                    <w:topLinePunct w:val="0"/>
                    <w:autoSpaceDE/>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8.加快生活垃圾处理设施建设，推进实施生活垃圾焚烧发电，全面提升城镇生活垃圾分类收转运能力和厨余垃圾处理能力。</w:t>
                  </w:r>
                </w:p>
                <w:p w14:paraId="030FB761">
                  <w:pPr>
                    <w:keepNext w:val="0"/>
                    <w:keepLines w:val="0"/>
                    <w:pageBreakBefore w:val="0"/>
                    <w:widowControl w:val="0"/>
                    <w:kinsoku/>
                    <w:overflowPunct/>
                    <w:topLinePunct w:val="0"/>
                    <w:autoSpaceDE/>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到2025年，中心城区、县城中心城市建成区基本实现污水全收集、全处理，建制镇污水收集处理能力明显提升，中心城市、县城平均污泥无害化处理率达到90%以上，力争实现全市生活垃圾焚烧处理实现全覆盖，餐厨垃圾实现零填埋无害化处理。</w:t>
                  </w:r>
                </w:p>
                <w:p w14:paraId="609A1BD8">
                  <w:pPr>
                    <w:keepNext w:val="0"/>
                    <w:keepLines w:val="0"/>
                    <w:pageBreakBefore w:val="0"/>
                    <w:widowControl w:val="0"/>
                    <w:kinsoku/>
                    <w:overflowPunct/>
                    <w:topLinePunct w:val="0"/>
                    <w:autoSpaceDE/>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10.到2025年，全市农村生活污水治理率达到40%以上，城乡生活垃圾焚烧处理比重达90%以上，全市农村卫生户厕覆盖率达到70%以上，农膜回收率达到90%以上，秸秆综合利用率稳定在90%以上，畜禽粪污综合利用率达到95%以上</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基本实现化肥农药施用量减少3%以上。</w:t>
                  </w:r>
                </w:p>
                <w:p w14:paraId="2DD8EDEF">
                  <w:pPr>
                    <w:keepNext w:val="0"/>
                    <w:keepLines w:val="0"/>
                    <w:pageBreakBefore w:val="0"/>
                    <w:widowControl w:val="0"/>
                    <w:kinsoku/>
                    <w:overflowPunct/>
                    <w:topLinePunct w:val="0"/>
                    <w:autoSpaceDE/>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11.严把新建、改扩建涉重金属重点行业建设项目审批关，切实降低区域重金属排放总量。会泽县新、改、扩建涉重金属重点行业建设项目重点重金属污染物排放遵循</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减量替代</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原则，替代比例不低于1.2:1</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其他县</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市、区</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遵循</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等量替代</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原则。</w:t>
                  </w:r>
                </w:p>
                <w:p w14:paraId="5FAA7071">
                  <w:pPr>
                    <w:keepNext w:val="0"/>
                    <w:keepLines w:val="0"/>
                    <w:pageBreakBefore w:val="0"/>
                    <w:widowControl w:val="0"/>
                    <w:kinsoku/>
                    <w:overflowPunct/>
                    <w:topLinePunct w:val="0"/>
                    <w:autoSpaceDE/>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12.到2025年，曲靖市重点行业重点重金属污染物排放量比2020年下降6%。</w:t>
                  </w:r>
                </w:p>
                <w:p w14:paraId="6A5A2C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13.到2025年，全市化学需氧量、氨氮、氮氧化物、挥发性有机物排放总量等重点工程减排量分别达到7984吨、496吨、3611吨、1181吨。</w:t>
                  </w:r>
                </w:p>
              </w:tc>
              <w:tc>
                <w:tcPr>
                  <w:tcW w:w="1922" w:type="pct"/>
                  <w:vAlign w:val="center"/>
                </w:tcPr>
                <w:p w14:paraId="769D422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项目属于</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eastAsia" w:ascii="Times New Roman" w:hAnsi="Times New Roman" w:cs="Times New Roman"/>
                      <w:b w:val="0"/>
                      <w:bCs/>
                      <w:color w:val="000000" w:themeColor="text1"/>
                      <w:kern w:val="0"/>
                      <w:sz w:val="21"/>
                      <w:szCs w:val="21"/>
                      <w:lang w:val="en-US" w:eastAsia="zh-CN" w:bidi="ar-SA"/>
                      <w14:textFill>
                        <w14:solidFill>
                          <w14:schemeClr w14:val="tx1"/>
                        </w14:solidFill>
                      </w14:textFill>
                    </w:rPr>
                    <w:t>，不属于</w:t>
                  </w:r>
                  <w:r>
                    <w:rPr>
                      <w:rFonts w:hint="default" w:ascii="Times New Roman" w:hAnsi="Times New Roman" w:cs="Times New Roman"/>
                      <w:color w:val="000000" w:themeColor="text1"/>
                      <w:kern w:val="0"/>
                      <w:sz w:val="21"/>
                      <w:szCs w:val="21"/>
                      <w14:textFill>
                        <w14:solidFill>
                          <w14:schemeClr w14:val="tx1"/>
                        </w14:solidFill>
                      </w14:textFill>
                    </w:rPr>
                    <w:t>能源、化工、冶金、建材、造纸、农副食品加工、工业涂装和包装印刷</w:t>
                  </w:r>
                  <w:r>
                    <w:rPr>
                      <w:rFonts w:hint="eastAsia" w:ascii="Times New Roman" w:hAnsi="Times New Roman" w:cs="Times New Roman"/>
                      <w:color w:val="000000" w:themeColor="text1"/>
                      <w:kern w:val="0"/>
                      <w:sz w:val="21"/>
                      <w:szCs w:val="21"/>
                      <w:lang w:val="en-US" w:eastAsia="zh-CN"/>
                      <w14:textFill>
                        <w14:solidFill>
                          <w14:schemeClr w14:val="tx1"/>
                        </w14:solidFill>
                      </w14:textFill>
                    </w:rPr>
                    <w:t>等行业</w:t>
                  </w:r>
                  <w:r>
                    <w:rPr>
                      <w:rFonts w:hint="eastAsia" w:ascii="Times New Roman" w:hAnsi="Times New Roman" w:cs="Times New Roman"/>
                      <w:b w:val="0"/>
                      <w:bCs/>
                      <w:color w:val="000000" w:themeColor="text1"/>
                      <w:kern w:val="0"/>
                      <w:sz w:val="21"/>
                      <w:szCs w:val="21"/>
                      <w:lang w:val="en-US" w:eastAsia="zh-CN" w:bidi="ar-SA"/>
                      <w14:textFill>
                        <w14:solidFill>
                          <w14:schemeClr w14:val="tx1"/>
                        </w14:solidFill>
                      </w14:textFill>
                    </w:rPr>
                    <w:t>；</w:t>
                  </w:r>
                </w:p>
                <w:p w14:paraId="4F3CE0B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2、项目运营期严格落实云南省碳达峰碳中和相关要求，处理好发展和减排、整体和局部、长远目标和短期目标、政府和市场的关系，坚定不移走生态优先、绿色低碳的高质量发展道路</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p w14:paraId="5325868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green"/>
                      <w:vertAlign w:val="baseli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项目所在流域最近控制断面为南盘江响水坝老吴村省控断面，根据曲靖市生态环境局2023年1月</w:t>
                  </w:r>
                  <w:r>
                    <w:rPr>
                      <w:rFonts w:hint="eastAsia" w:cs="Times New Roman"/>
                      <w:b w:val="0"/>
                      <w:bCs w:val="0"/>
                      <w:snapToGrid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9月水质统计，南盘江响水坝老吴村省控断面水质能</w:t>
                  </w:r>
                  <w:r>
                    <w:rPr>
                      <w:rFonts w:hint="eastAsia" w:cs="Times New Roman"/>
                      <w:b w:val="0"/>
                      <w:bCs w:val="0"/>
                      <w:snapToGrid w:val="0"/>
                      <w:color w:val="000000" w:themeColor="text1"/>
                      <w:sz w:val="21"/>
                      <w:szCs w:val="21"/>
                      <w:highlight w:val="none"/>
                      <w:lang w:val="en-US" w:eastAsia="zh-CN"/>
                      <w14:textFill>
                        <w14:solidFill>
                          <w14:schemeClr w14:val="tx1"/>
                        </w14:solidFill>
                      </w14:textFill>
                    </w:rPr>
                    <w:t>达到</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《地表水环境质量标准》（GB3838-2002）中</w:t>
                  </w:r>
                  <w:r>
                    <w:rPr>
                      <w:rFonts w:hint="eastAsia" w:cs="Times New Roman"/>
                      <w:b w:val="0"/>
                      <w:bCs w:val="0"/>
                      <w:snapToGrid w:val="0"/>
                      <w:color w:val="000000" w:themeColor="text1"/>
                      <w:sz w:val="21"/>
                      <w:szCs w:val="21"/>
                      <w:highlight w:val="none"/>
                      <w:lang w:val="en-US" w:eastAsia="zh-CN"/>
                      <w14:textFill>
                        <w14:solidFill>
                          <w14:schemeClr w14:val="tx1"/>
                        </w14:solidFill>
                      </w14:textFill>
                    </w:rPr>
                    <w:t>Ⅲ</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类标准；</w:t>
                  </w:r>
                  <w:r>
                    <w:rPr>
                      <w:rFonts w:hint="eastAsia"/>
                      <w:bCs/>
                      <w:snapToGrid/>
                      <w:color w:val="00B050"/>
                      <w:kern w:val="0"/>
                      <w:sz w:val="21"/>
                      <w:szCs w:val="21"/>
                    </w:rPr>
                    <w:t>项目采取雨污分流，项目产生碱洗废水经0.5m</w:t>
                  </w:r>
                  <w:r>
                    <w:rPr>
                      <w:rFonts w:hint="eastAsia"/>
                      <w:bCs/>
                      <w:snapToGrid/>
                      <w:color w:val="00B050"/>
                      <w:kern w:val="0"/>
                      <w:sz w:val="21"/>
                      <w:szCs w:val="21"/>
                      <w:vertAlign w:val="superscript"/>
                    </w:rPr>
                    <w:t>3</w:t>
                  </w:r>
                  <w:r>
                    <w:rPr>
                      <w:rFonts w:hint="eastAsia"/>
                      <w:bCs/>
                      <w:snapToGrid/>
                      <w:color w:val="00B050"/>
                      <w:kern w:val="0"/>
                      <w:sz w:val="21"/>
                      <w:szCs w:val="21"/>
                    </w:rPr>
                    <w:t>收集桶收集后委托碱洗废水处置单位进行清运处置；生活污水依托曲靖市东五六供应链管理有限公司已建化粪池（容积：10m</w:t>
                  </w:r>
                  <w:r>
                    <w:rPr>
                      <w:rFonts w:hint="eastAsia"/>
                      <w:bCs/>
                      <w:snapToGrid/>
                      <w:color w:val="00B050"/>
                      <w:kern w:val="0"/>
                      <w:sz w:val="21"/>
                      <w:szCs w:val="21"/>
                      <w:vertAlign w:val="superscript"/>
                    </w:rPr>
                    <w:t>3</w:t>
                  </w:r>
                  <w:r>
                    <w:rPr>
                      <w:rFonts w:hint="eastAsia"/>
                      <w:bCs/>
                      <w:snapToGrid/>
                      <w:color w:val="00B050"/>
                      <w:kern w:val="0"/>
                      <w:sz w:val="21"/>
                      <w:szCs w:val="21"/>
                    </w:rPr>
                    <w:t>）收集后委托麒麟区环卫部门清掏处理，不外排</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，不涉及灌溉</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p w14:paraId="37E1B65F">
                  <w:pPr>
                    <w:pStyle w:val="4"/>
                    <w:keepNext/>
                    <w:keepLines/>
                    <w:pageBreakBefore w:val="0"/>
                    <w:widowControl w:val="0"/>
                    <w:kinsoku/>
                    <w:wordWrap w:val="0"/>
                    <w:overflowPunct/>
                    <w:topLinePunct w:val="0"/>
                    <w:autoSpaceDE/>
                    <w:autoSpaceDN w:val="0"/>
                    <w:bidi w:val="0"/>
                    <w:adjustRightInd/>
                    <w:snapToGrid/>
                    <w:spacing w:before="0" w:after="0" w:line="240" w:lineRule="auto"/>
                    <w:ind w:firstLine="0" w:firstLineChars="0"/>
                    <w:jc w:val="both"/>
                    <w:textAlignment w:val="auto"/>
                    <w:rPr>
                      <w:rFonts w:hint="default" w:eastAsiaTheme="majorEastAsia"/>
                      <w:b w:val="0"/>
                      <w:bCs w:val="0"/>
                      <w:color w:val="000000" w:themeColor="text1"/>
                      <w:sz w:val="21"/>
                      <w:szCs w:val="21"/>
                      <w:highlight w:val="green"/>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4、项目属于新建项目，项目运营期</w:t>
                  </w:r>
                  <w:r>
                    <w:rPr>
                      <w:rFonts w:hint="default" w:ascii="Times New Roman" w:hAnsi="Times New Roman" w:cs="Times New Roman"/>
                      <w:b w:val="0"/>
                      <w:bCs w:val="0"/>
                      <w:color w:val="000000" w:themeColor="text1"/>
                      <w:kern w:val="0"/>
                      <w:sz w:val="21"/>
                      <w:szCs w:val="21"/>
                      <w14:textFill>
                        <w14:solidFill>
                          <w14:schemeClr w14:val="tx1"/>
                        </w14:solidFill>
                      </w14:textFill>
                    </w:rPr>
                    <w:t>严格按照《云南省牛栏江保护条例》《牛栏江流域（云南部分）水环境保护规划报告》及其中期评估报告有关要求</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进行管理</w:t>
                  </w: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r>
                    <w:rPr>
                      <w:rFonts w:hint="eastAsia"/>
                      <w:b w:val="0"/>
                      <w:bCs w:val="0"/>
                      <w:snapToGrid/>
                      <w:color w:val="00B050"/>
                      <w:kern w:val="0"/>
                      <w:sz w:val="21"/>
                      <w:szCs w:val="21"/>
                    </w:rPr>
                    <w:t>项目采取雨污分流，项目产生碱洗废水经0.5m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收集桶收集后委托碱洗废水处置单位进行清运处置；生活污水依托曲靖市东五六供应链管理有限公司已建化粪池（容积：10m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）收集后委托麒麟区环卫部门清掏处理，不外排</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，不涉及灌溉</w:t>
                  </w: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，项目不设置总量控制指标。</w:t>
                  </w:r>
                </w:p>
                <w:p w14:paraId="49B9962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本项目不设废水排口，</w:t>
                  </w:r>
                  <w:r>
                    <w:rPr>
                      <w:rFonts w:hint="eastAsia"/>
                      <w:bCs/>
                      <w:snapToGrid/>
                      <w:color w:val="00B050"/>
                      <w:kern w:val="0"/>
                      <w:sz w:val="21"/>
                      <w:szCs w:val="21"/>
                    </w:rPr>
                    <w:t>项目采取雨污分流，项目产生碱洗废水经0.5m</w:t>
                  </w:r>
                  <w:r>
                    <w:rPr>
                      <w:rFonts w:hint="eastAsia"/>
                      <w:bCs/>
                      <w:snapToGrid/>
                      <w:color w:val="00B050"/>
                      <w:kern w:val="0"/>
                      <w:sz w:val="21"/>
                      <w:szCs w:val="21"/>
                      <w:vertAlign w:val="superscript"/>
                    </w:rPr>
                    <w:t>3</w:t>
                  </w:r>
                  <w:r>
                    <w:rPr>
                      <w:rFonts w:hint="eastAsia"/>
                      <w:bCs/>
                      <w:snapToGrid/>
                      <w:color w:val="00B050"/>
                      <w:kern w:val="0"/>
                      <w:sz w:val="21"/>
                      <w:szCs w:val="21"/>
                    </w:rPr>
                    <w:t>收集桶收集后委托碱洗废水处置单位进行清运处置；生活污水依托曲靖市东五六供应链管理有限公司已建化粪池（容积：10m</w:t>
                  </w:r>
                  <w:r>
                    <w:rPr>
                      <w:rFonts w:hint="eastAsia"/>
                      <w:bCs/>
                      <w:snapToGrid/>
                      <w:color w:val="00B050"/>
                      <w:kern w:val="0"/>
                      <w:sz w:val="21"/>
                      <w:szCs w:val="21"/>
                      <w:vertAlign w:val="superscript"/>
                    </w:rPr>
                    <w:t>3</w:t>
                  </w:r>
                  <w:r>
                    <w:rPr>
                      <w:rFonts w:hint="eastAsia"/>
                      <w:bCs/>
                      <w:snapToGrid/>
                      <w:color w:val="00B050"/>
                      <w:kern w:val="0"/>
                      <w:sz w:val="21"/>
                      <w:szCs w:val="21"/>
                    </w:rPr>
                    <w:t>）收集后委托麒麟区环卫部门清掏处理，不外排</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，不涉及灌溉</w:t>
                  </w:r>
                  <w:r>
                    <w:rPr>
                      <w:rFonts w:hint="eastAsia"/>
                      <w:snapToGrid w:val="0"/>
                      <w:color w:val="000000" w:themeColor="text1"/>
                      <w:sz w:val="21"/>
                      <w:szCs w:val="21"/>
                      <w:lang w:val="en-US" w:eastAsia="zh-CN"/>
                      <w14:textFill>
                        <w14:solidFill>
                          <w14:schemeClr w14:val="tx1"/>
                        </w14:solidFill>
                      </w14:textFill>
                    </w:rPr>
                    <w:t>。项目对周边地表水环境影响较小；</w:t>
                  </w:r>
                </w:p>
                <w:p w14:paraId="6D7F11B9">
                  <w:pPr>
                    <w:pStyle w:val="4"/>
                    <w:pageBreakBefore w:val="0"/>
                    <w:widowControl w:val="0"/>
                    <w:kinsoku/>
                    <w:overflowPunct/>
                    <w:topLinePunct w:val="0"/>
                    <w:bidi w:val="0"/>
                    <w:adjustRightInd/>
                    <w:snapToGrid/>
                    <w:spacing w:before="0" w:after="0" w:line="240" w:lineRule="auto"/>
                    <w:ind w:firstLine="0" w:firstLineChars="0"/>
                    <w:jc w:val="both"/>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val="0"/>
                      <w:snapToGrid w:val="0"/>
                      <w:color w:val="000000" w:themeColor="text1"/>
                      <w:sz w:val="21"/>
                      <w:szCs w:val="21"/>
                      <w:lang w:val="en-US" w:eastAsia="zh-CN"/>
                      <w14:textFill>
                        <w14:solidFill>
                          <w14:schemeClr w14:val="tx1"/>
                        </w14:solidFill>
                      </w14:textFill>
                    </w:rPr>
                    <w:t>6、项目属于</w:t>
                  </w:r>
                  <w:r>
                    <w:rPr>
                      <w:rFonts w:hint="eastAsia" w:ascii="Times New Roman" w:hAnsi="Times New Roman" w:cs="Times New Roman"/>
                      <w:b w:val="0"/>
                      <w:bCs w:val="0"/>
                      <w:snapToGrid w:val="0"/>
                      <w:color w:val="000000" w:themeColor="text1"/>
                      <w:sz w:val="21"/>
                      <w:szCs w:val="21"/>
                      <w:highlight w:val="none"/>
                      <w:lang w:val="en-US" w:eastAsia="zh-CN"/>
                      <w14:textFill>
                        <w14:solidFill>
                          <w14:schemeClr w14:val="tx1"/>
                        </w14:solidFill>
                      </w14:textFill>
                    </w:rPr>
                    <w:t>废旧电池及废矿物油集中收集、中转项目</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w:t>
                  </w:r>
                  <w:r>
                    <w:rPr>
                      <w:rFonts w:hint="eastAsia"/>
                      <w:b w:val="0"/>
                      <w:bCs w:val="0"/>
                      <w:snapToGrid w:val="0"/>
                      <w:color w:val="000000" w:themeColor="text1"/>
                      <w:sz w:val="21"/>
                      <w:szCs w:val="21"/>
                      <w:lang w:val="en-US" w:eastAsia="zh-CN"/>
                      <w14:textFill>
                        <w14:solidFill>
                          <w14:schemeClr w14:val="tx1"/>
                        </w14:solidFill>
                      </w14:textFill>
                    </w:rPr>
                    <w:t>且</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本项目不设废水排口，</w:t>
                  </w:r>
                  <w:r>
                    <w:rPr>
                      <w:rFonts w:hint="eastAsia"/>
                      <w:b w:val="0"/>
                      <w:bCs w:val="0"/>
                      <w:snapToGrid/>
                      <w:color w:val="00B050"/>
                      <w:kern w:val="0"/>
                      <w:sz w:val="21"/>
                      <w:szCs w:val="21"/>
                    </w:rPr>
                    <w:t>项目采取雨污分流，项目产</w:t>
                  </w:r>
                  <w:r>
                    <w:rPr>
                      <w:rFonts w:hint="eastAsia"/>
                      <w:b w:val="0"/>
                      <w:bCs w:val="0"/>
                      <w:snapToGrid/>
                      <w:color w:val="00B050"/>
                      <w:kern w:val="0"/>
                      <w:sz w:val="21"/>
                      <w:szCs w:val="21"/>
                      <w:lang w:eastAsia="zh-CN"/>
                    </w:rPr>
                    <w:t>生的</w:t>
                  </w:r>
                  <w:r>
                    <w:rPr>
                      <w:rFonts w:hint="eastAsia"/>
                      <w:b w:val="0"/>
                      <w:bCs w:val="0"/>
                      <w:snapToGrid/>
                      <w:color w:val="00B050"/>
                      <w:kern w:val="0"/>
                      <w:sz w:val="21"/>
                      <w:szCs w:val="21"/>
                    </w:rPr>
                    <w:t>碱洗废水经0.5m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收集桶收集后委托碱洗废水处置单位进行清运处置；生活污水依托曲靖市东五六供应链管理有限公司已建化粪池（容积：10m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）收集后委托麒麟区环卫部门清掏处理，不外排</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，不涉及灌溉</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p w14:paraId="31818D6A">
                  <w:pPr>
                    <w:pStyle w:val="6"/>
                    <w:pageBreakBefore w:val="0"/>
                    <w:widowControl w:val="0"/>
                    <w:kinsoku/>
                    <w:overflowPunct/>
                    <w:topLinePunct w:val="0"/>
                    <w:bidi w:val="0"/>
                    <w:adjustRightInd/>
                    <w:snapToGrid/>
                    <w:spacing w:line="240" w:lineRule="auto"/>
                    <w:ind w:firstLine="0" w:firstLineChars="0"/>
                    <w:jc w:val="both"/>
                    <w:textAlignment w:val="auto"/>
                    <w:rPr>
                      <w:rFonts w:hint="eastAsia"/>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7、</w:t>
                  </w:r>
                  <w:r>
                    <w:rPr>
                      <w:rFonts w:hint="eastAsia"/>
                      <w:b w:val="0"/>
                      <w:bCs w:val="0"/>
                      <w:snapToGrid w:val="0"/>
                      <w:color w:val="000000" w:themeColor="text1"/>
                      <w:sz w:val="21"/>
                      <w:szCs w:val="21"/>
                      <w:lang w:val="en-US" w:eastAsia="zh-CN"/>
                      <w14:textFill>
                        <w14:solidFill>
                          <w14:schemeClr w14:val="tx1"/>
                        </w14:solidFill>
                      </w14:textFill>
                    </w:rPr>
                    <w:t>项目属于</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；运营期产生</w:t>
                  </w:r>
                  <w:r>
                    <w:rPr>
                      <w:rFonts w:hint="eastAsia"/>
                      <w:color w:val="000000" w:themeColor="text1"/>
                      <w:sz w:val="21"/>
                      <w:szCs w:val="21"/>
                      <w:lang w:val="en-US" w:eastAsia="zh-CN"/>
                      <w14:textFill>
                        <w14:solidFill>
                          <w14:schemeClr w14:val="tx1"/>
                        </w14:solidFill>
                      </w14:textFill>
                    </w:rPr>
                    <w:t>固废能100%综合处置。</w:t>
                  </w:r>
                </w:p>
                <w:p w14:paraId="3764789D">
                  <w:pPr>
                    <w:pStyle w:val="6"/>
                    <w:pageBreakBefore w:val="0"/>
                    <w:widowControl w:val="0"/>
                    <w:kinsoku/>
                    <w:overflowPunct/>
                    <w:topLinePunct w:val="0"/>
                    <w:bidi w:val="0"/>
                    <w:adjustRightInd/>
                    <w:snapToGrid/>
                    <w:spacing w:line="240" w:lineRule="auto"/>
                    <w:ind w:firstLine="0" w:firstLineChars="0"/>
                    <w:jc w:val="both"/>
                    <w:textAlignment w:val="auto"/>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8、项目产生</w:t>
                  </w:r>
                  <w:r>
                    <w:rPr>
                      <w:rFonts w:hint="default" w:ascii="Times New Roman" w:hAnsi="Times New Roman" w:eastAsia="宋体" w:cs="Times New Roman"/>
                      <w:b w:val="0"/>
                      <w:bCs w:val="0"/>
                      <w:color w:val="000000" w:themeColor="text1"/>
                      <w:kern w:val="21"/>
                      <w:sz w:val="21"/>
                      <w:szCs w:val="21"/>
                      <w:highlight w:val="none"/>
                      <w:lang w:val="en-US" w:eastAsia="zh-CN"/>
                      <w14:textFill>
                        <w14:solidFill>
                          <w14:schemeClr w14:val="tx1"/>
                        </w14:solidFill>
                      </w14:textFill>
                    </w:rPr>
                    <w:t>生活垃圾</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进行简单分类，可以回收的回收利用，不可回收的装袋送至</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附近</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生活垃圾收集箱，由环卫部门统一清运处置</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p>
                <w:p w14:paraId="221D4A91">
                  <w:pPr>
                    <w:pStyle w:val="96"/>
                    <w:jc w:val="both"/>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9、项目属于</w:t>
                  </w:r>
                  <w:r>
                    <w:rPr>
                      <w:rFonts w:hint="eastAsia" w:ascii="Times New Roman" w:hAnsi="Times New Roman" w:cs="Times New Roman"/>
                      <w:b w:val="0"/>
                      <w:bCs w:val="0"/>
                      <w:snapToGrid w:val="0"/>
                      <w:color w:val="000000" w:themeColor="text1"/>
                      <w:sz w:val="21"/>
                      <w:szCs w:val="21"/>
                      <w:highlight w:val="none"/>
                      <w:lang w:val="en-US" w:eastAsia="zh-CN"/>
                      <w14:textFill>
                        <w14:solidFill>
                          <w14:schemeClr w14:val="tx1"/>
                        </w14:solidFill>
                      </w14:textFill>
                    </w:rPr>
                    <w:t>废旧电池及废矿物油集中收集、中转项目</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，且本项目不设废水排口，</w:t>
                  </w:r>
                  <w:r>
                    <w:rPr>
                      <w:rFonts w:hint="eastAsia"/>
                      <w:b w:val="0"/>
                      <w:bCs w:val="0"/>
                      <w:snapToGrid/>
                      <w:color w:val="00B050"/>
                      <w:kern w:val="0"/>
                      <w:sz w:val="21"/>
                      <w:szCs w:val="21"/>
                    </w:rPr>
                    <w:t>项目采取雨污分流，项目产</w:t>
                  </w:r>
                  <w:r>
                    <w:rPr>
                      <w:rFonts w:hint="eastAsia"/>
                      <w:b w:val="0"/>
                      <w:bCs w:val="0"/>
                      <w:snapToGrid/>
                      <w:color w:val="00B050"/>
                      <w:kern w:val="0"/>
                      <w:sz w:val="21"/>
                      <w:szCs w:val="21"/>
                      <w:lang w:eastAsia="zh-CN"/>
                    </w:rPr>
                    <w:t>生的</w:t>
                  </w:r>
                  <w:r>
                    <w:rPr>
                      <w:rFonts w:hint="eastAsia"/>
                      <w:b w:val="0"/>
                      <w:bCs w:val="0"/>
                      <w:snapToGrid/>
                      <w:color w:val="00B050"/>
                      <w:kern w:val="0"/>
                      <w:sz w:val="21"/>
                      <w:szCs w:val="21"/>
                    </w:rPr>
                    <w:t>碱洗废水经0.5m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收集桶收集后委托碱洗废水处置单位进行清运处置；生活污水依托曲靖市东五六供应链管理有限公司已建化粪池（容积：10m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）收集后委托麒麟区环卫部门清掏处理，不外排</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，不涉及灌溉；</w:t>
                  </w:r>
                </w:p>
                <w:p w14:paraId="531BB7FA">
                  <w:pPr>
                    <w:pStyle w:val="96"/>
                    <w:jc w:val="both"/>
                    <w:rPr>
                      <w:rFonts w:hint="eastAsia"/>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10、</w:t>
                  </w:r>
                  <w:r>
                    <w:rPr>
                      <w:rFonts w:hint="eastAsia"/>
                      <w:b w:val="0"/>
                      <w:bCs w:val="0"/>
                      <w:snapToGrid w:val="0"/>
                      <w:color w:val="000000" w:themeColor="text1"/>
                      <w:sz w:val="21"/>
                      <w:szCs w:val="21"/>
                      <w:highlight w:val="none"/>
                      <w:lang w:val="en-US" w:eastAsia="zh-CN"/>
                      <w14:textFill>
                        <w14:solidFill>
                          <w14:schemeClr w14:val="tx1"/>
                        </w14:solidFill>
                      </w14:textFill>
                    </w:rPr>
                    <w:t>项目属于</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废旧电池及废矿物油集中收集、中转项目</w:t>
                  </w:r>
                  <w: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t>，</w:t>
                  </w:r>
                  <w:r>
                    <w:rPr>
                      <w:rFonts w:hint="eastAsia"/>
                      <w:b w:val="0"/>
                      <w:bCs w:val="0"/>
                      <w:snapToGrid w:val="0"/>
                      <w:color w:val="000000" w:themeColor="text1"/>
                      <w:sz w:val="21"/>
                      <w:szCs w:val="21"/>
                      <w:highlight w:val="none"/>
                      <w:lang w:val="en-US" w:eastAsia="zh-CN"/>
                      <w14:textFill>
                        <w14:solidFill>
                          <w14:schemeClr w14:val="tx1"/>
                        </w14:solidFill>
                      </w14:textFill>
                    </w:rPr>
                    <w:t>且本项目不设废水排口</w:t>
                  </w:r>
                  <w:r>
                    <w:rPr>
                      <w:rFonts w:hint="eastAsia"/>
                      <w:snapToGrid w:val="0"/>
                      <w:color w:val="000000" w:themeColor="text1"/>
                      <w:sz w:val="21"/>
                      <w:szCs w:val="21"/>
                      <w:highlight w:val="none"/>
                      <w:lang w:val="en-US" w:eastAsia="zh-CN"/>
                      <w14:textFill>
                        <w14:solidFill>
                          <w14:schemeClr w14:val="tx1"/>
                        </w14:solidFill>
                      </w14:textFill>
                    </w:rPr>
                    <w:t>，</w:t>
                  </w:r>
                  <w:r>
                    <w:rPr>
                      <w:rFonts w:hint="eastAsia"/>
                      <w:b w:val="0"/>
                      <w:bCs w:val="0"/>
                      <w:snapToGrid/>
                      <w:color w:val="00B050"/>
                      <w:kern w:val="0"/>
                      <w:sz w:val="21"/>
                      <w:szCs w:val="21"/>
                    </w:rPr>
                    <w:t>项目采取雨污分流，项目产</w:t>
                  </w:r>
                  <w:r>
                    <w:rPr>
                      <w:rFonts w:hint="eastAsia"/>
                      <w:b w:val="0"/>
                      <w:bCs w:val="0"/>
                      <w:snapToGrid/>
                      <w:color w:val="00B050"/>
                      <w:kern w:val="0"/>
                      <w:sz w:val="21"/>
                      <w:szCs w:val="21"/>
                      <w:lang w:eastAsia="zh-CN"/>
                    </w:rPr>
                    <w:t>生的</w:t>
                  </w:r>
                  <w:r>
                    <w:rPr>
                      <w:rFonts w:hint="eastAsia"/>
                      <w:b w:val="0"/>
                      <w:bCs w:val="0"/>
                      <w:snapToGrid/>
                      <w:color w:val="00B050"/>
                      <w:kern w:val="0"/>
                      <w:sz w:val="21"/>
                      <w:szCs w:val="21"/>
                    </w:rPr>
                    <w:t>碱洗废水经0.5m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收集桶收集后委托碱洗废水处置单位进行清运处置；生活污水依托曲靖市东五六供应链管理有限公司已建化粪池（容积：10m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）收集后委托麒麟区环卫部门清掏处理，不外排</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w:t>
                  </w:r>
                  <w:r>
                    <w:rPr>
                      <w:rFonts w:hint="eastAsia"/>
                      <w:snapToGrid w:val="0"/>
                      <w:color w:val="000000" w:themeColor="text1"/>
                      <w:sz w:val="21"/>
                      <w:szCs w:val="21"/>
                      <w:highlight w:val="none"/>
                      <w:lang w:val="en-US" w:eastAsia="zh-CN"/>
                      <w14:textFill>
                        <w14:solidFill>
                          <w14:schemeClr w14:val="tx1"/>
                        </w14:solidFill>
                      </w14:textFill>
                    </w:rPr>
                    <w:t>不涉及灌溉</w:t>
                  </w:r>
                  <w:r>
                    <w:rPr>
                      <w:rFonts w:hint="eastAsia"/>
                      <w:b w:val="0"/>
                      <w:bCs/>
                      <w:color w:val="000000" w:themeColor="text1"/>
                      <w:sz w:val="21"/>
                      <w:szCs w:val="21"/>
                      <w:highlight w:val="none"/>
                      <w:lang w:val="en-US" w:eastAsia="zh-CN"/>
                      <w14:textFill>
                        <w14:solidFill>
                          <w14:schemeClr w14:val="tx1"/>
                        </w14:solidFill>
                      </w14:textFill>
                    </w:rPr>
                    <w:t>；</w:t>
                  </w:r>
                </w:p>
                <w:p w14:paraId="0BE82087">
                  <w:pPr>
                    <w:pStyle w:val="6"/>
                    <w:pageBreakBefore w:val="0"/>
                    <w:widowControl w:val="0"/>
                    <w:kinsoku/>
                    <w:overflowPunct/>
                    <w:topLinePunct w:val="0"/>
                    <w:bidi w:val="0"/>
                    <w:adjustRightInd/>
                    <w:snapToGrid/>
                    <w:spacing w:line="240" w:lineRule="auto"/>
                    <w:ind w:firstLine="0" w:firstLineChars="0"/>
                    <w:jc w:val="both"/>
                    <w:textAlignment w:val="auto"/>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11、</w:t>
                  </w:r>
                  <w:r>
                    <w:rPr>
                      <w:rFonts w:hint="eastAsia"/>
                      <w:b w:val="0"/>
                      <w:bCs w:val="0"/>
                      <w:snapToGrid w:val="0"/>
                      <w:color w:val="000000" w:themeColor="text1"/>
                      <w:sz w:val="21"/>
                      <w:szCs w:val="21"/>
                      <w:lang w:val="en-US" w:eastAsia="zh-CN"/>
                      <w14:textFill>
                        <w14:solidFill>
                          <w14:schemeClr w14:val="tx1"/>
                        </w14:solidFill>
                      </w14:textFill>
                    </w:rPr>
                    <w:t>项目属于</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，不属于涉重金属重点行业；</w:t>
                  </w:r>
                </w:p>
                <w:p w14:paraId="1BE13DB3">
                  <w:pPr>
                    <w:pStyle w:val="6"/>
                    <w:pageBreakBefore w:val="0"/>
                    <w:widowControl w:val="0"/>
                    <w:kinsoku/>
                    <w:overflowPunct/>
                    <w:topLinePunct w:val="0"/>
                    <w:bidi w:val="0"/>
                    <w:adjustRightInd/>
                    <w:snapToGrid/>
                    <w:spacing w:line="240" w:lineRule="auto"/>
                    <w:ind w:firstLine="0" w:firstLineChars="0"/>
                    <w:jc w:val="both"/>
                    <w:textAlignment w:val="auto"/>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12、</w:t>
                  </w:r>
                  <w:r>
                    <w:rPr>
                      <w:rFonts w:hint="eastAsia"/>
                      <w:b w:val="0"/>
                      <w:bCs w:val="0"/>
                      <w:snapToGrid w:val="0"/>
                      <w:color w:val="000000" w:themeColor="text1"/>
                      <w:sz w:val="21"/>
                      <w:szCs w:val="21"/>
                      <w:lang w:val="en-US" w:eastAsia="zh-CN"/>
                      <w14:textFill>
                        <w14:solidFill>
                          <w14:schemeClr w14:val="tx1"/>
                        </w14:solidFill>
                      </w14:textFill>
                    </w:rPr>
                    <w:t>项目属于</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，不涉及曲靖市重点行业重点重金属污染物；</w:t>
                  </w:r>
                </w:p>
                <w:p w14:paraId="1E275B01">
                  <w:pPr>
                    <w:pStyle w:val="96"/>
                    <w:jc w:val="both"/>
                    <w:rPr>
                      <w:rFonts w:hint="default" w:ascii="Times New Roman" w:hAnsi="Times New Roman"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13、</w:t>
                  </w:r>
                  <w:r>
                    <w:rPr>
                      <w:rFonts w:hint="eastAsia"/>
                      <w:b w:val="0"/>
                      <w:bCs w:val="0"/>
                      <w:snapToGrid w:val="0"/>
                      <w:color w:val="000000" w:themeColor="text1"/>
                      <w:sz w:val="21"/>
                      <w:szCs w:val="21"/>
                      <w:highlight w:val="none"/>
                      <w:lang w:val="en-US" w:eastAsia="zh-CN"/>
                      <w14:textFill>
                        <w14:solidFill>
                          <w14:schemeClr w14:val="tx1"/>
                        </w14:solidFill>
                      </w14:textFill>
                    </w:rPr>
                    <w:t>项目属于</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废旧电池及废矿物油集中收集、中转项目</w:t>
                  </w:r>
                  <w: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t>，</w:t>
                  </w:r>
                  <w:r>
                    <w:rPr>
                      <w:rFonts w:hint="eastAsia"/>
                      <w:b w:val="0"/>
                      <w:bCs w:val="0"/>
                      <w:snapToGrid w:val="0"/>
                      <w:color w:val="000000" w:themeColor="text1"/>
                      <w:sz w:val="21"/>
                      <w:szCs w:val="21"/>
                      <w:highlight w:val="none"/>
                      <w:lang w:val="en-US" w:eastAsia="zh-CN"/>
                      <w14:textFill>
                        <w14:solidFill>
                          <w14:schemeClr w14:val="tx1"/>
                        </w14:solidFill>
                      </w14:textFill>
                    </w:rPr>
                    <w:t>且本项目不设废水排口</w:t>
                  </w:r>
                  <w:r>
                    <w:rPr>
                      <w:rFonts w:hint="eastAsia"/>
                      <w:snapToGrid w:val="0"/>
                      <w:color w:val="000000" w:themeColor="text1"/>
                      <w:sz w:val="21"/>
                      <w:szCs w:val="21"/>
                      <w:highlight w:val="none"/>
                      <w:lang w:val="en-US" w:eastAsia="zh-CN"/>
                      <w14:textFill>
                        <w14:solidFill>
                          <w14:schemeClr w14:val="tx1"/>
                        </w14:solidFill>
                      </w14:textFill>
                    </w:rPr>
                    <w:t>，</w:t>
                  </w:r>
                  <w:r>
                    <w:rPr>
                      <w:rFonts w:hint="eastAsia"/>
                      <w:b w:val="0"/>
                      <w:bCs w:val="0"/>
                      <w:snapToGrid/>
                      <w:color w:val="00B050"/>
                      <w:kern w:val="0"/>
                      <w:sz w:val="21"/>
                      <w:szCs w:val="21"/>
                    </w:rPr>
                    <w:t>项目采取雨污分流，项目产</w:t>
                  </w:r>
                  <w:r>
                    <w:rPr>
                      <w:rFonts w:hint="eastAsia"/>
                      <w:b w:val="0"/>
                      <w:bCs w:val="0"/>
                      <w:snapToGrid/>
                      <w:color w:val="00B050"/>
                      <w:kern w:val="0"/>
                      <w:sz w:val="21"/>
                      <w:szCs w:val="21"/>
                      <w:lang w:eastAsia="zh-CN"/>
                    </w:rPr>
                    <w:t>生的</w:t>
                  </w:r>
                  <w:r>
                    <w:rPr>
                      <w:rFonts w:hint="eastAsia"/>
                      <w:b w:val="0"/>
                      <w:bCs w:val="0"/>
                      <w:snapToGrid/>
                      <w:color w:val="00B050"/>
                      <w:kern w:val="0"/>
                      <w:sz w:val="21"/>
                      <w:szCs w:val="21"/>
                    </w:rPr>
                    <w:t>碱洗废水经0.5m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收集桶收集后委托碱洗废水处置单位进行清运处置；生活污水依托曲靖市东五六供应链管理有限公司已建化粪池（容积：10m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）收集后委托麒麟区环卫部门清掏处理，不外排</w:t>
                  </w:r>
                  <w:r>
                    <w:rPr>
                      <w:rFonts w:hint="eastAsia"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，不涉及灌溉</w:t>
                  </w:r>
                  <w:r>
                    <w:rPr>
                      <w:rFonts w:hint="eastAsia"/>
                      <w:b w:val="0"/>
                      <w:bCs/>
                      <w:color w:val="000000" w:themeColor="text1"/>
                      <w:sz w:val="21"/>
                      <w:szCs w:val="21"/>
                      <w:highlight w:val="none"/>
                      <w:lang w:val="en-US" w:eastAsia="zh-CN"/>
                      <w14:textFill>
                        <w14:solidFill>
                          <w14:schemeClr w14:val="tx1"/>
                        </w14:solidFill>
                      </w14:textFill>
                    </w:rPr>
                    <w:t>；项目不设置总量控制指标。</w:t>
                  </w:r>
                </w:p>
              </w:tc>
              <w:tc>
                <w:tcPr>
                  <w:tcW w:w="554" w:type="pct"/>
                  <w:vAlign w:val="center"/>
                </w:tcPr>
                <w:p w14:paraId="4C92F8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2EB2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vAlign w:val="center"/>
                </w:tcPr>
                <w:p w14:paraId="06C1C1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64" w:type="pct"/>
                  <w:vAlign w:val="center"/>
                </w:tcPr>
                <w:p w14:paraId="16D7EA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环境风险防控</w:t>
                  </w:r>
                </w:p>
              </w:tc>
              <w:tc>
                <w:tcPr>
                  <w:tcW w:w="1638" w:type="pct"/>
                  <w:vAlign w:val="center"/>
                </w:tcPr>
                <w:p w14:paraId="3C11FD1E">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1.以南盘江、北盘江、牛栏江流域为重点，按规范开展流域工业企业、工业集聚区环境风险评估，落实防控措施。</w:t>
                  </w:r>
                </w:p>
                <w:p w14:paraId="5E55F5AC">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2.开展麒沾马区域大气污染联防联控，逐步推行区域统一规划，统一监测，实行协同的环境准入、落后产能淘汰、机动车环境管理政策和考核评估制度。</w:t>
                  </w:r>
                </w:p>
                <w:p w14:paraId="4D329393">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3.建立和完善与临界州（市）跨流域上下游突发水污染事件联防联控机制，提升应急联防联控水平。</w:t>
                  </w:r>
                </w:p>
                <w:p w14:paraId="0F2A209A">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4.强化大气污染分区分时分类差异化精细化协同管控，加强监测预警应急能力建设，及时采取差异化管控措施。</w:t>
                  </w:r>
                </w:p>
                <w:p w14:paraId="445A9065">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逐步建成全市土壤环境质量监测网络，推进各县（市、区）土壤环境质量监测点位全覆盖；有色金属矿采选、有色金属冶炼、石油加工、化工、农药、焦化、电镀、制革、印染、危险废物处置等行业企业拆除生产设施设备、构筑物和污染治理设施，要事先制定残留污染物清理和安全处置方案。</w:t>
                  </w:r>
                </w:p>
                <w:p w14:paraId="704BA031">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6.加强环境风险防控和应急管理，制定和完善突发环境事件和集中式饮用水水源地突发环境事件应急预案，加强风险防控和突发环境事件应急处理处置能力。</w:t>
                  </w:r>
                </w:p>
                <w:p w14:paraId="248DCD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7.严格管控类农用地，重金属超标区域严禁种植食用农产品；涉重金属、持久性有机物等有毒有害污染物工业企业退出用地，须经评估符合建设用地、农用地土壤环境质量相关要求后，方可用于居住或农业用地。</w:t>
                  </w:r>
                </w:p>
              </w:tc>
              <w:tc>
                <w:tcPr>
                  <w:tcW w:w="1922" w:type="pct"/>
                  <w:vAlign w:val="center"/>
                </w:tcPr>
                <w:p w14:paraId="760C0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本项目属于</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default" w:ascii="Times New Roman" w:hAnsi="Times New Roman" w:eastAsia="宋体" w:cs="Times New Roman"/>
                      <w:b w:val="0"/>
                      <w:bCs w:val="0"/>
                      <w:color w:val="000000" w:themeColor="text1"/>
                      <w:spacing w:val="1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10"/>
                      <w:sz w:val="21"/>
                      <w:szCs w:val="21"/>
                      <w14:textFill>
                        <w14:solidFill>
                          <w14:schemeClr w14:val="tx1"/>
                        </w14:solidFill>
                      </w14:textFill>
                    </w:rPr>
                    <w:t>针对本项目环境风险提出了风险防范措施，通过措施的实施，项目的环境风险是可防控的。</w:t>
                  </w:r>
                  <w:r>
                    <w:rPr>
                      <w:rFonts w:hint="eastAsia" w:cs="Times New Roman"/>
                      <w:b w:val="0"/>
                      <w:bCs w:val="0"/>
                      <w:color w:val="000000" w:themeColor="text1"/>
                      <w:spacing w:val="10"/>
                      <w:sz w:val="21"/>
                      <w:szCs w:val="21"/>
                      <w:lang w:eastAsia="zh-CN"/>
                      <w14:textFill>
                        <w14:solidFill>
                          <w14:schemeClr w14:val="tx1"/>
                        </w14:solidFill>
                      </w14:textFill>
                    </w:rPr>
                    <w:t>按照</w:t>
                  </w:r>
                  <w:r>
                    <w:rPr>
                      <w:rFonts w:hint="default" w:ascii="Times New Roman" w:hAnsi="Times New Roman" w:eastAsia="宋体" w:cs="Times New Roman"/>
                      <w:b w:val="0"/>
                      <w:bCs w:val="0"/>
                      <w:color w:val="000000" w:themeColor="text1"/>
                      <w:spacing w:val="10"/>
                      <w:sz w:val="21"/>
                      <w:szCs w:val="21"/>
                      <w14:textFill>
                        <w14:solidFill>
                          <w14:schemeClr w14:val="tx1"/>
                        </w14:solidFill>
                      </w14:textFill>
                    </w:rPr>
                    <w:t>《企业事业单位突发环境事件应急预案备案管理办法</w:t>
                  </w:r>
                  <w:r>
                    <w:rPr>
                      <w:rFonts w:hint="default" w:ascii="Times New Roman" w:hAnsi="Times New Roman" w:eastAsia="宋体" w:cs="Times New Roman"/>
                      <w:b w:val="0"/>
                      <w:bCs w:val="0"/>
                      <w:color w:val="000000" w:themeColor="text1"/>
                      <w:spacing w:val="7"/>
                      <w:sz w:val="21"/>
                      <w:szCs w:val="21"/>
                      <w14:textFill>
                        <w14:solidFill>
                          <w14:schemeClr w14:val="tx1"/>
                        </w14:solidFill>
                      </w14:textFill>
                    </w:rPr>
                    <w:t>（试行）</w:t>
                  </w:r>
                  <w:r>
                    <w:rPr>
                      <w:rFonts w:hint="default" w:ascii="Times New Roman" w:hAnsi="Times New Roman" w:eastAsia="宋体" w:cs="Times New Roman"/>
                      <w:b w:val="0"/>
                      <w:bCs w:val="0"/>
                      <w:color w:val="000000" w:themeColor="text1"/>
                      <w:spacing w:val="-51"/>
                      <w:sz w:val="21"/>
                      <w:szCs w:val="21"/>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7"/>
                      <w:sz w:val="21"/>
                      <w:szCs w:val="21"/>
                      <w14:textFill>
                        <w14:solidFill>
                          <w14:schemeClr w14:val="tx1"/>
                        </w14:solidFill>
                      </w14:textFill>
                    </w:rPr>
                    <w:t>》（环发〔2015〕4号文）</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10"/>
                      <w:sz w:val="21"/>
                      <w:szCs w:val="21"/>
                      <w14:textFill>
                        <w14:solidFill>
                          <w14:schemeClr w14:val="tx1"/>
                        </w14:solidFill>
                      </w14:textFill>
                    </w:rPr>
                    <w:t>的要求编制环境风险应急预案，并加</w:t>
                  </w:r>
                  <w:r>
                    <w:rPr>
                      <w:rFonts w:hint="default" w:ascii="Times New Roman" w:hAnsi="Times New Roman" w:eastAsia="宋体" w:cs="Times New Roman"/>
                      <w:b w:val="0"/>
                      <w:bCs w:val="0"/>
                      <w:color w:val="000000" w:themeColor="text1"/>
                      <w:spacing w:val="8"/>
                      <w:sz w:val="21"/>
                      <w:szCs w:val="21"/>
                      <w14:textFill>
                        <w14:solidFill>
                          <w14:schemeClr w14:val="tx1"/>
                        </w14:solidFill>
                      </w14:textFill>
                    </w:rPr>
                    <w:t>强运行演练</w:t>
                  </w:r>
                  <w:r>
                    <w:rPr>
                      <w:rFonts w:hint="default" w:ascii="Times New Roman" w:hAnsi="Times New Roman" w:cs="Times New Roman"/>
                      <w:color w:val="000000" w:themeColor="text1"/>
                      <w:sz w:val="21"/>
                      <w:szCs w:val="21"/>
                      <w14:textFill>
                        <w14:solidFill>
                          <w14:schemeClr w14:val="tx1"/>
                        </w14:solidFill>
                      </w14:textFill>
                    </w:rPr>
                    <w:t>。</w:t>
                  </w:r>
                </w:p>
                <w:p w14:paraId="1417EC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54" w:type="pct"/>
                  <w:vAlign w:val="center"/>
                </w:tcPr>
                <w:p w14:paraId="3FF05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6BF5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vAlign w:val="center"/>
                </w:tcPr>
                <w:p w14:paraId="7A56CB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64" w:type="pct"/>
                  <w:vAlign w:val="center"/>
                </w:tcPr>
                <w:p w14:paraId="0B5F1C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资源利用效率</w:t>
                  </w:r>
                </w:p>
              </w:tc>
              <w:tc>
                <w:tcPr>
                  <w:tcW w:w="1638" w:type="pct"/>
                  <w:vAlign w:val="center"/>
                </w:tcPr>
                <w:p w14:paraId="44987537">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坚持以水而定、量水而行，统筹生活、生产和生态用水，科学合理配置水资源，保障河湖基本生态用水。确定河流生态需水量，确保河流生态系统功能。通过电站引水闸的调节，使最低下泄流量不小于河道所需的最小生态径流，以维持下游生物的最小生态需水，以维持坝下游最小生态需水。</w:t>
                  </w:r>
                </w:p>
                <w:p w14:paraId="55202B03">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2.加强南盘江、北盘江、牛栏江等生态流量保障工程建设，合理安排闸坝下泄水量和泄洪时段，维护河湖基本生态用水需求，重点保障、生态敏感区生态流量。</w:t>
                  </w:r>
                </w:p>
                <w:p w14:paraId="07080AAF">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加快建设麒麟区、沾益区、马龙区水系连通工程，形成独木水库—水城水库—潇湘水库—潇湘江等6条生态流量通道，生态流量月保障程度达到90%以上，加强牛栏江流域水资源配置和调度管理，保障公锁、土格樟、黄梨树、黑山河流控制断面和苏斗河水库、金乐水库、长海子水库3个水库控制断面生态基流，确保生态流量泄放，确保德泽水库下泄流量在丰水期和枯水期分别达到16立方米/秒和5.4立方米/秒。</w:t>
                  </w:r>
                </w:p>
                <w:p w14:paraId="2321F946">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4.建立水资源刚性约束制度，实行水资源消耗总量和强度双控，严格实施取水许可和水资源有偿使用制度，强化用水全过程管理，深入抓好工业、城镇、农业等方面用水量控制，严格规范取水许可审批管理。</w:t>
                  </w:r>
                </w:p>
                <w:p w14:paraId="3D05AEAA">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大力推进各县（市、区）农业、工业、城镇节水，扩大曲靖市县域节水型社会比例。强化农业节水，优化农业种植结构，加大农业节水力度，加快实施规模化高效节水灌溉行动。推广和普及田间节水技术，开辟抗旱水源，科学调度抗旱用水。</w:t>
                  </w:r>
                </w:p>
                <w:p w14:paraId="5E99D762">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6.到2025年，曲靖市用水总量控制在18.68亿立方米以内，万元GDP用水量、万元工业增加值用水量比2020年分别不低于20%和16%，农田灌溉水利用系数不低于0.545。</w:t>
                  </w:r>
                </w:p>
                <w:p w14:paraId="041D9328">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7.坚持最严格的耕地保护制度，坚决制止耕地“非农化”防止耕地“非粮化”。坚持节约用地，严格执行耕地占补平衡等制度，提高土地投资强度和单位面积产出水平。</w:t>
                  </w:r>
                </w:p>
                <w:p w14:paraId="350A761F">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8.矿产能源发展区应在符合国家产业政策的前提下，依法依规办理用地手续，在符合矿产资源总体规划的前提下合理开采，促进土地集约节约利用，保护区域生态环境，避免造成地质灾害。</w:t>
                  </w:r>
                </w:p>
                <w:p w14:paraId="31FF64FF">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9.到2025年，全市规模化以上工业单位增加值能耗下降16%，万元工业增加值用水量下降16%，重点耗能行业能效达到标杆水平的比例超过30%。</w:t>
                  </w:r>
                </w:p>
                <w:p w14:paraId="48C55B45">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10.加强南盘江、牛栏江等岸线保护，强化九龙河（麒麟段、罗平段、陆良段、富源段）、牛栏江（会泽段、沾益段、宣威段）、清水江（罗平段、师宗段），宣威市窑上海子、北盘江、可渡河、拖长江、西泽河、以那河，马龙区马龙河，师宗县甸溪河、篆长河，富源县、小黄泥河，会泽县以礼河、硝厂河、小江等河湖岸线保护与管控。</w:t>
                  </w:r>
                </w:p>
                <w:p w14:paraId="08D51C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11.在禁燃区内，禁止销售、燃用高污染燃料；禁止新建、扩建燃用高污染燃料的设施，已建成的，应当在规定的期限内改用天然气、液化石油气、</w:t>
                  </w:r>
                  <w:r>
                    <w:rPr>
                      <w:rFonts w:hint="eastAsia" w:cs="Times New Roman"/>
                      <w:color w:val="000000" w:themeColor="text1"/>
                      <w:kern w:val="0"/>
                      <w:sz w:val="21"/>
                      <w:szCs w:val="21"/>
                      <w:lang w:eastAsia="zh-CN"/>
                      <w14:textFill>
                        <w14:solidFill>
                          <w14:schemeClr w14:val="tx1"/>
                        </w14:solidFill>
                      </w14:textFill>
                    </w:rPr>
                    <w:t>电力</w:t>
                  </w:r>
                  <w:r>
                    <w:rPr>
                      <w:rFonts w:hint="default" w:ascii="Times New Roman" w:hAnsi="Times New Roman" w:cs="Times New Roman"/>
                      <w:color w:val="000000" w:themeColor="text1"/>
                      <w:kern w:val="0"/>
                      <w:sz w:val="21"/>
                      <w:szCs w:val="21"/>
                      <w14:textFill>
                        <w14:solidFill>
                          <w14:schemeClr w14:val="tx1"/>
                        </w14:solidFill>
                      </w14:textFill>
                    </w:rPr>
                    <w:t>或者其他清洁能源。</w:t>
                  </w:r>
                </w:p>
              </w:tc>
              <w:tc>
                <w:tcPr>
                  <w:tcW w:w="1922" w:type="pct"/>
                  <w:vAlign w:val="center"/>
                </w:tcPr>
                <w:p w14:paraId="4DE2F2C0">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本项目运营过程中所消耗的资源主要为水资源、电能。项目用水由</w:t>
                  </w:r>
                  <w:r>
                    <w:rPr>
                      <w:rFonts w:hint="eastAsia"/>
                      <w:color w:val="000000" w:themeColor="text1"/>
                      <w:szCs w:val="21"/>
                      <w:lang w:val="en-US" w:eastAsia="zh-CN"/>
                      <w14:textFill>
                        <w14:solidFill>
                          <w14:schemeClr w14:val="tx1"/>
                        </w14:solidFill>
                      </w14:textFill>
                    </w:rPr>
                    <w:t>依托曲靖市东五六供应链管理有限公司现有自来水供水设施</w:t>
                  </w:r>
                  <w:r>
                    <w:rPr>
                      <w:rFonts w:hint="eastAsia" w:ascii="Times New Roman" w:hAnsi="Times New Roman" w:eastAsia="宋体" w:cs="Times New Roman"/>
                      <w:color w:val="000000" w:themeColor="text1"/>
                      <w:kern w:val="0"/>
                      <w:sz w:val="21"/>
                      <w:szCs w:val="21"/>
                      <w14:textFill>
                        <w14:solidFill>
                          <w14:schemeClr w14:val="tx1"/>
                        </w14:solidFill>
                      </w14:textFill>
                    </w:rPr>
                    <w:t>，项目用水量很小</w:t>
                  </w:r>
                  <w:r>
                    <w:rPr>
                      <w:rFonts w:hint="default" w:ascii="Times New Roman" w:hAnsi="Times New Roman" w:eastAsia="宋体" w:cs="Times New Roman"/>
                      <w:color w:val="000000" w:themeColor="text1"/>
                      <w:kern w:val="0"/>
                      <w:sz w:val="21"/>
                      <w:szCs w:val="21"/>
                      <w14:textFill>
                        <w14:solidFill>
                          <w14:schemeClr w14:val="tx1"/>
                        </w14:solidFill>
                      </w14:textFill>
                    </w:rPr>
                    <w:t>；电能由</w:t>
                  </w:r>
                  <w:r>
                    <w:rPr>
                      <w:rFonts w:hint="eastAsia"/>
                      <w:color w:val="000000" w:themeColor="text1"/>
                      <w:szCs w:val="21"/>
                      <w:lang w:val="en-US" w:eastAsia="zh-CN"/>
                      <w14:textFill>
                        <w14:solidFill>
                          <w14:schemeClr w14:val="tx1"/>
                        </w14:solidFill>
                      </w14:textFill>
                    </w:rPr>
                    <w:t>依托曲靖市东五六供应链管理有限公司现有配电室供电</w:t>
                  </w:r>
                  <w:r>
                    <w:rPr>
                      <w:rFonts w:hint="default" w:ascii="Times New Roman" w:hAnsi="Times New Roman" w:eastAsia="宋体" w:cs="Times New Roman"/>
                      <w:color w:val="000000" w:themeColor="text1"/>
                      <w:kern w:val="0"/>
                      <w:sz w:val="21"/>
                      <w:szCs w:val="21"/>
                      <w14:textFill>
                        <w14:solidFill>
                          <w14:schemeClr w14:val="tx1"/>
                        </w14:solidFill>
                      </w14:textFill>
                    </w:rPr>
                    <w:t>，不会突破当地的资源利用上线</w:t>
                  </w:r>
                  <w:r>
                    <w:rPr>
                      <w:rFonts w:hint="eastAsia" w:ascii="Times New Roman" w:hAnsi="Times New Roman" w:eastAsia="宋体" w:cs="Times New Roman"/>
                      <w:color w:val="000000" w:themeColor="text1"/>
                      <w:kern w:val="0"/>
                      <w:sz w:val="21"/>
                      <w:szCs w:val="21"/>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项目不涉及资源的开采利用，项目用地、供电、供水可满足本项目的运行</w:t>
                  </w:r>
                  <w:r>
                    <w:rPr>
                      <w:rFonts w:hint="eastAsia" w:ascii="Times New Roman" w:hAnsi="Times New Roman" w:eastAsia="宋体" w:cs="Times New Roman"/>
                      <w:color w:val="000000" w:themeColor="text1"/>
                      <w:kern w:val="0"/>
                      <w:sz w:val="21"/>
                      <w:szCs w:val="21"/>
                      <w14:textFill>
                        <w14:solidFill>
                          <w14:schemeClr w14:val="tx1"/>
                        </w14:solidFill>
                      </w14:textFill>
                    </w:rPr>
                    <w:t>。项目不在曲靖市中心城区禁燃区范围内。</w:t>
                  </w:r>
                </w:p>
              </w:tc>
              <w:tc>
                <w:tcPr>
                  <w:tcW w:w="554" w:type="pct"/>
                  <w:vAlign w:val="center"/>
                </w:tcPr>
                <w:p w14:paraId="3A3C61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55E3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vMerge w:val="restart"/>
                  <w:vAlign w:val="center"/>
                </w:tcPr>
                <w:p w14:paraId="5E64B1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各县（市）一般管控单元</w:t>
                  </w:r>
                </w:p>
              </w:tc>
              <w:tc>
                <w:tcPr>
                  <w:tcW w:w="364" w:type="pct"/>
                  <w:vAlign w:val="center"/>
                </w:tcPr>
                <w:p w14:paraId="1E35E1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空间布局约束</w:t>
                  </w:r>
                </w:p>
              </w:tc>
              <w:tc>
                <w:tcPr>
                  <w:tcW w:w="1638" w:type="pct"/>
                  <w:shd w:val="clear" w:color="auto" w:fill="auto"/>
                  <w:vAlign w:val="center"/>
                </w:tcPr>
                <w:p w14:paraId="052D3AB6">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1.加强耕地和永久基本农田保护，坚决制止耕地“非农化”、防止耕地“非粮化”。</w:t>
                  </w:r>
                </w:p>
                <w:p w14:paraId="6AF9C35D">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2.禁止新建、改扩建中小水电项目，现有中小水电站应按照环评批复（环评批复未明确生态流量的根据来水量科学确定生态流量），确保连续稳定下泄生态流量。</w:t>
                  </w:r>
                </w:p>
              </w:tc>
              <w:tc>
                <w:tcPr>
                  <w:tcW w:w="1922" w:type="pct"/>
                  <w:vAlign w:val="center"/>
                </w:tcPr>
                <w:p w14:paraId="19DF0EB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b w:val="0"/>
                      <w:bCs w:val="0"/>
                      <w:snapToGrid w:val="0"/>
                      <w:color w:val="000000" w:themeColor="text1"/>
                      <w:kern w:val="2"/>
                      <w:sz w:val="21"/>
                      <w:szCs w:val="21"/>
                      <w:lang w:val="en-US" w:eastAsia="zh-CN" w:bidi="ar-SA"/>
                      <w14:textFill>
                        <w14:solidFill>
                          <w14:schemeClr w14:val="tx1"/>
                        </w14:solidFill>
                      </w14:textFill>
                    </w:rPr>
                    <w:t>根据</w:t>
                  </w:r>
                  <w:r>
                    <w:rPr>
                      <w:rFonts w:hint="eastAsia" w:cs="Times New Roman"/>
                      <w:b w:val="0"/>
                      <w:bCs w:val="0"/>
                      <w:snapToGrid w:val="0"/>
                      <w:color w:val="000000" w:themeColor="text1"/>
                      <w:kern w:val="2"/>
                      <w:sz w:val="21"/>
                      <w:szCs w:val="21"/>
                      <w:lang w:val="en-US" w:eastAsia="zh-CN" w:bidi="ar-SA"/>
                      <w14:textFill>
                        <w14:solidFill>
                          <w14:schemeClr w14:val="tx1"/>
                        </w14:solidFill>
                      </w14:textFill>
                    </w:rPr>
                    <w:t>“三区三线”</w:t>
                  </w:r>
                  <w:r>
                    <w:rPr>
                      <w:rFonts w:hint="eastAsia" w:ascii="Times New Roman" w:hAnsi="Times New Roman" w:eastAsia="宋体" w:cs="Times New Roman"/>
                      <w:b w:val="0"/>
                      <w:bCs w:val="0"/>
                      <w:snapToGrid w:val="0"/>
                      <w:color w:val="000000" w:themeColor="text1"/>
                      <w:kern w:val="2"/>
                      <w:sz w:val="21"/>
                      <w:szCs w:val="21"/>
                      <w:lang w:val="en-US" w:eastAsia="zh-CN" w:bidi="ar-SA"/>
                      <w14:textFill>
                        <w14:solidFill>
                          <w14:schemeClr w14:val="tx1"/>
                        </w14:solidFill>
                      </w14:textFill>
                    </w:rPr>
                    <w:t>查询结果告知函（详见附件</w:t>
                  </w:r>
                  <w:r>
                    <w:rPr>
                      <w:rFonts w:hint="eastAsia" w:ascii="Times New Roman" w:hAnsi="Times New Roman" w:cs="Times New Roman"/>
                      <w:b w:val="0"/>
                      <w:bCs w:val="0"/>
                      <w:snapToGrid w:val="0"/>
                      <w:color w:val="000000" w:themeColor="text1"/>
                      <w:kern w:val="2"/>
                      <w:sz w:val="21"/>
                      <w:szCs w:val="21"/>
                      <w:lang w:val="en-US" w:eastAsia="zh-CN" w:bidi="ar-SA"/>
                      <w14:textFill>
                        <w14:solidFill>
                          <w14:schemeClr w14:val="tx1"/>
                        </w14:solidFill>
                      </w14:textFill>
                    </w:rPr>
                    <w:t>9</w:t>
                  </w:r>
                  <w:r>
                    <w:rPr>
                      <w:rFonts w:hint="eastAsia" w:ascii="Times New Roman" w:hAnsi="Times New Roman" w:eastAsia="宋体" w:cs="Times New Roman"/>
                      <w:b w:val="0"/>
                      <w:bCs w:val="0"/>
                      <w:snapToGrid w:val="0"/>
                      <w:color w:val="000000" w:themeColor="text1"/>
                      <w:kern w:val="2"/>
                      <w:sz w:val="21"/>
                      <w:szCs w:val="21"/>
                      <w:lang w:val="en-US" w:eastAsia="zh-CN" w:bidi="ar-SA"/>
                      <w14:textFill>
                        <w14:solidFill>
                          <w14:schemeClr w14:val="tx1"/>
                        </w14:solidFill>
                      </w14:textFill>
                    </w:rPr>
                    <w:t>），项目用地不占用基本农田，用地性质为</w:t>
                  </w:r>
                  <w:r>
                    <w:rPr>
                      <w:rFonts w:hint="eastAsia" w:cs="Times New Roman"/>
                      <w:b w:val="0"/>
                      <w:bCs w:val="0"/>
                      <w:snapToGrid w:val="0"/>
                      <w:color w:val="000000" w:themeColor="text1"/>
                      <w:kern w:val="2"/>
                      <w:sz w:val="21"/>
                      <w:szCs w:val="21"/>
                      <w:lang w:val="en-US" w:eastAsia="zh-CN" w:bidi="ar-SA"/>
                      <w14:textFill>
                        <w14:solidFill>
                          <w14:schemeClr w14:val="tx1"/>
                        </w14:solidFill>
                      </w14:textFill>
                    </w:rPr>
                    <w:t>物流仓储用地</w:t>
                  </w:r>
                  <w:r>
                    <w:rPr>
                      <w:rFonts w:hint="default" w:ascii="Times New Roman" w:hAnsi="Times New Roman" w:eastAsia="宋体" w:cs="Times New Roman"/>
                      <w:b w:val="0"/>
                      <w:bCs w:val="0"/>
                      <w:snapToGrid w:val="0"/>
                      <w:color w:val="000000" w:themeColor="text1"/>
                      <w:kern w:val="2"/>
                      <w:sz w:val="21"/>
                      <w:szCs w:val="21"/>
                      <w:lang w:val="en-US" w:eastAsia="zh-CN" w:bidi="ar-SA"/>
                      <w14:textFill>
                        <w14:solidFill>
                          <w14:schemeClr w14:val="tx1"/>
                        </w14:solidFill>
                      </w14:textFill>
                    </w:rPr>
                    <w:t>。</w:t>
                  </w:r>
                </w:p>
                <w:p w14:paraId="14ADE0A3">
                  <w:pPr>
                    <w:pStyle w:val="4"/>
                    <w:pageBreakBefore w:val="0"/>
                    <w:widowControl w:val="0"/>
                    <w:kinsoku/>
                    <w:overflowPunct/>
                    <w:topLinePunct w:val="0"/>
                    <w:autoSpaceDE/>
                    <w:bidi w:val="0"/>
                    <w:spacing w:before="0" w:after="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lang w:val="en-US" w:eastAsia="zh-CN"/>
                      <w14:textFill>
                        <w14:solidFill>
                          <w14:schemeClr w14:val="tx1"/>
                        </w14:solidFill>
                      </w14:textFill>
                    </w:rPr>
                    <w:t>2、项目属于</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default" w:ascii="Times New Roman" w:hAnsi="Times New Roman" w:eastAsia="宋体" w:cs="Times New Roman"/>
                      <w:b w:val="0"/>
                      <w:bCs w:val="0"/>
                      <w:color w:val="000000" w:themeColor="text1"/>
                      <w:spacing w:val="1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10"/>
                      <w:sz w:val="21"/>
                      <w:szCs w:val="21"/>
                      <w:highlight w:val="none"/>
                      <w:lang w:val="en-US" w:eastAsia="zh-CN"/>
                      <w14:textFill>
                        <w14:solidFill>
                          <w14:schemeClr w14:val="tx1"/>
                        </w14:solidFill>
                      </w14:textFill>
                    </w:rPr>
                    <w:t>不属于水电项目。</w:t>
                  </w:r>
                </w:p>
              </w:tc>
              <w:tc>
                <w:tcPr>
                  <w:tcW w:w="554" w:type="pct"/>
                  <w:vAlign w:val="center"/>
                </w:tcPr>
                <w:p w14:paraId="59FF7B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0946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vMerge w:val="continue"/>
                  <w:vAlign w:val="center"/>
                </w:tcPr>
                <w:p w14:paraId="423FEC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64" w:type="pct"/>
                  <w:vAlign w:val="center"/>
                </w:tcPr>
                <w:p w14:paraId="2A8F70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污染物排放管控</w:t>
                  </w:r>
                </w:p>
              </w:tc>
              <w:tc>
                <w:tcPr>
                  <w:tcW w:w="1638" w:type="pct"/>
                  <w:shd w:val="clear" w:color="auto" w:fill="auto"/>
                  <w:vAlign w:val="center"/>
                </w:tcPr>
                <w:p w14:paraId="0F9FDDA8">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1.严禁污水灌溉，灌溉用水应满足《农田灌溉水质标准》。</w:t>
                  </w:r>
                </w:p>
                <w:p w14:paraId="1CCF99FA">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2.现有工业企业应达标排放，逐步提升清洁生产水平，减少污染物排放量。</w:t>
                  </w:r>
                </w:p>
                <w:p w14:paraId="26BC239B">
                  <w:pPr>
                    <w:keepNext w:val="0"/>
                    <w:keepLines w:val="0"/>
                    <w:pageBreakBefore w:val="0"/>
                    <w:widowControl w:val="0"/>
                    <w:kinsoku/>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3.加强农业面源污染治理，严格控制化肥农药施用量，合理水产养殖布局，控制水产养殖污染，逐步削减农业面源污染物排放量。</w:t>
                  </w:r>
                </w:p>
              </w:tc>
              <w:tc>
                <w:tcPr>
                  <w:tcW w:w="1922" w:type="pct"/>
                  <w:vAlign w:val="center"/>
                </w:tcPr>
                <w:p w14:paraId="53667F8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color w:val="000000" w:themeColor="text1"/>
                      <w:spacing w:val="1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r>
                    <w:rPr>
                      <w:rFonts w:hint="eastAsia"/>
                      <w:b w:val="0"/>
                      <w:bCs/>
                      <w:color w:val="000000" w:themeColor="text1"/>
                      <w:spacing w:val="10"/>
                      <w:sz w:val="21"/>
                      <w:szCs w:val="21"/>
                      <w:highlight w:val="none"/>
                      <w:lang w:val="en-US" w:eastAsia="zh-CN"/>
                      <w14:textFill>
                        <w14:solidFill>
                          <w14:schemeClr w14:val="tx1"/>
                        </w14:solidFill>
                      </w14:textFill>
                    </w:rPr>
                    <w:t>本项目主要从事</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eastAsia"/>
                      <w:b w:val="0"/>
                      <w:bCs/>
                      <w:color w:val="000000" w:themeColor="text1"/>
                      <w:spacing w:val="10"/>
                      <w:sz w:val="21"/>
                      <w:szCs w:val="21"/>
                      <w:highlight w:val="none"/>
                      <w:lang w:val="en-US" w:eastAsia="zh-CN"/>
                      <w14:textFill>
                        <w14:solidFill>
                          <w14:schemeClr w14:val="tx1"/>
                        </w14:solidFill>
                      </w14:textFill>
                    </w:rPr>
                    <w:t>，</w:t>
                  </w:r>
                  <w:r>
                    <w:rPr>
                      <w:rFonts w:hint="eastAsia"/>
                      <w:b w:val="0"/>
                      <w:bCs w:val="0"/>
                      <w:snapToGrid/>
                      <w:color w:val="00B050"/>
                      <w:kern w:val="0"/>
                      <w:sz w:val="21"/>
                      <w:szCs w:val="21"/>
                    </w:rPr>
                    <w:t>项目采取雨污分流，项目产生碱洗废水经0.5m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收集桶收集后委托碱洗废水处置单位进行清运处置；生活污水依托曲靖市东五六供应链管理有限公司已建化粪池（容积：10m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）收集后委托麒麟区环卫部门清掏处理，不外排</w:t>
                  </w:r>
                  <w:r>
                    <w:rPr>
                      <w:rFonts w:hint="eastAsia"/>
                      <w:color w:val="000000" w:themeColor="text1"/>
                      <w:sz w:val="21"/>
                      <w:szCs w:val="21"/>
                      <w:lang w:val="en-US" w:eastAsia="zh-CN"/>
                      <w14:textFill>
                        <w14:solidFill>
                          <w14:schemeClr w14:val="tx1"/>
                        </w14:solidFill>
                      </w14:textFill>
                    </w:rPr>
                    <w:t>；</w:t>
                  </w:r>
                  <w:r>
                    <w:rPr>
                      <w:rFonts w:hint="eastAsia"/>
                      <w:b w:val="0"/>
                      <w:bCs/>
                      <w:color w:val="000000" w:themeColor="text1"/>
                      <w:spacing w:val="10"/>
                      <w:sz w:val="21"/>
                      <w:szCs w:val="21"/>
                      <w:highlight w:val="none"/>
                      <w:lang w:val="en-US" w:eastAsia="zh-CN"/>
                      <w14:textFill>
                        <w14:solidFill>
                          <w14:schemeClr w14:val="tx1"/>
                        </w14:solidFill>
                      </w14:textFill>
                    </w:rPr>
                    <w:t>项目废水对周边环境敏感目标影响较小。</w:t>
                  </w:r>
                </w:p>
                <w:p w14:paraId="354C4CE4">
                  <w:pPr>
                    <w:pStyle w:val="4"/>
                    <w:pageBreakBefore w:val="0"/>
                    <w:widowControl w:val="0"/>
                    <w:kinsoku/>
                    <w:overflowPunct/>
                    <w:topLinePunct w:val="0"/>
                    <w:autoSpaceDE/>
                    <w:bidi w:val="0"/>
                    <w:adjustRightInd/>
                    <w:snapToGrid/>
                    <w:spacing w:before="0" w:after="0" w:line="240" w:lineRule="auto"/>
                    <w:ind w:firstLine="0" w:firstLineChars="0"/>
                    <w:jc w:val="both"/>
                    <w:textAlignment w:val="auto"/>
                    <w:rPr>
                      <w:rFonts w:hint="default"/>
                      <w:color w:val="000000" w:themeColor="text1"/>
                      <w:lang w:val="en-US" w:eastAsia="zh-CN"/>
                      <w14:textFill>
                        <w14:solidFill>
                          <w14:schemeClr w14:val="tx1"/>
                        </w14:solidFill>
                      </w14:textFill>
                    </w:rPr>
                  </w:pPr>
                  <w:r>
                    <w:rPr>
                      <w:rFonts w:hint="eastAsia"/>
                      <w:b w:val="0"/>
                      <w:bCs/>
                      <w:color w:val="000000" w:themeColor="text1"/>
                      <w:spacing w:val="10"/>
                      <w:sz w:val="21"/>
                      <w:szCs w:val="21"/>
                      <w:highlight w:val="none"/>
                      <w:lang w:val="en-US" w:eastAsia="zh-CN"/>
                      <w14:textFill>
                        <w14:solidFill>
                          <w14:schemeClr w14:val="tx1"/>
                        </w14:solidFill>
                      </w14:textFill>
                    </w:rPr>
                    <w:t>2、项目属于新建项目，本项目产生的环境影响因素包括废气、废水、噪声、固废等，在采取环评提出的防治措施后，均达标排放，对环境影响较小。</w:t>
                  </w:r>
                </w:p>
              </w:tc>
              <w:tc>
                <w:tcPr>
                  <w:tcW w:w="554" w:type="pct"/>
                  <w:vAlign w:val="center"/>
                </w:tcPr>
                <w:p w14:paraId="4F8F0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2C3B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vMerge w:val="continue"/>
                  <w:vAlign w:val="center"/>
                </w:tcPr>
                <w:p w14:paraId="5DCC14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64" w:type="pct"/>
                  <w:vAlign w:val="center"/>
                </w:tcPr>
                <w:p w14:paraId="0AB05A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环境风险防控</w:t>
                  </w:r>
                </w:p>
              </w:tc>
              <w:tc>
                <w:tcPr>
                  <w:tcW w:w="1638" w:type="pct"/>
                  <w:shd w:val="clear" w:color="auto" w:fill="auto"/>
                  <w:vAlign w:val="center"/>
                </w:tcPr>
                <w:p w14:paraId="731F65C3">
                  <w:pPr>
                    <w:keepNext w:val="0"/>
                    <w:keepLines w:val="0"/>
                    <w:pageBreakBefore w:val="0"/>
                    <w:widowControl w:val="0"/>
                    <w:kinsoku/>
                    <w:overflowPunct/>
                    <w:topLinePunct w:val="0"/>
                    <w:autoSpaceDE/>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1.禁止使用国家规定的禁限用农药名录中的农药。</w:t>
                  </w:r>
                </w:p>
                <w:p w14:paraId="31C10F10">
                  <w:pPr>
                    <w:keepNext w:val="0"/>
                    <w:keepLines w:val="0"/>
                    <w:pageBreakBefore w:val="0"/>
                    <w:widowControl w:val="0"/>
                    <w:kinsoku/>
                    <w:overflowPunct/>
                    <w:topLinePunct w:val="0"/>
                    <w:autoSpaceDE/>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2.加强环境风险防范应急体系建设，加强环境应急预案管理，定期开展应急演练，持续开展环境安全隐患排查整治，提升应急监测能力，加强应急物资管理。</w:t>
                  </w:r>
                </w:p>
              </w:tc>
              <w:tc>
                <w:tcPr>
                  <w:tcW w:w="1922" w:type="pct"/>
                  <w:vAlign w:val="center"/>
                </w:tcPr>
                <w:p w14:paraId="2871437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本项目属</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于</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default" w:ascii="Times New Roman" w:hAnsi="Times New Roman" w:eastAsia="宋体" w:cs="Times New Roman"/>
                      <w:b w:val="0"/>
                      <w:bCs w:val="0"/>
                      <w:color w:val="000000" w:themeColor="text1"/>
                      <w:sz w:val="21"/>
                      <w:szCs w:val="21"/>
                      <w14:textFill>
                        <w14:solidFill>
                          <w14:schemeClr w14:val="tx1"/>
                        </w14:solidFill>
                      </w14:textFill>
                    </w:rPr>
                    <w:t>，项目的建设内容不属于国家发展和改革委员会令第</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号令《产业结构调整指导目录（</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2024</w:t>
                  </w:r>
                  <w:r>
                    <w:rPr>
                      <w:rFonts w:hint="default" w:ascii="Times New Roman" w:hAnsi="Times New Roman" w:eastAsia="宋体" w:cs="Times New Roman"/>
                      <w:b w:val="0"/>
                      <w:bCs w:val="0"/>
                      <w:color w:val="000000" w:themeColor="text1"/>
                      <w:sz w:val="21"/>
                      <w:szCs w:val="21"/>
                      <w14:textFill>
                        <w14:solidFill>
                          <w14:schemeClr w14:val="tx1"/>
                        </w14:solidFill>
                      </w14:textFill>
                    </w:rPr>
                    <w:t>年本）》中的“禁止类与限制类”，属于</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鼓励</w:t>
                  </w:r>
                  <w:r>
                    <w:rPr>
                      <w:rFonts w:hint="default" w:ascii="Times New Roman" w:hAnsi="Times New Roman" w:eastAsia="宋体" w:cs="Times New Roman"/>
                      <w:b w:val="0"/>
                      <w:bCs w:val="0"/>
                      <w:color w:val="000000" w:themeColor="text1"/>
                      <w:sz w:val="21"/>
                      <w:szCs w:val="21"/>
                      <w14:textFill>
                        <w14:solidFill>
                          <w14:schemeClr w14:val="tx1"/>
                        </w14:solidFill>
                      </w14:textFill>
                    </w:rPr>
                    <w:t>类</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项目不涉及使用</w:t>
                  </w:r>
                  <w: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t>国家规定的禁限用农药名录中的农药</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14:paraId="0CBE9655">
                  <w:pPr>
                    <w:pStyle w:val="4"/>
                    <w:pageBreakBefore w:val="0"/>
                    <w:widowControl w:val="0"/>
                    <w:kinsoku/>
                    <w:overflowPunct/>
                    <w:topLinePunct w:val="0"/>
                    <w:autoSpaceDE/>
                    <w:bidi w:val="0"/>
                    <w:spacing w:before="0" w:after="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14:textFill>
                        <w14:solidFill>
                          <w14:schemeClr w14:val="tx1"/>
                        </w14:solidFill>
                      </w14:textFill>
                    </w:rPr>
                    <w:t>本项目属于</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default" w:ascii="Times New Roman" w:hAnsi="Times New Roman" w:eastAsia="宋体" w:cs="Times New Roman"/>
                      <w:b w:val="0"/>
                      <w:bCs w:val="0"/>
                      <w:color w:val="000000" w:themeColor="text1"/>
                      <w:spacing w:val="1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10"/>
                      <w:sz w:val="21"/>
                      <w:szCs w:val="21"/>
                      <w14:textFill>
                        <w14:solidFill>
                          <w14:schemeClr w14:val="tx1"/>
                        </w14:solidFill>
                      </w14:textFill>
                    </w:rPr>
                    <w:t>针对本项目环境风险提出了风险防范措施，通过措施的实施，项目的环境风险是可防控的。</w:t>
                  </w:r>
                  <w:r>
                    <w:rPr>
                      <w:rFonts w:hint="eastAsia" w:ascii="Times New Roman" w:hAnsi="Times New Roman" w:eastAsia="宋体" w:cs="Times New Roman"/>
                      <w:b w:val="0"/>
                      <w:bCs w:val="0"/>
                      <w:color w:val="000000" w:themeColor="text1"/>
                      <w:spacing w:val="10"/>
                      <w:sz w:val="21"/>
                      <w:szCs w:val="21"/>
                      <w:lang w:eastAsia="zh-CN"/>
                      <w14:textFill>
                        <w14:solidFill>
                          <w14:schemeClr w14:val="tx1"/>
                        </w14:solidFill>
                      </w14:textFill>
                    </w:rPr>
                    <w:t>按照</w:t>
                  </w:r>
                  <w:r>
                    <w:rPr>
                      <w:rFonts w:hint="default" w:ascii="Times New Roman" w:hAnsi="Times New Roman" w:eastAsia="宋体" w:cs="Times New Roman"/>
                      <w:b w:val="0"/>
                      <w:bCs w:val="0"/>
                      <w:color w:val="000000" w:themeColor="text1"/>
                      <w:spacing w:val="10"/>
                      <w:sz w:val="21"/>
                      <w:szCs w:val="21"/>
                      <w14:textFill>
                        <w14:solidFill>
                          <w14:schemeClr w14:val="tx1"/>
                        </w14:solidFill>
                      </w14:textFill>
                    </w:rPr>
                    <w:t>《企业事业单位突发环境事件应急预案备案管理办法</w:t>
                  </w:r>
                  <w:r>
                    <w:rPr>
                      <w:rFonts w:hint="default" w:ascii="Times New Roman" w:hAnsi="Times New Roman" w:eastAsia="宋体" w:cs="Times New Roman"/>
                      <w:b w:val="0"/>
                      <w:bCs w:val="0"/>
                      <w:color w:val="000000" w:themeColor="text1"/>
                      <w:spacing w:val="7"/>
                      <w:sz w:val="21"/>
                      <w:szCs w:val="21"/>
                      <w14:textFill>
                        <w14:solidFill>
                          <w14:schemeClr w14:val="tx1"/>
                        </w14:solidFill>
                      </w14:textFill>
                    </w:rPr>
                    <w:t>（试行）</w:t>
                  </w:r>
                  <w:r>
                    <w:rPr>
                      <w:rFonts w:hint="default" w:ascii="Times New Roman" w:hAnsi="Times New Roman" w:eastAsia="宋体" w:cs="Times New Roman"/>
                      <w:b w:val="0"/>
                      <w:bCs w:val="0"/>
                      <w:color w:val="000000" w:themeColor="text1"/>
                      <w:spacing w:val="-51"/>
                      <w:sz w:val="21"/>
                      <w:szCs w:val="21"/>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7"/>
                      <w:sz w:val="21"/>
                      <w:szCs w:val="21"/>
                      <w14:textFill>
                        <w14:solidFill>
                          <w14:schemeClr w14:val="tx1"/>
                        </w14:solidFill>
                      </w14:textFill>
                    </w:rPr>
                    <w:t>》（环发〔2015〕4号文）</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10"/>
                      <w:sz w:val="21"/>
                      <w:szCs w:val="21"/>
                      <w14:textFill>
                        <w14:solidFill>
                          <w14:schemeClr w14:val="tx1"/>
                        </w14:solidFill>
                      </w14:textFill>
                    </w:rPr>
                    <w:t>的要求编制环境风险应急预案，并加</w:t>
                  </w:r>
                  <w:r>
                    <w:rPr>
                      <w:rFonts w:hint="default" w:ascii="Times New Roman" w:hAnsi="Times New Roman" w:eastAsia="宋体" w:cs="Times New Roman"/>
                      <w:b w:val="0"/>
                      <w:bCs w:val="0"/>
                      <w:color w:val="000000" w:themeColor="text1"/>
                      <w:spacing w:val="8"/>
                      <w:sz w:val="21"/>
                      <w:szCs w:val="21"/>
                      <w14:textFill>
                        <w14:solidFill>
                          <w14:schemeClr w14:val="tx1"/>
                        </w14:solidFill>
                      </w14:textFill>
                    </w:rPr>
                    <w:t>强运行演练</w:t>
                  </w:r>
                  <w:r>
                    <w:rPr>
                      <w:rFonts w:hint="eastAsia" w:ascii="Times New Roman" w:hAnsi="Times New Roman" w:eastAsia="宋体" w:cs="Times New Roman"/>
                      <w:b w:val="0"/>
                      <w:bCs w:val="0"/>
                      <w:color w:val="000000" w:themeColor="text1"/>
                      <w:spacing w:val="8"/>
                      <w:sz w:val="21"/>
                      <w:szCs w:val="21"/>
                      <w:lang w:eastAsia="zh-CN"/>
                      <w14:textFill>
                        <w14:solidFill>
                          <w14:schemeClr w14:val="tx1"/>
                        </w14:solidFill>
                      </w14:textFill>
                    </w:rPr>
                    <w:t>。</w:t>
                  </w:r>
                </w:p>
              </w:tc>
              <w:tc>
                <w:tcPr>
                  <w:tcW w:w="554" w:type="pct"/>
                  <w:vAlign w:val="center"/>
                </w:tcPr>
                <w:p w14:paraId="4B8FA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0E67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vMerge w:val="continue"/>
                  <w:vAlign w:val="center"/>
                </w:tcPr>
                <w:p w14:paraId="26A2D5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64" w:type="pct"/>
                  <w:vAlign w:val="center"/>
                </w:tcPr>
                <w:p w14:paraId="25E564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资源开发效率</w:t>
                  </w:r>
                </w:p>
              </w:tc>
              <w:tc>
                <w:tcPr>
                  <w:tcW w:w="1638" w:type="pct"/>
                  <w:shd w:val="clear" w:color="auto" w:fill="auto"/>
                  <w:vAlign w:val="center"/>
                </w:tcPr>
                <w:p w14:paraId="5B82B729">
                  <w:pPr>
                    <w:keepNext w:val="0"/>
                    <w:keepLines w:val="0"/>
                    <w:pageBreakBefore w:val="0"/>
                    <w:widowControl w:val="0"/>
                    <w:kinsoku/>
                    <w:overflowPunct/>
                    <w:topLinePunct w:val="0"/>
                    <w:autoSpaceDE/>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1.优化能源结构，加强能源清洁利用。</w:t>
                  </w:r>
                </w:p>
                <w:p w14:paraId="3AE99DC0">
                  <w:pPr>
                    <w:keepNext w:val="0"/>
                    <w:keepLines w:val="0"/>
                    <w:pageBreakBefore w:val="0"/>
                    <w:widowControl w:val="0"/>
                    <w:kinsoku/>
                    <w:overflowPunct/>
                    <w:topLinePunct w:val="0"/>
                    <w:autoSpaceDE/>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2.提高土地利用效率，节约集约利用土地资源。</w:t>
                  </w:r>
                </w:p>
              </w:tc>
              <w:tc>
                <w:tcPr>
                  <w:tcW w:w="1922" w:type="pct"/>
                  <w:vAlign w:val="center"/>
                </w:tcPr>
                <w:p w14:paraId="2C0A95B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color w:val="000000" w:themeColor="text1"/>
                      <w:spacing w:val="10"/>
                      <w:sz w:val="21"/>
                      <w:szCs w:val="21"/>
                      <w:highlight w:val="none"/>
                      <w14:textFill>
                        <w14:solidFill>
                          <w14:schemeClr w14:val="tx1"/>
                        </w14:solidFill>
                      </w14:textFill>
                    </w:rPr>
                  </w:pPr>
                  <w:r>
                    <w:rPr>
                      <w:rFonts w:hint="eastAsia"/>
                      <w:b w:val="0"/>
                      <w:bCs/>
                      <w:color w:val="000000" w:themeColor="text1"/>
                      <w:spacing w:val="10"/>
                      <w:sz w:val="21"/>
                      <w:szCs w:val="21"/>
                      <w:highlight w:val="none"/>
                      <w:lang w:val="en-US" w:eastAsia="zh-CN"/>
                      <w14:textFill>
                        <w14:solidFill>
                          <w14:schemeClr w14:val="tx1"/>
                        </w14:solidFill>
                      </w14:textFill>
                    </w:rPr>
                    <w:t>1、</w:t>
                  </w:r>
                  <w:r>
                    <w:rPr>
                      <w:rFonts w:hint="eastAsia"/>
                      <w:b w:val="0"/>
                      <w:bCs/>
                      <w:color w:val="000000" w:themeColor="text1"/>
                      <w:spacing w:val="10"/>
                      <w:sz w:val="21"/>
                      <w:szCs w:val="21"/>
                      <w:highlight w:val="none"/>
                      <w14:textFill>
                        <w14:solidFill>
                          <w14:schemeClr w14:val="tx1"/>
                        </w14:solidFill>
                      </w14:textFill>
                    </w:rPr>
                    <w:t>本项目属于</w:t>
                  </w:r>
                  <w:r>
                    <w:rPr>
                      <w:rFonts w:hint="eastAsia" w:ascii="Times New Roman" w:hAnsi="Times New Roman" w:cs="Times New Roman"/>
                      <w:b w:val="0"/>
                      <w:bCs w:val="0"/>
                      <w:color w:val="000000" w:themeColor="text1"/>
                      <w:sz w:val="21"/>
                      <w:szCs w:val="21"/>
                      <w:lang w:eastAsia="zh-CN"/>
                      <w14:textFill>
                        <w14:solidFill>
                          <w14:schemeClr w14:val="tx1"/>
                        </w14:solidFill>
                      </w14:textFill>
                    </w:rPr>
                    <w:t>废旧电池及废矿物油集中收集、中转项目</w:t>
                  </w:r>
                  <w:r>
                    <w:rPr>
                      <w:rFonts w:hint="eastAsia"/>
                      <w:b w:val="0"/>
                      <w:bCs/>
                      <w:color w:val="000000" w:themeColor="text1"/>
                      <w:spacing w:val="10"/>
                      <w:sz w:val="21"/>
                      <w:szCs w:val="21"/>
                      <w:highlight w:val="none"/>
                      <w14:textFill>
                        <w14:solidFill>
                          <w14:schemeClr w14:val="tx1"/>
                        </w14:solidFill>
                      </w14:textFill>
                    </w:rPr>
                    <w:t>，项目主要能源为电能，</w:t>
                  </w:r>
                </w:p>
                <w:p w14:paraId="0F77070A">
                  <w:pPr>
                    <w:pStyle w:val="4"/>
                    <w:pageBreakBefore w:val="0"/>
                    <w:widowControl w:val="0"/>
                    <w:kinsoku/>
                    <w:overflowPunct/>
                    <w:topLinePunct w:val="0"/>
                    <w:autoSpaceDE/>
                    <w:bidi w:val="0"/>
                    <w:adjustRightInd/>
                    <w:snapToGrid/>
                    <w:spacing w:before="0" w:after="0" w:line="240" w:lineRule="auto"/>
                    <w:ind w:firstLine="0" w:firstLineChars="0"/>
                    <w:jc w:val="both"/>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2、新建项目拟租用曲靖市东五六供应链管理有限公司已建厂房进行改造建设，总占地面积720m</w:t>
                  </w:r>
                  <w:r>
                    <w:rPr>
                      <w:rFonts w:hint="eastAsia" w:ascii="Times New Roman" w:hAnsi="Times New Roman" w:eastAsia="宋体" w:cs="Times New Roman"/>
                      <w:b w:val="0"/>
                      <w:bCs w:val="0"/>
                      <w:color w:val="000000" w:themeColor="text1"/>
                      <w:kern w:val="2"/>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，用地性质为</w:t>
                  </w: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物流</w:t>
                  </w: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仓储用地</w:t>
                  </w:r>
                </w:p>
              </w:tc>
              <w:tc>
                <w:tcPr>
                  <w:tcW w:w="554" w:type="pct"/>
                  <w:vAlign w:val="center"/>
                </w:tcPr>
                <w:p w14:paraId="64BE94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7340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vAlign w:val="center"/>
                </w:tcPr>
                <w:p w14:paraId="72F8FC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B050"/>
                      <w:sz w:val="21"/>
                      <w:szCs w:val="21"/>
                      <w:vertAlign w:val="baseline"/>
                      <w:lang w:val="en-US" w:eastAsia="zh-CN"/>
                    </w:rPr>
                  </w:pPr>
                  <w:r>
                    <w:rPr>
                      <w:rFonts w:cs="Times New Roman"/>
                      <w:color w:val="00B050"/>
                      <w:kern w:val="0"/>
                      <w:sz w:val="21"/>
                      <w:szCs w:val="21"/>
                    </w:rPr>
                    <w:t>麒麟区农业农村面源污染重点管控单元</w:t>
                  </w:r>
                </w:p>
              </w:tc>
              <w:tc>
                <w:tcPr>
                  <w:tcW w:w="364" w:type="pct"/>
                  <w:vAlign w:val="center"/>
                </w:tcPr>
                <w:p w14:paraId="3B2FED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B050"/>
                      <w:kern w:val="0"/>
                      <w:sz w:val="21"/>
                      <w:szCs w:val="21"/>
                    </w:rPr>
                  </w:pPr>
                  <w:r>
                    <w:rPr>
                      <w:rFonts w:cs="Times New Roman"/>
                      <w:color w:val="00B050"/>
                      <w:kern w:val="0"/>
                      <w:sz w:val="21"/>
                      <w:szCs w:val="21"/>
                    </w:rPr>
                    <w:t>污染物排放管控</w:t>
                  </w:r>
                </w:p>
              </w:tc>
              <w:tc>
                <w:tcPr>
                  <w:tcW w:w="1638" w:type="pct"/>
                  <w:shd w:val="clear" w:color="auto" w:fill="auto"/>
                  <w:vAlign w:val="center"/>
                </w:tcPr>
                <w:p w14:paraId="17A35013">
                  <w:pPr>
                    <w:spacing w:line="260" w:lineRule="exact"/>
                    <w:rPr>
                      <w:rFonts w:cs="Times New Roman"/>
                      <w:color w:val="00B050"/>
                      <w:kern w:val="0"/>
                      <w:sz w:val="21"/>
                      <w:szCs w:val="21"/>
                    </w:rPr>
                  </w:pPr>
                  <w:r>
                    <w:rPr>
                      <w:rFonts w:cs="Times New Roman"/>
                      <w:color w:val="00B050"/>
                      <w:kern w:val="0"/>
                      <w:sz w:val="21"/>
                      <w:szCs w:val="21"/>
                    </w:rPr>
                    <w:t>1.以乡镇行政区域为单位，实行农村生活污水处理统一规划、统一建设、统一管理，梯次推进农村生活污水治理。开展协同治理，推动城镇污水处理设施和服务向农村延伸，加强改厕与农村生活污水治理的有效衔接，将农村水环境治理纳入河长制、湖长制管理。</w:t>
                  </w:r>
                </w:p>
                <w:p w14:paraId="0AD33E25">
                  <w:pPr>
                    <w:spacing w:line="260" w:lineRule="exact"/>
                    <w:rPr>
                      <w:rFonts w:cs="Times New Roman"/>
                      <w:color w:val="00B050"/>
                      <w:kern w:val="0"/>
                      <w:sz w:val="21"/>
                      <w:szCs w:val="21"/>
                    </w:rPr>
                  </w:pPr>
                  <w:r>
                    <w:rPr>
                      <w:rFonts w:cs="Times New Roman"/>
                      <w:color w:val="00B050"/>
                      <w:kern w:val="0"/>
                      <w:sz w:val="21"/>
                      <w:szCs w:val="21"/>
                    </w:rPr>
                    <w:t>2.减少化肥农药施用量，主要农作物化肥农药使用量实现负增长，确保化肥、农药利用率逐步提高。</w:t>
                  </w:r>
                </w:p>
                <w:p w14:paraId="21698915">
                  <w:pPr>
                    <w:spacing w:line="260" w:lineRule="exact"/>
                    <w:rPr>
                      <w:rFonts w:cs="Times New Roman"/>
                      <w:color w:val="00B050"/>
                      <w:kern w:val="0"/>
                      <w:sz w:val="21"/>
                      <w:szCs w:val="21"/>
                    </w:rPr>
                  </w:pPr>
                  <w:r>
                    <w:rPr>
                      <w:rFonts w:cs="Times New Roman"/>
                      <w:color w:val="00B050"/>
                      <w:kern w:val="0"/>
                      <w:sz w:val="21"/>
                      <w:szCs w:val="21"/>
                    </w:rPr>
                    <w:t>3.从事水产养殖应当保护水域生态环境，科学确定养殖密度，合理投饵和使用药物，防止污染水环境。</w:t>
                  </w:r>
                </w:p>
                <w:p w14:paraId="10599ACB">
                  <w:pPr>
                    <w:keepNext w:val="0"/>
                    <w:keepLines w:val="0"/>
                    <w:pageBreakBefore w:val="0"/>
                    <w:widowControl w:val="0"/>
                    <w:kinsoku/>
                    <w:overflowPunct/>
                    <w:topLinePunct w:val="0"/>
                    <w:autoSpaceDE/>
                    <w:bidi w:val="0"/>
                    <w:adjustRightInd w:val="0"/>
                    <w:snapToGrid w:val="0"/>
                    <w:spacing w:line="240" w:lineRule="auto"/>
                    <w:ind w:firstLine="0" w:firstLineChars="0"/>
                    <w:jc w:val="both"/>
                    <w:textAlignment w:val="auto"/>
                    <w:rPr>
                      <w:rFonts w:hint="default" w:ascii="Times New Roman" w:hAnsi="Times New Roman" w:cs="Times New Roman"/>
                      <w:color w:val="00B050"/>
                      <w:kern w:val="0"/>
                      <w:sz w:val="21"/>
                      <w:szCs w:val="21"/>
                    </w:rPr>
                  </w:pPr>
                  <w:r>
                    <w:rPr>
                      <w:rFonts w:cs="Times New Roman"/>
                      <w:color w:val="00B050"/>
                      <w:kern w:val="0"/>
                      <w:sz w:val="21"/>
                      <w:szCs w:val="21"/>
                    </w:rPr>
                    <w:t>4.畜禽养殖场、养殖小区应当确保其畜禽粪便、废水的综合利用或者无害化处理设施正常运转，确保污水达标排放，防止污染水环境；散养密集区要实行畜禽粪便污水分户收集、集中处理利用。</w:t>
                  </w:r>
                </w:p>
              </w:tc>
              <w:tc>
                <w:tcPr>
                  <w:tcW w:w="1922" w:type="pct"/>
                  <w:vAlign w:val="center"/>
                </w:tcPr>
                <w:p w14:paraId="2E22FF4F">
                  <w:pPr>
                    <w:pStyle w:val="4"/>
                    <w:pageBreakBefore w:val="0"/>
                    <w:widowControl w:val="0"/>
                    <w:kinsoku/>
                    <w:overflowPunct/>
                    <w:topLinePunct w:val="0"/>
                    <w:autoSpaceDE/>
                    <w:bidi w:val="0"/>
                    <w:adjustRightInd/>
                    <w:snapToGrid/>
                    <w:spacing w:before="0" w:after="0" w:line="240" w:lineRule="auto"/>
                    <w:ind w:firstLine="0" w:firstLineChars="0"/>
                    <w:jc w:val="both"/>
                    <w:textAlignment w:val="auto"/>
                    <w:rPr>
                      <w:rFonts w:hint="eastAsia"/>
                      <w:b w:val="0"/>
                      <w:bCs w:val="0"/>
                      <w:snapToGrid/>
                      <w:color w:val="00B050"/>
                      <w:kern w:val="0"/>
                      <w:sz w:val="21"/>
                      <w:szCs w:val="21"/>
                      <w:lang w:eastAsia="zh-CN"/>
                    </w:rPr>
                  </w:pPr>
                  <w:r>
                    <w:rPr>
                      <w:rFonts w:hint="eastAsia" w:ascii="Times New Roman" w:hAnsi="Times New Roman" w:cs="Times New Roman"/>
                      <w:b w:val="0"/>
                      <w:bCs w:val="0"/>
                      <w:color w:val="00B050"/>
                      <w:kern w:val="2"/>
                      <w:sz w:val="21"/>
                      <w:szCs w:val="21"/>
                      <w:lang w:val="en-US" w:eastAsia="zh-CN" w:bidi="ar-SA"/>
                    </w:rPr>
                    <w:t>1、</w:t>
                  </w:r>
                  <w:r>
                    <w:rPr>
                      <w:rFonts w:hint="eastAsia"/>
                      <w:b w:val="0"/>
                      <w:bCs w:val="0"/>
                      <w:snapToGrid/>
                      <w:color w:val="00B050"/>
                      <w:kern w:val="0"/>
                      <w:sz w:val="21"/>
                      <w:szCs w:val="21"/>
                    </w:rPr>
                    <w:t>项目采取雨污分流，项目产生碱洗废水经0.5m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收集桶收集后委托碱洗废水处置单位进行清运处置；生活污水依托曲靖市东五六供应链管理有限公司已建化粪池（容积：10m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）收集后委托麒麟区环卫部门清掏处理，不外排</w:t>
                  </w:r>
                  <w:r>
                    <w:rPr>
                      <w:rFonts w:hint="eastAsia"/>
                      <w:b w:val="0"/>
                      <w:bCs w:val="0"/>
                      <w:snapToGrid/>
                      <w:color w:val="00B050"/>
                      <w:kern w:val="0"/>
                      <w:sz w:val="21"/>
                      <w:szCs w:val="21"/>
                      <w:lang w:eastAsia="zh-CN"/>
                    </w:rPr>
                    <w:t>；</w:t>
                  </w:r>
                </w:p>
                <w:p w14:paraId="63AEBECC">
                  <w:pPr>
                    <w:pStyle w:val="6"/>
                    <w:rPr>
                      <w:rFonts w:hint="eastAsia" w:ascii="Times New Roman" w:hAnsi="Times New Roman" w:cs="Times New Roman"/>
                      <w:color w:val="00B050"/>
                      <w:sz w:val="21"/>
                      <w:szCs w:val="21"/>
                      <w:lang w:val="en-US" w:eastAsia="zh-CN"/>
                    </w:rPr>
                  </w:pPr>
                  <w:r>
                    <w:rPr>
                      <w:rFonts w:hint="eastAsia"/>
                      <w:bCs/>
                      <w:snapToGrid/>
                      <w:color w:val="00B050"/>
                      <w:kern w:val="0"/>
                      <w:sz w:val="21"/>
                      <w:szCs w:val="21"/>
                      <w:lang w:val="en-US" w:eastAsia="zh-CN"/>
                    </w:rPr>
                    <w:t>2、</w:t>
                  </w:r>
                  <w:r>
                    <w:rPr>
                      <w:rFonts w:hint="eastAsia"/>
                      <w:b w:val="0"/>
                      <w:bCs/>
                      <w:color w:val="00B050"/>
                      <w:spacing w:val="10"/>
                      <w:sz w:val="21"/>
                      <w:szCs w:val="21"/>
                      <w:highlight w:val="none"/>
                      <w:lang w:val="en-US" w:eastAsia="zh-CN"/>
                    </w:rPr>
                    <w:t>项目主要废旧电池及废矿物油集中收集、中转项目</w:t>
                  </w:r>
                  <w:r>
                    <w:rPr>
                      <w:rFonts w:hint="default" w:ascii="Times New Roman" w:hAnsi="Times New Roman" w:cs="Times New Roman"/>
                      <w:color w:val="00B050"/>
                      <w:sz w:val="21"/>
                      <w:szCs w:val="21"/>
                      <w:lang w:eastAsia="zh-CN"/>
                    </w:rPr>
                    <w:t>，</w:t>
                  </w:r>
                  <w:r>
                    <w:rPr>
                      <w:rFonts w:hint="eastAsia" w:ascii="Times New Roman" w:hAnsi="Times New Roman" w:cs="Times New Roman"/>
                      <w:color w:val="00B050"/>
                      <w:sz w:val="21"/>
                      <w:szCs w:val="21"/>
                      <w:lang w:val="en-US" w:eastAsia="zh-CN"/>
                    </w:rPr>
                    <w:t>不涉及使用农药；</w:t>
                  </w:r>
                </w:p>
                <w:p w14:paraId="37774C7A">
                  <w:pPr>
                    <w:pStyle w:val="6"/>
                    <w:rPr>
                      <w:rFonts w:hint="eastAsia" w:ascii="Times New Roman" w:hAnsi="Times New Roman" w:cs="Times New Roman"/>
                      <w:color w:val="00B050"/>
                      <w:sz w:val="21"/>
                      <w:szCs w:val="21"/>
                      <w:lang w:val="en-US" w:eastAsia="zh-CN"/>
                    </w:rPr>
                  </w:pPr>
                  <w:r>
                    <w:rPr>
                      <w:rFonts w:hint="eastAsia" w:ascii="Times New Roman" w:hAnsi="Times New Roman" w:cs="Times New Roman"/>
                      <w:color w:val="00B050"/>
                      <w:sz w:val="21"/>
                      <w:szCs w:val="21"/>
                      <w:lang w:val="en-US" w:eastAsia="zh-CN"/>
                    </w:rPr>
                    <w:t>3、</w:t>
                  </w:r>
                  <w:r>
                    <w:rPr>
                      <w:rFonts w:hint="eastAsia"/>
                      <w:b w:val="0"/>
                      <w:bCs/>
                      <w:color w:val="00B050"/>
                      <w:spacing w:val="10"/>
                      <w:sz w:val="21"/>
                      <w:szCs w:val="21"/>
                      <w:highlight w:val="none"/>
                      <w:lang w:val="en-US" w:eastAsia="zh-CN"/>
                    </w:rPr>
                    <w:t>项目主要废旧电池及废矿物油集中收集、中转项目</w:t>
                  </w:r>
                  <w:r>
                    <w:rPr>
                      <w:rFonts w:hint="default" w:ascii="Times New Roman" w:hAnsi="Times New Roman" w:cs="Times New Roman"/>
                      <w:color w:val="00B050"/>
                      <w:sz w:val="21"/>
                      <w:szCs w:val="21"/>
                      <w:lang w:eastAsia="zh-CN"/>
                    </w:rPr>
                    <w:t>，</w:t>
                  </w:r>
                  <w:r>
                    <w:rPr>
                      <w:rFonts w:hint="eastAsia" w:ascii="Times New Roman" w:hAnsi="Times New Roman" w:cs="Times New Roman"/>
                      <w:color w:val="00B050"/>
                      <w:sz w:val="21"/>
                      <w:szCs w:val="21"/>
                      <w:lang w:val="en-US" w:eastAsia="zh-CN"/>
                    </w:rPr>
                    <w:t>不属于水产养殖项目；</w:t>
                  </w:r>
                </w:p>
                <w:p w14:paraId="4BED591F">
                  <w:pPr>
                    <w:pStyle w:val="6"/>
                    <w:rPr>
                      <w:rFonts w:hint="eastAsia" w:ascii="Times New Roman" w:hAnsi="Times New Roman" w:eastAsia="宋体" w:cs="Times New Roman"/>
                      <w:color w:val="00B050"/>
                      <w:sz w:val="21"/>
                      <w:szCs w:val="21"/>
                      <w:lang w:val="en-US" w:eastAsia="zh-CN"/>
                    </w:rPr>
                  </w:pPr>
                  <w:r>
                    <w:rPr>
                      <w:rFonts w:hint="eastAsia" w:ascii="Times New Roman" w:hAnsi="Times New Roman" w:cs="Times New Roman"/>
                      <w:color w:val="00B050"/>
                      <w:sz w:val="21"/>
                      <w:szCs w:val="21"/>
                      <w:lang w:val="en-US" w:eastAsia="zh-CN"/>
                    </w:rPr>
                    <w:t>4、</w:t>
                  </w:r>
                  <w:r>
                    <w:rPr>
                      <w:rFonts w:hint="eastAsia"/>
                      <w:b w:val="0"/>
                      <w:bCs/>
                      <w:color w:val="00B050"/>
                      <w:spacing w:val="10"/>
                      <w:sz w:val="21"/>
                      <w:szCs w:val="21"/>
                      <w:highlight w:val="none"/>
                      <w:lang w:val="en-US" w:eastAsia="zh-CN"/>
                    </w:rPr>
                    <w:t>项目主要废旧电池及废矿物油集中收集、中转项目</w:t>
                  </w:r>
                  <w:r>
                    <w:rPr>
                      <w:rFonts w:hint="default" w:ascii="Times New Roman" w:hAnsi="Times New Roman" w:cs="Times New Roman"/>
                      <w:color w:val="00B050"/>
                      <w:sz w:val="21"/>
                      <w:szCs w:val="21"/>
                      <w:lang w:eastAsia="zh-CN"/>
                    </w:rPr>
                    <w:t>，</w:t>
                  </w:r>
                  <w:r>
                    <w:rPr>
                      <w:rFonts w:hint="eastAsia" w:ascii="Times New Roman" w:hAnsi="Times New Roman" w:cs="Times New Roman"/>
                      <w:color w:val="00B050"/>
                      <w:sz w:val="21"/>
                      <w:szCs w:val="21"/>
                      <w:lang w:val="en-US" w:eastAsia="zh-CN"/>
                    </w:rPr>
                    <w:t>不属于</w:t>
                  </w:r>
                  <w:r>
                    <w:rPr>
                      <w:rFonts w:cs="Times New Roman"/>
                      <w:color w:val="00B050"/>
                      <w:kern w:val="0"/>
                      <w:sz w:val="21"/>
                      <w:szCs w:val="21"/>
                    </w:rPr>
                    <w:t>畜禽养殖场、养殖小区</w:t>
                  </w:r>
                  <w:r>
                    <w:rPr>
                      <w:rFonts w:hint="eastAsia" w:cs="Times New Roman"/>
                      <w:color w:val="00B050"/>
                      <w:kern w:val="0"/>
                      <w:sz w:val="21"/>
                      <w:szCs w:val="21"/>
                      <w:lang w:eastAsia="zh-CN"/>
                    </w:rPr>
                    <w:t>。</w:t>
                  </w:r>
                </w:p>
              </w:tc>
              <w:tc>
                <w:tcPr>
                  <w:tcW w:w="554" w:type="pct"/>
                  <w:vAlign w:val="center"/>
                </w:tcPr>
                <w:p w14:paraId="7E11F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B050"/>
                      <w:sz w:val="21"/>
                      <w:szCs w:val="21"/>
                      <w:vertAlign w:val="baseline"/>
                      <w:lang w:val="en-US" w:eastAsia="zh-CN"/>
                    </w:rPr>
                  </w:pPr>
                  <w:r>
                    <w:rPr>
                      <w:rFonts w:hint="eastAsia" w:cs="Times New Roman"/>
                      <w:b w:val="0"/>
                      <w:bCs w:val="0"/>
                      <w:color w:val="00B050"/>
                      <w:sz w:val="21"/>
                      <w:szCs w:val="21"/>
                      <w:vertAlign w:val="baseline"/>
                      <w:lang w:val="en-US" w:eastAsia="zh-CN"/>
                    </w:rPr>
                    <w:t>符合</w:t>
                  </w:r>
                </w:p>
              </w:tc>
            </w:tr>
          </w:tbl>
          <w:p w14:paraId="24F474A9">
            <w:pPr>
              <w:keepNext/>
              <w:keepLines/>
              <w:pageBreakBefore w:val="0"/>
              <w:widowControl/>
              <w:numPr>
                <w:ilvl w:val="1"/>
                <w:numId w:val="4"/>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outlineLvl w:val="9"/>
              <w:rPr>
                <w:rFonts w:hint="eastAsia" w:ascii="Times New Roman" w:hAnsi="Times New Roman" w:eastAsia="宋体" w:cs="Times New Roman"/>
                <w:b w:val="0"/>
                <w:bCs/>
                <w:color w:val="00B050"/>
                <w:kern w:val="0"/>
                <w:sz w:val="24"/>
                <w:szCs w:val="21"/>
                <w:u w:val="none"/>
                <w:lang w:val="en-US" w:eastAsia="zh-CN" w:bidi="ar"/>
              </w:rPr>
            </w:pPr>
            <w:r>
              <w:rPr>
                <w:rFonts w:hint="eastAsia" w:ascii="Times New Roman" w:hAnsi="Times New Roman" w:eastAsia="宋体" w:cs="Times New Roman"/>
                <w:b w:val="0"/>
                <w:bCs/>
                <w:color w:val="00B050"/>
                <w:kern w:val="0"/>
                <w:sz w:val="24"/>
                <w:szCs w:val="21"/>
                <w:u w:val="none"/>
                <w:lang w:val="en-US" w:eastAsia="zh-CN" w:bidi="ar"/>
              </w:rPr>
              <w:t>综上，项目与《曲靖市生态环境分区管控动态更新方案（</w:t>
            </w:r>
            <w:r>
              <w:rPr>
                <w:rFonts w:hint="default" w:ascii="Times New Roman" w:hAnsi="Times New Roman" w:eastAsia="宋体" w:cs="Times New Roman"/>
                <w:b w:val="0"/>
                <w:bCs/>
                <w:color w:val="00B050"/>
                <w:kern w:val="0"/>
                <w:sz w:val="24"/>
                <w:szCs w:val="21"/>
                <w:u w:val="none"/>
                <w:lang w:val="en-US" w:eastAsia="zh-CN" w:bidi="ar"/>
              </w:rPr>
              <w:t>2023年）》</w:t>
            </w:r>
            <w:r>
              <w:rPr>
                <w:rFonts w:hint="eastAsia" w:ascii="Times New Roman" w:hAnsi="Times New Roman" w:eastAsia="宋体" w:cs="Times New Roman"/>
                <w:b w:val="0"/>
                <w:bCs/>
                <w:color w:val="00B050"/>
                <w:kern w:val="0"/>
                <w:sz w:val="24"/>
                <w:szCs w:val="21"/>
                <w:u w:val="none"/>
                <w:lang w:val="en-US" w:eastAsia="zh-CN" w:bidi="ar"/>
              </w:rPr>
              <w:t>（</w:t>
            </w:r>
            <w:r>
              <w:rPr>
                <w:rFonts w:hint="default" w:ascii="Times New Roman" w:hAnsi="Times New Roman" w:eastAsia="宋体" w:cs="Times New Roman"/>
                <w:b w:val="0"/>
                <w:bCs/>
                <w:color w:val="00B050"/>
                <w:kern w:val="0"/>
                <w:sz w:val="24"/>
                <w:szCs w:val="21"/>
                <w:u w:val="none"/>
                <w:lang w:val="en-US" w:eastAsia="zh-CN" w:bidi="ar"/>
              </w:rPr>
              <w:t>曲环通〔2024〕36号</w:t>
            </w:r>
            <w:r>
              <w:rPr>
                <w:rFonts w:hint="eastAsia" w:ascii="Times New Roman" w:hAnsi="Times New Roman" w:eastAsia="宋体" w:cs="Times New Roman"/>
                <w:b w:val="0"/>
                <w:bCs/>
                <w:color w:val="00B050"/>
                <w:kern w:val="0"/>
                <w:sz w:val="24"/>
                <w:szCs w:val="21"/>
                <w:u w:val="none"/>
                <w:lang w:val="en-US" w:eastAsia="zh-CN" w:bidi="ar"/>
              </w:rPr>
              <w:t>）相符合。</w:t>
            </w:r>
          </w:p>
          <w:p w14:paraId="5C1169ED">
            <w:pPr>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cs="Times New Roman"/>
                <w:b/>
                <w:bCs/>
                <w:color w:val="000000" w:themeColor="text1"/>
                <w:kern w:val="0"/>
                <w:sz w:val="28"/>
                <w:szCs w:val="28"/>
                <w:highlight w:val="none"/>
                <w:lang w:val="en-US" w:eastAsia="zh-CN"/>
                <w14:textFill>
                  <w14:solidFill>
                    <w14:schemeClr w14:val="tx1"/>
                  </w14:solidFill>
                </w14:textFill>
              </w:rPr>
            </w:pPr>
            <w:r>
              <w:rPr>
                <w:rFonts w:hint="eastAsia" w:cs="Times New Roman"/>
                <w:b/>
                <w:bCs/>
                <w:color w:val="000000" w:themeColor="text1"/>
                <w:kern w:val="0"/>
                <w:sz w:val="28"/>
                <w:szCs w:val="28"/>
                <w:highlight w:val="none"/>
                <w:lang w:val="en-US" w:eastAsia="zh-CN"/>
                <w14:textFill>
                  <w14:solidFill>
                    <w14:schemeClr w14:val="tx1"/>
                  </w14:solidFill>
                </w14:textFill>
              </w:rPr>
              <w:t>1.3项目相关规划符合性分析</w:t>
            </w:r>
          </w:p>
          <w:p w14:paraId="7850C0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1.3.1项目</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与《长江经济带发展负面清单指南（试行，2022年版）》的相符性</w:t>
            </w:r>
          </w:p>
          <w:p w14:paraId="7F966593">
            <w:pPr>
              <w:keepNext/>
              <w:keepLines/>
              <w:pageBreakBefore w:val="0"/>
              <w:widowControl/>
              <w:numPr>
                <w:ilvl w:val="1"/>
                <w:numId w:val="4"/>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outlineLvl w:val="9"/>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pPr>
            <w:bookmarkStart w:id="4" w:name="_Toc10269"/>
            <w:r>
              <w:rPr>
                <w:rFonts w:hint="eastAsia"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项目与</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w:t>
            </w:r>
            <w:r>
              <w:rPr>
                <w:rFonts w:hint="eastAsia" w:ascii="Times New Roman" w:hAnsi="Times New Roman" w:eastAsia="宋体" w:cs="Times New Roman"/>
                <w:b w:val="0"/>
                <w:bCs/>
                <w:color w:val="000000" w:themeColor="text1"/>
                <w:kern w:val="0"/>
                <w:sz w:val="24"/>
                <w:szCs w:val="21"/>
                <w:highlight w:val="none"/>
                <w:lang w:val="en-US" w:eastAsia="zh-CN" w:bidi="ar"/>
                <w14:textFill>
                  <w14:solidFill>
                    <w14:schemeClr w14:val="tx1"/>
                  </w14:solidFill>
                </w14:textFill>
              </w:rPr>
              <w:t>长江经济带发展负面清单指南（试行，2022年版）</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w:t>
            </w:r>
            <w:r>
              <w:rPr>
                <w:rFonts w:hint="eastAsia"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的相符性</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分析见表</w:t>
            </w:r>
            <w:r>
              <w:rPr>
                <w:rFonts w:hint="eastAsia" w:cs="Times New Roman"/>
                <w:b w:val="0"/>
                <w:bCs/>
                <w:color w:val="000000" w:themeColor="text1"/>
                <w:kern w:val="0"/>
                <w:sz w:val="24"/>
                <w:szCs w:val="21"/>
                <w:u w:val="none"/>
                <w:lang w:val="en-US" w:eastAsia="zh-CN" w:bidi="ar"/>
                <w14:textFill>
                  <w14:solidFill>
                    <w14:schemeClr w14:val="tx1"/>
                  </w14:solidFill>
                </w14:textFill>
              </w:rPr>
              <w:t>1.3</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w:t>
            </w:r>
            <w:r>
              <w:rPr>
                <w:rFonts w:hint="eastAsia" w:cs="Times New Roman"/>
                <w:b w:val="0"/>
                <w:bCs/>
                <w:color w:val="000000" w:themeColor="text1"/>
                <w:kern w:val="0"/>
                <w:sz w:val="24"/>
                <w:szCs w:val="21"/>
                <w:u w:val="none"/>
                <w:lang w:val="en-US" w:eastAsia="zh-CN" w:bidi="ar"/>
                <w14:textFill>
                  <w14:solidFill>
                    <w14:schemeClr w14:val="tx1"/>
                  </w14:solidFill>
                </w14:textFill>
              </w:rPr>
              <w:t>1所示</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w:t>
            </w:r>
            <w:bookmarkEnd w:id="4"/>
          </w:p>
          <w:p w14:paraId="13F88E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1.3</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项目</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与《长江经济带发展负面清单指南（试行，2022年版）》相符性</w:t>
            </w:r>
          </w:p>
          <w:tbl>
            <w:tblPr>
              <w:tblStyle w:val="2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4116"/>
              <w:gridCol w:w="2325"/>
              <w:gridCol w:w="777"/>
            </w:tblGrid>
            <w:tr w14:paraId="27A5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53" w:type="pct"/>
                  <w:noWrap w:val="0"/>
                  <w:vAlign w:val="center"/>
                </w:tcPr>
                <w:p w14:paraId="5DA372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kern w:val="0"/>
                      <w:sz w:val="21"/>
                      <w:szCs w:val="21"/>
                      <w:u w:val="none"/>
                      <w14:textFill>
                        <w14:solidFill>
                          <w14:schemeClr w14:val="tx1"/>
                        </w14:solidFill>
                      </w14:textFill>
                    </w:rPr>
                  </w:pPr>
                  <w:r>
                    <w:rPr>
                      <w:rFonts w:hint="default" w:ascii="Times New Roman" w:hAnsi="Times New Roman" w:cs="Times New Roman"/>
                      <w:b/>
                      <w:bCs/>
                      <w:color w:val="000000" w:themeColor="text1"/>
                      <w:kern w:val="0"/>
                      <w:sz w:val="21"/>
                      <w:szCs w:val="21"/>
                      <w:u w:val="none"/>
                      <w14:textFill>
                        <w14:solidFill>
                          <w14:schemeClr w14:val="tx1"/>
                        </w14:solidFill>
                      </w14:textFill>
                    </w:rPr>
                    <w:t>序号</w:t>
                  </w:r>
                </w:p>
              </w:tc>
              <w:tc>
                <w:tcPr>
                  <w:tcW w:w="2592" w:type="pct"/>
                  <w:noWrap w:val="0"/>
                  <w:vAlign w:val="center"/>
                </w:tcPr>
                <w:p w14:paraId="207B60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kern w:val="0"/>
                      <w:sz w:val="21"/>
                      <w:szCs w:val="21"/>
                      <w:u w:val="none"/>
                      <w14:textFill>
                        <w14:solidFill>
                          <w14:schemeClr w14:val="tx1"/>
                        </w14:solidFill>
                      </w14:textFill>
                    </w:rPr>
                  </w:pPr>
                  <w:r>
                    <w:rPr>
                      <w:rFonts w:hint="default" w:ascii="Times New Roman" w:hAnsi="Times New Roman" w:cs="Times New Roman"/>
                      <w:b/>
                      <w:bCs/>
                      <w:color w:val="000000" w:themeColor="text1"/>
                      <w:kern w:val="0"/>
                      <w:sz w:val="21"/>
                      <w:szCs w:val="21"/>
                      <w:u w:val="none"/>
                      <w14:textFill>
                        <w14:solidFill>
                          <w14:schemeClr w14:val="tx1"/>
                        </w14:solidFill>
                      </w14:textFill>
                    </w:rPr>
                    <w:t>内容要求</w:t>
                  </w:r>
                </w:p>
              </w:tc>
              <w:tc>
                <w:tcPr>
                  <w:tcW w:w="1464" w:type="pct"/>
                  <w:noWrap w:val="0"/>
                  <w:vAlign w:val="center"/>
                </w:tcPr>
                <w:p w14:paraId="65BCEE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kern w:val="0"/>
                      <w:sz w:val="21"/>
                      <w:szCs w:val="21"/>
                      <w:u w:val="none"/>
                      <w14:textFill>
                        <w14:solidFill>
                          <w14:schemeClr w14:val="tx1"/>
                        </w14:solidFill>
                      </w14:textFill>
                    </w:rPr>
                  </w:pPr>
                  <w:r>
                    <w:rPr>
                      <w:rFonts w:hint="default" w:ascii="Times New Roman" w:hAnsi="Times New Roman" w:cs="Times New Roman"/>
                      <w:b/>
                      <w:bCs/>
                      <w:color w:val="000000" w:themeColor="text1"/>
                      <w:kern w:val="0"/>
                      <w:sz w:val="21"/>
                      <w:szCs w:val="21"/>
                      <w:u w:val="none"/>
                      <w14:textFill>
                        <w14:solidFill>
                          <w14:schemeClr w14:val="tx1"/>
                        </w14:solidFill>
                      </w14:textFill>
                    </w:rPr>
                    <w:t>项目建设内容</w:t>
                  </w:r>
                </w:p>
              </w:tc>
              <w:tc>
                <w:tcPr>
                  <w:tcW w:w="489" w:type="pct"/>
                  <w:noWrap w:val="0"/>
                  <w:vAlign w:val="center"/>
                </w:tcPr>
                <w:p w14:paraId="379736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kern w:val="0"/>
                      <w:sz w:val="21"/>
                      <w:szCs w:val="21"/>
                      <w:u w:val="none"/>
                      <w14:textFill>
                        <w14:solidFill>
                          <w14:schemeClr w14:val="tx1"/>
                        </w14:solidFill>
                      </w14:textFill>
                    </w:rPr>
                  </w:pPr>
                  <w:r>
                    <w:rPr>
                      <w:rFonts w:hint="default" w:ascii="Times New Roman" w:hAnsi="Times New Roman" w:cs="Times New Roman"/>
                      <w:b/>
                      <w:bCs/>
                      <w:color w:val="000000" w:themeColor="text1"/>
                      <w:kern w:val="0"/>
                      <w:sz w:val="21"/>
                      <w:szCs w:val="21"/>
                      <w:u w:val="none"/>
                      <w:lang w:val="en-US" w:eastAsia="zh-CN"/>
                      <w14:textFill>
                        <w14:solidFill>
                          <w14:schemeClr w14:val="tx1"/>
                        </w14:solidFill>
                      </w14:textFill>
                    </w:rPr>
                    <w:t>相符</w:t>
                  </w:r>
                  <w:r>
                    <w:rPr>
                      <w:rFonts w:hint="default" w:ascii="Times New Roman" w:hAnsi="Times New Roman" w:cs="Times New Roman"/>
                      <w:b/>
                      <w:bCs/>
                      <w:color w:val="000000" w:themeColor="text1"/>
                      <w:kern w:val="0"/>
                      <w:sz w:val="21"/>
                      <w:szCs w:val="21"/>
                      <w:u w:val="none"/>
                      <w14:textFill>
                        <w14:solidFill>
                          <w14:schemeClr w14:val="tx1"/>
                        </w14:solidFill>
                      </w14:textFill>
                    </w:rPr>
                    <w:t>性</w:t>
                  </w:r>
                </w:p>
              </w:tc>
            </w:tr>
            <w:tr w14:paraId="75FB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14:paraId="78D342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1</w:t>
                  </w:r>
                </w:p>
              </w:tc>
              <w:tc>
                <w:tcPr>
                  <w:tcW w:w="2592" w:type="pct"/>
                  <w:noWrap w:val="0"/>
                  <w:vAlign w:val="center"/>
                </w:tcPr>
                <w:p w14:paraId="173141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464" w:type="pct"/>
                  <w:noWrap w:val="0"/>
                  <w:vAlign w:val="center"/>
                </w:tcPr>
                <w:p w14:paraId="24B749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w:t>
                  </w:r>
                </w:p>
              </w:tc>
              <w:tc>
                <w:tcPr>
                  <w:tcW w:w="489" w:type="pct"/>
                  <w:noWrap w:val="0"/>
                  <w:vAlign w:val="center"/>
                </w:tcPr>
                <w:p w14:paraId="36FB97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w:t>
                  </w:r>
                </w:p>
              </w:tc>
            </w:tr>
            <w:tr w14:paraId="362A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14:paraId="28E7DD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2</w:t>
                  </w:r>
                </w:p>
              </w:tc>
              <w:tc>
                <w:tcPr>
                  <w:tcW w:w="2592" w:type="pct"/>
                  <w:noWrap w:val="0"/>
                  <w:vAlign w:val="center"/>
                </w:tcPr>
                <w:p w14:paraId="484862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464" w:type="pct"/>
                  <w:noWrap w:val="0"/>
                  <w:vAlign w:val="center"/>
                </w:tcPr>
                <w:p w14:paraId="4818A6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项目不涉及自然保护区、缓冲区及风景名胜区。</w:t>
                  </w:r>
                </w:p>
              </w:tc>
              <w:tc>
                <w:tcPr>
                  <w:tcW w:w="489" w:type="pct"/>
                  <w:noWrap w:val="0"/>
                  <w:vAlign w:val="center"/>
                </w:tcPr>
                <w:p w14:paraId="797A78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相符</w:t>
                  </w:r>
                </w:p>
              </w:tc>
            </w:tr>
            <w:tr w14:paraId="2670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14:paraId="44C087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3</w:t>
                  </w:r>
                </w:p>
              </w:tc>
              <w:tc>
                <w:tcPr>
                  <w:tcW w:w="2592" w:type="pct"/>
                  <w:noWrap w:val="0"/>
                  <w:vAlign w:val="center"/>
                </w:tcPr>
                <w:p w14:paraId="5825F3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464" w:type="pct"/>
                  <w:noWrap w:val="0"/>
                  <w:vAlign w:val="center"/>
                </w:tcPr>
                <w:p w14:paraId="63767C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项目不涉及饮用水水源一级保护区及二级保护区。</w:t>
                  </w:r>
                </w:p>
              </w:tc>
              <w:tc>
                <w:tcPr>
                  <w:tcW w:w="489" w:type="pct"/>
                  <w:noWrap w:val="0"/>
                  <w:vAlign w:val="center"/>
                </w:tcPr>
                <w:p w14:paraId="191341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相符</w:t>
                  </w:r>
                </w:p>
              </w:tc>
            </w:tr>
            <w:tr w14:paraId="0773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14:paraId="741812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4</w:t>
                  </w:r>
                </w:p>
              </w:tc>
              <w:tc>
                <w:tcPr>
                  <w:tcW w:w="2592" w:type="pct"/>
                  <w:noWrap w:val="0"/>
                  <w:vAlign w:val="center"/>
                </w:tcPr>
                <w:p w14:paraId="4C386E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464" w:type="pct"/>
                  <w:noWrap w:val="0"/>
                  <w:vAlign w:val="center"/>
                </w:tcPr>
                <w:p w14:paraId="5F2CD3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w:t>
                  </w:r>
                </w:p>
              </w:tc>
              <w:tc>
                <w:tcPr>
                  <w:tcW w:w="489" w:type="pct"/>
                  <w:noWrap w:val="0"/>
                  <w:vAlign w:val="center"/>
                </w:tcPr>
                <w:p w14:paraId="08FB52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w:t>
                  </w:r>
                </w:p>
              </w:tc>
            </w:tr>
            <w:tr w14:paraId="397E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3" w:type="pct"/>
                  <w:noWrap w:val="0"/>
                  <w:vAlign w:val="center"/>
                </w:tcPr>
                <w:p w14:paraId="44CBF1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5</w:t>
                  </w:r>
                </w:p>
              </w:tc>
              <w:tc>
                <w:tcPr>
                  <w:tcW w:w="2592" w:type="pct"/>
                  <w:noWrap w:val="0"/>
                  <w:vAlign w:val="center"/>
                </w:tcPr>
                <w:p w14:paraId="231075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464" w:type="pct"/>
                  <w:noWrap w:val="0"/>
                  <w:vAlign w:val="center"/>
                </w:tcPr>
                <w:p w14:paraId="423D63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w:t>
                  </w:r>
                </w:p>
              </w:tc>
              <w:tc>
                <w:tcPr>
                  <w:tcW w:w="489" w:type="pct"/>
                  <w:noWrap w:val="0"/>
                  <w:vAlign w:val="center"/>
                </w:tcPr>
                <w:p w14:paraId="4EF02F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w:t>
                  </w:r>
                </w:p>
              </w:tc>
            </w:tr>
            <w:tr w14:paraId="13BE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3" w:type="pct"/>
                  <w:noWrap w:val="0"/>
                  <w:vAlign w:val="center"/>
                </w:tcPr>
                <w:p w14:paraId="6E577D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6</w:t>
                  </w:r>
                </w:p>
              </w:tc>
              <w:tc>
                <w:tcPr>
                  <w:tcW w:w="2592" w:type="pct"/>
                  <w:noWrap w:val="0"/>
                  <w:vAlign w:val="center"/>
                </w:tcPr>
                <w:p w14:paraId="19CEEC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禁止未经许可在长江干支流及湖泊新设、改设或扩大排污口。</w:t>
                  </w:r>
                </w:p>
              </w:tc>
              <w:tc>
                <w:tcPr>
                  <w:tcW w:w="1464" w:type="pct"/>
                  <w:noWrap w:val="0"/>
                  <w:vAlign w:val="center"/>
                </w:tcPr>
                <w:p w14:paraId="78098A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项目不设</w:t>
                  </w:r>
                  <w:r>
                    <w:rPr>
                      <w:rFonts w:hint="eastAsia" w:cs="Times New Roman"/>
                      <w:color w:val="000000" w:themeColor="text1"/>
                      <w:kern w:val="0"/>
                      <w:sz w:val="21"/>
                      <w:szCs w:val="21"/>
                      <w:u w:val="none"/>
                      <w:lang w:val="en-US" w:eastAsia="zh-CN"/>
                      <w14:textFill>
                        <w14:solidFill>
                          <w14:schemeClr w14:val="tx1"/>
                        </w14:solidFill>
                      </w14:textFill>
                    </w:rPr>
                    <w:t>废水</w:t>
                  </w: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排污口。</w:t>
                  </w:r>
                </w:p>
              </w:tc>
              <w:tc>
                <w:tcPr>
                  <w:tcW w:w="489" w:type="pct"/>
                  <w:noWrap w:val="0"/>
                  <w:vAlign w:val="center"/>
                </w:tcPr>
                <w:p w14:paraId="24E35B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相符</w:t>
                  </w:r>
                </w:p>
              </w:tc>
            </w:tr>
            <w:tr w14:paraId="2980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3" w:type="pct"/>
                  <w:noWrap w:val="0"/>
                  <w:vAlign w:val="center"/>
                </w:tcPr>
                <w:p w14:paraId="7C2139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7</w:t>
                  </w:r>
                </w:p>
              </w:tc>
              <w:tc>
                <w:tcPr>
                  <w:tcW w:w="2592" w:type="pct"/>
                  <w:noWrap w:val="0"/>
                  <w:vAlign w:val="center"/>
                </w:tcPr>
                <w:p w14:paraId="383E10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禁止在“一江一口两湖七河”和332个水生生物保护区开展生产性捕捞。</w:t>
                  </w:r>
                </w:p>
              </w:tc>
              <w:tc>
                <w:tcPr>
                  <w:tcW w:w="1464" w:type="pct"/>
                  <w:noWrap w:val="0"/>
                  <w:vAlign w:val="center"/>
                </w:tcPr>
                <w:p w14:paraId="55D6E4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w:t>
                  </w:r>
                </w:p>
              </w:tc>
              <w:tc>
                <w:tcPr>
                  <w:tcW w:w="489" w:type="pct"/>
                  <w:noWrap w:val="0"/>
                  <w:vAlign w:val="center"/>
                </w:tcPr>
                <w:p w14:paraId="3390E5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w:t>
                  </w:r>
                </w:p>
              </w:tc>
            </w:tr>
            <w:tr w14:paraId="477D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3" w:type="pct"/>
                  <w:noWrap w:val="0"/>
                  <w:vAlign w:val="center"/>
                </w:tcPr>
                <w:p w14:paraId="506512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8</w:t>
                  </w:r>
                </w:p>
              </w:tc>
              <w:tc>
                <w:tcPr>
                  <w:tcW w:w="2592" w:type="pct"/>
                  <w:noWrap w:val="0"/>
                  <w:vAlign w:val="center"/>
                </w:tcPr>
                <w:p w14:paraId="33FF65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325" w:type="dxa"/>
                  <w:noWrap w:val="0"/>
                  <w:vAlign w:val="center"/>
                </w:tcPr>
                <w:p w14:paraId="2D955F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w:t>
                  </w:r>
                </w:p>
              </w:tc>
              <w:tc>
                <w:tcPr>
                  <w:tcW w:w="777" w:type="dxa"/>
                  <w:noWrap w:val="0"/>
                  <w:vAlign w:val="center"/>
                </w:tcPr>
                <w:p w14:paraId="2D435D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w:t>
                  </w:r>
                </w:p>
              </w:tc>
            </w:tr>
            <w:tr w14:paraId="54A4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3" w:type="pct"/>
                  <w:noWrap w:val="0"/>
                  <w:vAlign w:val="center"/>
                </w:tcPr>
                <w:p w14:paraId="7AAE0D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9</w:t>
                  </w:r>
                </w:p>
              </w:tc>
              <w:tc>
                <w:tcPr>
                  <w:tcW w:w="2592" w:type="pct"/>
                  <w:noWrap w:val="0"/>
                  <w:vAlign w:val="center"/>
                </w:tcPr>
                <w:p w14:paraId="15C1AD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禁止在合规园区外新建、扩建钢铁、石化、化工、焦化、建材、有色、制浆造纸等高污染项目。</w:t>
                  </w:r>
                </w:p>
              </w:tc>
              <w:tc>
                <w:tcPr>
                  <w:tcW w:w="1464" w:type="pct"/>
                  <w:noWrap w:val="0"/>
                  <w:vAlign w:val="center"/>
                </w:tcPr>
                <w:p w14:paraId="0DD4F4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w:t>
                  </w:r>
                </w:p>
              </w:tc>
              <w:tc>
                <w:tcPr>
                  <w:tcW w:w="489" w:type="pct"/>
                  <w:noWrap w:val="0"/>
                  <w:vAlign w:val="center"/>
                </w:tcPr>
                <w:p w14:paraId="4028EE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w:t>
                  </w:r>
                </w:p>
              </w:tc>
            </w:tr>
            <w:tr w14:paraId="417B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3" w:type="pct"/>
                  <w:noWrap w:val="0"/>
                  <w:vAlign w:val="center"/>
                </w:tcPr>
                <w:p w14:paraId="123CB5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10</w:t>
                  </w:r>
                </w:p>
              </w:tc>
              <w:tc>
                <w:tcPr>
                  <w:tcW w:w="2592" w:type="pct"/>
                  <w:noWrap w:val="0"/>
                  <w:vAlign w:val="center"/>
                </w:tcPr>
                <w:p w14:paraId="234B25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禁止新建、扩建不符合国家石化、现代煤化工等产业布局规划的项目。</w:t>
                  </w:r>
                </w:p>
              </w:tc>
              <w:tc>
                <w:tcPr>
                  <w:tcW w:w="1464" w:type="pct"/>
                  <w:noWrap w:val="0"/>
                  <w:vAlign w:val="center"/>
                </w:tcPr>
                <w:p w14:paraId="115CF7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w:t>
                  </w:r>
                </w:p>
              </w:tc>
              <w:tc>
                <w:tcPr>
                  <w:tcW w:w="489" w:type="pct"/>
                  <w:noWrap w:val="0"/>
                  <w:vAlign w:val="center"/>
                </w:tcPr>
                <w:p w14:paraId="070E3C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w:t>
                  </w:r>
                </w:p>
              </w:tc>
            </w:tr>
            <w:tr w14:paraId="687A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14:paraId="1856A2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11</w:t>
                  </w:r>
                </w:p>
              </w:tc>
              <w:tc>
                <w:tcPr>
                  <w:tcW w:w="2592" w:type="pct"/>
                  <w:noWrap w:val="0"/>
                  <w:vAlign w:val="center"/>
                </w:tcPr>
                <w:p w14:paraId="4A7DE3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2325" w:type="dxa"/>
                  <w:noWrap w:val="0"/>
                  <w:vAlign w:val="center"/>
                </w:tcPr>
                <w:p w14:paraId="0AEECE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项目不涉及</w:t>
                  </w:r>
                </w:p>
              </w:tc>
              <w:tc>
                <w:tcPr>
                  <w:tcW w:w="777" w:type="dxa"/>
                  <w:noWrap w:val="0"/>
                  <w:vAlign w:val="center"/>
                </w:tcPr>
                <w:p w14:paraId="66D1C0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w:t>
                  </w:r>
                </w:p>
              </w:tc>
            </w:tr>
          </w:tbl>
          <w:p w14:paraId="68973EF3">
            <w:pPr>
              <w:pageBreakBefore w:val="0"/>
              <w:kinsoku/>
              <w:wordWrap/>
              <w:overflowPunct/>
              <w:topLinePunct w:val="0"/>
              <w:bidi w:val="0"/>
              <w:spacing w:before="120" w:beforeLines="50" w:line="360" w:lineRule="auto"/>
              <w:ind w:firstLine="480" w:firstLineChars="200"/>
              <w:rPr>
                <w:rFonts w:hint="eastAsia"/>
                <w:color w:val="000000" w:themeColor="text1"/>
                <w:kern w:val="0"/>
                <w:sz w:val="24"/>
                <w:u w:val="none"/>
                <w14:textFill>
                  <w14:solidFill>
                    <w14:schemeClr w14:val="tx1"/>
                  </w14:solidFill>
                </w14:textFill>
              </w:rPr>
            </w:pPr>
            <w:r>
              <w:rPr>
                <w:rFonts w:hint="eastAsia"/>
                <w:color w:val="000000" w:themeColor="text1"/>
                <w:kern w:val="0"/>
                <w:sz w:val="24"/>
                <w:u w:val="none"/>
                <w14:textFill>
                  <w14:solidFill>
                    <w14:schemeClr w14:val="tx1"/>
                  </w14:solidFill>
                </w14:textFill>
              </w:rPr>
              <w:t>综上，项目建设</w:t>
            </w:r>
            <w:r>
              <w:rPr>
                <w:rFonts w:hint="eastAsia" w:ascii="Times New Roman" w:eastAsia="宋体"/>
                <w:color w:val="000000" w:themeColor="text1"/>
                <w:kern w:val="0"/>
                <w:sz w:val="24"/>
                <w:u w:val="none"/>
                <w:lang w:val="en-US" w:eastAsia="zh-CN"/>
                <w14:textFill>
                  <w14:solidFill>
                    <w14:schemeClr w14:val="tx1"/>
                  </w14:solidFill>
                </w14:textFill>
              </w:rPr>
              <w:t>符合</w:t>
            </w:r>
            <w:r>
              <w:rPr>
                <w:rFonts w:hint="default" w:ascii="Times New Roman" w:hAnsi="Times New Roman" w:eastAsia="宋体" w:cs="Times New Roman"/>
                <w:b w:val="0"/>
                <w:bCs/>
                <w:color w:val="000000" w:themeColor="text1"/>
                <w:kern w:val="0"/>
                <w:sz w:val="24"/>
                <w:u w:val="none"/>
                <w14:textFill>
                  <w14:solidFill>
                    <w14:schemeClr w14:val="tx1"/>
                  </w14:solidFill>
                </w14:textFill>
              </w:rPr>
              <w:t>《</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长江经济带发展负面清单指南（试行，2022年版）</w:t>
            </w:r>
            <w:r>
              <w:rPr>
                <w:rFonts w:hint="default" w:ascii="Times New Roman" w:hAnsi="Times New Roman" w:eastAsia="宋体" w:cs="Times New Roman"/>
                <w:b w:val="0"/>
                <w:bCs/>
                <w:color w:val="000000" w:themeColor="text1"/>
                <w:kern w:val="0"/>
                <w:sz w:val="24"/>
                <w:u w:val="none"/>
                <w14:textFill>
                  <w14:solidFill>
                    <w14:schemeClr w14:val="tx1"/>
                  </w14:solidFill>
                </w14:textFill>
              </w:rPr>
              <w:t>》</w:t>
            </w:r>
            <w:r>
              <w:rPr>
                <w:rFonts w:hint="eastAsia"/>
                <w:color w:val="000000" w:themeColor="text1"/>
                <w:kern w:val="0"/>
                <w:sz w:val="24"/>
                <w:u w:val="none"/>
                <w14:textFill>
                  <w14:solidFill>
                    <w14:schemeClr w14:val="tx1"/>
                  </w14:solidFill>
                </w14:textFill>
              </w:rPr>
              <w:t>的相关要求。</w:t>
            </w:r>
          </w:p>
          <w:p w14:paraId="6B7F1749">
            <w:pPr>
              <w:keepNext/>
              <w:keepLines/>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jc w:val="both"/>
              <w:textAlignment w:val="auto"/>
              <w:outlineLvl w:val="9"/>
              <w:rPr>
                <w:rFonts w:hint="eastAsia" w:ascii="Times New Roman" w:hAnsi="Times New Roman" w:eastAsia="宋体" w:cs="Times New Roman"/>
                <w:b/>
                <w:bCs w:val="0"/>
                <w:color w:val="000000" w:themeColor="text1"/>
                <w:kern w:val="0"/>
                <w:sz w:val="24"/>
                <w:szCs w:val="21"/>
                <w:highlight w:val="none"/>
                <w:lang w:val="en-US" w:eastAsia="zh-CN" w:bidi="ar"/>
                <w14:textFill>
                  <w14:solidFill>
                    <w14:schemeClr w14:val="tx1"/>
                  </w14:solidFill>
                </w14:textFill>
              </w:rPr>
            </w:pPr>
            <w:bookmarkStart w:id="5" w:name="_Toc16920"/>
            <w:r>
              <w:rPr>
                <w:rFonts w:hint="eastAsia" w:cs="Times New Roman"/>
                <w:b/>
                <w:bCs w:val="0"/>
                <w:color w:val="000000" w:themeColor="text1"/>
                <w:kern w:val="0"/>
                <w:sz w:val="24"/>
                <w:szCs w:val="21"/>
                <w:highlight w:val="none"/>
                <w:lang w:val="en-US" w:eastAsia="zh-CN" w:bidi="ar"/>
                <w14:textFill>
                  <w14:solidFill>
                    <w14:schemeClr w14:val="tx1"/>
                  </w14:solidFill>
                </w14:textFill>
              </w:rPr>
              <w:t>1.3.2项目</w:t>
            </w:r>
            <w:r>
              <w:rPr>
                <w:rFonts w:hint="eastAsia" w:ascii="Times New Roman" w:hAnsi="Times New Roman" w:eastAsia="宋体" w:cs="Times New Roman"/>
                <w:b/>
                <w:bCs w:val="0"/>
                <w:color w:val="000000" w:themeColor="text1"/>
                <w:kern w:val="0"/>
                <w:sz w:val="24"/>
                <w:szCs w:val="21"/>
                <w:highlight w:val="none"/>
                <w:lang w:val="en-US" w:eastAsia="zh-CN" w:bidi="ar"/>
                <w14:textFill>
                  <w14:solidFill>
                    <w14:schemeClr w14:val="tx1"/>
                  </w14:solidFill>
                </w14:textFill>
              </w:rPr>
              <w:t>与《云南省长江经济带发展负面清单指南实施细则（试行，2022年版）》的相符性</w:t>
            </w:r>
            <w:bookmarkEnd w:id="5"/>
          </w:p>
          <w:p w14:paraId="0554A3D9">
            <w:pPr>
              <w:keepNext/>
              <w:keepLines/>
              <w:pageBreakBefore w:val="0"/>
              <w:widowControl/>
              <w:numPr>
                <w:ilvl w:val="1"/>
                <w:numId w:val="4"/>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outlineLvl w:val="9"/>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pPr>
            <w:bookmarkStart w:id="6" w:name="_Toc28884"/>
            <w:r>
              <w:rPr>
                <w:rFonts w:hint="eastAsia" w:cs="Times New Roman"/>
                <w:b w:val="0"/>
                <w:bCs/>
                <w:color w:val="000000" w:themeColor="text1"/>
                <w:kern w:val="0"/>
                <w:sz w:val="24"/>
                <w:szCs w:val="21"/>
                <w:u w:val="none"/>
                <w:lang w:val="en-US" w:eastAsia="zh-CN" w:bidi="ar"/>
                <w14:textFill>
                  <w14:solidFill>
                    <w14:schemeClr w14:val="tx1"/>
                  </w14:solidFill>
                </w14:textFill>
              </w:rPr>
              <w:t>项目</w:t>
            </w:r>
            <w:r>
              <w:rPr>
                <w:rFonts w:hint="eastAsia"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与</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w:t>
            </w:r>
            <w:r>
              <w:rPr>
                <w:rFonts w:hint="eastAsia" w:ascii="Times New Roman" w:hAnsi="Times New Roman" w:eastAsia="宋体" w:cs="Times New Roman"/>
                <w:b w:val="0"/>
                <w:bCs/>
                <w:color w:val="000000" w:themeColor="text1"/>
                <w:kern w:val="0"/>
                <w:sz w:val="24"/>
                <w:szCs w:val="21"/>
                <w:highlight w:val="none"/>
                <w:lang w:val="en-US" w:eastAsia="zh-CN" w:bidi="ar"/>
                <w14:textFill>
                  <w14:solidFill>
                    <w14:schemeClr w14:val="tx1"/>
                  </w14:solidFill>
                </w14:textFill>
              </w:rPr>
              <w:t>云南省长江经济带发展负面清单指南实施细则（试行，2022年版）</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w:t>
            </w:r>
            <w:r>
              <w:rPr>
                <w:rFonts w:hint="eastAsia"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（云发改基础〔2022〕894号）的相符性</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分析见表1</w:t>
            </w:r>
            <w:r>
              <w:rPr>
                <w:rFonts w:hint="eastAsia" w:cs="Times New Roman"/>
                <w:b w:val="0"/>
                <w:bCs/>
                <w:color w:val="000000" w:themeColor="text1"/>
                <w:kern w:val="0"/>
                <w:sz w:val="24"/>
                <w:szCs w:val="21"/>
                <w:u w:val="none"/>
                <w:lang w:val="en-US" w:eastAsia="zh-CN" w:bidi="ar"/>
                <w14:textFill>
                  <w14:solidFill>
                    <w14:schemeClr w14:val="tx1"/>
                  </w14:solidFill>
                </w14:textFill>
              </w:rPr>
              <w:t>.3</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w:t>
            </w:r>
            <w:r>
              <w:rPr>
                <w:rFonts w:hint="eastAsia" w:cs="Times New Roman"/>
                <w:b w:val="0"/>
                <w:bCs/>
                <w:color w:val="000000" w:themeColor="text1"/>
                <w:kern w:val="0"/>
                <w:sz w:val="24"/>
                <w:szCs w:val="21"/>
                <w:u w:val="none"/>
                <w:lang w:val="en-US" w:eastAsia="zh-CN" w:bidi="ar"/>
                <w14:textFill>
                  <w14:solidFill>
                    <w14:schemeClr w14:val="tx1"/>
                  </w14:solidFill>
                </w14:textFill>
              </w:rPr>
              <w:t>2所示</w:t>
            </w:r>
            <w:r>
              <w:rPr>
                <w:rFonts w:hint="default" w:ascii="Times New Roman" w:hAnsi="Times New Roman" w:eastAsia="宋体" w:cs="Times New Roman"/>
                <w:b w:val="0"/>
                <w:bCs/>
                <w:color w:val="000000" w:themeColor="text1"/>
                <w:kern w:val="0"/>
                <w:sz w:val="24"/>
                <w:szCs w:val="21"/>
                <w:u w:val="none"/>
                <w:lang w:val="en-US" w:eastAsia="zh-CN" w:bidi="ar"/>
                <w14:textFill>
                  <w14:solidFill>
                    <w14:schemeClr w14:val="tx1"/>
                  </w14:solidFill>
                </w14:textFill>
              </w:rPr>
              <w:t>。</w:t>
            </w:r>
            <w:bookmarkEnd w:id="6"/>
          </w:p>
          <w:p w14:paraId="040C64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表1</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 xml:space="preserve"> 项目与《云南省长江经济带发展负面清单指南实施细则（试行，2022年版）》相符性</w:t>
            </w:r>
          </w:p>
          <w:tbl>
            <w:tblPr>
              <w:tblStyle w:val="26"/>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4190"/>
              <w:gridCol w:w="2201"/>
              <w:gridCol w:w="956"/>
            </w:tblGrid>
            <w:tr w14:paraId="0A9D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noWrap w:val="0"/>
                  <w:vAlign w:val="center"/>
                </w:tcPr>
                <w:p w14:paraId="10D7AD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kern w:val="0"/>
                      <w:sz w:val="21"/>
                      <w:szCs w:val="21"/>
                      <w:u w:val="none"/>
                      <w14:textFill>
                        <w14:solidFill>
                          <w14:schemeClr w14:val="tx1"/>
                        </w14:solidFill>
                      </w14:textFill>
                    </w:rPr>
                  </w:pPr>
                  <w:r>
                    <w:rPr>
                      <w:rFonts w:hint="default" w:ascii="Times New Roman" w:hAnsi="Times New Roman" w:cs="Times New Roman"/>
                      <w:b/>
                      <w:bCs/>
                      <w:color w:val="000000" w:themeColor="text1"/>
                      <w:kern w:val="0"/>
                      <w:sz w:val="21"/>
                      <w:szCs w:val="21"/>
                      <w:u w:val="none"/>
                      <w14:textFill>
                        <w14:solidFill>
                          <w14:schemeClr w14:val="tx1"/>
                        </w14:solidFill>
                      </w14:textFill>
                    </w:rPr>
                    <w:t>序号</w:t>
                  </w:r>
                </w:p>
              </w:tc>
              <w:tc>
                <w:tcPr>
                  <w:tcW w:w="2593" w:type="pct"/>
                  <w:noWrap w:val="0"/>
                  <w:vAlign w:val="center"/>
                </w:tcPr>
                <w:p w14:paraId="40073D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kern w:val="0"/>
                      <w:sz w:val="21"/>
                      <w:szCs w:val="21"/>
                      <w:u w:val="none"/>
                      <w14:textFill>
                        <w14:solidFill>
                          <w14:schemeClr w14:val="tx1"/>
                        </w14:solidFill>
                      </w14:textFill>
                    </w:rPr>
                  </w:pPr>
                  <w:r>
                    <w:rPr>
                      <w:rFonts w:hint="default" w:ascii="Times New Roman" w:hAnsi="Times New Roman" w:cs="Times New Roman"/>
                      <w:b/>
                      <w:bCs/>
                      <w:color w:val="000000" w:themeColor="text1"/>
                      <w:kern w:val="0"/>
                      <w:sz w:val="21"/>
                      <w:szCs w:val="21"/>
                      <w:u w:val="none"/>
                      <w14:textFill>
                        <w14:solidFill>
                          <w14:schemeClr w14:val="tx1"/>
                        </w14:solidFill>
                      </w14:textFill>
                    </w:rPr>
                    <w:t>内容要求</w:t>
                  </w:r>
                </w:p>
              </w:tc>
              <w:tc>
                <w:tcPr>
                  <w:tcW w:w="1362" w:type="pct"/>
                  <w:noWrap w:val="0"/>
                  <w:vAlign w:val="center"/>
                </w:tcPr>
                <w:p w14:paraId="767FF1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kern w:val="0"/>
                      <w:sz w:val="21"/>
                      <w:szCs w:val="21"/>
                      <w:u w:val="none"/>
                      <w14:textFill>
                        <w14:solidFill>
                          <w14:schemeClr w14:val="tx1"/>
                        </w14:solidFill>
                      </w14:textFill>
                    </w:rPr>
                  </w:pPr>
                  <w:r>
                    <w:rPr>
                      <w:rFonts w:hint="default" w:ascii="Times New Roman" w:hAnsi="Times New Roman" w:cs="Times New Roman"/>
                      <w:b/>
                      <w:bCs/>
                      <w:color w:val="000000" w:themeColor="text1"/>
                      <w:kern w:val="0"/>
                      <w:sz w:val="21"/>
                      <w:szCs w:val="21"/>
                      <w:u w:val="none"/>
                      <w14:textFill>
                        <w14:solidFill>
                          <w14:schemeClr w14:val="tx1"/>
                        </w14:solidFill>
                      </w14:textFill>
                    </w:rPr>
                    <w:t>项目建设内容</w:t>
                  </w:r>
                </w:p>
              </w:tc>
              <w:tc>
                <w:tcPr>
                  <w:tcW w:w="591" w:type="pct"/>
                  <w:noWrap w:val="0"/>
                  <w:vAlign w:val="center"/>
                </w:tcPr>
                <w:p w14:paraId="681F8C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kern w:val="0"/>
                      <w:sz w:val="21"/>
                      <w:szCs w:val="21"/>
                      <w:u w:val="none"/>
                      <w14:textFill>
                        <w14:solidFill>
                          <w14:schemeClr w14:val="tx1"/>
                        </w14:solidFill>
                      </w14:textFill>
                    </w:rPr>
                  </w:pPr>
                  <w:r>
                    <w:rPr>
                      <w:rFonts w:hint="default" w:ascii="Times New Roman" w:hAnsi="Times New Roman" w:cs="Times New Roman"/>
                      <w:b/>
                      <w:bCs/>
                      <w:color w:val="000000" w:themeColor="text1"/>
                      <w:kern w:val="0"/>
                      <w:sz w:val="21"/>
                      <w:szCs w:val="21"/>
                      <w:u w:val="none"/>
                      <w:lang w:val="en-US" w:eastAsia="zh-CN"/>
                      <w14:textFill>
                        <w14:solidFill>
                          <w14:schemeClr w14:val="tx1"/>
                        </w14:solidFill>
                      </w14:textFill>
                    </w:rPr>
                    <w:t>相符</w:t>
                  </w:r>
                  <w:r>
                    <w:rPr>
                      <w:rFonts w:hint="default" w:ascii="Times New Roman" w:hAnsi="Times New Roman" w:cs="Times New Roman"/>
                      <w:b/>
                      <w:bCs/>
                      <w:color w:val="000000" w:themeColor="text1"/>
                      <w:kern w:val="0"/>
                      <w:sz w:val="21"/>
                      <w:szCs w:val="21"/>
                      <w:u w:val="none"/>
                      <w14:textFill>
                        <w14:solidFill>
                          <w14:schemeClr w14:val="tx1"/>
                        </w14:solidFill>
                      </w14:textFill>
                    </w:rPr>
                    <w:t>性</w:t>
                  </w:r>
                </w:p>
              </w:tc>
            </w:tr>
            <w:tr w14:paraId="76A9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noWrap w:val="0"/>
                  <w:vAlign w:val="center"/>
                </w:tcPr>
                <w:p w14:paraId="5AED58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1</w:t>
                  </w:r>
                </w:p>
              </w:tc>
              <w:tc>
                <w:tcPr>
                  <w:tcW w:w="2593" w:type="pct"/>
                  <w:noWrap w:val="0"/>
                  <w:vAlign w:val="center"/>
                </w:tcPr>
                <w:p w14:paraId="116562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禁止新建、改建和扩建不符合《全国内河航道与港口布局规划》等全国港口规划和《昭通市港口码头岸线规划（金沙江段2019年—2035年）</w:t>
                  </w:r>
                  <w:r>
                    <w:rPr>
                      <w:rFonts w:hint="eastAsia" w:cs="Times New Roman"/>
                      <w:color w:val="000000" w:themeColor="text1"/>
                      <w:kern w:val="0"/>
                      <w:sz w:val="21"/>
                      <w:szCs w:val="21"/>
                      <w:u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u w:val="none"/>
                      <w14:textFill>
                        <w14:solidFill>
                          <w14:schemeClr w14:val="tx1"/>
                        </w14:solidFill>
                      </w14:textFill>
                    </w:rPr>
                    <w:t>景洪港总体规划（2019—2035年）》等州（市）级以上港口布局规划以及港口总体规划的码头项目。</w:t>
                  </w:r>
                </w:p>
              </w:tc>
              <w:tc>
                <w:tcPr>
                  <w:tcW w:w="1362" w:type="pct"/>
                  <w:noWrap w:val="0"/>
                  <w:vAlign w:val="center"/>
                </w:tcPr>
                <w:p w14:paraId="203338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项目不涉及码头建设。</w:t>
                  </w:r>
                </w:p>
              </w:tc>
              <w:tc>
                <w:tcPr>
                  <w:tcW w:w="591" w:type="pct"/>
                  <w:noWrap w:val="0"/>
                  <w:vAlign w:val="center"/>
                </w:tcPr>
                <w:p w14:paraId="438836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相符</w:t>
                  </w:r>
                </w:p>
              </w:tc>
            </w:tr>
            <w:tr w14:paraId="1596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noWrap w:val="0"/>
                  <w:vAlign w:val="center"/>
                </w:tcPr>
                <w:p w14:paraId="7B9E6A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2</w:t>
                  </w:r>
                </w:p>
              </w:tc>
              <w:tc>
                <w:tcPr>
                  <w:tcW w:w="2593" w:type="pct"/>
                  <w:noWrap w:val="0"/>
                  <w:vAlign w:val="center"/>
                </w:tcPr>
                <w:p w14:paraId="7911CC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362" w:type="pct"/>
                  <w:noWrap w:val="0"/>
                  <w:vAlign w:val="center"/>
                </w:tcPr>
                <w:p w14:paraId="319402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项目位于曲靖市麒麟区珠街街道办事处珠街社区珠街村666号2栋18-19-20，不涉及自然保护区。</w:t>
                  </w:r>
                </w:p>
              </w:tc>
              <w:tc>
                <w:tcPr>
                  <w:tcW w:w="591" w:type="pct"/>
                  <w:noWrap w:val="0"/>
                  <w:vAlign w:val="center"/>
                </w:tcPr>
                <w:p w14:paraId="44D370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相符</w:t>
                  </w:r>
                </w:p>
              </w:tc>
            </w:tr>
            <w:tr w14:paraId="5C99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noWrap w:val="0"/>
                  <w:vAlign w:val="center"/>
                </w:tcPr>
                <w:p w14:paraId="4AA804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3</w:t>
                  </w:r>
                </w:p>
              </w:tc>
              <w:tc>
                <w:tcPr>
                  <w:tcW w:w="2593" w:type="pct"/>
                  <w:noWrap w:val="0"/>
                  <w:vAlign w:val="center"/>
                </w:tcPr>
                <w:p w14:paraId="523527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362" w:type="pct"/>
                  <w:noWrap w:val="0"/>
                  <w:vAlign w:val="center"/>
                </w:tcPr>
                <w:p w14:paraId="490167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项目位于曲靖市麒麟区珠街街道办事处珠街社区珠街村666号2栋18-19-20，不涉及风景名胜区。</w:t>
                  </w:r>
                </w:p>
              </w:tc>
              <w:tc>
                <w:tcPr>
                  <w:tcW w:w="591" w:type="pct"/>
                  <w:noWrap w:val="0"/>
                  <w:vAlign w:val="center"/>
                </w:tcPr>
                <w:p w14:paraId="05F2E3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相符</w:t>
                  </w:r>
                </w:p>
              </w:tc>
            </w:tr>
            <w:tr w14:paraId="068B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noWrap w:val="0"/>
                  <w:vAlign w:val="center"/>
                </w:tcPr>
                <w:p w14:paraId="059DD3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4</w:t>
                  </w:r>
                </w:p>
              </w:tc>
              <w:tc>
                <w:tcPr>
                  <w:tcW w:w="2593" w:type="pct"/>
                  <w:noWrap w:val="0"/>
                  <w:vAlign w:val="center"/>
                </w:tcPr>
                <w:p w14:paraId="21E9BC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362" w:type="pct"/>
                  <w:noWrap w:val="0"/>
                  <w:vAlign w:val="center"/>
                </w:tcPr>
                <w:p w14:paraId="44DD39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项目及项目周边无</w:t>
                  </w:r>
                  <w:r>
                    <w:rPr>
                      <w:rFonts w:hint="default" w:ascii="Times New Roman" w:hAnsi="Times New Roman" w:cs="Times New Roman"/>
                      <w:color w:val="000000" w:themeColor="text1"/>
                      <w:kern w:val="0"/>
                      <w:sz w:val="21"/>
                      <w:szCs w:val="21"/>
                      <w:u w:val="none"/>
                      <w14:textFill>
                        <w14:solidFill>
                          <w14:schemeClr w14:val="tx1"/>
                        </w14:solidFill>
                      </w14:textFill>
                    </w:rPr>
                    <w:t>饮用水水源</w:t>
                  </w:r>
                  <w:r>
                    <w:rPr>
                      <w:rFonts w:hint="eastAsia" w:cs="Times New Roman"/>
                      <w:color w:val="000000" w:themeColor="text1"/>
                      <w:kern w:val="0"/>
                      <w:sz w:val="21"/>
                      <w:szCs w:val="21"/>
                      <w:u w:val="none"/>
                      <w:lang w:val="en-US" w:eastAsia="zh-CN"/>
                      <w14:textFill>
                        <w14:solidFill>
                          <w14:schemeClr w14:val="tx1"/>
                        </w14:solidFill>
                      </w14:textFill>
                    </w:rPr>
                    <w:t>一、</w:t>
                  </w:r>
                  <w:r>
                    <w:rPr>
                      <w:rFonts w:hint="default" w:ascii="Times New Roman" w:hAnsi="Times New Roman" w:cs="Times New Roman"/>
                      <w:color w:val="000000" w:themeColor="text1"/>
                      <w:kern w:val="0"/>
                      <w:sz w:val="21"/>
                      <w:szCs w:val="21"/>
                      <w:u w:val="none"/>
                      <w14:textFill>
                        <w14:solidFill>
                          <w14:schemeClr w14:val="tx1"/>
                        </w14:solidFill>
                      </w14:textFill>
                    </w:rPr>
                    <w:t>二级保护区</w:t>
                  </w:r>
                  <w:r>
                    <w:rPr>
                      <w:rFonts w:hint="eastAsia" w:cs="Times New Roman"/>
                      <w:color w:val="000000" w:themeColor="text1"/>
                      <w:kern w:val="0"/>
                      <w:sz w:val="21"/>
                      <w:szCs w:val="21"/>
                      <w:u w:val="none"/>
                      <w:lang w:eastAsia="zh-CN"/>
                      <w14:textFill>
                        <w14:solidFill>
                          <w14:schemeClr w14:val="tx1"/>
                        </w14:solidFill>
                      </w14:textFill>
                    </w:rPr>
                    <w:t>。</w:t>
                  </w:r>
                </w:p>
              </w:tc>
              <w:tc>
                <w:tcPr>
                  <w:tcW w:w="591" w:type="pct"/>
                  <w:noWrap w:val="0"/>
                  <w:vAlign w:val="center"/>
                </w:tcPr>
                <w:p w14:paraId="3C190B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相符</w:t>
                  </w:r>
                </w:p>
              </w:tc>
            </w:tr>
            <w:tr w14:paraId="0273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2" w:type="pct"/>
                  <w:noWrap w:val="0"/>
                  <w:vAlign w:val="center"/>
                </w:tcPr>
                <w:p w14:paraId="164C65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5</w:t>
                  </w:r>
                </w:p>
              </w:tc>
              <w:tc>
                <w:tcPr>
                  <w:tcW w:w="2593" w:type="pct"/>
                  <w:noWrap w:val="0"/>
                  <w:vAlign w:val="center"/>
                </w:tcPr>
                <w:p w14:paraId="2C5525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362" w:type="pct"/>
                  <w:noWrap w:val="0"/>
                  <w:vAlign w:val="center"/>
                </w:tcPr>
                <w:p w14:paraId="0FC1A4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项目不涉及</w:t>
                  </w:r>
                  <w:r>
                    <w:rPr>
                      <w:rFonts w:hint="default" w:ascii="Times New Roman" w:hAnsi="Times New Roman" w:cs="Times New Roman"/>
                      <w:color w:val="000000" w:themeColor="text1"/>
                      <w:kern w:val="0"/>
                      <w:sz w:val="21"/>
                      <w:szCs w:val="21"/>
                      <w:u w:val="none"/>
                      <w14:textFill>
                        <w14:solidFill>
                          <w14:schemeClr w14:val="tx1"/>
                        </w14:solidFill>
                      </w14:textFill>
                    </w:rPr>
                    <w:t>围湖造田、围湖造地</w:t>
                  </w:r>
                  <w:r>
                    <w:rPr>
                      <w:rFonts w:hint="eastAsia" w:cs="Times New Roman"/>
                      <w:color w:val="000000" w:themeColor="text1"/>
                      <w:kern w:val="0"/>
                      <w:sz w:val="21"/>
                      <w:szCs w:val="21"/>
                      <w:u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u w:val="none"/>
                      <w14:textFill>
                        <w14:solidFill>
                          <w14:schemeClr w14:val="tx1"/>
                        </w14:solidFill>
                      </w14:textFill>
                    </w:rPr>
                    <w:t>围填海</w:t>
                  </w:r>
                  <w:r>
                    <w:rPr>
                      <w:rFonts w:hint="eastAsia" w:cs="Times New Roman"/>
                      <w:color w:val="000000" w:themeColor="text1"/>
                      <w:kern w:val="0"/>
                      <w:sz w:val="21"/>
                      <w:szCs w:val="21"/>
                      <w:u w:val="none"/>
                      <w:lang w:eastAsia="zh-CN"/>
                      <w14:textFill>
                        <w14:solidFill>
                          <w14:schemeClr w14:val="tx1"/>
                        </w14:solidFill>
                      </w14:textFill>
                    </w:rPr>
                    <w:t>、</w:t>
                  </w:r>
                  <w:r>
                    <w:rPr>
                      <w:rFonts w:hint="eastAsia" w:cs="Times New Roman"/>
                      <w:color w:val="000000" w:themeColor="text1"/>
                      <w:kern w:val="0"/>
                      <w:sz w:val="21"/>
                      <w:szCs w:val="21"/>
                      <w:u w:val="none"/>
                      <w:lang w:val="en-US" w:eastAsia="zh-CN"/>
                      <w14:textFill>
                        <w14:solidFill>
                          <w14:schemeClr w14:val="tx1"/>
                        </w14:solidFill>
                      </w14:textFill>
                    </w:rPr>
                    <w:t>湿地公园。</w:t>
                  </w:r>
                </w:p>
              </w:tc>
              <w:tc>
                <w:tcPr>
                  <w:tcW w:w="591" w:type="pct"/>
                  <w:noWrap w:val="0"/>
                  <w:vAlign w:val="center"/>
                </w:tcPr>
                <w:p w14:paraId="6E719E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相符</w:t>
                  </w:r>
                </w:p>
              </w:tc>
            </w:tr>
            <w:tr w14:paraId="58FB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2" w:type="pct"/>
                  <w:noWrap w:val="0"/>
                  <w:vAlign w:val="center"/>
                </w:tcPr>
                <w:p w14:paraId="042E6E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6</w:t>
                  </w:r>
                </w:p>
              </w:tc>
              <w:tc>
                <w:tcPr>
                  <w:tcW w:w="2593" w:type="pct"/>
                  <w:noWrap w:val="0"/>
                  <w:vAlign w:val="center"/>
                </w:tcPr>
                <w:p w14:paraId="6B3D10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362" w:type="pct"/>
                  <w:noWrap w:val="0"/>
                  <w:vAlign w:val="center"/>
                </w:tcPr>
                <w:p w14:paraId="4E257D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项目位于曲靖市麒麟区珠街街道办事处珠街社区珠街村666号2栋18-19-20，不涉及</w:t>
                  </w:r>
                  <w:r>
                    <w:rPr>
                      <w:rFonts w:hint="default" w:ascii="Times New Roman" w:hAnsi="Times New Roman" w:cs="Times New Roman"/>
                      <w:color w:val="000000" w:themeColor="text1"/>
                      <w:kern w:val="0"/>
                      <w:sz w:val="21"/>
                      <w:szCs w:val="21"/>
                      <w:u w:val="none"/>
                      <w14:textFill>
                        <w14:solidFill>
                          <w14:schemeClr w14:val="tx1"/>
                        </w14:solidFill>
                      </w14:textFill>
                    </w:rPr>
                    <w:t>占用长江流域河湖岸线</w:t>
                  </w:r>
                </w:p>
              </w:tc>
              <w:tc>
                <w:tcPr>
                  <w:tcW w:w="591" w:type="pct"/>
                  <w:noWrap w:val="0"/>
                  <w:vAlign w:val="center"/>
                </w:tcPr>
                <w:p w14:paraId="05AB2A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相符</w:t>
                  </w:r>
                </w:p>
              </w:tc>
            </w:tr>
            <w:tr w14:paraId="6AE4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2" w:type="pct"/>
                  <w:noWrap w:val="0"/>
                  <w:vAlign w:val="center"/>
                </w:tcPr>
                <w:p w14:paraId="4FE8A5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7</w:t>
                  </w:r>
                </w:p>
              </w:tc>
              <w:tc>
                <w:tcPr>
                  <w:tcW w:w="2593" w:type="pct"/>
                  <w:noWrap w:val="0"/>
                  <w:vAlign w:val="center"/>
                </w:tcPr>
                <w:p w14:paraId="33A6B8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362" w:type="pct"/>
                  <w:noWrap w:val="0"/>
                  <w:vAlign w:val="center"/>
                </w:tcPr>
                <w:p w14:paraId="470648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项目不涉及过江设施建设，不新增排污口。</w:t>
                  </w:r>
                </w:p>
              </w:tc>
              <w:tc>
                <w:tcPr>
                  <w:tcW w:w="591" w:type="pct"/>
                  <w:noWrap w:val="0"/>
                  <w:vAlign w:val="center"/>
                </w:tcPr>
                <w:p w14:paraId="44B657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相符</w:t>
                  </w:r>
                </w:p>
              </w:tc>
            </w:tr>
            <w:tr w14:paraId="16E5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2" w:type="pct"/>
                  <w:noWrap w:val="0"/>
                  <w:vAlign w:val="center"/>
                </w:tcPr>
                <w:p w14:paraId="0466F5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8</w:t>
                  </w:r>
                </w:p>
              </w:tc>
              <w:tc>
                <w:tcPr>
                  <w:tcW w:w="2593" w:type="pct"/>
                  <w:noWrap w:val="0"/>
                  <w:vAlign w:val="center"/>
                </w:tcPr>
                <w:p w14:paraId="078FCA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禁止在金沙江干流、长江一级支流、水生生物保护区和长江流域禁捕水域开展天然渔业资源生产性捕捞。</w:t>
                  </w:r>
                </w:p>
              </w:tc>
              <w:tc>
                <w:tcPr>
                  <w:tcW w:w="1362" w:type="pct"/>
                  <w:noWrap w:val="0"/>
                  <w:vAlign w:val="center"/>
                </w:tcPr>
                <w:p w14:paraId="3C8248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项目不涉及</w:t>
                  </w:r>
                </w:p>
              </w:tc>
              <w:tc>
                <w:tcPr>
                  <w:tcW w:w="591" w:type="pct"/>
                  <w:noWrap w:val="0"/>
                  <w:vAlign w:val="center"/>
                </w:tcPr>
                <w:p w14:paraId="1A7E79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相符</w:t>
                  </w:r>
                </w:p>
              </w:tc>
            </w:tr>
            <w:tr w14:paraId="3802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2" w:type="pct"/>
                  <w:noWrap w:val="0"/>
                  <w:vAlign w:val="center"/>
                </w:tcPr>
                <w:p w14:paraId="5FD47A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9</w:t>
                  </w:r>
                </w:p>
              </w:tc>
              <w:tc>
                <w:tcPr>
                  <w:tcW w:w="2593" w:type="pct"/>
                  <w:noWrap w:val="0"/>
                  <w:vAlign w:val="center"/>
                </w:tcPr>
                <w:p w14:paraId="4C919A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362" w:type="pct"/>
                  <w:noWrap w:val="0"/>
                  <w:vAlign w:val="center"/>
                </w:tcPr>
                <w:p w14:paraId="314487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项目周边地表水南盘江，不属于长江流域。</w:t>
                  </w:r>
                </w:p>
              </w:tc>
              <w:tc>
                <w:tcPr>
                  <w:tcW w:w="591" w:type="pct"/>
                  <w:noWrap w:val="0"/>
                  <w:vAlign w:val="center"/>
                </w:tcPr>
                <w:p w14:paraId="0112AF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w:t>
                  </w:r>
                </w:p>
              </w:tc>
            </w:tr>
            <w:tr w14:paraId="6CD9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2" w:type="pct"/>
                  <w:noWrap w:val="0"/>
                  <w:vAlign w:val="center"/>
                </w:tcPr>
                <w:p w14:paraId="749ED3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10</w:t>
                  </w:r>
                </w:p>
              </w:tc>
              <w:tc>
                <w:tcPr>
                  <w:tcW w:w="2593" w:type="pct"/>
                  <w:noWrap w:val="0"/>
                  <w:vAlign w:val="center"/>
                </w:tcPr>
                <w:p w14:paraId="375F68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禁止在合规园区外新建、扩建钢铁、石化、化工、焦化、建材、有色、制浆造纸行业中的高污染项目。</w:t>
                  </w:r>
                </w:p>
              </w:tc>
              <w:tc>
                <w:tcPr>
                  <w:tcW w:w="1362" w:type="pct"/>
                  <w:noWrap w:val="0"/>
                  <w:vAlign w:val="center"/>
                </w:tcPr>
                <w:p w14:paraId="103666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项目为</w:t>
                  </w:r>
                  <w:r>
                    <w:rPr>
                      <w:rFonts w:hint="eastAsia"/>
                      <w:b w:val="0"/>
                      <w:bCs/>
                      <w:color w:val="000000" w:themeColor="text1"/>
                      <w:spacing w:val="10"/>
                      <w:sz w:val="21"/>
                      <w:szCs w:val="21"/>
                      <w:highlight w:val="none"/>
                      <w:lang w:val="en-US" w:eastAsia="zh-CN"/>
                      <w14:textFill>
                        <w14:solidFill>
                          <w14:schemeClr w14:val="tx1"/>
                        </w14:solidFill>
                      </w14:textFill>
                    </w:rPr>
                    <w:t>废旧电池及废矿物油集中收集、中转项目</w:t>
                  </w:r>
                  <w:r>
                    <w:rPr>
                      <w:rFonts w:hint="eastAsia" w:cs="Times New Roman"/>
                      <w:color w:val="000000" w:themeColor="text1"/>
                      <w:kern w:val="0"/>
                      <w:sz w:val="21"/>
                      <w:szCs w:val="21"/>
                      <w:u w:val="none"/>
                      <w:lang w:val="en-US" w:eastAsia="zh-CN"/>
                      <w14:textFill>
                        <w14:solidFill>
                          <w14:schemeClr w14:val="tx1"/>
                        </w14:solidFill>
                      </w14:textFill>
                    </w:rPr>
                    <w:t>，不涉及</w:t>
                  </w:r>
                  <w:r>
                    <w:rPr>
                      <w:rFonts w:hint="default" w:ascii="Times New Roman" w:hAnsi="Times New Roman" w:cs="Times New Roman"/>
                      <w:color w:val="000000" w:themeColor="text1"/>
                      <w:kern w:val="0"/>
                      <w:sz w:val="21"/>
                      <w:szCs w:val="21"/>
                      <w:u w:val="none"/>
                      <w14:textFill>
                        <w14:solidFill>
                          <w14:schemeClr w14:val="tx1"/>
                        </w14:solidFill>
                      </w14:textFill>
                    </w:rPr>
                    <w:t>石化、化工、焦化、建材、有色、制浆造纸行业</w:t>
                  </w:r>
                  <w:r>
                    <w:rPr>
                      <w:rFonts w:hint="eastAsia" w:cs="Times New Roman"/>
                      <w:color w:val="000000" w:themeColor="text1"/>
                      <w:kern w:val="0"/>
                      <w:sz w:val="21"/>
                      <w:szCs w:val="21"/>
                      <w:u w:val="none"/>
                      <w:lang w:eastAsia="zh-CN"/>
                      <w14:textFill>
                        <w14:solidFill>
                          <w14:schemeClr w14:val="tx1"/>
                        </w14:solidFill>
                      </w14:textFill>
                    </w:rPr>
                    <w:t>。</w:t>
                  </w:r>
                </w:p>
              </w:tc>
              <w:tc>
                <w:tcPr>
                  <w:tcW w:w="591" w:type="pct"/>
                  <w:noWrap w:val="0"/>
                  <w:vAlign w:val="center"/>
                </w:tcPr>
                <w:p w14:paraId="27FE14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w:t>
                  </w:r>
                </w:p>
              </w:tc>
            </w:tr>
            <w:tr w14:paraId="0009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2" w:type="pct"/>
                  <w:noWrap w:val="0"/>
                  <w:vAlign w:val="center"/>
                </w:tcPr>
                <w:p w14:paraId="49B5FC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11</w:t>
                  </w:r>
                </w:p>
              </w:tc>
              <w:tc>
                <w:tcPr>
                  <w:tcW w:w="2593" w:type="pct"/>
                  <w:noWrap w:val="0"/>
                  <w:vAlign w:val="center"/>
                </w:tcPr>
                <w:p w14:paraId="635B89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1362" w:type="pct"/>
                  <w:noWrap w:val="0"/>
                  <w:vAlign w:val="center"/>
                </w:tcPr>
                <w:p w14:paraId="4ADD10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项目为</w:t>
                  </w:r>
                  <w:r>
                    <w:rPr>
                      <w:rFonts w:hint="eastAsia"/>
                      <w:b w:val="0"/>
                      <w:bCs/>
                      <w:color w:val="000000" w:themeColor="text1"/>
                      <w:spacing w:val="10"/>
                      <w:sz w:val="21"/>
                      <w:szCs w:val="21"/>
                      <w:highlight w:val="none"/>
                      <w:lang w:val="en-US" w:eastAsia="zh-CN"/>
                      <w14:textFill>
                        <w14:solidFill>
                          <w14:schemeClr w14:val="tx1"/>
                        </w14:solidFill>
                      </w14:textFill>
                    </w:rPr>
                    <w:t>废旧电池及废矿物油集中收集、中转项目</w:t>
                  </w:r>
                  <w:r>
                    <w:rPr>
                      <w:rFonts w:hint="eastAsia" w:cs="Times New Roman"/>
                      <w:color w:val="000000" w:themeColor="text1"/>
                      <w:kern w:val="0"/>
                      <w:sz w:val="21"/>
                      <w:szCs w:val="21"/>
                      <w:u w:val="none"/>
                      <w:lang w:val="en-US" w:eastAsia="zh-CN"/>
                      <w14:textFill>
                        <w14:solidFill>
                          <w14:schemeClr w14:val="tx1"/>
                        </w14:solidFill>
                      </w14:textFill>
                    </w:rPr>
                    <w:t>，不涉及</w:t>
                  </w:r>
                  <w:r>
                    <w:rPr>
                      <w:rFonts w:hint="default" w:ascii="Times New Roman" w:hAnsi="Times New Roman" w:cs="Times New Roman"/>
                      <w:color w:val="000000" w:themeColor="text1"/>
                      <w:kern w:val="0"/>
                      <w:sz w:val="21"/>
                      <w:szCs w:val="21"/>
                      <w:u w:val="none"/>
                      <w14:textFill>
                        <w14:solidFill>
                          <w14:schemeClr w14:val="tx1"/>
                        </w14:solidFill>
                      </w14:textFill>
                    </w:rPr>
                    <w:t>石化、</w:t>
                  </w:r>
                  <w:r>
                    <w:rPr>
                      <w:rFonts w:hint="eastAsia" w:cs="Times New Roman"/>
                      <w:color w:val="000000" w:themeColor="text1"/>
                      <w:kern w:val="0"/>
                      <w:sz w:val="21"/>
                      <w:szCs w:val="21"/>
                      <w:u w:val="none"/>
                      <w:lang w:val="en-US" w:eastAsia="zh-CN"/>
                      <w14:textFill>
                        <w14:solidFill>
                          <w14:schemeClr w14:val="tx1"/>
                        </w14:solidFill>
                      </w14:textFill>
                    </w:rPr>
                    <w:t>煤化工</w:t>
                  </w:r>
                  <w:r>
                    <w:rPr>
                      <w:rFonts w:hint="default" w:ascii="Times New Roman" w:hAnsi="Times New Roman" w:cs="Times New Roman"/>
                      <w:color w:val="000000" w:themeColor="text1"/>
                      <w:kern w:val="0"/>
                      <w:sz w:val="21"/>
                      <w:szCs w:val="21"/>
                      <w:u w:val="none"/>
                      <w14:textFill>
                        <w14:solidFill>
                          <w14:schemeClr w14:val="tx1"/>
                        </w14:solidFill>
                      </w14:textFill>
                    </w:rPr>
                    <w:t>行业</w:t>
                  </w:r>
                  <w:r>
                    <w:rPr>
                      <w:rFonts w:hint="eastAsia" w:cs="Times New Roman"/>
                      <w:color w:val="000000" w:themeColor="text1"/>
                      <w:kern w:val="0"/>
                      <w:sz w:val="21"/>
                      <w:szCs w:val="21"/>
                      <w:u w:val="none"/>
                      <w:lang w:eastAsia="zh-CN"/>
                      <w14:textFill>
                        <w14:solidFill>
                          <w14:schemeClr w14:val="tx1"/>
                        </w14:solidFill>
                      </w14:textFill>
                    </w:rPr>
                    <w:t>。</w:t>
                  </w:r>
                </w:p>
              </w:tc>
              <w:tc>
                <w:tcPr>
                  <w:tcW w:w="591" w:type="pct"/>
                  <w:noWrap w:val="0"/>
                  <w:vAlign w:val="center"/>
                </w:tcPr>
                <w:p w14:paraId="264D74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w:t>
                  </w:r>
                </w:p>
              </w:tc>
            </w:tr>
            <w:tr w14:paraId="77AA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2" w:type="pct"/>
                  <w:noWrap w:val="0"/>
                  <w:vAlign w:val="center"/>
                </w:tcPr>
                <w:p w14:paraId="4B2067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12</w:t>
                  </w:r>
                </w:p>
              </w:tc>
              <w:tc>
                <w:tcPr>
                  <w:tcW w:w="2593" w:type="pct"/>
                  <w:noWrap w:val="0"/>
                  <w:vAlign w:val="center"/>
                </w:tcPr>
                <w:p w14:paraId="5AC0C1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362" w:type="pct"/>
                  <w:noWrap w:val="0"/>
                  <w:vAlign w:val="center"/>
                </w:tcPr>
                <w:p w14:paraId="078E32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项目为</w:t>
                  </w:r>
                  <w:r>
                    <w:rPr>
                      <w:rFonts w:hint="eastAsia"/>
                      <w:b w:val="0"/>
                      <w:bCs/>
                      <w:color w:val="000000" w:themeColor="text1"/>
                      <w:spacing w:val="10"/>
                      <w:sz w:val="21"/>
                      <w:szCs w:val="21"/>
                      <w:highlight w:val="none"/>
                      <w:lang w:val="en-US" w:eastAsia="zh-CN"/>
                      <w14:textFill>
                        <w14:solidFill>
                          <w14:schemeClr w14:val="tx1"/>
                        </w14:solidFill>
                      </w14:textFill>
                    </w:rPr>
                    <w:t>废旧电池及废矿物油集中收集、中转项目</w:t>
                  </w:r>
                  <w:r>
                    <w:rPr>
                      <w:rFonts w:hint="eastAsia" w:cs="Times New Roman"/>
                      <w:color w:val="000000" w:themeColor="text1"/>
                      <w:kern w:val="0"/>
                      <w:sz w:val="21"/>
                      <w:szCs w:val="21"/>
                      <w:u w:val="none"/>
                      <w:lang w:val="en-US" w:eastAsia="zh-CN"/>
                      <w14:textFill>
                        <w14:solidFill>
                          <w14:schemeClr w14:val="tx1"/>
                        </w14:solidFill>
                      </w14:textFill>
                    </w:rPr>
                    <w:t>，不涉及生产产能。</w:t>
                  </w:r>
                </w:p>
              </w:tc>
              <w:tc>
                <w:tcPr>
                  <w:tcW w:w="591" w:type="pct"/>
                  <w:noWrap w:val="0"/>
                  <w:vAlign w:val="center"/>
                </w:tcPr>
                <w:p w14:paraId="648D4E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w:t>
                  </w:r>
                </w:p>
              </w:tc>
            </w:tr>
          </w:tbl>
          <w:p w14:paraId="6A5AE11F">
            <w:pPr>
              <w:pageBreakBefore w:val="0"/>
              <w:kinsoku/>
              <w:wordWrap/>
              <w:overflowPunct/>
              <w:topLinePunct w:val="0"/>
              <w:bidi w:val="0"/>
              <w:spacing w:before="120" w:beforeLines="50" w:line="360" w:lineRule="auto"/>
              <w:ind w:firstLine="480" w:firstLineChars="200"/>
              <w:rPr>
                <w:rFonts w:hint="eastAsia"/>
                <w:color w:val="000000" w:themeColor="text1"/>
                <w:kern w:val="0"/>
                <w:sz w:val="24"/>
                <w:u w:val="none"/>
                <w14:textFill>
                  <w14:solidFill>
                    <w14:schemeClr w14:val="tx1"/>
                  </w14:solidFill>
                </w14:textFill>
              </w:rPr>
            </w:pPr>
            <w:r>
              <w:rPr>
                <w:rFonts w:hint="eastAsia"/>
                <w:color w:val="000000" w:themeColor="text1"/>
                <w:kern w:val="0"/>
                <w:sz w:val="24"/>
                <w:u w:val="none"/>
                <w14:textFill>
                  <w14:solidFill>
                    <w14:schemeClr w14:val="tx1"/>
                  </w14:solidFill>
                </w14:textFill>
              </w:rPr>
              <w:t>综上，项目建设</w:t>
            </w:r>
            <w:r>
              <w:rPr>
                <w:rFonts w:hint="eastAsia" w:ascii="Times New Roman" w:eastAsia="宋体"/>
                <w:color w:val="000000" w:themeColor="text1"/>
                <w:kern w:val="0"/>
                <w:sz w:val="24"/>
                <w:u w:val="none"/>
                <w:lang w:val="en-US" w:eastAsia="zh-CN"/>
                <w14:textFill>
                  <w14:solidFill>
                    <w14:schemeClr w14:val="tx1"/>
                  </w14:solidFill>
                </w14:textFill>
              </w:rPr>
              <w:t>符合</w:t>
            </w:r>
            <w:r>
              <w:rPr>
                <w:rFonts w:hint="default" w:ascii="Times New Roman" w:hAnsi="Times New Roman" w:eastAsia="宋体" w:cs="Times New Roman"/>
                <w:b w:val="0"/>
                <w:bCs/>
                <w:color w:val="000000" w:themeColor="text1"/>
                <w:kern w:val="0"/>
                <w:sz w:val="24"/>
                <w:u w:val="none"/>
                <w14:textFill>
                  <w14:solidFill>
                    <w14:schemeClr w14:val="tx1"/>
                  </w14:solidFill>
                </w14:textFill>
              </w:rPr>
              <w:t>《</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云南省长江经济带发展负面清单指南实施细则（试行，2022年版）</w:t>
            </w:r>
            <w:r>
              <w:rPr>
                <w:rFonts w:hint="default" w:ascii="Times New Roman" w:hAnsi="Times New Roman" w:eastAsia="宋体" w:cs="Times New Roman"/>
                <w:b w:val="0"/>
                <w:bCs/>
                <w:color w:val="000000" w:themeColor="text1"/>
                <w:kern w:val="0"/>
                <w:sz w:val="24"/>
                <w:u w:val="none"/>
                <w14:textFill>
                  <w14:solidFill>
                    <w14:schemeClr w14:val="tx1"/>
                  </w14:solidFill>
                </w14:textFill>
              </w:rPr>
              <w:t>》</w:t>
            </w:r>
            <w:r>
              <w:rPr>
                <w:rFonts w:hint="eastAsia" w:ascii="Times New Roman" w:hAnsi="Times New Roman" w:eastAsia="宋体" w:cs="Times New Roman"/>
                <w:b w:val="0"/>
                <w:bCs/>
                <w:color w:val="000000" w:themeColor="text1"/>
                <w:kern w:val="0"/>
                <w:sz w:val="24"/>
                <w:u w:val="none"/>
                <w:lang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u w:val="none"/>
                <w:lang w:val="en-US" w:eastAsia="zh-CN"/>
                <w14:textFill>
                  <w14:solidFill>
                    <w14:schemeClr w14:val="tx1"/>
                  </w14:solidFill>
                </w14:textFill>
              </w:rPr>
              <w:t>云发改基础〔2022〕894号</w:t>
            </w:r>
            <w:r>
              <w:rPr>
                <w:rFonts w:hint="eastAsia" w:ascii="Times New Roman" w:hAnsi="Times New Roman" w:eastAsia="宋体" w:cs="Times New Roman"/>
                <w:b w:val="0"/>
                <w:bCs/>
                <w:color w:val="000000" w:themeColor="text1"/>
                <w:kern w:val="0"/>
                <w:sz w:val="24"/>
                <w:u w:val="none"/>
                <w:lang w:eastAsia="zh-CN"/>
                <w14:textFill>
                  <w14:solidFill>
                    <w14:schemeClr w14:val="tx1"/>
                  </w14:solidFill>
                </w14:textFill>
              </w:rPr>
              <w:t>）</w:t>
            </w:r>
            <w:r>
              <w:rPr>
                <w:rFonts w:hint="eastAsia"/>
                <w:color w:val="000000" w:themeColor="text1"/>
                <w:kern w:val="0"/>
                <w:sz w:val="24"/>
                <w:u w:val="none"/>
                <w14:textFill>
                  <w14:solidFill>
                    <w14:schemeClr w14:val="tx1"/>
                  </w14:solidFill>
                </w14:textFill>
              </w:rPr>
              <w:t>的相关要求。</w:t>
            </w:r>
          </w:p>
          <w:p w14:paraId="697792EC">
            <w:pPr>
              <w:adjustRightInd w:val="0"/>
              <w:snapToGrid w:val="0"/>
              <w:spacing w:line="360" w:lineRule="auto"/>
              <w:rPr>
                <w:rFonts w:ascii="Times New Roman" w:hAnsi="Times New Roman" w:eastAsia="宋体" w:cs="Times New Roman"/>
                <w:b/>
                <w:bCs/>
                <w:color w:val="000000" w:themeColor="text1"/>
                <w:sz w:val="24"/>
                <w14:textFill>
                  <w14:solidFill>
                    <w14:schemeClr w14:val="tx1"/>
                  </w14:solidFill>
                </w14:textFill>
              </w:rPr>
            </w:pPr>
            <w:r>
              <w:rPr>
                <w:rFonts w:hint="eastAsia" w:cs="Times New Roman"/>
                <w:b/>
                <w:bCs w:val="0"/>
                <w:color w:val="000000" w:themeColor="text1"/>
                <w:kern w:val="0"/>
                <w:sz w:val="24"/>
                <w:szCs w:val="21"/>
                <w:highlight w:val="none"/>
                <w:lang w:val="en-US" w:eastAsia="zh-CN" w:bidi="ar"/>
                <w14:textFill>
                  <w14:solidFill>
                    <w14:schemeClr w14:val="tx1"/>
                  </w14:solidFill>
                </w14:textFill>
              </w:rPr>
              <w:t>1.3.3</w:t>
            </w:r>
            <w:r>
              <w:rPr>
                <w:rFonts w:hint="eastAsia" w:ascii="Times New Roman" w:hAnsi="Times New Roman" w:eastAsia="宋体" w:cs="Times New Roman"/>
                <w:b/>
                <w:bCs/>
                <w:color w:val="000000" w:themeColor="text1"/>
                <w:sz w:val="24"/>
                <w14:textFill>
                  <w14:solidFill>
                    <w14:schemeClr w14:val="tx1"/>
                  </w14:solidFill>
                </w14:textFill>
              </w:rPr>
              <w:t>项目与《危险废物收集、贮存、运输技术规范》（HJ2025-2012）相符性分析</w:t>
            </w:r>
          </w:p>
          <w:p w14:paraId="2026EB93">
            <w:pPr>
              <w:adjustRightInd w:val="0"/>
              <w:snapToGrid w:val="0"/>
              <w:spacing w:line="360" w:lineRule="auto"/>
              <w:ind w:firstLine="480" w:firstLineChars="200"/>
              <w:rPr>
                <w:rFonts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项目</w:t>
            </w:r>
            <w:r>
              <w:rPr>
                <w:rFonts w:hint="eastAsia" w:cs="Times New Roman"/>
                <w:color w:val="000000" w:themeColor="text1"/>
                <w:sz w:val="24"/>
                <w:lang w:val="en-US" w:eastAsia="zh-CN"/>
                <w14:textFill>
                  <w14:solidFill>
                    <w14:schemeClr w14:val="tx1"/>
                  </w14:solidFill>
                </w14:textFill>
              </w:rPr>
              <w:t>危险废物运输委托资质单位进行，根据分析，项目建设符合</w:t>
            </w:r>
            <w:r>
              <w:rPr>
                <w:rFonts w:hint="eastAsia" w:ascii="Times New Roman" w:hAnsi="Times New Roman" w:eastAsia="宋体" w:cs="Times New Roman"/>
                <w:color w:val="000000" w:themeColor="text1"/>
                <w:sz w:val="24"/>
                <w14:textFill>
                  <w14:solidFill>
                    <w14:schemeClr w14:val="tx1"/>
                  </w14:solidFill>
                </w14:textFill>
              </w:rPr>
              <w:t>《危险废物收集、贮存、运输技术规范》（HJ2025-2012）</w:t>
            </w:r>
            <w:r>
              <w:rPr>
                <w:rFonts w:hint="eastAsia" w:cs="Times New Roman"/>
                <w:color w:val="000000" w:themeColor="text1"/>
                <w:sz w:val="24"/>
                <w:lang w:val="en-US" w:eastAsia="zh-CN"/>
                <w14:textFill>
                  <w14:solidFill>
                    <w14:schemeClr w14:val="tx1"/>
                  </w14:solidFill>
                </w14:textFill>
              </w:rPr>
              <w:t>中收集、贮存要求，具体相符性见</w:t>
            </w:r>
            <w:r>
              <w:rPr>
                <w:rFonts w:hint="eastAsia" w:ascii="Times New Roman" w:hAnsi="Times New Roman" w:eastAsia="宋体" w:cs="Times New Roman"/>
                <w:color w:val="000000" w:themeColor="text1"/>
                <w:sz w:val="24"/>
                <w14:textFill>
                  <w14:solidFill>
                    <w14:schemeClr w14:val="tx1"/>
                  </w14:solidFill>
                </w14:textFill>
              </w:rPr>
              <w:t>表</w:t>
            </w:r>
            <w:r>
              <w:rPr>
                <w:rFonts w:hint="eastAsia" w:cs="Times New Roman"/>
                <w:color w:val="000000" w:themeColor="text1"/>
                <w:sz w:val="24"/>
                <w:lang w:val="en-US" w:eastAsia="zh-CN"/>
                <w14:textFill>
                  <w14:solidFill>
                    <w14:schemeClr w14:val="tx1"/>
                  </w14:solidFill>
                </w14:textFill>
              </w:rPr>
              <w:t>1.3-3所示</w:t>
            </w:r>
            <w:r>
              <w:rPr>
                <w:rFonts w:hint="eastAsia" w:ascii="Times New Roman" w:hAnsi="Times New Roman" w:eastAsia="宋体" w:cs="Times New Roman"/>
                <w:color w:val="000000" w:themeColor="text1"/>
                <w:sz w:val="24"/>
                <w14:textFill>
                  <w14:solidFill>
                    <w14:schemeClr w14:val="tx1"/>
                  </w14:solidFill>
                </w14:textFill>
              </w:rPr>
              <w:t>。</w:t>
            </w:r>
          </w:p>
          <w:p w14:paraId="04ECA3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表1.3-3  与《危险废物收集、贮存、运输技术规范》相符性分析一览表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006"/>
              <w:gridCol w:w="2651"/>
              <w:gridCol w:w="932"/>
            </w:tblGrid>
            <w:tr w14:paraId="6869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644" w:type="dxa"/>
                  <w:shd w:val="clear" w:color="auto" w:fill="auto"/>
                  <w:vAlign w:val="center"/>
                </w:tcPr>
                <w:p w14:paraId="28F38C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ascii="Times New Roman" w:hAnsi="Times New Roman" w:eastAsia="宋体" w:cs="Times New Roman"/>
                      <w:b w:val="0"/>
                      <w:bCs w:val="0"/>
                      <w:color w:val="000000" w:themeColor="text1"/>
                      <w:kern w:val="0"/>
                      <w:sz w:val="21"/>
                      <w:szCs w:val="21"/>
                      <w14:textFill>
                        <w14:solidFill>
                          <w14:schemeClr w14:val="tx1"/>
                        </w14:solidFill>
                      </w14:textFill>
                    </w:rPr>
                    <w:t>序号</w:t>
                  </w:r>
                </w:p>
              </w:tc>
              <w:tc>
                <w:tcPr>
                  <w:tcW w:w="3848" w:type="dxa"/>
                  <w:shd w:val="clear" w:color="auto" w:fill="auto"/>
                  <w:vAlign w:val="center"/>
                </w:tcPr>
                <w:p w14:paraId="1B36C2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相关</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内容</w:t>
                  </w:r>
                </w:p>
              </w:tc>
              <w:tc>
                <w:tcPr>
                  <w:tcW w:w="2546" w:type="dxa"/>
                  <w:shd w:val="clear" w:color="auto" w:fill="auto"/>
                  <w:vAlign w:val="center"/>
                </w:tcPr>
                <w:p w14:paraId="5AF394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ascii="Times New Roman" w:hAnsi="Times New Roman" w:eastAsia="宋体" w:cs="Times New Roman"/>
                      <w:b w:val="0"/>
                      <w:bCs w:val="0"/>
                      <w:color w:val="000000" w:themeColor="text1"/>
                      <w:kern w:val="0"/>
                      <w:sz w:val="21"/>
                      <w:szCs w:val="21"/>
                      <w14:textFill>
                        <w14:solidFill>
                          <w14:schemeClr w14:val="tx1"/>
                        </w14:solidFill>
                      </w14:textFill>
                    </w:rPr>
                    <w:t>建设项目</w:t>
                  </w:r>
                </w:p>
              </w:tc>
              <w:tc>
                <w:tcPr>
                  <w:tcW w:w="895" w:type="dxa"/>
                  <w:shd w:val="clear" w:color="auto" w:fill="auto"/>
                  <w:vAlign w:val="center"/>
                </w:tcPr>
                <w:p w14:paraId="2BFCC6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ascii="Times New Roman" w:hAnsi="Times New Roman" w:eastAsia="宋体" w:cs="Times New Roman"/>
                      <w:b w:val="0"/>
                      <w:bCs w:val="0"/>
                      <w:color w:val="000000" w:themeColor="text1"/>
                      <w:kern w:val="0"/>
                      <w:sz w:val="21"/>
                      <w:szCs w:val="21"/>
                      <w14:textFill>
                        <w14:solidFill>
                          <w14:schemeClr w14:val="tx1"/>
                        </w14:solidFill>
                      </w14:textFill>
                    </w:rPr>
                    <w:t>相符性</w:t>
                  </w:r>
                </w:p>
              </w:tc>
            </w:tr>
            <w:tr w14:paraId="4D0E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shd w:val="clear" w:color="auto" w:fill="auto"/>
                  <w:vAlign w:val="center"/>
                </w:tcPr>
                <w:p w14:paraId="0F5EB0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3848" w:type="dxa"/>
                  <w:shd w:val="clear" w:color="auto" w:fill="auto"/>
                  <w:vAlign w:val="center"/>
                </w:tcPr>
                <w:p w14:paraId="46DB1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4.1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tc>
              <w:tc>
                <w:tcPr>
                  <w:tcW w:w="2546" w:type="dxa"/>
                  <w:shd w:val="clear" w:color="auto" w:fill="auto"/>
                  <w:vAlign w:val="center"/>
                </w:tcPr>
                <w:p w14:paraId="28F0F0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项目危险废物收集、贮存、运输过程严格遵照国家相关管理规定，建立健全规章制度及操作流程，确保该过程的安全、可靠。建设单位按本报告要求，实施污染防治措施，确保安全、环保。</w:t>
                  </w:r>
                </w:p>
              </w:tc>
              <w:tc>
                <w:tcPr>
                  <w:tcW w:w="895" w:type="dxa"/>
                  <w:shd w:val="clear" w:color="auto" w:fill="auto"/>
                  <w:vAlign w:val="center"/>
                </w:tcPr>
                <w:p w14:paraId="6D209D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67AB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60EDF1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3848" w:type="dxa"/>
                  <w:shd w:val="clear" w:color="auto" w:fill="auto"/>
                  <w:vAlign w:val="center"/>
                </w:tcPr>
                <w:p w14:paraId="6DA72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4.2危险废物转移过程应按《危险废物转移联单管理办法》执行。</w:t>
                  </w:r>
                </w:p>
              </w:tc>
              <w:tc>
                <w:tcPr>
                  <w:tcW w:w="2546" w:type="dxa"/>
                  <w:shd w:val="clear" w:color="auto" w:fill="auto"/>
                  <w:vAlign w:val="center"/>
                </w:tcPr>
                <w:p w14:paraId="61AF1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项目在危险废物转移过程中按《危险废物转移管理办法》执行。</w:t>
                  </w:r>
                </w:p>
              </w:tc>
              <w:tc>
                <w:tcPr>
                  <w:tcW w:w="895" w:type="dxa"/>
                  <w:shd w:val="clear" w:color="auto" w:fill="auto"/>
                  <w:vAlign w:val="center"/>
                </w:tcPr>
                <w:p w14:paraId="646FFF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3F7C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29102F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3848" w:type="dxa"/>
                  <w:shd w:val="clear" w:color="auto" w:fill="auto"/>
                  <w:vAlign w:val="center"/>
                </w:tcPr>
                <w:p w14:paraId="29282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4.3危险废物收集、贮存、运输单位应建立规范的管理和技术人员培训制度，定期</w:t>
                  </w:r>
                  <w:r>
                    <w:rPr>
                      <w:rFonts w:hint="eastAsia" w:cs="Times New Roman"/>
                      <w:b w:val="0"/>
                      <w:bCs w:val="0"/>
                      <w:color w:val="000000" w:themeColor="text1"/>
                      <w:kern w:val="0"/>
                      <w:sz w:val="21"/>
                      <w:szCs w:val="21"/>
                      <w:lang w:eastAsia="zh-CN"/>
                      <w14:textFill>
                        <w14:solidFill>
                          <w14:schemeClr w14:val="tx1"/>
                        </w14:solidFill>
                      </w14:textFill>
                    </w:rPr>
                    <w:t>对</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管理和技术人员进行培训。培训内容至少应包括危险废物鉴别要求、危险废物经营许可证管理、危险废物转移联单管理、危险废物包装和标识、危险废物运输要求、危险废物事故应急方法等。</w:t>
                  </w:r>
                </w:p>
              </w:tc>
              <w:tc>
                <w:tcPr>
                  <w:tcW w:w="2546" w:type="dxa"/>
                  <w:shd w:val="clear" w:color="auto" w:fill="auto"/>
                  <w:vAlign w:val="center"/>
                </w:tcPr>
                <w:p w14:paraId="69365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建设单位建立规范的管理和技术人员培训制度，定期</w:t>
                  </w:r>
                  <w:r>
                    <w:rPr>
                      <w:rFonts w:hint="eastAsia" w:cs="Times New Roman"/>
                      <w:b w:val="0"/>
                      <w:bCs w:val="0"/>
                      <w:color w:val="000000" w:themeColor="text1"/>
                      <w:kern w:val="0"/>
                      <w:sz w:val="21"/>
                      <w:szCs w:val="21"/>
                      <w:lang w:eastAsia="zh-CN"/>
                      <w14:textFill>
                        <w14:solidFill>
                          <w14:schemeClr w14:val="tx1"/>
                        </w14:solidFill>
                      </w14:textFill>
                    </w:rPr>
                    <w:t>对</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管理和技术人员进行培训。</w:t>
                  </w:r>
                </w:p>
              </w:tc>
              <w:tc>
                <w:tcPr>
                  <w:tcW w:w="895" w:type="dxa"/>
                  <w:shd w:val="clear" w:color="auto" w:fill="auto"/>
                  <w:vAlign w:val="center"/>
                </w:tcPr>
                <w:p w14:paraId="0593F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4439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389387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3848" w:type="dxa"/>
                  <w:shd w:val="clear" w:color="auto" w:fill="auto"/>
                  <w:vAlign w:val="center"/>
                </w:tcPr>
                <w:p w14:paraId="04DB4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4.4危险废物收集、贮存、运输单位应编制应急预案。应急预案编制可参照《危险废物经营单位编制应急预案指南》，涉及运输的相关内容还应符合交通行政主管部门的有关规定。针对危险废物收集、贮存、运输过程中事故易发环节应定期组织应急演练。</w:t>
                  </w:r>
                </w:p>
              </w:tc>
              <w:tc>
                <w:tcPr>
                  <w:tcW w:w="2546" w:type="dxa"/>
                  <w:shd w:val="clear" w:color="auto" w:fill="auto"/>
                  <w:vAlign w:val="center"/>
                </w:tcPr>
                <w:p w14:paraId="775AA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环评要求建设单位及时按照</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《危险废物经营单位编制应急预案指南》</w:t>
                  </w:r>
                  <w:r>
                    <w:rPr>
                      <w:rFonts w:hint="eastAsia" w:cs="Times New Roman"/>
                      <w:b w:val="0"/>
                      <w:bCs w:val="0"/>
                      <w:color w:val="000000" w:themeColor="text1"/>
                      <w:kern w:val="0"/>
                      <w:sz w:val="21"/>
                      <w:szCs w:val="21"/>
                      <w:lang w:val="en-US" w:eastAsia="zh-CN"/>
                      <w14:textFill>
                        <w14:solidFill>
                          <w14:schemeClr w14:val="tx1"/>
                        </w14:solidFill>
                      </w14:textFill>
                    </w:rPr>
                    <w:t>编制</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应急预案，并定期组织应急演练。</w:t>
                  </w:r>
                </w:p>
              </w:tc>
              <w:tc>
                <w:tcPr>
                  <w:tcW w:w="895" w:type="dxa"/>
                  <w:shd w:val="clear" w:color="auto" w:fill="auto"/>
                  <w:vAlign w:val="center"/>
                </w:tcPr>
                <w:p w14:paraId="2C185B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64EB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7C381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3848" w:type="dxa"/>
                  <w:shd w:val="clear" w:color="auto" w:fill="auto"/>
                  <w:vAlign w:val="center"/>
                </w:tcPr>
                <w:p w14:paraId="3F899E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4.5危险废物收集、贮存、运输过程中一旦发生意外事故，收集、贮存、运输单位及相关部门应根据风险程度采取如下措施：（1）设立事故警戒线，启动应急预案，并按《环境保护行政主管部门突发环境事件信息报告办法（试行）》（环发</w:t>
                  </w:r>
                  <w:r>
                    <w:rPr>
                      <w:rFonts w:hint="eastAsia" w:cs="Times New Roman"/>
                      <w:b w:val="0"/>
                      <w:bCs w:val="0"/>
                      <w:color w:val="000000" w:themeColor="text1"/>
                      <w:kern w:val="0"/>
                      <w:sz w:val="21"/>
                      <w:szCs w:val="21"/>
                      <w:lang w:eastAsia="zh-CN"/>
                      <w14:textFill>
                        <w14:solidFill>
                          <w14:schemeClr w14:val="tx1"/>
                        </w14:solidFill>
                      </w14:textFill>
                    </w:rPr>
                    <w:t>〔2006〕50号</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要求进行报告。（2）若造成事故的危险废物具有剧毒性、易燃性、爆炸性或高传染性，应立即疏散人群，并请求环保、消防、医疗、公安等相关部门支援。（3）对事故现场受到污染的土壤和水体等环境介质应进行相应的清理和修复。（4）清理过程中产生的所有废物均应按危险废物进行管理和处置。（5）进入现场清理和包装危险废物的人员应受过专业培训，穿着防护服，并佩戴相应的防护用具。</w:t>
                  </w:r>
                </w:p>
              </w:tc>
              <w:tc>
                <w:tcPr>
                  <w:tcW w:w="2546" w:type="dxa"/>
                  <w:shd w:val="clear" w:color="auto" w:fill="auto"/>
                  <w:vAlign w:val="center"/>
                </w:tcPr>
                <w:p w14:paraId="7854F0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项目危险废物收集、贮存过程中一旦发生意外事故，建设单位根据风险程度启动应急预案，设立事故警戒线、疏散人群，并向主管的生态环境保护部门上报，按其要求进行事故的处置，必要时请求支援。</w:t>
                  </w:r>
                </w:p>
              </w:tc>
              <w:tc>
                <w:tcPr>
                  <w:tcW w:w="895" w:type="dxa"/>
                  <w:shd w:val="clear" w:color="auto" w:fill="auto"/>
                  <w:vAlign w:val="center"/>
                </w:tcPr>
                <w:p w14:paraId="4D0D2B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08A9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5C6C3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3848" w:type="dxa"/>
                  <w:shd w:val="clear" w:color="auto" w:fill="auto"/>
                  <w:vAlign w:val="center"/>
                </w:tcPr>
                <w:p w14:paraId="7B4F8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4.6危险废物收集、贮存、运输时应按腐蚀性、毒性、易燃性、反应性和感染性等危险特性对危险废物进行分类、包装并设置相应的标志及标签。危险废物特性应根据其产生源特性及GB5085.1-7、HJ/T298进行鉴别。</w:t>
                  </w:r>
                </w:p>
              </w:tc>
              <w:tc>
                <w:tcPr>
                  <w:tcW w:w="2546" w:type="dxa"/>
                  <w:shd w:val="clear" w:color="auto" w:fill="auto"/>
                  <w:vAlign w:val="center"/>
                </w:tcPr>
                <w:p w14:paraId="10EC94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项目危险废物收集、运输和贮存过程，均根据危险废物特性，独立包装，且设置相应的标志及标签。</w:t>
                  </w:r>
                </w:p>
              </w:tc>
              <w:tc>
                <w:tcPr>
                  <w:tcW w:w="895" w:type="dxa"/>
                  <w:shd w:val="clear" w:color="auto" w:fill="auto"/>
                  <w:vAlign w:val="center"/>
                </w:tcPr>
                <w:p w14:paraId="19DC62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1EC7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24C454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3848" w:type="dxa"/>
                  <w:shd w:val="clear" w:color="auto" w:fill="auto"/>
                  <w:vAlign w:val="center"/>
                </w:tcPr>
                <w:p w14:paraId="5ED6FE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4.7废铅酸蓄电池的收集、贮存和运输应按HJ519执行</w:t>
                  </w:r>
                </w:p>
              </w:tc>
              <w:tc>
                <w:tcPr>
                  <w:tcW w:w="2546" w:type="dxa"/>
                  <w:shd w:val="clear" w:color="auto" w:fill="auto"/>
                  <w:vAlign w:val="center"/>
                </w:tcPr>
                <w:p w14:paraId="7F3EE9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本项目废铅酸蓄电池的收集、贮存和运输按HJ519执行。</w:t>
                  </w:r>
                </w:p>
              </w:tc>
              <w:tc>
                <w:tcPr>
                  <w:tcW w:w="895" w:type="dxa"/>
                  <w:shd w:val="clear" w:color="auto" w:fill="auto"/>
                  <w:vAlign w:val="center"/>
                </w:tcPr>
                <w:p w14:paraId="37C8D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79B9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753907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3848" w:type="dxa"/>
                  <w:shd w:val="clear" w:color="auto" w:fill="auto"/>
                  <w:vAlign w:val="center"/>
                </w:tcPr>
                <w:p w14:paraId="5D51F2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4.8医疗废物处置经营单位实施的收集、贮存和运输应按《医疗废物集中处置技术规范》GB19217、HIT177、HT229、HI/T276及HJT228执行；医疗机构内部实施的医疗废物收集、贮存和运输应按《医疗废物集中处置技术规范》执行。</w:t>
                  </w:r>
                </w:p>
              </w:tc>
              <w:tc>
                <w:tcPr>
                  <w:tcW w:w="2546" w:type="dxa"/>
                  <w:shd w:val="clear" w:color="auto" w:fill="auto"/>
                  <w:vAlign w:val="center"/>
                </w:tcPr>
                <w:p w14:paraId="6038D7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本项目不涉及医疗废物的收集、贮存和运输。</w:t>
                  </w:r>
                </w:p>
              </w:tc>
              <w:tc>
                <w:tcPr>
                  <w:tcW w:w="895" w:type="dxa"/>
                  <w:shd w:val="clear" w:color="auto" w:fill="auto"/>
                  <w:vAlign w:val="center"/>
                </w:tcPr>
                <w:p w14:paraId="0A149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lang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w:t>
                  </w:r>
                </w:p>
              </w:tc>
            </w:tr>
            <w:tr w14:paraId="6B91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48EA5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9</w:t>
                  </w:r>
                </w:p>
              </w:tc>
              <w:tc>
                <w:tcPr>
                  <w:tcW w:w="3848" w:type="dxa"/>
                  <w:shd w:val="clear" w:color="auto" w:fill="auto"/>
                  <w:vAlign w:val="center"/>
                </w:tcPr>
                <w:p w14:paraId="37E85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5.1危险废物产生单位进行的危险废物收集包括两个方面，一是在危险废物产生节点将危险废物集中到适当的包装容器中或运输车辆上的活动；二是将已包装或装到运输车辆上的危险废物集中到危险废物产生单位内部临时贮存设施的内部转运。</w:t>
                  </w:r>
                </w:p>
              </w:tc>
              <w:tc>
                <w:tcPr>
                  <w:tcW w:w="2546" w:type="dxa"/>
                  <w:shd w:val="clear" w:color="auto" w:fill="auto"/>
                  <w:vAlign w:val="center"/>
                </w:tcPr>
                <w:p w14:paraId="5B2E1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本项目建设单位主要为危险废物的集中贮存单位；贮存阶段内部产生的危险废物及时收集并贮存到相应区域。</w:t>
                  </w:r>
                </w:p>
              </w:tc>
              <w:tc>
                <w:tcPr>
                  <w:tcW w:w="895" w:type="dxa"/>
                  <w:shd w:val="clear" w:color="auto" w:fill="auto"/>
                  <w:vAlign w:val="center"/>
                </w:tcPr>
                <w:p w14:paraId="0D443D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10CE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32303A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1</w:t>
                  </w:r>
                  <w:r>
                    <w:rPr>
                      <w:rFonts w:ascii="Times New Roman" w:hAnsi="Times New Roman" w:eastAsia="宋体" w:cs="Times New Roman"/>
                      <w:b w:val="0"/>
                      <w:bCs w:val="0"/>
                      <w:color w:val="000000" w:themeColor="text1"/>
                      <w:kern w:val="0"/>
                      <w:sz w:val="21"/>
                      <w:szCs w:val="21"/>
                      <w14:textFill>
                        <w14:solidFill>
                          <w14:schemeClr w14:val="tx1"/>
                        </w14:solidFill>
                      </w14:textFill>
                    </w:rPr>
                    <w:t>0</w:t>
                  </w:r>
                </w:p>
              </w:tc>
              <w:tc>
                <w:tcPr>
                  <w:tcW w:w="3848" w:type="dxa"/>
                  <w:shd w:val="clear" w:color="auto" w:fill="auto"/>
                  <w:vAlign w:val="center"/>
                </w:tcPr>
                <w:p w14:paraId="140143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5.2危险废物的收集应根据危险废物产生的工艺特征、排放周期、危险废物特性、废物管理计划等因素制定收集计划。</w:t>
                  </w:r>
                </w:p>
              </w:tc>
              <w:tc>
                <w:tcPr>
                  <w:tcW w:w="2546" w:type="dxa"/>
                  <w:shd w:val="clear" w:color="auto" w:fill="auto"/>
                  <w:vAlign w:val="center"/>
                </w:tcPr>
                <w:p w14:paraId="08BEB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本项目危险废物的收集根据危险废物产生的工艺特征、排放周期、危险废物特性、废物管理计划等因素制定收集计划。</w:t>
                  </w:r>
                </w:p>
              </w:tc>
              <w:tc>
                <w:tcPr>
                  <w:tcW w:w="895" w:type="dxa"/>
                  <w:shd w:val="clear" w:color="auto" w:fill="auto"/>
                  <w:vAlign w:val="center"/>
                </w:tcPr>
                <w:p w14:paraId="269288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75E7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19E7E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1</w:t>
                  </w:r>
                  <w:r>
                    <w:rPr>
                      <w:rFonts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3848" w:type="dxa"/>
                  <w:shd w:val="clear" w:color="auto" w:fill="auto"/>
                  <w:vAlign w:val="center"/>
                </w:tcPr>
                <w:p w14:paraId="728022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5.3危险废物的收集应制定详细的操作规程，内容至少应包括适用范围、操作程序和方法、专用设备和工具、转移和交接、安全保障和应急防护等。</w:t>
                  </w:r>
                </w:p>
              </w:tc>
              <w:tc>
                <w:tcPr>
                  <w:tcW w:w="2546" w:type="dxa"/>
                  <w:shd w:val="clear" w:color="auto" w:fill="auto"/>
                  <w:vAlign w:val="center"/>
                </w:tcPr>
                <w:p w14:paraId="30206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建设单位制定详细的危险废物收集操作规程，包括适用范围、操作程序和方法、专用设备和工具、转移和交接、安全保障和应急防护等。</w:t>
                  </w:r>
                </w:p>
              </w:tc>
              <w:tc>
                <w:tcPr>
                  <w:tcW w:w="895" w:type="dxa"/>
                  <w:shd w:val="clear" w:color="auto" w:fill="auto"/>
                  <w:vAlign w:val="center"/>
                </w:tcPr>
                <w:p w14:paraId="3D561C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3A69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624EA9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1</w:t>
                  </w:r>
                  <w:r>
                    <w:rPr>
                      <w:rFonts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3848" w:type="dxa"/>
                  <w:shd w:val="clear" w:color="auto" w:fill="auto"/>
                  <w:vAlign w:val="center"/>
                </w:tcPr>
                <w:p w14:paraId="56B03D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5.4危险废物收集和转运作业人员应根据工作需要配备必要的个人防护装备，如手套、防护镜、防护服、防毒面具或口罩等。</w:t>
                  </w:r>
                </w:p>
              </w:tc>
              <w:tc>
                <w:tcPr>
                  <w:tcW w:w="2546" w:type="dxa"/>
                  <w:shd w:val="clear" w:color="auto" w:fill="auto"/>
                  <w:vAlign w:val="center"/>
                </w:tcPr>
                <w:p w14:paraId="3543B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本项目危险废物收集和转运作业人员根据工作需要</w:t>
                  </w:r>
                  <w:r>
                    <w:rPr>
                      <w:rFonts w:hint="eastAsia" w:cs="Times New Roman"/>
                      <w:b w:val="0"/>
                      <w:bCs w:val="0"/>
                      <w:color w:val="000000" w:themeColor="text1"/>
                      <w:kern w:val="0"/>
                      <w:sz w:val="21"/>
                      <w:szCs w:val="21"/>
                      <w:lang w:eastAsia="zh-CN"/>
                      <w14:textFill>
                        <w14:solidFill>
                          <w14:schemeClr w14:val="tx1"/>
                        </w14:solidFill>
                      </w14:textFill>
                    </w:rPr>
                    <w:t>配备</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必要的个人防护装备，如手套、防护镜、防护服、防毒面具或口罩等。</w:t>
                  </w:r>
                </w:p>
              </w:tc>
              <w:tc>
                <w:tcPr>
                  <w:tcW w:w="895" w:type="dxa"/>
                  <w:shd w:val="clear" w:color="auto" w:fill="auto"/>
                  <w:vAlign w:val="center"/>
                </w:tcPr>
                <w:p w14:paraId="3493AD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2720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08BBF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1</w:t>
                  </w:r>
                  <w:r>
                    <w:rPr>
                      <w:rFonts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3848" w:type="dxa"/>
                  <w:shd w:val="clear" w:color="auto" w:fill="auto"/>
                  <w:vAlign w:val="center"/>
                </w:tcPr>
                <w:p w14:paraId="0AC7C9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5.5在危险废物的收集和转运过程中，应采取相应的安全防护和污染防治措施，包括防爆、防火、防中毒、防感染、防泄漏、防飞扬、防雨或</w:t>
                  </w:r>
                  <w:r>
                    <w:rPr>
                      <w:rFonts w:hint="eastAsia" w:cs="Times New Roman"/>
                      <w:b w:val="0"/>
                      <w:bCs w:val="0"/>
                      <w:color w:val="000000" w:themeColor="text1"/>
                      <w:kern w:val="0"/>
                      <w:sz w:val="21"/>
                      <w:szCs w:val="21"/>
                      <w:lang w:eastAsia="zh-CN"/>
                      <w14:textFill>
                        <w14:solidFill>
                          <w14:schemeClr w14:val="tx1"/>
                        </w14:solidFill>
                      </w14:textFill>
                    </w:rPr>
                    <w:t>其他</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防止污染环境的措施。</w:t>
                  </w:r>
                </w:p>
              </w:tc>
              <w:tc>
                <w:tcPr>
                  <w:tcW w:w="2546" w:type="dxa"/>
                  <w:shd w:val="clear" w:color="auto" w:fill="auto"/>
                  <w:vAlign w:val="center"/>
                </w:tcPr>
                <w:p w14:paraId="770C2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项目不涉及危险废物运输，环评要求建设单位在收集过程制定详细的操作规程，其内容包括防爆、防火、防中毒、防泄漏等措施。外部运输及转运过程委托第三方有资质的单位承担。</w:t>
                  </w:r>
                </w:p>
              </w:tc>
              <w:tc>
                <w:tcPr>
                  <w:tcW w:w="895" w:type="dxa"/>
                  <w:shd w:val="clear" w:color="auto" w:fill="auto"/>
                  <w:vAlign w:val="center"/>
                </w:tcPr>
                <w:p w14:paraId="10BEF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1160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521918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1</w:t>
                  </w:r>
                  <w:r>
                    <w:rPr>
                      <w:rFonts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3848" w:type="dxa"/>
                  <w:shd w:val="clear" w:color="auto" w:fill="auto"/>
                  <w:vAlign w:val="center"/>
                </w:tcPr>
                <w:p w14:paraId="046F1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5.6危险废物收集时应根据危险废物的种类、数量、危险特性、物理形态、运输要求等因素，确定包装形式，具体包装应符合如下要求：（1）包装材质要与危险废物兼容，可根据废物特性选择钢、铝、塑料等材质。（2）性质类似的废物可收集到同一容器中，性质不兼容的危险废物不应混合包装。（3）危险废物包装应能有效隔断危险废物迁移扩散途径，并达到防渗、防漏要求。（4）包装好的危险废物应设置相应的标签，标签信息应填写完整详实。（5）盛装过危险废物的包装袋或包装容器破损后应按危险废物进行管理和处置。（6）危险废物还应根据GB12463的有关要求进行运输包装。</w:t>
                  </w:r>
                </w:p>
              </w:tc>
              <w:tc>
                <w:tcPr>
                  <w:tcW w:w="2546" w:type="dxa"/>
                  <w:shd w:val="clear" w:color="auto" w:fill="auto"/>
                  <w:vAlign w:val="center"/>
                </w:tcPr>
                <w:p w14:paraId="6F7E44E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1、各类危险废物均采用独立、专用的包装物，材质</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与危险废物兼容</w:t>
                  </w:r>
                  <w:r>
                    <w:rPr>
                      <w:rFonts w:hint="eastAsia" w:cs="Times New Roman"/>
                      <w:b w:val="0"/>
                      <w:bCs w:val="0"/>
                      <w:color w:val="000000" w:themeColor="text1"/>
                      <w:kern w:val="0"/>
                      <w:sz w:val="21"/>
                      <w:szCs w:val="21"/>
                      <w:lang w:eastAsia="zh-CN"/>
                      <w14:textFill>
                        <w14:solidFill>
                          <w14:schemeClr w14:val="tx1"/>
                        </w14:solidFill>
                      </w14:textFill>
                    </w:rPr>
                    <w:t>。</w:t>
                  </w:r>
                </w:p>
                <w:p w14:paraId="7EEAABC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2、危险废料收集及贮存过程中采取分类收集、分类贮存方式。</w:t>
                  </w:r>
                </w:p>
                <w:p w14:paraId="3ED5CD1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3、各类危险废物均采用独立、专用的包装物，且包装物满足相关要求。</w:t>
                  </w:r>
                </w:p>
                <w:p w14:paraId="1B8A08D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4、危险废物包装物外粘贴相关标签。</w:t>
                  </w:r>
                </w:p>
                <w:p w14:paraId="042C96B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5、项目设有应急收集措施，发生泄漏时可采取应急收集。</w:t>
                  </w:r>
                </w:p>
                <w:p w14:paraId="0FC14C3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6、运输过程委托第三方有资质的单位承担。</w:t>
                  </w:r>
                </w:p>
              </w:tc>
              <w:tc>
                <w:tcPr>
                  <w:tcW w:w="895" w:type="dxa"/>
                  <w:shd w:val="clear" w:color="auto" w:fill="auto"/>
                  <w:vAlign w:val="center"/>
                </w:tcPr>
                <w:p w14:paraId="039CB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0F70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0077D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1</w:t>
                  </w:r>
                  <w:r>
                    <w:rPr>
                      <w:rFonts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3848" w:type="dxa"/>
                  <w:shd w:val="clear" w:color="auto" w:fill="auto"/>
                  <w:vAlign w:val="center"/>
                </w:tcPr>
                <w:p w14:paraId="6F0A82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5.7危险废物的收集作业应满足</w:t>
                  </w:r>
                </w:p>
                <w:p w14:paraId="456B8E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如下要求：</w:t>
                  </w:r>
                </w:p>
                <w:p w14:paraId="6E5B28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（1）应根据收集设备、转运车辆以及现场人员等实际情况确定相应作业区域，同时要设置作业界限标志和警示牌。（2）作业区域内应设置危险废物收集专用通道和人员避险通道。（3）收集时应配备</w:t>
                  </w:r>
                  <w:r>
                    <w:rPr>
                      <w:rFonts w:hint="eastAsia" w:cs="Times New Roman"/>
                      <w:b w:val="0"/>
                      <w:bCs w:val="0"/>
                      <w:color w:val="000000" w:themeColor="text1"/>
                      <w:kern w:val="0"/>
                      <w:sz w:val="21"/>
                      <w:szCs w:val="21"/>
                      <w:lang w:eastAsia="zh-CN"/>
                      <w14:textFill>
                        <w14:solidFill>
                          <w14:schemeClr w14:val="tx1"/>
                        </w14:solidFill>
                      </w14:textFill>
                    </w:rPr>
                    <w:t>必要</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的收集工具和包装物，以及必要的应急监测设备及应急装备。（4）危险废物收集应参照本标准附录A填写记录表，并将记录表作为危险废物管理的重要档案妥善保存。（5）收集结束后应清理和恢复收集作业区域，确保作业区域环境整洁安全。（6）收集过危险废物的容器、设备、设施、场所及其</w:t>
                  </w:r>
                  <w:r>
                    <w:rPr>
                      <w:rFonts w:hint="eastAsia" w:cs="Times New Roman"/>
                      <w:b w:val="0"/>
                      <w:bCs w:val="0"/>
                      <w:color w:val="000000" w:themeColor="text1"/>
                      <w:kern w:val="0"/>
                      <w:sz w:val="21"/>
                      <w:szCs w:val="21"/>
                      <w:lang w:eastAsia="zh-CN"/>
                      <w14:textFill>
                        <w14:solidFill>
                          <w14:schemeClr w14:val="tx1"/>
                        </w14:solidFill>
                      </w14:textFill>
                    </w:rPr>
                    <w:t>他物品</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转作</w:t>
                  </w:r>
                  <w:r>
                    <w:rPr>
                      <w:rFonts w:hint="eastAsia" w:cs="Times New Roman"/>
                      <w:b w:val="0"/>
                      <w:bCs w:val="0"/>
                      <w:color w:val="000000" w:themeColor="text1"/>
                      <w:kern w:val="0"/>
                      <w:sz w:val="21"/>
                      <w:szCs w:val="21"/>
                      <w:lang w:eastAsia="zh-CN"/>
                      <w14:textFill>
                        <w14:solidFill>
                          <w14:schemeClr w14:val="tx1"/>
                        </w14:solidFill>
                      </w14:textFill>
                    </w:rPr>
                    <w:t>他</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用时，应消除污染，确保其使用安全。</w:t>
                  </w:r>
                </w:p>
              </w:tc>
              <w:tc>
                <w:tcPr>
                  <w:tcW w:w="2546" w:type="dxa"/>
                  <w:shd w:val="clear" w:color="auto" w:fill="auto"/>
                  <w:vAlign w:val="center"/>
                </w:tcPr>
                <w:p w14:paraId="168826B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1、危险废物收集点作业时划定临时专用作业区，并设置警示标志，作业完成后对作业区进行清理。</w:t>
                  </w:r>
                </w:p>
                <w:p w14:paraId="5A09FA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2、临时收集作业区按要求设置专用通道和人员避险通道。</w:t>
                  </w:r>
                </w:p>
                <w:p w14:paraId="1316B37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3、收集作业时配置相应的收集工具及包装物。</w:t>
                  </w:r>
                </w:p>
                <w:p w14:paraId="49A7C7C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4、收集时填写危险废物转移联单和记录表。</w:t>
                  </w:r>
                </w:p>
                <w:p w14:paraId="1C141C8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5、要求项目迁建后对现有贮存点进行清理，消除污染。</w:t>
                  </w:r>
                </w:p>
              </w:tc>
              <w:tc>
                <w:tcPr>
                  <w:tcW w:w="895" w:type="dxa"/>
                  <w:shd w:val="clear" w:color="auto" w:fill="auto"/>
                  <w:vAlign w:val="center"/>
                </w:tcPr>
                <w:p w14:paraId="4557A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0FEC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jc w:val="center"/>
              </w:trPr>
              <w:tc>
                <w:tcPr>
                  <w:tcW w:w="644" w:type="dxa"/>
                  <w:shd w:val="clear" w:color="auto" w:fill="auto"/>
                  <w:vAlign w:val="center"/>
                </w:tcPr>
                <w:p w14:paraId="3B0E4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1</w:t>
                  </w:r>
                  <w:r>
                    <w:rPr>
                      <w:rFonts w:hint="eastAsia" w:cs="Times New Roman"/>
                      <w:b w:val="0"/>
                      <w:bCs w:val="0"/>
                      <w:color w:val="000000" w:themeColor="text1"/>
                      <w:kern w:val="0"/>
                      <w:sz w:val="21"/>
                      <w:szCs w:val="21"/>
                      <w:lang w:val="en-US" w:eastAsia="zh-CN"/>
                      <w14:textFill>
                        <w14:solidFill>
                          <w14:schemeClr w14:val="tx1"/>
                        </w14:solidFill>
                      </w14:textFill>
                    </w:rPr>
                    <w:t>6</w:t>
                  </w:r>
                </w:p>
              </w:tc>
              <w:tc>
                <w:tcPr>
                  <w:tcW w:w="3848" w:type="dxa"/>
                  <w:shd w:val="clear" w:color="auto" w:fill="auto"/>
                  <w:vAlign w:val="center"/>
                </w:tcPr>
                <w:p w14:paraId="184AFC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5.9收集不具备运输包装条件的危险废物时，且危险特性不会对环境和操作人员造成重大危害，可在临时包装后进行暂时贮存，但正式运输前应按本标准要求进行包装。</w:t>
                  </w:r>
                </w:p>
              </w:tc>
              <w:tc>
                <w:tcPr>
                  <w:tcW w:w="2546" w:type="dxa"/>
                  <w:shd w:val="clear" w:color="auto" w:fill="auto"/>
                  <w:vAlign w:val="center"/>
                </w:tcPr>
                <w:p w14:paraId="070B0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项目</w:t>
                  </w:r>
                  <w:r>
                    <w:rPr>
                      <w:rFonts w:hint="eastAsia" w:cs="Times New Roman"/>
                      <w:b w:val="0"/>
                      <w:bCs w:val="0"/>
                      <w:color w:val="000000" w:themeColor="text1"/>
                      <w:kern w:val="0"/>
                      <w:sz w:val="21"/>
                      <w:szCs w:val="21"/>
                      <w:lang w:eastAsia="zh-CN"/>
                      <w14:textFill>
                        <w14:solidFill>
                          <w14:schemeClr w14:val="tx1"/>
                        </w14:solidFill>
                      </w14:textFill>
                    </w:rPr>
                    <w:t>危险废物</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收集前均要求产废单位采用合规容器承装危险废物，若收集不具备运输包装条件的危险废物且危险特性不会对环境和操作人员造成重大危害时，经临时包装后进行贮存，入场后采取合规容器承装并贮存、委托运输。</w:t>
                  </w:r>
                </w:p>
              </w:tc>
              <w:tc>
                <w:tcPr>
                  <w:tcW w:w="895" w:type="dxa"/>
                  <w:shd w:val="clear" w:color="auto" w:fill="auto"/>
                  <w:vAlign w:val="center"/>
                </w:tcPr>
                <w:p w14:paraId="3D35B7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1146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2314F8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1</w:t>
                  </w:r>
                  <w:r>
                    <w:rPr>
                      <w:rFonts w:hint="eastAsia" w:cs="Times New Roman"/>
                      <w:b w:val="0"/>
                      <w:bCs w:val="0"/>
                      <w:color w:val="000000" w:themeColor="text1"/>
                      <w:kern w:val="0"/>
                      <w:sz w:val="21"/>
                      <w:szCs w:val="21"/>
                      <w:lang w:val="en-US" w:eastAsia="zh-CN"/>
                      <w14:textFill>
                        <w14:solidFill>
                          <w14:schemeClr w14:val="tx1"/>
                        </w14:solidFill>
                      </w14:textFill>
                    </w:rPr>
                    <w:t>7</w:t>
                  </w:r>
                </w:p>
              </w:tc>
              <w:tc>
                <w:tcPr>
                  <w:tcW w:w="3848" w:type="dxa"/>
                  <w:shd w:val="clear" w:color="auto" w:fill="auto"/>
                  <w:vAlign w:val="center"/>
                </w:tcPr>
                <w:p w14:paraId="39A69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5.10危险废物收集前应进行放射性检测，如具有放射性则应按《放射性废物管理规定》（GB14500）进行收集和处置。</w:t>
                  </w:r>
                </w:p>
              </w:tc>
              <w:tc>
                <w:tcPr>
                  <w:tcW w:w="2546" w:type="dxa"/>
                  <w:shd w:val="clear" w:color="auto" w:fill="auto"/>
                  <w:vAlign w:val="center"/>
                </w:tcPr>
                <w:p w14:paraId="683A4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w:t>
                  </w:r>
                  <w:r>
                    <w:rPr>
                      <w:rFonts w:hint="eastAsia" w:cs="Times New Roman"/>
                      <w:b w:val="0"/>
                      <w:bCs w:val="0"/>
                      <w:color w:val="000000" w:themeColor="text1"/>
                      <w:kern w:val="0"/>
                      <w:sz w:val="21"/>
                      <w:szCs w:val="21"/>
                      <w:lang w:eastAsia="zh-CN"/>
                      <w14:textFill>
                        <w14:solidFill>
                          <w14:schemeClr w14:val="tx1"/>
                        </w14:solidFill>
                      </w14:textFill>
                    </w:rPr>
                    <w:t>危险废物</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收集</w:t>
                  </w:r>
                  <w:r>
                    <w:rPr>
                      <w:rFonts w:hint="eastAsia" w:cs="Times New Roman"/>
                      <w:b w:val="0"/>
                      <w:bCs w:val="0"/>
                      <w:color w:val="000000" w:themeColor="text1"/>
                      <w:kern w:val="0"/>
                      <w:sz w:val="21"/>
                      <w:szCs w:val="21"/>
                      <w:lang w:val="en-US" w:eastAsia="zh-CN"/>
                      <w14:textFill>
                        <w14:solidFill>
                          <w14:schemeClr w14:val="tx1"/>
                        </w14:solidFill>
                      </w14:textFill>
                    </w:rPr>
                    <w:t>贮存危险废物类别</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不涉及放射性废物。</w:t>
                  </w:r>
                </w:p>
              </w:tc>
              <w:tc>
                <w:tcPr>
                  <w:tcW w:w="895" w:type="dxa"/>
                  <w:shd w:val="clear" w:color="auto" w:fill="auto"/>
                  <w:vAlign w:val="center"/>
                </w:tcPr>
                <w:p w14:paraId="1D8F9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7FF6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45F01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18</w:t>
                  </w:r>
                </w:p>
              </w:tc>
              <w:tc>
                <w:tcPr>
                  <w:tcW w:w="3848" w:type="dxa"/>
                  <w:shd w:val="clear" w:color="auto" w:fill="auto"/>
                  <w:vAlign w:val="center"/>
                </w:tcPr>
                <w:p w14:paraId="389CA7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6.2危险废物贮存设施的选址、设计、建设、运行管理应满足GB18597、GBZ1和GBZ2的有关要求。</w:t>
                  </w:r>
                </w:p>
              </w:tc>
              <w:tc>
                <w:tcPr>
                  <w:tcW w:w="2546" w:type="dxa"/>
                  <w:shd w:val="clear" w:color="auto" w:fill="auto"/>
                  <w:vAlign w:val="center"/>
                </w:tcPr>
                <w:p w14:paraId="35318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本项目危险废物贮存设施的选址、设计、建设、运行管理满足B18597、GBZ1和GBZ2的有关要求。</w:t>
                  </w:r>
                </w:p>
              </w:tc>
              <w:tc>
                <w:tcPr>
                  <w:tcW w:w="895" w:type="dxa"/>
                  <w:shd w:val="clear" w:color="auto" w:fill="auto"/>
                  <w:vAlign w:val="center"/>
                </w:tcPr>
                <w:p w14:paraId="576AC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583F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4C926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19</w:t>
                  </w:r>
                </w:p>
              </w:tc>
              <w:tc>
                <w:tcPr>
                  <w:tcW w:w="3848" w:type="dxa"/>
                  <w:shd w:val="clear" w:color="auto" w:fill="auto"/>
                  <w:vAlign w:val="center"/>
                </w:tcPr>
                <w:p w14:paraId="2ED035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6.3危险废物贮存设施应配备通讯设备、照明设施和消防设施。</w:t>
                  </w:r>
                </w:p>
              </w:tc>
              <w:tc>
                <w:tcPr>
                  <w:tcW w:w="2546" w:type="dxa"/>
                  <w:shd w:val="clear" w:color="auto" w:fill="auto"/>
                  <w:vAlign w:val="center"/>
                </w:tcPr>
                <w:p w14:paraId="5FD0A1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本项目危险废物贮存设施配备通讯设备、照明设施和消防设施。</w:t>
                  </w:r>
                </w:p>
              </w:tc>
              <w:tc>
                <w:tcPr>
                  <w:tcW w:w="895" w:type="dxa"/>
                  <w:shd w:val="clear" w:color="auto" w:fill="auto"/>
                  <w:vAlign w:val="center"/>
                </w:tcPr>
                <w:p w14:paraId="06FD3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6A56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5A305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20</w:t>
                  </w:r>
                </w:p>
              </w:tc>
              <w:tc>
                <w:tcPr>
                  <w:tcW w:w="3848" w:type="dxa"/>
                  <w:shd w:val="clear" w:color="auto" w:fill="auto"/>
                  <w:vAlign w:val="center"/>
                </w:tcPr>
                <w:p w14:paraId="68C9F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6.4贮存危险废物时应按危险废物的种类和特性进行分区贮存，每个贮存区域之间宜设置挡墙间隔，并应设置防雨、防火、防雷、防扬尘装置。</w:t>
                  </w:r>
                </w:p>
              </w:tc>
              <w:tc>
                <w:tcPr>
                  <w:tcW w:w="2546" w:type="dxa"/>
                  <w:shd w:val="clear" w:color="auto" w:fill="auto"/>
                  <w:vAlign w:val="center"/>
                </w:tcPr>
                <w:p w14:paraId="1F1964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本项目贮存危险废物时按危险废物的种类和特性进行分区贮存，每个贮存区域之间设置挡墙间隔，并应设置防雨、防火、防雷、防扬尘装置。</w:t>
                  </w:r>
                </w:p>
              </w:tc>
              <w:tc>
                <w:tcPr>
                  <w:tcW w:w="895" w:type="dxa"/>
                  <w:shd w:val="clear" w:color="auto" w:fill="auto"/>
                  <w:vAlign w:val="center"/>
                </w:tcPr>
                <w:p w14:paraId="0D2CB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7F65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12F94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21</w:t>
                  </w:r>
                </w:p>
              </w:tc>
              <w:tc>
                <w:tcPr>
                  <w:tcW w:w="3848" w:type="dxa"/>
                  <w:shd w:val="clear" w:color="auto" w:fill="auto"/>
                  <w:vAlign w:val="center"/>
                </w:tcPr>
                <w:p w14:paraId="46DE1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6.5贮存易燃易爆危险废物应配置有机气体报警、火灾报警装置和导出静电的接地装置。</w:t>
                  </w:r>
                </w:p>
              </w:tc>
              <w:tc>
                <w:tcPr>
                  <w:tcW w:w="2546" w:type="dxa"/>
                  <w:shd w:val="clear" w:color="auto" w:fill="auto"/>
                  <w:vAlign w:val="center"/>
                </w:tcPr>
                <w:p w14:paraId="276ACC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本项目收集的具备易燃特性的危险废物</w:t>
                  </w:r>
                  <w:r>
                    <w:rPr>
                      <w:rFonts w:hint="eastAsia" w:cs="Times New Roman"/>
                      <w:b w:val="0"/>
                      <w:bCs w:val="0"/>
                      <w:color w:val="000000" w:themeColor="text1"/>
                      <w:kern w:val="0"/>
                      <w:sz w:val="21"/>
                      <w:szCs w:val="21"/>
                      <w:lang w:eastAsia="zh-CN"/>
                      <w14:textFill>
                        <w14:solidFill>
                          <w14:schemeClr w14:val="tx1"/>
                        </w14:solidFill>
                      </w14:textFill>
                    </w:rPr>
                    <w:t>：</w:t>
                  </w:r>
                  <w:r>
                    <w:rPr>
                      <w:rFonts w:ascii="Times New Roman" w:hAnsi="Times New Roman" w:eastAsia="宋体" w:cs="Times New Roman"/>
                      <w:b w:val="0"/>
                      <w:bCs w:val="0"/>
                      <w:color w:val="000000" w:themeColor="text1"/>
                      <w:kern w:val="0"/>
                      <w:sz w:val="21"/>
                      <w:szCs w:val="21"/>
                      <w14:textFill>
                        <w14:solidFill>
                          <w14:schemeClr w14:val="tx1"/>
                        </w14:solidFill>
                      </w14:textFill>
                    </w:rPr>
                    <w:t>HW08</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贮存库内设置</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气体报警、火灾报警装置和导出静电的接地装置</w:t>
                  </w:r>
                  <w:r>
                    <w:rPr>
                      <w:rFonts w:hint="eastAsia" w:cs="Times New Roman"/>
                      <w:b w:val="0"/>
                      <w:bCs w:val="0"/>
                      <w:color w:val="000000" w:themeColor="text1"/>
                      <w:kern w:val="0"/>
                      <w:sz w:val="21"/>
                      <w:szCs w:val="21"/>
                      <w:lang w:eastAsia="zh-CN"/>
                      <w14:textFill>
                        <w14:solidFill>
                          <w14:schemeClr w14:val="tx1"/>
                        </w14:solidFill>
                      </w14:textFill>
                    </w:rPr>
                    <w:t>。</w:t>
                  </w:r>
                </w:p>
              </w:tc>
              <w:tc>
                <w:tcPr>
                  <w:tcW w:w="895" w:type="dxa"/>
                  <w:shd w:val="clear" w:color="auto" w:fill="auto"/>
                  <w:vAlign w:val="center"/>
                </w:tcPr>
                <w:p w14:paraId="3215D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18FD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5F226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22</w:t>
                  </w:r>
                </w:p>
              </w:tc>
              <w:tc>
                <w:tcPr>
                  <w:tcW w:w="3848" w:type="dxa"/>
                  <w:shd w:val="clear" w:color="auto" w:fill="auto"/>
                  <w:vAlign w:val="center"/>
                </w:tcPr>
                <w:p w14:paraId="4E7993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6.6废弃危险化学品贮存应满足GB15603、《危险化学品安全管理条例</w:t>
                  </w:r>
                  <w:r>
                    <w:rPr>
                      <w:rFonts w:hint="eastAsia" w:cs="Times New Roman"/>
                      <w:b w:val="0"/>
                      <w:bCs w:val="0"/>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废弃危险化学品污染环境防治办法》的要求。贮存废弃剧毒化学品还应充分考虑防盗要求，采用双钥匙封闭式管理，且有专人24小时看管。</w:t>
                  </w:r>
                </w:p>
              </w:tc>
              <w:tc>
                <w:tcPr>
                  <w:tcW w:w="2546" w:type="dxa"/>
                  <w:shd w:val="clear" w:color="auto" w:fill="auto"/>
                  <w:vAlign w:val="center"/>
                </w:tcPr>
                <w:p w14:paraId="6315F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本项目废弃危险化学品贮存满足GB15603、《危险化学品安全管理条例</w:t>
                  </w:r>
                  <w:r>
                    <w:rPr>
                      <w:rFonts w:hint="eastAsia" w:cs="Times New Roman"/>
                      <w:b w:val="0"/>
                      <w:bCs w:val="0"/>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废弃危险化学品污染环境防治办法》的要求。经对照《危险化学品目录》（2</w:t>
                  </w:r>
                  <w:r>
                    <w:rPr>
                      <w:rFonts w:ascii="Times New Roman" w:hAnsi="Times New Roman" w:eastAsia="宋体" w:cs="Times New Roman"/>
                      <w:b w:val="0"/>
                      <w:bCs w:val="0"/>
                      <w:color w:val="000000" w:themeColor="text1"/>
                      <w:kern w:val="0"/>
                      <w:sz w:val="21"/>
                      <w:szCs w:val="21"/>
                      <w14:textFill>
                        <w14:solidFill>
                          <w14:schemeClr w14:val="tx1"/>
                        </w14:solidFill>
                      </w14:textFill>
                    </w:rPr>
                    <w:t>022</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调整版）及《危险废物鉴别标准毒性物质含量鉴别》（G</w:t>
                  </w:r>
                  <w:r>
                    <w:rPr>
                      <w:rFonts w:ascii="Times New Roman" w:hAnsi="Times New Roman" w:eastAsia="宋体" w:cs="Times New Roman"/>
                      <w:b w:val="0"/>
                      <w:bCs w:val="0"/>
                      <w:color w:val="000000" w:themeColor="text1"/>
                      <w:kern w:val="0"/>
                      <w:sz w:val="21"/>
                      <w:szCs w:val="21"/>
                      <w14:textFill>
                        <w14:solidFill>
                          <w14:schemeClr w14:val="tx1"/>
                        </w14:solidFill>
                      </w14:textFill>
                    </w:rPr>
                    <w:t>B5085.6-2007</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）中附录A，项目拟贮存危险废物成分不含剧毒化学品。</w:t>
                  </w:r>
                </w:p>
              </w:tc>
              <w:tc>
                <w:tcPr>
                  <w:tcW w:w="895" w:type="dxa"/>
                  <w:shd w:val="clear" w:color="auto" w:fill="auto"/>
                  <w:vAlign w:val="center"/>
                </w:tcPr>
                <w:p w14:paraId="57D32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1702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47DFE9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23</w:t>
                  </w:r>
                </w:p>
              </w:tc>
              <w:tc>
                <w:tcPr>
                  <w:tcW w:w="3848" w:type="dxa"/>
                  <w:shd w:val="clear" w:color="auto" w:fill="auto"/>
                  <w:vAlign w:val="center"/>
                </w:tcPr>
                <w:p w14:paraId="1E247B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6.7危险废物贮存期限应符合《中华人民共和国固体废物污染环境防治法》的有关规定。</w:t>
                  </w:r>
                </w:p>
              </w:tc>
              <w:tc>
                <w:tcPr>
                  <w:tcW w:w="2546" w:type="dxa"/>
                  <w:shd w:val="clear" w:color="auto" w:fill="auto"/>
                  <w:vAlign w:val="center"/>
                </w:tcPr>
                <w:p w14:paraId="64169C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本项目危险废物最大贮存</w:t>
                  </w:r>
                  <w:r>
                    <w:rPr>
                      <w:rFonts w:hint="eastAsia" w:cs="Times New Roman"/>
                      <w:b w:val="0"/>
                      <w:bCs w:val="0"/>
                      <w:color w:val="000000" w:themeColor="text1"/>
                      <w:kern w:val="0"/>
                      <w:sz w:val="21"/>
                      <w:szCs w:val="21"/>
                      <w:lang w:val="en-US" w:eastAsia="zh-CN"/>
                      <w14:textFill>
                        <w14:solidFill>
                          <w14:schemeClr w14:val="tx1"/>
                        </w14:solidFill>
                      </w14:textFill>
                    </w:rPr>
                    <w:t>量、贮存周期</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《中华人民共和国固体废物污染环境防治法》的有关规定</w:t>
                  </w:r>
                  <w:r>
                    <w:rPr>
                      <w:rFonts w:hint="eastAsia" w:cs="Times New Roman"/>
                      <w:b w:val="0"/>
                      <w:bCs w:val="0"/>
                      <w:color w:val="000000" w:themeColor="text1"/>
                      <w:kern w:val="0"/>
                      <w:sz w:val="21"/>
                      <w:szCs w:val="21"/>
                      <w:lang w:val="en-US" w:eastAsia="zh-CN"/>
                      <w14:textFill>
                        <w14:solidFill>
                          <w14:schemeClr w14:val="tx1"/>
                        </w14:solidFill>
                      </w14:textFill>
                    </w:rPr>
                    <w:t>，满足固废防治法要求</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895" w:type="dxa"/>
                  <w:shd w:val="clear" w:color="auto" w:fill="auto"/>
                  <w:vAlign w:val="center"/>
                </w:tcPr>
                <w:p w14:paraId="77456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1EE5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439AA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2</w:t>
                  </w:r>
                  <w:r>
                    <w:rPr>
                      <w:rFonts w:hint="eastAsia" w:cs="Times New Roman"/>
                      <w:b w:val="0"/>
                      <w:bCs w:val="0"/>
                      <w:color w:val="000000" w:themeColor="text1"/>
                      <w:kern w:val="0"/>
                      <w:sz w:val="21"/>
                      <w:szCs w:val="21"/>
                      <w:lang w:val="en-US" w:eastAsia="zh-CN"/>
                      <w14:textFill>
                        <w14:solidFill>
                          <w14:schemeClr w14:val="tx1"/>
                        </w14:solidFill>
                      </w14:textFill>
                    </w:rPr>
                    <w:t>4</w:t>
                  </w:r>
                </w:p>
              </w:tc>
              <w:tc>
                <w:tcPr>
                  <w:tcW w:w="3848" w:type="dxa"/>
                  <w:shd w:val="clear" w:color="auto" w:fill="auto"/>
                  <w:vAlign w:val="center"/>
                </w:tcPr>
                <w:p w14:paraId="5974F5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6.8危险废物贮存单位应建立危险废物贮存的</w:t>
                  </w:r>
                  <w:r>
                    <w:rPr>
                      <w:rFonts w:hint="eastAsia" w:cs="Times New Roman"/>
                      <w:b w:val="0"/>
                      <w:bCs w:val="0"/>
                      <w:color w:val="000000" w:themeColor="text1"/>
                      <w:kern w:val="0"/>
                      <w:sz w:val="21"/>
                      <w:szCs w:val="21"/>
                      <w:lang w:eastAsia="zh-CN"/>
                      <w14:textFill>
                        <w14:solidFill>
                          <w14:schemeClr w14:val="tx1"/>
                        </w14:solidFill>
                      </w14:textFill>
                    </w:rPr>
                    <w:t>台账制度。</w:t>
                  </w:r>
                </w:p>
              </w:tc>
              <w:tc>
                <w:tcPr>
                  <w:tcW w:w="2546" w:type="dxa"/>
                  <w:shd w:val="clear" w:color="auto" w:fill="auto"/>
                  <w:vAlign w:val="center"/>
                </w:tcPr>
                <w:p w14:paraId="4A93D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本项目建立危险废物贮存的</w:t>
                  </w:r>
                  <w:r>
                    <w:rPr>
                      <w:rFonts w:hint="eastAsia" w:cs="Times New Roman"/>
                      <w:b w:val="0"/>
                      <w:bCs w:val="0"/>
                      <w:color w:val="000000" w:themeColor="text1"/>
                      <w:kern w:val="0"/>
                      <w:sz w:val="21"/>
                      <w:szCs w:val="21"/>
                      <w:lang w:eastAsia="zh-CN"/>
                      <w14:textFill>
                        <w14:solidFill>
                          <w14:schemeClr w14:val="tx1"/>
                        </w14:solidFill>
                      </w14:textFill>
                    </w:rPr>
                    <w:t>台账制度</w:t>
                  </w: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895" w:type="dxa"/>
                  <w:shd w:val="clear" w:color="auto" w:fill="auto"/>
                  <w:vAlign w:val="center"/>
                </w:tcPr>
                <w:p w14:paraId="06BBD0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3582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005AC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2</w:t>
                  </w:r>
                  <w:r>
                    <w:rPr>
                      <w:rFonts w:hint="eastAsia" w:cs="Times New Roman"/>
                      <w:b w:val="0"/>
                      <w:bCs w:val="0"/>
                      <w:color w:val="000000" w:themeColor="text1"/>
                      <w:kern w:val="0"/>
                      <w:sz w:val="21"/>
                      <w:szCs w:val="21"/>
                      <w:lang w:val="en-US" w:eastAsia="zh-CN"/>
                      <w14:textFill>
                        <w14:solidFill>
                          <w14:schemeClr w14:val="tx1"/>
                        </w14:solidFill>
                      </w14:textFill>
                    </w:rPr>
                    <w:t>5</w:t>
                  </w:r>
                </w:p>
              </w:tc>
              <w:tc>
                <w:tcPr>
                  <w:tcW w:w="3848" w:type="dxa"/>
                  <w:shd w:val="clear" w:color="auto" w:fill="auto"/>
                  <w:vAlign w:val="center"/>
                </w:tcPr>
                <w:p w14:paraId="752780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6.9危险废物贮存设施应根据贮存的废物种类和特性按照GB18597附录A设置标志。</w:t>
                  </w:r>
                </w:p>
              </w:tc>
              <w:tc>
                <w:tcPr>
                  <w:tcW w:w="2546" w:type="dxa"/>
                  <w:shd w:val="clear" w:color="auto" w:fill="auto"/>
                  <w:vAlign w:val="center"/>
                </w:tcPr>
                <w:p w14:paraId="464672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本项目各危险废物贮存仓库内各贮存区设置废物的相关标志。</w:t>
                  </w:r>
                </w:p>
              </w:tc>
              <w:tc>
                <w:tcPr>
                  <w:tcW w:w="895" w:type="dxa"/>
                  <w:shd w:val="clear" w:color="auto" w:fill="auto"/>
                  <w:vAlign w:val="center"/>
                </w:tcPr>
                <w:p w14:paraId="466087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r w14:paraId="75FC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44" w:type="dxa"/>
                  <w:shd w:val="clear" w:color="auto" w:fill="auto"/>
                  <w:vAlign w:val="center"/>
                </w:tcPr>
                <w:p w14:paraId="53F2E3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2</w:t>
                  </w:r>
                  <w:r>
                    <w:rPr>
                      <w:rFonts w:hint="eastAsia" w:cs="Times New Roman"/>
                      <w:b w:val="0"/>
                      <w:bCs w:val="0"/>
                      <w:color w:val="000000" w:themeColor="text1"/>
                      <w:kern w:val="0"/>
                      <w:sz w:val="21"/>
                      <w:szCs w:val="21"/>
                      <w:lang w:val="en-US" w:eastAsia="zh-CN"/>
                      <w14:textFill>
                        <w14:solidFill>
                          <w14:schemeClr w14:val="tx1"/>
                        </w14:solidFill>
                      </w14:textFill>
                    </w:rPr>
                    <w:t>6</w:t>
                  </w:r>
                </w:p>
              </w:tc>
              <w:tc>
                <w:tcPr>
                  <w:tcW w:w="3848" w:type="dxa"/>
                  <w:shd w:val="clear" w:color="auto" w:fill="auto"/>
                  <w:vAlign w:val="center"/>
                </w:tcPr>
                <w:p w14:paraId="3C860C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6.10危险废物贮存设施的关闭应按照GB18597和《危险废物经营许可证管理办法》的有关规定执行。</w:t>
                  </w:r>
                </w:p>
              </w:tc>
              <w:tc>
                <w:tcPr>
                  <w:tcW w:w="2546" w:type="dxa"/>
                  <w:shd w:val="clear" w:color="auto" w:fill="auto"/>
                  <w:vAlign w:val="center"/>
                </w:tcPr>
                <w:p w14:paraId="5D1B8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危险废物贮存设施的关闭按照GB18597和《危险废物经营许可证管理办法》的有关规定执行。</w:t>
                  </w:r>
                </w:p>
              </w:tc>
              <w:tc>
                <w:tcPr>
                  <w:tcW w:w="895" w:type="dxa"/>
                  <w:shd w:val="clear" w:color="auto" w:fill="auto"/>
                  <w:vAlign w:val="center"/>
                </w:tcPr>
                <w:p w14:paraId="51457F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符合</w:t>
                  </w:r>
                </w:p>
              </w:tc>
            </w:tr>
          </w:tbl>
          <w:p w14:paraId="29B6E06B">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color w:val="000000" w:themeColor="text1"/>
                <w:sz w:val="24"/>
                <w14:textFill>
                  <w14:solidFill>
                    <w14:schemeClr w14:val="tx1"/>
                  </w14:solidFill>
                </w14:textFill>
              </w:rPr>
            </w:pPr>
            <w:r>
              <w:rPr>
                <w:rFonts w:hint="eastAsia" w:cs="Times New Roman"/>
                <w:b/>
                <w:bCs w:val="0"/>
                <w:color w:val="000000" w:themeColor="text1"/>
                <w:kern w:val="0"/>
                <w:sz w:val="24"/>
                <w:szCs w:val="21"/>
                <w:highlight w:val="none"/>
                <w:lang w:val="en-US" w:eastAsia="zh-CN" w:bidi="ar"/>
                <w14:textFill>
                  <w14:solidFill>
                    <w14:schemeClr w14:val="tx1"/>
                  </w14:solidFill>
                </w14:textFill>
              </w:rPr>
              <w:t>1.3.4</w:t>
            </w:r>
            <w:r>
              <w:rPr>
                <w:rFonts w:hint="eastAsia" w:ascii="Times New Roman" w:hAnsi="Times New Roman" w:eastAsia="宋体" w:cs="Times New Roman"/>
                <w:b/>
                <w:bCs/>
                <w:color w:val="000000" w:themeColor="text1"/>
                <w:sz w:val="24"/>
                <w14:textFill>
                  <w14:solidFill>
                    <w14:schemeClr w14:val="tx1"/>
                  </w14:solidFill>
                </w14:textFill>
              </w:rPr>
              <w:t>项目与</w:t>
            </w:r>
            <w:bookmarkStart w:id="7" w:name="_Hlk137333127"/>
            <w:r>
              <w:rPr>
                <w:rFonts w:hint="eastAsia" w:ascii="Times New Roman" w:hAnsi="Times New Roman" w:eastAsia="宋体" w:cs="Times New Roman"/>
                <w:b/>
                <w:bCs/>
                <w:color w:val="000000" w:themeColor="text1"/>
                <w:sz w:val="24"/>
                <w14:textFill>
                  <w14:solidFill>
                    <w14:schemeClr w14:val="tx1"/>
                  </w14:solidFill>
                </w14:textFill>
              </w:rPr>
              <w:t>《危险废物贮存污染控制标准》（GB18597-2023）</w:t>
            </w:r>
            <w:bookmarkEnd w:id="7"/>
            <w:r>
              <w:rPr>
                <w:rFonts w:hint="eastAsia" w:ascii="Times New Roman" w:hAnsi="Times New Roman" w:eastAsia="宋体" w:cs="Times New Roman"/>
                <w:b/>
                <w:bCs/>
                <w:color w:val="000000" w:themeColor="text1"/>
                <w:sz w:val="24"/>
                <w14:textFill>
                  <w14:solidFill>
                    <w14:schemeClr w14:val="tx1"/>
                  </w14:solidFill>
                </w14:textFill>
              </w:rPr>
              <w:t>的相符性分析</w:t>
            </w:r>
          </w:p>
          <w:p w14:paraId="324962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建设符合</w:t>
            </w:r>
            <w:r>
              <w:rPr>
                <w:rFonts w:hint="eastAsia" w:ascii="Times New Roman" w:hAnsi="Times New Roman" w:eastAsia="宋体" w:cs="Times New Roman"/>
                <w:color w:val="000000" w:themeColor="text1"/>
                <w:sz w:val="24"/>
                <w:szCs w:val="24"/>
                <w14:textFill>
                  <w14:solidFill>
                    <w14:schemeClr w14:val="tx1"/>
                  </w14:solidFill>
                </w14:textFill>
              </w:rPr>
              <w:t>《危险废物贮存污染控制标准》（GB18597-20</w:t>
            </w:r>
            <w:r>
              <w:rPr>
                <w:rFonts w:ascii="Times New Roman" w:hAnsi="Times New Roman" w:eastAsia="宋体" w:cs="Times New Roman"/>
                <w:color w:val="000000" w:themeColor="text1"/>
                <w:sz w:val="24"/>
                <w:szCs w:val="24"/>
                <w14:textFill>
                  <w14:solidFill>
                    <w14:schemeClr w14:val="tx1"/>
                  </w14:solidFill>
                </w14:textFill>
              </w:rPr>
              <w:t>23</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中相关要求，具体</w:t>
            </w:r>
            <w:r>
              <w:rPr>
                <w:rFonts w:hint="eastAsia" w:ascii="Times New Roman" w:hAnsi="Times New Roman" w:eastAsia="宋体" w:cs="Times New Roman"/>
                <w:color w:val="000000" w:themeColor="text1"/>
                <w:sz w:val="24"/>
                <w:szCs w:val="24"/>
                <w14:textFill>
                  <w14:solidFill>
                    <w14:schemeClr w14:val="tx1"/>
                  </w14:solidFill>
                </w14:textFill>
              </w:rPr>
              <w:t>相符性分析见表</w:t>
            </w:r>
            <w:r>
              <w:rPr>
                <w:rFonts w:hint="eastAsia" w:cs="Times New Roman"/>
                <w:color w:val="000000" w:themeColor="text1"/>
                <w:sz w:val="24"/>
                <w:szCs w:val="24"/>
                <w:lang w:val="en-US" w:eastAsia="zh-CN"/>
                <w14:textFill>
                  <w14:solidFill>
                    <w14:schemeClr w14:val="tx1"/>
                  </w14:solidFill>
                </w14:textFill>
              </w:rPr>
              <w:t>1.3-4所示</w:t>
            </w:r>
            <w:r>
              <w:rPr>
                <w:rFonts w:hint="eastAsia" w:ascii="Times New Roman" w:hAnsi="Times New Roman" w:eastAsia="宋体" w:cs="Times New Roman"/>
                <w:color w:val="000000" w:themeColor="text1"/>
                <w:sz w:val="24"/>
                <w:szCs w:val="24"/>
                <w14:textFill>
                  <w14:solidFill>
                    <w14:schemeClr w14:val="tx1"/>
                  </w14:solidFill>
                </w14:textFill>
              </w:rPr>
              <w:t>。</w:t>
            </w:r>
          </w:p>
          <w:p w14:paraId="12AA51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表1.</w:t>
            </w: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 xml:space="preserve">  与《危险废物贮存污染控制标准》（GB18597-2023）的相符性分析一览表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4034"/>
              <w:gridCol w:w="2811"/>
              <w:gridCol w:w="741"/>
            </w:tblGrid>
            <w:tr w14:paraId="5A2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DC68C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序号</w:t>
                  </w:r>
                </w:p>
              </w:tc>
              <w:tc>
                <w:tcPr>
                  <w:tcW w:w="4048" w:type="dxa"/>
                  <w:shd w:val="clear" w:color="auto" w:fill="auto"/>
                  <w:vAlign w:val="center"/>
                </w:tcPr>
                <w:p w14:paraId="179398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相关</w:t>
                  </w:r>
                  <w:r>
                    <w:rPr>
                      <w:rFonts w:hint="default" w:ascii="Times New Roman" w:hAnsi="Times New Roman" w:eastAsia="宋体" w:cs="Times New Roman"/>
                      <w:b/>
                      <w:bCs/>
                      <w:color w:val="000000" w:themeColor="text1"/>
                      <w:kern w:val="0"/>
                      <w:sz w:val="21"/>
                      <w:szCs w:val="21"/>
                      <w14:textFill>
                        <w14:solidFill>
                          <w14:schemeClr w14:val="tx1"/>
                        </w14:solidFill>
                      </w14:textFill>
                    </w:rPr>
                    <w:t>内容</w:t>
                  </w:r>
                </w:p>
              </w:tc>
              <w:tc>
                <w:tcPr>
                  <w:tcW w:w="2821" w:type="dxa"/>
                  <w:shd w:val="clear" w:color="auto" w:fill="auto"/>
                  <w:vAlign w:val="center"/>
                </w:tcPr>
                <w:p w14:paraId="33F3ED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建设项目</w:t>
                  </w:r>
                </w:p>
              </w:tc>
              <w:tc>
                <w:tcPr>
                  <w:tcW w:w="743" w:type="dxa"/>
                  <w:shd w:val="clear" w:color="auto" w:fill="auto"/>
                  <w:vAlign w:val="center"/>
                </w:tcPr>
                <w:p w14:paraId="657BAC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相符性</w:t>
                  </w:r>
                </w:p>
              </w:tc>
            </w:tr>
            <w:tr w14:paraId="73B3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526344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4048" w:type="dxa"/>
                  <w:shd w:val="clear" w:color="auto" w:fill="auto"/>
                  <w:vAlign w:val="center"/>
                </w:tcPr>
                <w:p w14:paraId="1637EB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产生、收集、贮存、利用、处置危险废物的单位应建造危险废物贮存设施或设置贮存场所，并根据需要选择贮存设施类型。</w:t>
                  </w:r>
                </w:p>
              </w:tc>
              <w:tc>
                <w:tcPr>
                  <w:tcW w:w="2821" w:type="dxa"/>
                  <w:shd w:val="clear" w:color="auto" w:fill="auto"/>
                  <w:vAlign w:val="center"/>
                </w:tcPr>
                <w:p w14:paraId="703CC8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项目为集中式的危险废物收集贮存单位，</w:t>
                  </w:r>
                  <w:r>
                    <w:rPr>
                      <w:rFonts w:hint="eastAsia" w:cs="Times New Roman"/>
                      <w:color w:val="000000" w:themeColor="text1"/>
                      <w:kern w:val="0"/>
                      <w:szCs w:val="21"/>
                      <w:lang w:val="en-US" w:eastAsia="zh-CN"/>
                      <w14:textFill>
                        <w14:solidFill>
                          <w14:schemeClr w14:val="tx1"/>
                        </w14:solidFill>
                      </w14:textFill>
                    </w:rPr>
                    <w:t>项目危险废物</w:t>
                  </w:r>
                  <w:r>
                    <w:rPr>
                      <w:rFonts w:hint="eastAsia" w:ascii="Times New Roman" w:hAnsi="Times New Roman" w:eastAsia="宋体" w:cs="Times New Roman"/>
                      <w:color w:val="FF0000"/>
                      <w:kern w:val="0"/>
                      <w:szCs w:val="21"/>
                    </w:rPr>
                    <w:t>设施底部</w:t>
                  </w:r>
                  <w:r>
                    <w:rPr>
                      <w:rFonts w:hint="eastAsia" w:cs="Times New Roman"/>
                      <w:color w:val="FF0000"/>
                      <w:kern w:val="0"/>
                      <w:szCs w:val="21"/>
                      <w:lang w:val="en-US" w:eastAsia="zh-CN"/>
                    </w:rPr>
                    <w:t>均</w:t>
                  </w:r>
                  <w:r>
                    <w:rPr>
                      <w:rFonts w:hint="eastAsia" w:ascii="Times New Roman" w:hAnsi="Times New Roman" w:eastAsia="宋体" w:cs="Times New Roman"/>
                      <w:color w:val="FF0000"/>
                      <w:kern w:val="0"/>
                      <w:szCs w:val="21"/>
                    </w:rPr>
                    <w:t>高于地下水最高水位</w:t>
                  </w:r>
                  <w:r>
                    <w:rPr>
                      <w:rFonts w:hint="eastAsia" w:cs="Times New Roman"/>
                      <w:color w:val="FF0000"/>
                      <w:kern w:val="0"/>
                      <w:szCs w:val="21"/>
                      <w:lang w:eastAsia="zh-CN"/>
                    </w:rPr>
                    <w:t>；</w:t>
                  </w:r>
                  <w:r>
                    <w:rPr>
                      <w:rFonts w:hint="eastAsia" w:ascii="Times New Roman" w:hAnsi="Times New Roman" w:eastAsia="宋体" w:cs="Times New Roman"/>
                      <w:color w:val="000000" w:themeColor="text1"/>
                      <w:kern w:val="0"/>
                      <w:szCs w:val="21"/>
                      <w14:textFill>
                        <w14:solidFill>
                          <w14:schemeClr w14:val="tx1"/>
                        </w14:solidFill>
                      </w14:textFill>
                    </w:rPr>
                    <w:t>设置的各</w:t>
                  </w:r>
                  <w:r>
                    <w:rPr>
                      <w:rFonts w:hint="eastAsia" w:cs="Times New Roman"/>
                      <w:color w:val="000000" w:themeColor="text1"/>
                      <w:kern w:val="0"/>
                      <w:szCs w:val="21"/>
                      <w:lang w:eastAsia="zh-CN"/>
                      <w14:textFill>
                        <w14:solidFill>
                          <w14:schemeClr w14:val="tx1"/>
                        </w14:solidFill>
                      </w14:textFill>
                    </w:rPr>
                    <w:t>危险废物</w:t>
                  </w:r>
                  <w:r>
                    <w:rPr>
                      <w:rFonts w:hint="eastAsia" w:ascii="Times New Roman" w:hAnsi="Times New Roman" w:eastAsia="宋体" w:cs="Times New Roman"/>
                      <w:color w:val="000000" w:themeColor="text1"/>
                      <w:kern w:val="0"/>
                      <w:szCs w:val="21"/>
                      <w14:textFill>
                        <w14:solidFill>
                          <w14:schemeClr w14:val="tx1"/>
                        </w14:solidFill>
                      </w14:textFill>
                    </w:rPr>
                    <w:t>储存区满足储存需求。</w:t>
                  </w:r>
                </w:p>
              </w:tc>
              <w:tc>
                <w:tcPr>
                  <w:tcW w:w="743" w:type="dxa"/>
                  <w:shd w:val="clear" w:color="auto" w:fill="auto"/>
                  <w:vAlign w:val="center"/>
                </w:tcPr>
                <w:p w14:paraId="25F136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1A73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55A39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w:t>
                  </w:r>
                </w:p>
              </w:tc>
              <w:tc>
                <w:tcPr>
                  <w:tcW w:w="4048" w:type="dxa"/>
                  <w:shd w:val="clear" w:color="auto" w:fill="auto"/>
                  <w:vAlign w:val="center"/>
                </w:tcPr>
                <w:p w14:paraId="3F2EC7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贮存危险废物应根据危险废物的类别、数量、形态、物理化学性质和环境风险等因素，确定贮存设施或场所类型和规模。</w:t>
                  </w:r>
                </w:p>
              </w:tc>
              <w:tc>
                <w:tcPr>
                  <w:tcW w:w="2821" w:type="dxa"/>
                  <w:shd w:val="clear" w:color="auto" w:fill="auto"/>
                  <w:vAlign w:val="center"/>
                </w:tcPr>
                <w:p w14:paraId="07E65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项目按危险废物特性划及贮存期间污染物产生特点，划分不同暂存区，各暂存区满足暂存规模需求。</w:t>
                  </w:r>
                </w:p>
              </w:tc>
              <w:tc>
                <w:tcPr>
                  <w:tcW w:w="743" w:type="dxa"/>
                  <w:shd w:val="clear" w:color="auto" w:fill="auto"/>
                  <w:vAlign w:val="center"/>
                </w:tcPr>
                <w:p w14:paraId="5FDA9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32A1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2C9B21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w:t>
                  </w:r>
                </w:p>
              </w:tc>
              <w:tc>
                <w:tcPr>
                  <w:tcW w:w="4048" w:type="dxa"/>
                  <w:shd w:val="clear" w:color="auto" w:fill="auto"/>
                  <w:vAlign w:val="center"/>
                </w:tcPr>
                <w:p w14:paraId="0691C2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贮存危险废物应根据危险废物的类别、形态、物理化学性质和污染防治要求进行分类贮存，且应避免危险废物与不相容的物质或材料接触。</w:t>
                  </w:r>
                </w:p>
              </w:tc>
              <w:tc>
                <w:tcPr>
                  <w:tcW w:w="2821" w:type="dxa"/>
                  <w:shd w:val="clear" w:color="auto" w:fill="auto"/>
                  <w:vAlign w:val="center"/>
                </w:tcPr>
                <w:p w14:paraId="16DF2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项目根据危险废物的类别、形态、物理化学性质和污染防治要求进行分类贮存，避免危险废物与不相容的物质或材料接触。</w:t>
                  </w:r>
                </w:p>
              </w:tc>
              <w:tc>
                <w:tcPr>
                  <w:tcW w:w="743" w:type="dxa"/>
                  <w:shd w:val="clear" w:color="auto" w:fill="auto"/>
                  <w:vAlign w:val="center"/>
                </w:tcPr>
                <w:p w14:paraId="12D87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78E1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59A7A9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w:t>
                  </w:r>
                </w:p>
              </w:tc>
              <w:tc>
                <w:tcPr>
                  <w:tcW w:w="4048" w:type="dxa"/>
                  <w:shd w:val="clear" w:color="auto" w:fill="auto"/>
                  <w:vAlign w:val="center"/>
                </w:tcPr>
                <w:p w14:paraId="11640C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贮存危险废物应根据危险废物的形态、物理化学性质、包装形式和污染物迁移途径，采取措施减少渗滤液及其衍生废物、渗漏的液态废物（简称渗漏液）、</w:t>
                  </w:r>
                  <w:r>
                    <w:rPr>
                      <w:rFonts w:hint="eastAsia" w:cs="Times New Roman"/>
                      <w:color w:val="000000" w:themeColor="text1"/>
                      <w:kern w:val="0"/>
                      <w:szCs w:val="21"/>
                      <w:lang w:val="en-US" w:eastAsia="zh-CN"/>
                      <w14:textFill>
                        <w14:solidFill>
                          <w14:schemeClr w14:val="tx1"/>
                        </w14:solidFill>
                      </w14:textFill>
                    </w:rPr>
                    <w:t>粉尘</w:t>
                  </w:r>
                  <w:r>
                    <w:rPr>
                      <w:rFonts w:hint="eastAsia" w:ascii="Times New Roman" w:hAnsi="Times New Roman" w:eastAsia="宋体" w:cs="Times New Roman"/>
                      <w:color w:val="000000" w:themeColor="text1"/>
                      <w:kern w:val="0"/>
                      <w:szCs w:val="21"/>
                      <w14:textFill>
                        <w14:solidFill>
                          <w14:schemeClr w14:val="tx1"/>
                        </w14:solidFill>
                      </w14:textFill>
                    </w:rPr>
                    <w:t>、VOCs、酸雾、有毒有害大气污染物和刺激性气味气体等污染物的产生，防止其污染环境。</w:t>
                  </w:r>
                </w:p>
              </w:tc>
              <w:tc>
                <w:tcPr>
                  <w:tcW w:w="2821" w:type="dxa"/>
                  <w:shd w:val="clear" w:color="auto" w:fill="auto"/>
                  <w:vAlign w:val="center"/>
                </w:tcPr>
                <w:p w14:paraId="7119FD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贮存分区内设有导流沟及废液收集池，可防止泄漏、渗滤液漫流，贮存采用闭口贮存，可防止</w:t>
                  </w:r>
                  <w:r>
                    <w:rPr>
                      <w:rFonts w:hint="eastAsia" w:ascii="Times New Roman" w:hAnsi="Times New Roman" w:eastAsia="宋体" w:cs="Times New Roman"/>
                      <w:color w:val="000000" w:themeColor="text1"/>
                      <w:kern w:val="0"/>
                      <w:szCs w:val="21"/>
                      <w14:textFill>
                        <w14:solidFill>
                          <w14:schemeClr w14:val="tx1"/>
                        </w14:solidFill>
                      </w14:textFill>
                    </w:rPr>
                    <w:t>VOCs、酸雾、有毒有害大气污染物和刺激性气味气体等污染物的</w:t>
                  </w:r>
                  <w:r>
                    <w:rPr>
                      <w:rFonts w:hint="eastAsia" w:ascii="Times New Roman" w:hAnsi="Times New Roman" w:cs="Times New Roman"/>
                      <w:color w:val="000000" w:themeColor="text1"/>
                      <w:kern w:val="0"/>
                      <w:szCs w:val="21"/>
                      <w:lang w:val="en-US" w:eastAsia="zh-CN"/>
                      <w14:textFill>
                        <w14:solidFill>
                          <w14:schemeClr w14:val="tx1"/>
                        </w14:solidFill>
                      </w14:textFill>
                    </w:rPr>
                    <w:t>排放。</w:t>
                  </w:r>
                </w:p>
              </w:tc>
              <w:tc>
                <w:tcPr>
                  <w:tcW w:w="743" w:type="dxa"/>
                  <w:shd w:val="clear" w:color="auto" w:fill="auto"/>
                  <w:vAlign w:val="center"/>
                </w:tcPr>
                <w:p w14:paraId="2065D8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D35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77BD0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5</w:t>
                  </w:r>
                </w:p>
              </w:tc>
              <w:tc>
                <w:tcPr>
                  <w:tcW w:w="4048" w:type="dxa"/>
                  <w:shd w:val="clear" w:color="auto" w:fill="auto"/>
                  <w:vAlign w:val="center"/>
                </w:tcPr>
                <w:p w14:paraId="6136A3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危险废物贮存过程产生的液态废物和固态废物应分类收集，</w:t>
                  </w:r>
                  <w:r>
                    <w:rPr>
                      <w:rFonts w:hint="eastAsia" w:cs="Times New Roman"/>
                      <w:color w:val="000000" w:themeColor="text1"/>
                      <w:kern w:val="0"/>
                      <w:szCs w:val="21"/>
                      <w:lang w:eastAsia="zh-CN"/>
                      <w14:textFill>
                        <w14:solidFill>
                          <w14:schemeClr w14:val="tx1"/>
                        </w14:solidFill>
                      </w14:textFill>
                    </w:rPr>
                    <w:t>按</w:t>
                  </w:r>
                  <w:r>
                    <w:rPr>
                      <w:rFonts w:hint="eastAsia" w:ascii="Times New Roman" w:hAnsi="Times New Roman" w:eastAsia="宋体" w:cs="Times New Roman"/>
                      <w:color w:val="000000" w:themeColor="text1"/>
                      <w:kern w:val="0"/>
                      <w:szCs w:val="21"/>
                      <w14:textFill>
                        <w14:solidFill>
                          <w14:schemeClr w14:val="tx1"/>
                        </w14:solidFill>
                      </w14:textFill>
                    </w:rPr>
                    <w:t>环境管理要求妥善处理。</w:t>
                  </w:r>
                </w:p>
              </w:tc>
              <w:tc>
                <w:tcPr>
                  <w:tcW w:w="2821" w:type="dxa"/>
                  <w:shd w:val="clear" w:color="auto" w:fill="auto"/>
                  <w:vAlign w:val="center"/>
                </w:tcPr>
                <w:p w14:paraId="0FE0E6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项目已区分液态废物和固态废物并分类收集、暂存。</w:t>
                  </w:r>
                </w:p>
              </w:tc>
              <w:tc>
                <w:tcPr>
                  <w:tcW w:w="743" w:type="dxa"/>
                  <w:shd w:val="clear" w:color="auto" w:fill="auto"/>
                  <w:vAlign w:val="center"/>
                </w:tcPr>
                <w:p w14:paraId="2C41F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1E18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666F7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6</w:t>
                  </w:r>
                </w:p>
              </w:tc>
              <w:tc>
                <w:tcPr>
                  <w:tcW w:w="4048" w:type="dxa"/>
                  <w:shd w:val="clear" w:color="auto" w:fill="auto"/>
                  <w:vAlign w:val="center"/>
                </w:tcPr>
                <w:p w14:paraId="3B35CF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贮存设施或场所、容器和包装物应按HJ1276 要求设置危险废物存设施或场所标志、危险废物贮存分区标志和危险废物标签等危险废物识别标志。</w:t>
                  </w:r>
                </w:p>
              </w:tc>
              <w:tc>
                <w:tcPr>
                  <w:tcW w:w="2821" w:type="dxa"/>
                  <w:shd w:val="clear" w:color="auto" w:fill="auto"/>
                  <w:vAlign w:val="center"/>
                </w:tcPr>
                <w:p w14:paraId="0018D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项目暂存区、包装物、容器拟按HJ1276要求设置危险废物存设施或场所标志、危险废物贮存分区标志和危险废物标签等危险废物识别标志。</w:t>
                  </w:r>
                </w:p>
              </w:tc>
              <w:tc>
                <w:tcPr>
                  <w:tcW w:w="743" w:type="dxa"/>
                  <w:shd w:val="clear" w:color="auto" w:fill="auto"/>
                  <w:vAlign w:val="center"/>
                </w:tcPr>
                <w:p w14:paraId="57A0AB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3971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2B652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7</w:t>
                  </w:r>
                </w:p>
              </w:tc>
              <w:tc>
                <w:tcPr>
                  <w:tcW w:w="4048" w:type="dxa"/>
                  <w:shd w:val="clear" w:color="auto" w:fill="auto"/>
                  <w:vAlign w:val="center"/>
                </w:tcPr>
                <w:p w14:paraId="385ED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H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tc>
              <w:tc>
                <w:tcPr>
                  <w:tcW w:w="2821" w:type="dxa"/>
                  <w:shd w:val="clear" w:color="auto" w:fill="auto"/>
                  <w:vAlign w:val="center"/>
                </w:tcPr>
                <w:p w14:paraId="45782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项目属排污许可重点监管单位，采用信息化管理，设置了监控室。</w:t>
                  </w:r>
                </w:p>
              </w:tc>
              <w:tc>
                <w:tcPr>
                  <w:tcW w:w="743" w:type="dxa"/>
                  <w:shd w:val="clear" w:color="auto" w:fill="auto"/>
                  <w:vAlign w:val="center"/>
                </w:tcPr>
                <w:p w14:paraId="404D4C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023C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604434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8</w:t>
                  </w:r>
                </w:p>
              </w:tc>
              <w:tc>
                <w:tcPr>
                  <w:tcW w:w="4048" w:type="dxa"/>
                  <w:shd w:val="clear" w:color="auto" w:fill="auto"/>
                  <w:vAlign w:val="center"/>
                </w:tcPr>
                <w:p w14:paraId="46111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2821" w:type="dxa"/>
                  <w:shd w:val="clear" w:color="auto" w:fill="auto"/>
                  <w:vAlign w:val="center"/>
                </w:tcPr>
                <w:p w14:paraId="7B2FAF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现有工程拆除退役</w:t>
                  </w:r>
                  <w:r>
                    <w:rPr>
                      <w:rFonts w:hint="eastAsia" w:ascii="Times New Roman" w:hAnsi="Times New Roman" w:eastAsia="宋体" w:cs="Times New Roman"/>
                      <w:color w:val="000000" w:themeColor="text1"/>
                      <w:kern w:val="0"/>
                      <w:szCs w:val="21"/>
                      <w14:textFill>
                        <w14:solidFill>
                          <w14:schemeClr w14:val="tx1"/>
                        </w14:solidFill>
                      </w14:textFill>
                    </w:rPr>
                    <w:t>前</w:t>
                  </w:r>
                  <w:r>
                    <w:rPr>
                      <w:rFonts w:hint="eastAsia" w:cs="Times New Roman"/>
                      <w:color w:val="000000" w:themeColor="text1"/>
                      <w:kern w:val="0"/>
                      <w:szCs w:val="21"/>
                      <w:lang w:val="en-US" w:eastAsia="zh-CN"/>
                      <w14:textFill>
                        <w14:solidFill>
                          <w14:schemeClr w14:val="tx1"/>
                        </w14:solidFill>
                      </w14:textFill>
                    </w:rPr>
                    <w:t>将危险废物全部转移</w:t>
                  </w:r>
                  <w:r>
                    <w:rPr>
                      <w:rFonts w:hint="eastAsia" w:ascii="Times New Roman" w:hAnsi="Times New Roman" w:eastAsia="宋体" w:cs="Times New Roman"/>
                      <w:color w:val="000000" w:themeColor="text1"/>
                      <w:kern w:val="0"/>
                      <w:szCs w:val="21"/>
                      <w14:textFill>
                        <w14:solidFill>
                          <w14:schemeClr w14:val="tx1"/>
                        </w14:solidFill>
                      </w14:textFill>
                    </w:rPr>
                    <w:t>，并对贮存设施进行清理，消除污染：还应依据土壤污染防治相关法律法规履行场地环境风险防控责任。</w:t>
                  </w:r>
                </w:p>
              </w:tc>
              <w:tc>
                <w:tcPr>
                  <w:tcW w:w="743" w:type="dxa"/>
                  <w:shd w:val="clear" w:color="auto" w:fill="auto"/>
                  <w:vAlign w:val="center"/>
                </w:tcPr>
                <w:p w14:paraId="773D5B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CBB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5D7D3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9</w:t>
                  </w:r>
                </w:p>
              </w:tc>
              <w:tc>
                <w:tcPr>
                  <w:tcW w:w="4048" w:type="dxa"/>
                  <w:shd w:val="clear" w:color="auto" w:fill="auto"/>
                  <w:vAlign w:val="center"/>
                </w:tcPr>
                <w:p w14:paraId="58EEFC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在常温常压下易爆、易燃及排出有毒气体的危险废物应进行预处理，使之稳定后贮存，否则应按易爆、易燃危险品贮存。</w:t>
                  </w:r>
                </w:p>
              </w:tc>
              <w:tc>
                <w:tcPr>
                  <w:tcW w:w="2821" w:type="dxa"/>
                  <w:shd w:val="clear" w:color="auto" w:fill="auto"/>
                  <w:vAlign w:val="center"/>
                </w:tcPr>
                <w:p w14:paraId="47ADD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项目不涉及在常温常压下易爆、易燃及排出有毒气体的危险废物的暂存。</w:t>
                  </w:r>
                </w:p>
              </w:tc>
              <w:tc>
                <w:tcPr>
                  <w:tcW w:w="743" w:type="dxa"/>
                  <w:shd w:val="clear" w:color="auto" w:fill="auto"/>
                  <w:vAlign w:val="center"/>
                </w:tcPr>
                <w:p w14:paraId="330855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01A8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03BFA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0</w:t>
                  </w:r>
                </w:p>
              </w:tc>
              <w:tc>
                <w:tcPr>
                  <w:tcW w:w="4048" w:type="dxa"/>
                  <w:shd w:val="clear" w:color="auto" w:fill="auto"/>
                  <w:vAlign w:val="center"/>
                </w:tcPr>
                <w:p w14:paraId="71FC6C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危险废物贮存除应满足环境保护相关要求外，还应执行国家安全生产、职业健康、交通运输、消防等法律法规和标准的相关要求。</w:t>
                  </w:r>
                </w:p>
              </w:tc>
              <w:tc>
                <w:tcPr>
                  <w:tcW w:w="2821" w:type="dxa"/>
                  <w:shd w:val="clear" w:color="auto" w:fill="auto"/>
                  <w:vAlign w:val="center"/>
                </w:tcPr>
                <w:p w14:paraId="3C480C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项目危险废物贮存各类标准、法规要求。</w:t>
                  </w:r>
                </w:p>
              </w:tc>
              <w:tc>
                <w:tcPr>
                  <w:tcW w:w="743" w:type="dxa"/>
                  <w:shd w:val="clear" w:color="auto" w:fill="auto"/>
                  <w:vAlign w:val="center"/>
                </w:tcPr>
                <w:p w14:paraId="5CC6A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520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06E8F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1</w:t>
                  </w:r>
                </w:p>
              </w:tc>
              <w:tc>
                <w:tcPr>
                  <w:tcW w:w="4048" w:type="dxa"/>
                  <w:shd w:val="clear" w:color="auto" w:fill="auto"/>
                  <w:vAlign w:val="center"/>
                </w:tcPr>
                <w:p w14:paraId="0EF5D2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贮存设施选址应满足生态环境保护法律法规、规划和“三线一单”生态环境分区管控的要求，建设项目应依法进行环境影响评价。</w:t>
                  </w:r>
                </w:p>
              </w:tc>
              <w:tc>
                <w:tcPr>
                  <w:tcW w:w="2821" w:type="dxa"/>
                  <w:shd w:val="clear" w:color="auto" w:fill="auto"/>
                  <w:vAlign w:val="center"/>
                </w:tcPr>
                <w:p w14:paraId="5BBC0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项目选址应满足生态环境保护法律法规、规划和“三线一单”生态环境分区管控的要求，环境影响评价进行中。</w:t>
                  </w:r>
                </w:p>
              </w:tc>
              <w:tc>
                <w:tcPr>
                  <w:tcW w:w="743" w:type="dxa"/>
                  <w:shd w:val="clear" w:color="auto" w:fill="auto"/>
                  <w:vAlign w:val="center"/>
                </w:tcPr>
                <w:p w14:paraId="58DFDC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3B21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11701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12</w:t>
                  </w:r>
                </w:p>
              </w:tc>
              <w:tc>
                <w:tcPr>
                  <w:tcW w:w="4048" w:type="dxa"/>
                  <w:shd w:val="clear" w:color="auto" w:fill="auto"/>
                  <w:vAlign w:val="center"/>
                </w:tcPr>
                <w:p w14:paraId="3570AA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集中购存设施不应选在生态保护红线区域、永久基本农田和其他需要特别保护的区域内，不应建在溶洞区或易遭受洪水、滑坡、泥石流、潮汐等严重自然灾害影响的地区。</w:t>
                  </w:r>
                </w:p>
              </w:tc>
              <w:tc>
                <w:tcPr>
                  <w:tcW w:w="2821" w:type="dxa"/>
                  <w:shd w:val="clear" w:color="auto" w:fill="auto"/>
                  <w:vAlign w:val="center"/>
                </w:tcPr>
                <w:p w14:paraId="79F86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项目不涉及生态保护红线区域、永久基本农田和其他需要特别保护的区域；不处于溶洞区或易遭受洪水、滑坡、泥石流、潮汐等严重自然灾害影响的地区。</w:t>
                  </w:r>
                </w:p>
              </w:tc>
              <w:tc>
                <w:tcPr>
                  <w:tcW w:w="743" w:type="dxa"/>
                  <w:shd w:val="clear" w:color="auto" w:fill="auto"/>
                  <w:vAlign w:val="center"/>
                </w:tcPr>
                <w:p w14:paraId="34387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478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464445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3</w:t>
                  </w:r>
                </w:p>
              </w:tc>
              <w:tc>
                <w:tcPr>
                  <w:tcW w:w="4048" w:type="dxa"/>
                  <w:shd w:val="clear" w:color="auto" w:fill="auto"/>
                  <w:vAlign w:val="center"/>
                </w:tcPr>
                <w:p w14:paraId="6E8AF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贮存设施不应选在江河、湖泊、运河、渠道、水库及其最高水位线以下的滩地和岸坡，以及法律法规规定禁止贮存危险废物的其他地点。</w:t>
                  </w:r>
                </w:p>
              </w:tc>
              <w:tc>
                <w:tcPr>
                  <w:tcW w:w="2821" w:type="dxa"/>
                  <w:shd w:val="clear" w:color="auto" w:fill="auto"/>
                  <w:vAlign w:val="center"/>
                </w:tcPr>
                <w:p w14:paraId="4A3853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项目在现有项目厂内建设，不在江河、湖泊、运河、渠道、水库及其最高水位线以下的滩地和岸坡，以及法律法规规定禁止贮存危险废物的其他地点。</w:t>
                  </w:r>
                </w:p>
              </w:tc>
              <w:tc>
                <w:tcPr>
                  <w:tcW w:w="743" w:type="dxa"/>
                  <w:shd w:val="clear" w:color="auto" w:fill="auto"/>
                  <w:vAlign w:val="center"/>
                </w:tcPr>
                <w:p w14:paraId="21765F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00A6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57CC6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14</w:t>
                  </w:r>
                </w:p>
              </w:tc>
              <w:tc>
                <w:tcPr>
                  <w:tcW w:w="4048" w:type="dxa"/>
                  <w:shd w:val="clear" w:color="auto" w:fill="auto"/>
                  <w:vAlign w:val="center"/>
                </w:tcPr>
                <w:p w14:paraId="1AE5E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tc>
              <w:tc>
                <w:tcPr>
                  <w:tcW w:w="2821" w:type="dxa"/>
                  <w:shd w:val="clear" w:color="auto" w:fill="auto"/>
                  <w:vAlign w:val="center"/>
                </w:tcPr>
                <w:p w14:paraId="60264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项目贮存区采取了必要的防风、防晒、防雨、防漏、防渗、防腐以及其他环境污染防治措施，露天区域不堆放危险废物。</w:t>
                  </w:r>
                </w:p>
              </w:tc>
              <w:tc>
                <w:tcPr>
                  <w:tcW w:w="743" w:type="dxa"/>
                  <w:shd w:val="clear" w:color="auto" w:fill="auto"/>
                  <w:vAlign w:val="center"/>
                </w:tcPr>
                <w:p w14:paraId="52B69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707D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42223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hint="eastAsia" w:cs="Times New Roman"/>
                      <w:color w:val="000000" w:themeColor="text1"/>
                      <w:kern w:val="0"/>
                      <w:szCs w:val="21"/>
                      <w:lang w:val="en-US" w:eastAsia="zh-CN"/>
                      <w14:textFill>
                        <w14:solidFill>
                          <w14:schemeClr w14:val="tx1"/>
                        </w14:solidFill>
                      </w14:textFill>
                    </w:rPr>
                    <w:t>5</w:t>
                  </w:r>
                </w:p>
              </w:tc>
              <w:tc>
                <w:tcPr>
                  <w:tcW w:w="4048" w:type="dxa"/>
                  <w:shd w:val="clear" w:color="auto" w:fill="auto"/>
                  <w:vAlign w:val="center"/>
                </w:tcPr>
                <w:p w14:paraId="245EC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贮存设施应根据危险废物的类别、数量、形态、物理化学性质和污染防治等要求设置必要的贮存分区，避免不相容的危险废物接触、混合。</w:t>
                  </w:r>
                </w:p>
              </w:tc>
              <w:tc>
                <w:tcPr>
                  <w:tcW w:w="2821" w:type="dxa"/>
                  <w:shd w:val="clear" w:color="auto" w:fill="auto"/>
                  <w:vAlign w:val="center"/>
                </w:tcPr>
                <w:p w14:paraId="1F800C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项目按危险废物类别、特性等划分储存区，不相容的危险废物不接触、不混合。</w:t>
                  </w:r>
                </w:p>
              </w:tc>
              <w:tc>
                <w:tcPr>
                  <w:tcW w:w="743" w:type="dxa"/>
                  <w:shd w:val="clear" w:color="auto" w:fill="auto"/>
                  <w:vAlign w:val="center"/>
                </w:tcPr>
                <w:p w14:paraId="1A33A5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7EA1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46574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hint="eastAsia" w:cs="Times New Roman"/>
                      <w:color w:val="000000" w:themeColor="text1"/>
                      <w:kern w:val="0"/>
                      <w:szCs w:val="21"/>
                      <w:lang w:val="en-US" w:eastAsia="zh-CN"/>
                      <w14:textFill>
                        <w14:solidFill>
                          <w14:schemeClr w14:val="tx1"/>
                        </w14:solidFill>
                      </w14:textFill>
                    </w:rPr>
                    <w:t>6</w:t>
                  </w:r>
                </w:p>
              </w:tc>
              <w:tc>
                <w:tcPr>
                  <w:tcW w:w="4048" w:type="dxa"/>
                  <w:shd w:val="clear" w:color="auto" w:fill="auto"/>
                  <w:vAlign w:val="center"/>
                </w:tcPr>
                <w:p w14:paraId="1F0A8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贮存设施或贮存分区内地面、墙面裙脚、堵截泄漏的围堰、接触危险废物的隔板和墙体等应采用坚固的材料建造，表面无裂缝。</w:t>
                  </w:r>
                </w:p>
              </w:tc>
              <w:tc>
                <w:tcPr>
                  <w:tcW w:w="2821" w:type="dxa"/>
                  <w:shd w:val="clear" w:color="auto" w:fill="auto"/>
                  <w:vAlign w:val="center"/>
                </w:tcPr>
                <w:p w14:paraId="5827A6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项目储存区地面、墙面</w:t>
                  </w:r>
                  <w:r>
                    <w:rPr>
                      <w:rFonts w:hint="eastAsia" w:cs="Times New Roman"/>
                      <w:color w:val="000000" w:themeColor="text1"/>
                      <w:kern w:val="0"/>
                      <w:szCs w:val="21"/>
                      <w:lang w:eastAsia="zh-CN"/>
                      <w14:textFill>
                        <w14:solidFill>
                          <w14:schemeClr w14:val="tx1"/>
                        </w14:solidFill>
                      </w14:textFill>
                    </w:rPr>
                    <w:t>墙角</w:t>
                  </w:r>
                  <w:r>
                    <w:rPr>
                      <w:rFonts w:hint="eastAsia" w:ascii="Times New Roman" w:hAnsi="Times New Roman" w:eastAsia="宋体" w:cs="Times New Roman"/>
                      <w:color w:val="000000" w:themeColor="text1"/>
                      <w:kern w:val="0"/>
                      <w:szCs w:val="21"/>
                      <w14:textFill>
                        <w14:solidFill>
                          <w14:schemeClr w14:val="tx1"/>
                        </w14:solidFill>
                      </w14:textFill>
                    </w:rPr>
                    <w:t>、堵截泄漏的围堰、接触危险废物的隔板和墙体等应采用坚固的材料建造。</w:t>
                  </w:r>
                </w:p>
              </w:tc>
              <w:tc>
                <w:tcPr>
                  <w:tcW w:w="743" w:type="dxa"/>
                  <w:shd w:val="clear" w:color="auto" w:fill="auto"/>
                  <w:vAlign w:val="center"/>
                </w:tcPr>
                <w:p w14:paraId="193AE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2980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06C38C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hint="eastAsia" w:cs="Times New Roman"/>
                      <w:color w:val="000000" w:themeColor="text1"/>
                      <w:kern w:val="0"/>
                      <w:szCs w:val="21"/>
                      <w:lang w:val="en-US" w:eastAsia="zh-CN"/>
                      <w14:textFill>
                        <w14:solidFill>
                          <w14:schemeClr w14:val="tx1"/>
                        </w14:solidFill>
                      </w14:textFill>
                    </w:rPr>
                    <w:t>7</w:t>
                  </w:r>
                </w:p>
              </w:tc>
              <w:tc>
                <w:tcPr>
                  <w:tcW w:w="4048" w:type="dxa"/>
                  <w:shd w:val="clear" w:color="auto" w:fill="auto"/>
                  <w:vAlign w:val="center"/>
                </w:tcPr>
                <w:p w14:paraId="5532B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层（渗透系数不大于10</w:t>
                  </w:r>
                  <w:r>
                    <w:rPr>
                      <w:rFonts w:hint="eastAsia" w:ascii="Times New Roman" w:hAnsi="Times New Roman" w:eastAsia="宋体" w:cs="Times New Roman"/>
                      <w:color w:val="000000" w:themeColor="text1"/>
                      <w:kern w:val="0"/>
                      <w:szCs w:val="21"/>
                      <w:vertAlign w:val="superscript"/>
                      <w14:textFill>
                        <w14:solidFill>
                          <w14:schemeClr w14:val="tx1"/>
                        </w14:solidFill>
                      </w14:textFill>
                    </w:rPr>
                    <w:t>-</w:t>
                  </w:r>
                  <w:r>
                    <w:rPr>
                      <w:rFonts w:ascii="Times New Roman" w:hAnsi="Times New Roman" w:eastAsia="宋体" w:cs="Times New Roman"/>
                      <w:color w:val="000000" w:themeColor="text1"/>
                      <w:kern w:val="0"/>
                      <w:szCs w:val="21"/>
                      <w:vertAlign w:val="superscript"/>
                      <w14:textFill>
                        <w14:solidFill>
                          <w14:schemeClr w14:val="tx1"/>
                        </w14:solidFill>
                      </w14:textFill>
                    </w:rPr>
                    <w:t>7</w:t>
                  </w:r>
                  <w:r>
                    <w:rPr>
                      <w:rFonts w:hint="eastAsia" w:ascii="Times New Roman" w:hAnsi="Times New Roman" w:eastAsia="宋体" w:cs="Times New Roman"/>
                      <w:color w:val="000000" w:themeColor="text1"/>
                      <w:kern w:val="0"/>
                      <w:szCs w:val="21"/>
                      <w14:textFill>
                        <w14:solidFill>
                          <w14:schemeClr w14:val="tx1"/>
                        </w14:solidFill>
                      </w14:textFill>
                    </w:rPr>
                    <w:t>cm/s），或至少2mm厚高密度聚乙烯膜等人工防渗材料（渗透系数不大于10</w:t>
                  </w:r>
                  <w:r>
                    <w:rPr>
                      <w:rFonts w:hint="eastAsia" w:ascii="Times New Roman" w:hAnsi="Times New Roman" w:eastAsia="宋体" w:cs="Times New Roman"/>
                      <w:color w:val="000000" w:themeColor="text1"/>
                      <w:kern w:val="0"/>
                      <w:szCs w:val="21"/>
                      <w:vertAlign w:val="superscript"/>
                      <w14:textFill>
                        <w14:solidFill>
                          <w14:schemeClr w14:val="tx1"/>
                        </w14:solidFill>
                      </w14:textFill>
                    </w:rPr>
                    <w:t>-10</w:t>
                  </w:r>
                  <w:r>
                    <w:rPr>
                      <w:rFonts w:hint="eastAsia" w:ascii="Times New Roman" w:hAnsi="Times New Roman" w:eastAsia="宋体" w:cs="Times New Roman"/>
                      <w:color w:val="000000" w:themeColor="text1"/>
                      <w:kern w:val="0"/>
                      <w:szCs w:val="21"/>
                      <w14:textFill>
                        <w14:solidFill>
                          <w14:schemeClr w14:val="tx1"/>
                        </w14:solidFill>
                      </w14:textFill>
                    </w:rPr>
                    <w:t>cm/s），或其他防渗性能等效的材料。</w:t>
                  </w:r>
                </w:p>
              </w:tc>
              <w:tc>
                <w:tcPr>
                  <w:tcW w:w="2821" w:type="dxa"/>
                  <w:shd w:val="clear" w:color="auto" w:fill="auto"/>
                  <w:vAlign w:val="center"/>
                </w:tcPr>
                <w:p w14:paraId="0EE720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w:t>
                  </w:r>
                  <w:r>
                    <w:rPr>
                      <w:rFonts w:hint="eastAsia" w:cs="Times New Roman"/>
                      <w:color w:val="000000" w:themeColor="text1"/>
                      <w:kern w:val="0"/>
                      <w:szCs w:val="21"/>
                      <w:lang w:val="en-US" w:eastAsia="zh-CN"/>
                      <w14:textFill>
                        <w14:solidFill>
                          <w14:schemeClr w14:val="tx1"/>
                        </w14:solidFill>
                      </w14:textFill>
                    </w:rPr>
                    <w:t>采取分区防渗，贮存库为重点防渗区，要求渗透系数K≤10</w:t>
                  </w:r>
                  <w:r>
                    <w:rPr>
                      <w:rFonts w:hint="eastAsia" w:cs="Times New Roman"/>
                      <w:color w:val="000000" w:themeColor="text1"/>
                      <w:kern w:val="0"/>
                      <w:szCs w:val="21"/>
                      <w:vertAlign w:val="superscript"/>
                      <w:lang w:val="en-US" w:eastAsia="zh-CN"/>
                      <w14:textFill>
                        <w14:solidFill>
                          <w14:schemeClr w14:val="tx1"/>
                        </w14:solidFill>
                      </w14:textFill>
                    </w:rPr>
                    <w:t>-7</w:t>
                  </w:r>
                  <w:r>
                    <w:rPr>
                      <w:rFonts w:hint="eastAsia" w:cs="Times New Roman"/>
                      <w:color w:val="000000" w:themeColor="text1"/>
                      <w:kern w:val="0"/>
                      <w:szCs w:val="21"/>
                      <w:lang w:val="en-US" w:eastAsia="zh-CN"/>
                      <w14:textFill>
                        <w14:solidFill>
                          <w14:schemeClr w14:val="tx1"/>
                        </w14:solidFill>
                      </w14:textFill>
                    </w:rPr>
                    <w:t>cm/s</w:t>
                  </w:r>
                  <w:r>
                    <w:rPr>
                      <w:rFonts w:hint="eastAsia" w:ascii="Times New Roman" w:hAnsi="Times New Roman" w:eastAsia="宋体" w:cs="Times New Roman"/>
                      <w:color w:val="000000" w:themeColor="text1"/>
                      <w:kern w:val="0"/>
                      <w:szCs w:val="21"/>
                      <w14:textFill>
                        <w14:solidFill>
                          <w14:schemeClr w14:val="tx1"/>
                        </w14:solidFill>
                      </w14:textFill>
                    </w:rPr>
                    <w:t>。</w:t>
                  </w:r>
                </w:p>
              </w:tc>
              <w:tc>
                <w:tcPr>
                  <w:tcW w:w="743" w:type="dxa"/>
                  <w:shd w:val="clear" w:color="auto" w:fill="auto"/>
                  <w:vAlign w:val="center"/>
                </w:tcPr>
                <w:p w14:paraId="6A790B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11F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FA62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18</w:t>
                  </w:r>
                </w:p>
              </w:tc>
              <w:tc>
                <w:tcPr>
                  <w:tcW w:w="4048" w:type="dxa"/>
                  <w:shd w:val="clear" w:color="auto" w:fill="auto"/>
                  <w:vAlign w:val="center"/>
                </w:tcPr>
                <w:p w14:paraId="2ED6EA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2821" w:type="dxa"/>
                  <w:shd w:val="clear" w:color="auto" w:fill="auto"/>
                  <w:vAlign w:val="center"/>
                </w:tcPr>
                <w:p w14:paraId="42DA74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项目储存区划分可确保</w:t>
                  </w:r>
                  <w:r>
                    <w:rPr>
                      <w:rFonts w:hint="eastAsia" w:cs="Times New Roman"/>
                      <w:color w:val="000000" w:themeColor="text1"/>
                      <w:kern w:val="0"/>
                      <w:szCs w:val="21"/>
                      <w:lang w:eastAsia="zh-CN"/>
                      <w14:textFill>
                        <w14:solidFill>
                          <w14:schemeClr w14:val="tx1"/>
                        </w14:solidFill>
                      </w14:textFill>
                    </w:rPr>
                    <w:t>邻近</w:t>
                  </w:r>
                  <w:r>
                    <w:rPr>
                      <w:rFonts w:hint="eastAsia" w:ascii="Times New Roman" w:hAnsi="Times New Roman" w:eastAsia="宋体" w:cs="Times New Roman"/>
                      <w:color w:val="000000" w:themeColor="text1"/>
                      <w:kern w:val="0"/>
                      <w:szCs w:val="21"/>
                      <w14:textFill>
                        <w14:solidFill>
                          <w14:schemeClr w14:val="tx1"/>
                        </w14:solidFill>
                      </w14:textFill>
                    </w:rPr>
                    <w:t>区域</w:t>
                  </w:r>
                  <w:r>
                    <w:rPr>
                      <w:rFonts w:hint="eastAsia" w:cs="Times New Roman"/>
                      <w:color w:val="000000" w:themeColor="text1"/>
                      <w:kern w:val="0"/>
                      <w:szCs w:val="21"/>
                      <w:lang w:eastAsia="zh-CN"/>
                      <w14:textFill>
                        <w14:solidFill>
                          <w14:schemeClr w14:val="tx1"/>
                        </w14:solidFill>
                      </w14:textFill>
                    </w:rPr>
                    <w:t>采取</w:t>
                  </w:r>
                  <w:r>
                    <w:rPr>
                      <w:rFonts w:hint="eastAsia" w:ascii="Times New Roman" w:hAnsi="Times New Roman" w:eastAsia="宋体" w:cs="Times New Roman"/>
                      <w:color w:val="000000" w:themeColor="text1"/>
                      <w:kern w:val="0"/>
                      <w:szCs w:val="21"/>
                      <w14:textFill>
                        <w14:solidFill>
                          <w14:schemeClr w14:val="tx1"/>
                        </w14:solidFill>
                      </w14:textFill>
                    </w:rPr>
                    <w:t>相同的防腐防渗措施。</w:t>
                  </w:r>
                </w:p>
              </w:tc>
              <w:tc>
                <w:tcPr>
                  <w:tcW w:w="743" w:type="dxa"/>
                  <w:shd w:val="clear" w:color="auto" w:fill="auto"/>
                  <w:vAlign w:val="center"/>
                </w:tcPr>
                <w:p w14:paraId="4F6F57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0168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4EBBA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19</w:t>
                  </w:r>
                </w:p>
              </w:tc>
              <w:tc>
                <w:tcPr>
                  <w:tcW w:w="4048" w:type="dxa"/>
                  <w:shd w:val="clear" w:color="auto" w:fill="auto"/>
                  <w:vAlign w:val="center"/>
                </w:tcPr>
                <w:p w14:paraId="4024A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贮存设施应采取技术和管理措施防止无关人员进入。</w:t>
                  </w:r>
                </w:p>
              </w:tc>
              <w:tc>
                <w:tcPr>
                  <w:tcW w:w="2821" w:type="dxa"/>
                  <w:shd w:val="clear" w:color="auto" w:fill="auto"/>
                  <w:vAlign w:val="center"/>
                </w:tcPr>
                <w:p w14:paraId="6E45F2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项目采取监控及相关管理措施防止无关人员进入。</w:t>
                  </w:r>
                </w:p>
              </w:tc>
              <w:tc>
                <w:tcPr>
                  <w:tcW w:w="743" w:type="dxa"/>
                  <w:shd w:val="clear" w:color="auto" w:fill="auto"/>
                  <w:vAlign w:val="center"/>
                </w:tcPr>
                <w:p w14:paraId="37E516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06EA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64929F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0</w:t>
                  </w:r>
                </w:p>
              </w:tc>
              <w:tc>
                <w:tcPr>
                  <w:tcW w:w="4048" w:type="dxa"/>
                  <w:shd w:val="clear" w:color="auto" w:fill="auto"/>
                  <w:vAlign w:val="center"/>
                </w:tcPr>
                <w:p w14:paraId="4C00C7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贮存库内不同贮存分区之间应采取隔离措施。隔离措施可根据危险废物特性采用过道、隔板或隔墙等方式。</w:t>
                  </w:r>
                </w:p>
              </w:tc>
              <w:tc>
                <w:tcPr>
                  <w:tcW w:w="2821" w:type="dxa"/>
                  <w:shd w:val="clear" w:color="auto" w:fill="auto"/>
                  <w:vAlign w:val="center"/>
                </w:tcPr>
                <w:p w14:paraId="27FC8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贮存库内不同贮存分区之间拟采取隔离措施。隔离措施可根据危险废物特性采用过道、隔板或隔墙等方式。</w:t>
                  </w:r>
                </w:p>
              </w:tc>
              <w:tc>
                <w:tcPr>
                  <w:tcW w:w="743" w:type="dxa"/>
                  <w:shd w:val="clear" w:color="auto" w:fill="auto"/>
                  <w:vAlign w:val="center"/>
                </w:tcPr>
                <w:p w14:paraId="5B942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964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0BFB7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1</w:t>
                  </w:r>
                </w:p>
              </w:tc>
              <w:tc>
                <w:tcPr>
                  <w:tcW w:w="4048" w:type="dxa"/>
                  <w:shd w:val="clear" w:color="auto" w:fill="auto"/>
                  <w:vAlign w:val="center"/>
                </w:tcPr>
                <w:p w14:paraId="0509F6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在贮存库内或通过贮存分区方式</w:t>
                  </w:r>
                  <w:r>
                    <w:rPr>
                      <w:rFonts w:hint="eastAsia" w:cs="Times New Roman"/>
                      <w:color w:val="000000" w:themeColor="text1"/>
                      <w:kern w:val="0"/>
                      <w:szCs w:val="21"/>
                      <w:lang w:eastAsia="zh-CN"/>
                      <w14:textFill>
                        <w14:solidFill>
                          <w14:schemeClr w14:val="tx1"/>
                        </w14:solidFill>
                      </w14:textFill>
                    </w:rPr>
                    <w:t>贮存</w:t>
                  </w:r>
                  <w:r>
                    <w:rPr>
                      <w:rFonts w:hint="eastAsia" w:ascii="Times New Roman" w:hAnsi="Times New Roman" w:eastAsia="宋体" w:cs="Times New Roman"/>
                      <w:color w:val="000000" w:themeColor="text1"/>
                      <w:kern w:val="0"/>
                      <w:szCs w:val="21"/>
                      <w14:textFill>
                        <w14:solidFill>
                          <w14:schemeClr w14:val="tx1"/>
                        </w14:solidFill>
                      </w14:textFill>
                    </w:rPr>
                    <w:t>液态危险废物的，应具有液体泄漏堵截设施，堵截设施最小容积不应低于对应贮存区域最大液态废物容器容积或液态废物总储</w:t>
                  </w:r>
                  <w:r>
                    <w:rPr>
                      <w:rFonts w:hint="eastAsia" w:cs="Times New Roman"/>
                      <w:color w:val="000000" w:themeColor="text1"/>
                      <w:kern w:val="0"/>
                      <w:szCs w:val="21"/>
                      <w:lang w:eastAsia="zh-CN"/>
                      <w14:textFill>
                        <w14:solidFill>
                          <w14:schemeClr w14:val="tx1"/>
                        </w14:solidFill>
                      </w14:textFill>
                    </w:rPr>
                    <w:t>量的</w:t>
                  </w:r>
                  <w:r>
                    <w:rPr>
                      <w:rFonts w:hint="eastAsia" w:ascii="Times New Roman" w:hAnsi="Times New Roman" w:eastAsia="宋体" w:cs="Times New Roman"/>
                      <w:color w:val="000000" w:themeColor="text1"/>
                      <w:kern w:val="0"/>
                      <w:szCs w:val="21"/>
                      <w14:textFill>
                        <w14:solidFill>
                          <w14:schemeClr w14:val="tx1"/>
                        </w14:solidFill>
                      </w14:textFill>
                    </w:rPr>
                    <w:t>1/10（二者取较大者）用</w:t>
                  </w:r>
                  <w:r>
                    <w:rPr>
                      <w:rFonts w:hint="eastAsia" w:cs="Times New Roman"/>
                      <w:color w:val="000000" w:themeColor="text1"/>
                      <w:kern w:val="0"/>
                      <w:szCs w:val="21"/>
                      <w:lang w:eastAsia="zh-CN"/>
                      <w14:textFill>
                        <w14:solidFill>
                          <w14:schemeClr w14:val="tx1"/>
                        </w14:solidFill>
                      </w14:textFill>
                    </w:rPr>
                    <w:t>于保</w:t>
                  </w:r>
                  <w:r>
                    <w:rPr>
                      <w:rFonts w:hint="eastAsia" w:ascii="Times New Roman" w:hAnsi="Times New Roman" w:eastAsia="宋体" w:cs="Times New Roman"/>
                      <w:color w:val="000000" w:themeColor="text1"/>
                      <w:kern w:val="0"/>
                      <w:szCs w:val="21"/>
                      <w14:textFill>
                        <w14:solidFill>
                          <w14:schemeClr w14:val="tx1"/>
                        </w14:solidFill>
                      </w14:textFill>
                    </w:rPr>
                    <w:t>存可能产生渗滤液的危险废物的贮存库或贮存分区应设计渗滤液收集设施，收集设施容积应满足渗滤液的收集要求。</w:t>
                  </w:r>
                </w:p>
              </w:tc>
              <w:tc>
                <w:tcPr>
                  <w:tcW w:w="2821" w:type="dxa"/>
                  <w:shd w:val="clear" w:color="auto" w:fill="auto"/>
                  <w:vAlign w:val="center"/>
                </w:tcPr>
                <w:p w14:paraId="57ABFC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项目针对废酸、废碱、有机液体区域</w:t>
                  </w:r>
                  <w:r>
                    <w:rPr>
                      <w:rFonts w:hint="eastAsia" w:cs="Times New Roman"/>
                      <w:color w:val="000000" w:themeColor="text1"/>
                      <w:kern w:val="0"/>
                      <w:szCs w:val="21"/>
                      <w:lang w:val="en-US" w:eastAsia="zh-CN"/>
                      <w14:textFill>
                        <w14:solidFill>
                          <w14:schemeClr w14:val="tx1"/>
                        </w14:solidFill>
                      </w14:textFill>
                    </w:rPr>
                    <w:t>设置</w:t>
                  </w:r>
                  <w:r>
                    <w:rPr>
                      <w:rFonts w:hint="eastAsia" w:ascii="Times New Roman" w:hAnsi="Times New Roman" w:eastAsia="宋体" w:cs="Times New Roman"/>
                      <w:color w:val="000000" w:themeColor="text1"/>
                      <w:kern w:val="0"/>
                      <w:szCs w:val="21"/>
                      <w14:textFill>
                        <w14:solidFill>
                          <w14:schemeClr w14:val="tx1"/>
                        </w14:solidFill>
                      </w14:textFill>
                    </w:rPr>
                    <w:t>了围堰及渗滤液收集池</w:t>
                  </w:r>
                  <w:r>
                    <w:rPr>
                      <w:rFonts w:hint="eastAsia" w:cs="Times New Roman"/>
                      <w:color w:val="000000" w:themeColor="text1"/>
                      <w:kern w:val="0"/>
                      <w:szCs w:val="21"/>
                      <w:lang w:eastAsia="zh-CN"/>
                      <w14:textFill>
                        <w14:solidFill>
                          <w14:schemeClr w14:val="tx1"/>
                        </w14:solidFill>
                      </w14:textFill>
                    </w:rPr>
                    <w:t>，</w:t>
                  </w:r>
                  <w:r>
                    <w:rPr>
                      <w:rFonts w:hint="eastAsia" w:cs="Times New Roman"/>
                      <w:color w:val="000000" w:themeColor="text1"/>
                      <w:kern w:val="0"/>
                      <w:szCs w:val="21"/>
                      <w:lang w:val="en-US" w:eastAsia="zh-CN"/>
                      <w14:textFill>
                        <w14:solidFill>
                          <w14:schemeClr w14:val="tx1"/>
                        </w14:solidFill>
                      </w14:textFill>
                    </w:rPr>
                    <w:t>收集池容积0.1m</w:t>
                  </w:r>
                  <w:r>
                    <w:rPr>
                      <w:rFonts w:hint="eastAsia" w:cs="Times New Roman"/>
                      <w:color w:val="000000" w:themeColor="text1"/>
                      <w:kern w:val="0"/>
                      <w:szCs w:val="21"/>
                      <w:vertAlign w:val="superscript"/>
                      <w:lang w:val="en-US" w:eastAsia="zh-CN"/>
                      <w14:textFill>
                        <w14:solidFill>
                          <w14:schemeClr w14:val="tx1"/>
                        </w14:solidFill>
                      </w14:textFill>
                    </w:rPr>
                    <w:t>3</w:t>
                  </w:r>
                  <w:r>
                    <w:rPr>
                      <w:rFonts w:hint="eastAsia" w:cs="Times New Roman"/>
                      <w:color w:val="000000" w:themeColor="text1"/>
                      <w:kern w:val="0"/>
                      <w:szCs w:val="21"/>
                      <w:vertAlign w:val="baseline"/>
                      <w:lang w:val="en-US" w:eastAsia="zh-CN"/>
                      <w14:textFill>
                        <w14:solidFill>
                          <w14:schemeClr w14:val="tx1"/>
                        </w14:solidFill>
                      </w14:textFill>
                    </w:rPr>
                    <w:t>，为最大容器（吨桶）容积的1/10</w:t>
                  </w:r>
                  <w:r>
                    <w:rPr>
                      <w:rFonts w:hint="eastAsia" w:cs="Times New Roman"/>
                      <w:color w:val="000000" w:themeColor="text1"/>
                      <w:kern w:val="0"/>
                      <w:szCs w:val="21"/>
                      <w:highlight w:val="none"/>
                      <w:vertAlign w:val="baseline"/>
                      <w:lang w:val="en-US" w:eastAsia="zh-CN"/>
                      <w14:textFill>
                        <w14:solidFill>
                          <w14:schemeClr w14:val="tx1"/>
                        </w14:solidFill>
                      </w14:textFill>
                    </w:rPr>
                    <w:t>。废矿物油围堰容积108m</w:t>
                  </w:r>
                  <w:r>
                    <w:rPr>
                      <w:rFonts w:hint="eastAsia" w:cs="Times New Roman"/>
                      <w:color w:val="000000" w:themeColor="text1"/>
                      <w:kern w:val="0"/>
                      <w:szCs w:val="21"/>
                      <w:highlight w:val="none"/>
                      <w:vertAlign w:val="superscript"/>
                      <w:lang w:val="en-US" w:eastAsia="zh-CN"/>
                      <w14:textFill>
                        <w14:solidFill>
                          <w14:schemeClr w14:val="tx1"/>
                        </w14:solidFill>
                      </w14:textFill>
                    </w:rPr>
                    <w:t>3</w:t>
                  </w:r>
                  <w:r>
                    <w:rPr>
                      <w:rFonts w:hint="eastAsia" w:cs="Times New Roman"/>
                      <w:color w:val="000000" w:themeColor="text1"/>
                      <w:kern w:val="0"/>
                      <w:szCs w:val="21"/>
                      <w:highlight w:val="none"/>
                      <w:vertAlign w:val="baseline"/>
                      <w:lang w:val="en-US" w:eastAsia="zh-CN"/>
                      <w14:textFill>
                        <w14:solidFill>
                          <w14:schemeClr w14:val="tx1"/>
                        </w14:solidFill>
                      </w14:textFill>
                    </w:rPr>
                    <w:t>，</w:t>
                  </w:r>
                  <w:r>
                    <w:rPr>
                      <w:rFonts w:hint="eastAsia" w:cs="Times New Roman"/>
                      <w:color w:val="000000" w:themeColor="text1"/>
                      <w:kern w:val="0"/>
                      <w:szCs w:val="21"/>
                      <w:vertAlign w:val="baseline"/>
                      <w:lang w:val="en-US" w:eastAsia="zh-CN"/>
                      <w14:textFill>
                        <w14:solidFill>
                          <w14:schemeClr w14:val="tx1"/>
                        </w14:solidFill>
                      </w14:textFill>
                    </w:rPr>
                    <w:t>可收集全部废矿物油泄漏的量。同时要求贮存区域进行重点防渗、防腐，</w:t>
                  </w:r>
                  <w:r>
                    <w:rPr>
                      <w:rFonts w:hint="eastAsia" w:ascii="Times New Roman" w:hAnsi="Times New Roman" w:eastAsia="宋体" w:cs="Times New Roman"/>
                      <w:color w:val="000000" w:themeColor="text1"/>
                      <w:kern w:val="0"/>
                      <w:szCs w:val="21"/>
                      <w14:textFill>
                        <w14:solidFill>
                          <w14:schemeClr w14:val="tx1"/>
                        </w14:solidFill>
                      </w14:textFill>
                    </w:rPr>
                    <w:t>防止渗滤液污染环境。</w:t>
                  </w:r>
                </w:p>
              </w:tc>
              <w:tc>
                <w:tcPr>
                  <w:tcW w:w="743" w:type="dxa"/>
                  <w:shd w:val="clear" w:color="auto" w:fill="auto"/>
                  <w:vAlign w:val="center"/>
                </w:tcPr>
                <w:p w14:paraId="3B365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04DF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675" w:type="dxa"/>
                  <w:shd w:val="clear" w:color="auto" w:fill="auto"/>
                  <w:vAlign w:val="center"/>
                </w:tcPr>
                <w:p w14:paraId="01B6A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2</w:t>
                  </w:r>
                </w:p>
              </w:tc>
              <w:tc>
                <w:tcPr>
                  <w:tcW w:w="4048" w:type="dxa"/>
                  <w:shd w:val="clear" w:color="auto" w:fill="auto"/>
                  <w:vAlign w:val="center"/>
                </w:tcPr>
                <w:p w14:paraId="17BB6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贮存易产生粉尘、VOC、酸雾、有毒有害大气污染物和刺激性气味气体的危险废物贮存库，应设置气体收集装置和气体净化设施；气体净化设施的排气</w:t>
                  </w:r>
                  <w:r>
                    <w:rPr>
                      <w:rFonts w:hint="eastAsia" w:cs="Times New Roman"/>
                      <w:color w:val="000000" w:themeColor="text1"/>
                      <w:kern w:val="0"/>
                      <w:szCs w:val="21"/>
                      <w:lang w:eastAsia="zh-CN"/>
                      <w14:textFill>
                        <w14:solidFill>
                          <w14:schemeClr w14:val="tx1"/>
                        </w14:solidFill>
                      </w14:textFill>
                    </w:rPr>
                    <w:t>面</w:t>
                  </w:r>
                  <w:r>
                    <w:rPr>
                      <w:rFonts w:hint="eastAsia" w:ascii="Times New Roman" w:hAnsi="Times New Roman" w:eastAsia="宋体" w:cs="Times New Roman"/>
                      <w:color w:val="000000" w:themeColor="text1"/>
                      <w:kern w:val="0"/>
                      <w:szCs w:val="21"/>
                      <w14:textFill>
                        <w14:solidFill>
                          <w14:schemeClr w14:val="tx1"/>
                        </w14:solidFill>
                      </w14:textFill>
                    </w:rPr>
                    <w:t>高度应符合GB16297 要求</w:t>
                  </w:r>
                </w:p>
              </w:tc>
              <w:tc>
                <w:tcPr>
                  <w:tcW w:w="2821" w:type="dxa"/>
                  <w:shd w:val="clear" w:color="auto" w:fill="auto"/>
                  <w:vAlign w:val="center"/>
                </w:tcPr>
                <w:p w14:paraId="69658A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项目储罐呼吸废气经收集后由活性炭吸附装置处理，经处理后由1根15m高排气筒排放。其余危险废物通过采取密闭措施、增加转移频次，可减少污染物排放。</w:t>
                  </w:r>
                </w:p>
              </w:tc>
              <w:tc>
                <w:tcPr>
                  <w:tcW w:w="743" w:type="dxa"/>
                  <w:shd w:val="clear" w:color="auto" w:fill="auto"/>
                  <w:vAlign w:val="center"/>
                </w:tcPr>
                <w:p w14:paraId="25C7CB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FFB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4F1CD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3</w:t>
                  </w:r>
                </w:p>
              </w:tc>
              <w:tc>
                <w:tcPr>
                  <w:tcW w:w="4048" w:type="dxa"/>
                  <w:shd w:val="clear" w:color="auto" w:fill="auto"/>
                  <w:vAlign w:val="center"/>
                </w:tcPr>
                <w:p w14:paraId="5B1F2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贮存场应设置径流疏导系统，保证能防止当地重现期不小于25年的暴雨流入贮存区域，并采取措施防止雨水冲淋危险废物，避免增加渗滤液量。</w:t>
                  </w:r>
                </w:p>
              </w:tc>
              <w:tc>
                <w:tcPr>
                  <w:tcW w:w="2821" w:type="dxa"/>
                  <w:shd w:val="clear" w:color="auto" w:fill="auto"/>
                  <w:vAlign w:val="center"/>
                </w:tcPr>
                <w:p w14:paraId="06E243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项目设置径流疏导系统，防止暴雨流入储存区。</w:t>
                  </w:r>
                </w:p>
              </w:tc>
              <w:tc>
                <w:tcPr>
                  <w:tcW w:w="743" w:type="dxa"/>
                  <w:shd w:val="clear" w:color="auto" w:fill="auto"/>
                  <w:vAlign w:val="center"/>
                </w:tcPr>
                <w:p w14:paraId="7E8C06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01E5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92A7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4</w:t>
                  </w:r>
                </w:p>
              </w:tc>
              <w:tc>
                <w:tcPr>
                  <w:tcW w:w="4048" w:type="dxa"/>
                  <w:shd w:val="clear" w:color="auto" w:fill="auto"/>
                  <w:vAlign w:val="center"/>
                </w:tcPr>
                <w:p w14:paraId="7EDB9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贮存场可整体或分区设计液体导流和收集设施，收集设施容积应保证在最不利条件下可以容纳对应贮存区域产生的渗滤液、废水等液态物质。</w:t>
                  </w:r>
                </w:p>
              </w:tc>
              <w:tc>
                <w:tcPr>
                  <w:tcW w:w="2821" w:type="dxa"/>
                  <w:shd w:val="clear" w:color="auto" w:fill="auto"/>
                  <w:vAlign w:val="center"/>
                </w:tcPr>
                <w:p w14:paraId="602613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项目针对废酸、废碱、有机液体区域拟采取收集沟及渗滤液收集池以防止渗滤液污染环境。</w:t>
                  </w:r>
                </w:p>
              </w:tc>
              <w:tc>
                <w:tcPr>
                  <w:tcW w:w="743" w:type="dxa"/>
                  <w:shd w:val="clear" w:color="auto" w:fill="auto"/>
                  <w:vAlign w:val="center"/>
                </w:tcPr>
                <w:p w14:paraId="1134F4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DBE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AFBB9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5</w:t>
                  </w:r>
                </w:p>
              </w:tc>
              <w:tc>
                <w:tcPr>
                  <w:tcW w:w="4048" w:type="dxa"/>
                  <w:shd w:val="clear" w:color="auto" w:fill="auto"/>
                  <w:vAlign w:val="center"/>
                </w:tcPr>
                <w:p w14:paraId="625312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贮存场应采取防止危险废物扬散、流失的措施。</w:t>
                  </w:r>
                </w:p>
              </w:tc>
              <w:tc>
                <w:tcPr>
                  <w:tcW w:w="2821" w:type="dxa"/>
                  <w:shd w:val="clear" w:color="auto" w:fill="auto"/>
                  <w:vAlign w:val="center"/>
                </w:tcPr>
                <w:p w14:paraId="7E288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项目拟采取防渗、导流、渗滤液收集等措施防治</w:t>
                  </w:r>
                  <w:r>
                    <w:rPr>
                      <w:rFonts w:hint="eastAsia" w:cs="Times New Roman"/>
                      <w:color w:val="000000" w:themeColor="text1"/>
                      <w:kern w:val="0"/>
                      <w:szCs w:val="21"/>
                      <w:lang w:eastAsia="zh-CN"/>
                      <w14:textFill>
                        <w14:solidFill>
                          <w14:schemeClr w14:val="tx1"/>
                        </w14:solidFill>
                      </w14:textFill>
                    </w:rPr>
                    <w:t>危险废物</w:t>
                  </w:r>
                  <w:r>
                    <w:rPr>
                      <w:rFonts w:hint="eastAsia" w:ascii="Times New Roman" w:hAnsi="Times New Roman" w:eastAsia="宋体" w:cs="Times New Roman"/>
                      <w:color w:val="000000" w:themeColor="text1"/>
                      <w:kern w:val="0"/>
                      <w:szCs w:val="21"/>
                      <w14:textFill>
                        <w14:solidFill>
                          <w14:schemeClr w14:val="tx1"/>
                        </w14:solidFill>
                      </w14:textFill>
                    </w:rPr>
                    <w:t>扬散、流失。</w:t>
                  </w:r>
                </w:p>
              </w:tc>
              <w:tc>
                <w:tcPr>
                  <w:tcW w:w="743" w:type="dxa"/>
                  <w:shd w:val="clear" w:color="auto" w:fill="auto"/>
                  <w:vAlign w:val="center"/>
                </w:tcPr>
                <w:p w14:paraId="2BF29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3104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715B99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26</w:t>
                  </w:r>
                </w:p>
              </w:tc>
              <w:tc>
                <w:tcPr>
                  <w:tcW w:w="4048" w:type="dxa"/>
                  <w:shd w:val="clear" w:color="auto" w:fill="auto"/>
                  <w:vAlign w:val="center"/>
                </w:tcPr>
                <w:p w14:paraId="408AD1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贮存罐区罐体应设置在围堰内，围堰的防渗、防腐性能应满足6.1.4、6.1.5的要求。</w:t>
                  </w:r>
                </w:p>
              </w:tc>
              <w:tc>
                <w:tcPr>
                  <w:tcW w:w="2821" w:type="dxa"/>
                  <w:shd w:val="clear" w:color="auto" w:fill="auto"/>
                  <w:vAlign w:val="center"/>
                </w:tcPr>
                <w:p w14:paraId="7BE007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项目贮存罐区罐体设置在围堰内，围堰的防渗、防腐性能应满足6.1.4、6.1.5的要求。</w:t>
                  </w:r>
                </w:p>
              </w:tc>
              <w:tc>
                <w:tcPr>
                  <w:tcW w:w="743" w:type="dxa"/>
                  <w:shd w:val="clear" w:color="auto" w:fill="auto"/>
                  <w:vAlign w:val="center"/>
                </w:tcPr>
                <w:p w14:paraId="77458C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1771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5617F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27</w:t>
                  </w:r>
                </w:p>
              </w:tc>
              <w:tc>
                <w:tcPr>
                  <w:tcW w:w="4048" w:type="dxa"/>
                  <w:shd w:val="clear" w:color="auto" w:fill="auto"/>
                  <w:vAlign w:val="center"/>
                </w:tcPr>
                <w:p w14:paraId="1F0FE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贮存罐区围堰容积应至少满足其内部最大贮存罐发生意外泄漏时所需要的危险废物收集容积要求。</w:t>
                  </w:r>
                </w:p>
              </w:tc>
              <w:tc>
                <w:tcPr>
                  <w:tcW w:w="2821" w:type="dxa"/>
                  <w:shd w:val="clear" w:color="auto" w:fill="auto"/>
                  <w:vAlign w:val="center"/>
                </w:tcPr>
                <w:p w14:paraId="455208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项目贮存罐区为废矿物油贮存罐，罐区设置了同等规模的应急罐，并设置围堰及应急池，作为贮存罐泄漏时的收集措施。</w:t>
                  </w:r>
                </w:p>
              </w:tc>
              <w:tc>
                <w:tcPr>
                  <w:tcW w:w="743" w:type="dxa"/>
                  <w:shd w:val="clear" w:color="auto" w:fill="auto"/>
                  <w:vAlign w:val="center"/>
                </w:tcPr>
                <w:p w14:paraId="53190D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35DA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0CD93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28</w:t>
                  </w:r>
                </w:p>
              </w:tc>
              <w:tc>
                <w:tcPr>
                  <w:tcW w:w="4048" w:type="dxa"/>
                  <w:shd w:val="clear" w:color="auto" w:fill="auto"/>
                  <w:vAlign w:val="center"/>
                </w:tcPr>
                <w:p w14:paraId="056A29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w:t>
                  </w:r>
                  <w:r>
                    <w:rPr>
                      <w:rFonts w:hint="eastAsia" w:cs="Times New Roman"/>
                      <w:color w:val="000000" w:themeColor="text1"/>
                      <w:kern w:val="0"/>
                      <w:szCs w:val="21"/>
                      <w:lang w:eastAsia="zh-CN"/>
                      <w14:textFill>
                        <w14:solidFill>
                          <w14:schemeClr w14:val="tx1"/>
                        </w14:solidFill>
                      </w14:textFill>
                    </w:rPr>
                    <w:t>灌区</w:t>
                  </w:r>
                  <w:r>
                    <w:rPr>
                      <w:rFonts w:hint="eastAsia" w:ascii="Times New Roman" w:hAnsi="Times New Roman" w:eastAsia="宋体" w:cs="Times New Roman"/>
                      <w:color w:val="000000" w:themeColor="text1"/>
                      <w:kern w:val="0"/>
                      <w:szCs w:val="21"/>
                      <w14:textFill>
                        <w14:solidFill>
                          <w14:schemeClr w14:val="tx1"/>
                        </w14:solidFill>
                      </w14:textFill>
                    </w:rPr>
                    <w:t>围堰内收集的废液、废水和初期雨水应及时处理，不应直接排放。</w:t>
                  </w:r>
                </w:p>
              </w:tc>
              <w:tc>
                <w:tcPr>
                  <w:tcW w:w="2821" w:type="dxa"/>
                  <w:shd w:val="clear" w:color="auto" w:fill="auto"/>
                  <w:vAlign w:val="center"/>
                </w:tcPr>
                <w:p w14:paraId="59BED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罐区为室内设施，无雨水产生。</w:t>
                  </w:r>
                </w:p>
              </w:tc>
              <w:tc>
                <w:tcPr>
                  <w:tcW w:w="743" w:type="dxa"/>
                  <w:shd w:val="clear" w:color="auto" w:fill="auto"/>
                  <w:vAlign w:val="center"/>
                </w:tcPr>
                <w:p w14:paraId="49FFDC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3783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2D8AF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29</w:t>
                  </w:r>
                </w:p>
              </w:tc>
              <w:tc>
                <w:tcPr>
                  <w:tcW w:w="4048" w:type="dxa"/>
                  <w:shd w:val="clear" w:color="auto" w:fill="auto"/>
                  <w:vAlign w:val="center"/>
                </w:tcPr>
                <w:p w14:paraId="34E9E7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容器和包装物材质、内衬应与盛装的危险废物相容。</w:t>
                  </w:r>
                </w:p>
              </w:tc>
              <w:tc>
                <w:tcPr>
                  <w:tcW w:w="2821" w:type="dxa"/>
                  <w:shd w:val="clear" w:color="auto" w:fill="auto"/>
                  <w:vAlign w:val="center"/>
                </w:tcPr>
                <w:p w14:paraId="56E050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选择容器和包装物材质、内衬与盛装的危险废物相容。</w:t>
                  </w:r>
                </w:p>
              </w:tc>
              <w:tc>
                <w:tcPr>
                  <w:tcW w:w="743" w:type="dxa"/>
                  <w:shd w:val="clear" w:color="auto" w:fill="auto"/>
                  <w:vAlign w:val="center"/>
                </w:tcPr>
                <w:p w14:paraId="2A3CD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252F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70C70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30</w:t>
                  </w:r>
                </w:p>
              </w:tc>
              <w:tc>
                <w:tcPr>
                  <w:tcW w:w="4048" w:type="dxa"/>
                  <w:shd w:val="clear" w:color="auto" w:fill="auto"/>
                  <w:vAlign w:val="center"/>
                </w:tcPr>
                <w:p w14:paraId="3E910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针对不同类别、形态、物理化学性质的危险废物，其容器和包装物应满足相应的防渗、防漏、防腐和强度等要求。</w:t>
                  </w:r>
                </w:p>
              </w:tc>
              <w:tc>
                <w:tcPr>
                  <w:tcW w:w="2821" w:type="dxa"/>
                  <w:shd w:val="clear" w:color="auto" w:fill="auto"/>
                  <w:vAlign w:val="center"/>
                </w:tcPr>
                <w:p w14:paraId="54920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项目针对不同类别污染物划分不同储存区，采取相应的防渗、防腐措施。</w:t>
                  </w:r>
                </w:p>
              </w:tc>
              <w:tc>
                <w:tcPr>
                  <w:tcW w:w="743" w:type="dxa"/>
                  <w:shd w:val="clear" w:color="auto" w:fill="auto"/>
                  <w:vAlign w:val="center"/>
                </w:tcPr>
                <w:p w14:paraId="009410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19DB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6E45C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31</w:t>
                  </w:r>
                </w:p>
              </w:tc>
              <w:tc>
                <w:tcPr>
                  <w:tcW w:w="4048" w:type="dxa"/>
                  <w:shd w:val="clear" w:color="auto" w:fill="auto"/>
                  <w:vAlign w:val="center"/>
                </w:tcPr>
                <w:p w14:paraId="260DC8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硬质容器和包装物及其支护结构堆叠码放时不应有明显变形，无破损泄漏。柔性容器和包装物堆叠码放时应封口严密，无破损泄漏。</w:t>
                  </w:r>
                </w:p>
              </w:tc>
              <w:tc>
                <w:tcPr>
                  <w:tcW w:w="2821" w:type="dxa"/>
                  <w:shd w:val="clear" w:color="auto" w:fill="auto"/>
                  <w:vAlign w:val="center"/>
                </w:tcPr>
                <w:p w14:paraId="3EBB6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合理选择硬质容器和包装物，柔性容器和包装物堆叠码放时封口严密，无破损泄漏。</w:t>
                  </w:r>
                </w:p>
              </w:tc>
              <w:tc>
                <w:tcPr>
                  <w:tcW w:w="743" w:type="dxa"/>
                  <w:shd w:val="clear" w:color="auto" w:fill="auto"/>
                  <w:vAlign w:val="center"/>
                </w:tcPr>
                <w:p w14:paraId="07D4EA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123B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55CA9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w:t>
                  </w:r>
                  <w:r>
                    <w:rPr>
                      <w:rFonts w:hint="eastAsia" w:cs="Times New Roman"/>
                      <w:color w:val="000000" w:themeColor="text1"/>
                      <w:kern w:val="0"/>
                      <w:szCs w:val="21"/>
                      <w:lang w:val="en-US" w:eastAsia="zh-CN"/>
                      <w14:textFill>
                        <w14:solidFill>
                          <w14:schemeClr w14:val="tx1"/>
                        </w14:solidFill>
                      </w14:textFill>
                    </w:rPr>
                    <w:t>2</w:t>
                  </w:r>
                </w:p>
              </w:tc>
              <w:tc>
                <w:tcPr>
                  <w:tcW w:w="4048" w:type="dxa"/>
                  <w:shd w:val="clear" w:color="auto" w:fill="auto"/>
                  <w:vAlign w:val="center"/>
                </w:tcPr>
                <w:p w14:paraId="3663C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使用容器盛装液态、半固态危险废物时，容器内部应留有适当的空间，以适应因温度变化等可能引发的收缩和膨胀，防止其导致容器渗漏或永久变形。</w:t>
                  </w:r>
                </w:p>
              </w:tc>
              <w:tc>
                <w:tcPr>
                  <w:tcW w:w="2821" w:type="dxa"/>
                  <w:shd w:val="clear" w:color="auto" w:fill="auto"/>
                  <w:vAlign w:val="center"/>
                </w:tcPr>
                <w:p w14:paraId="31570F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项目使用容器盛装液态、半固态危险废物时，应确保容器内部应留有适当的空间。</w:t>
                  </w:r>
                </w:p>
              </w:tc>
              <w:tc>
                <w:tcPr>
                  <w:tcW w:w="743" w:type="dxa"/>
                  <w:shd w:val="clear" w:color="auto" w:fill="auto"/>
                  <w:vAlign w:val="center"/>
                </w:tcPr>
                <w:p w14:paraId="1DEF02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5F4B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093AA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w:t>
                  </w:r>
                  <w:r>
                    <w:rPr>
                      <w:rFonts w:hint="eastAsia" w:cs="Times New Roman"/>
                      <w:color w:val="000000" w:themeColor="text1"/>
                      <w:kern w:val="0"/>
                      <w:szCs w:val="21"/>
                      <w:lang w:val="en-US" w:eastAsia="zh-CN"/>
                      <w14:textFill>
                        <w14:solidFill>
                          <w14:schemeClr w14:val="tx1"/>
                        </w14:solidFill>
                      </w14:textFill>
                    </w:rPr>
                    <w:t>3</w:t>
                  </w:r>
                </w:p>
              </w:tc>
              <w:tc>
                <w:tcPr>
                  <w:tcW w:w="4048" w:type="dxa"/>
                  <w:shd w:val="clear" w:color="auto" w:fill="auto"/>
                  <w:vAlign w:val="center"/>
                </w:tcPr>
                <w:p w14:paraId="7D6E36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容器和包装物外表面应保持清洁。</w:t>
                  </w:r>
                </w:p>
              </w:tc>
              <w:tc>
                <w:tcPr>
                  <w:tcW w:w="2821" w:type="dxa"/>
                  <w:shd w:val="clear" w:color="auto" w:fill="auto"/>
                  <w:vAlign w:val="center"/>
                </w:tcPr>
                <w:p w14:paraId="021E0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项目运行过程中应保持容器和包装物外表面清洁。</w:t>
                  </w:r>
                </w:p>
              </w:tc>
              <w:tc>
                <w:tcPr>
                  <w:tcW w:w="743" w:type="dxa"/>
                  <w:shd w:val="clear" w:color="auto" w:fill="auto"/>
                  <w:vAlign w:val="center"/>
                </w:tcPr>
                <w:p w14:paraId="70B9C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603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45847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w:t>
                  </w:r>
                  <w:r>
                    <w:rPr>
                      <w:rFonts w:hint="eastAsia" w:cs="Times New Roman"/>
                      <w:color w:val="000000" w:themeColor="text1"/>
                      <w:kern w:val="0"/>
                      <w:szCs w:val="21"/>
                      <w:lang w:val="en-US" w:eastAsia="zh-CN"/>
                      <w14:textFill>
                        <w14:solidFill>
                          <w14:schemeClr w14:val="tx1"/>
                        </w14:solidFill>
                      </w14:textFill>
                    </w:rPr>
                    <w:t>4</w:t>
                  </w:r>
                </w:p>
              </w:tc>
              <w:tc>
                <w:tcPr>
                  <w:tcW w:w="4048" w:type="dxa"/>
                  <w:shd w:val="clear" w:color="auto" w:fill="auto"/>
                  <w:vAlign w:val="center"/>
                </w:tcPr>
                <w:p w14:paraId="407793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在常温常压下不易水解、不易挥发的固态危险废物可分类堆放贮存，其他固态危险废物应装入容器或包装物内贮存。</w:t>
                  </w:r>
                </w:p>
              </w:tc>
              <w:tc>
                <w:tcPr>
                  <w:tcW w:w="2821" w:type="dxa"/>
                  <w:vMerge w:val="restart"/>
                  <w:shd w:val="clear" w:color="auto" w:fill="auto"/>
                  <w:vAlign w:val="center"/>
                </w:tcPr>
                <w:p w14:paraId="46160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项目已合理划分各类</w:t>
                  </w:r>
                  <w:r>
                    <w:rPr>
                      <w:rFonts w:hint="eastAsia" w:cs="Times New Roman"/>
                      <w:color w:val="000000" w:themeColor="text1"/>
                      <w:kern w:val="0"/>
                      <w:szCs w:val="21"/>
                      <w:lang w:eastAsia="zh-CN"/>
                      <w14:textFill>
                        <w14:solidFill>
                          <w14:schemeClr w14:val="tx1"/>
                        </w14:solidFill>
                      </w14:textFill>
                    </w:rPr>
                    <w:t>危险废物</w:t>
                  </w:r>
                  <w:r>
                    <w:rPr>
                      <w:rFonts w:hint="eastAsia" w:ascii="Times New Roman" w:hAnsi="Times New Roman" w:eastAsia="宋体" w:cs="Times New Roman"/>
                      <w:color w:val="000000" w:themeColor="text1"/>
                      <w:kern w:val="0"/>
                      <w:szCs w:val="21"/>
                      <w14:textFill>
                        <w14:solidFill>
                          <w14:schemeClr w14:val="tx1"/>
                        </w14:solidFill>
                      </w14:textFill>
                    </w:rPr>
                    <w:t>暂存区，并采取适当的包装、盛装方式</w:t>
                  </w:r>
                </w:p>
              </w:tc>
              <w:tc>
                <w:tcPr>
                  <w:tcW w:w="743" w:type="dxa"/>
                  <w:shd w:val="clear" w:color="auto" w:fill="auto"/>
                  <w:vAlign w:val="center"/>
                </w:tcPr>
                <w:p w14:paraId="31E190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B15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6147E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w:t>
                  </w:r>
                  <w:r>
                    <w:rPr>
                      <w:rFonts w:hint="eastAsia" w:cs="Times New Roman"/>
                      <w:color w:val="000000" w:themeColor="text1"/>
                      <w:kern w:val="0"/>
                      <w:szCs w:val="21"/>
                      <w:lang w:val="en-US" w:eastAsia="zh-CN"/>
                      <w14:textFill>
                        <w14:solidFill>
                          <w14:schemeClr w14:val="tx1"/>
                        </w14:solidFill>
                      </w14:textFill>
                    </w:rPr>
                    <w:t>5</w:t>
                  </w:r>
                </w:p>
              </w:tc>
              <w:tc>
                <w:tcPr>
                  <w:tcW w:w="4048" w:type="dxa"/>
                  <w:shd w:val="clear" w:color="auto" w:fill="auto"/>
                  <w:vAlign w:val="center"/>
                </w:tcPr>
                <w:p w14:paraId="03003E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液态危险废物应装入容器内贮存，或直接采用贮存池、贮存罐区贮存</w:t>
                  </w:r>
                </w:p>
              </w:tc>
              <w:tc>
                <w:tcPr>
                  <w:tcW w:w="2821" w:type="dxa"/>
                  <w:vMerge w:val="continue"/>
                  <w:shd w:val="clear" w:color="auto" w:fill="auto"/>
                  <w:vAlign w:val="center"/>
                </w:tcPr>
                <w:p w14:paraId="63BF06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p>
              </w:tc>
              <w:tc>
                <w:tcPr>
                  <w:tcW w:w="743" w:type="dxa"/>
                  <w:shd w:val="clear" w:color="auto" w:fill="auto"/>
                  <w:vAlign w:val="center"/>
                </w:tcPr>
                <w:p w14:paraId="7ED09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726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526446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36</w:t>
                  </w:r>
                </w:p>
              </w:tc>
              <w:tc>
                <w:tcPr>
                  <w:tcW w:w="4048" w:type="dxa"/>
                  <w:shd w:val="clear" w:color="auto" w:fill="auto"/>
                  <w:vAlign w:val="center"/>
                </w:tcPr>
                <w:p w14:paraId="33C49E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半固态危险废物应装入容器或包装袋内贮存，或直接采用贮存池贮存</w:t>
                  </w:r>
                </w:p>
              </w:tc>
              <w:tc>
                <w:tcPr>
                  <w:tcW w:w="2821" w:type="dxa"/>
                  <w:vMerge w:val="continue"/>
                  <w:shd w:val="clear" w:color="auto" w:fill="auto"/>
                  <w:vAlign w:val="center"/>
                </w:tcPr>
                <w:p w14:paraId="35EA4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p>
              </w:tc>
              <w:tc>
                <w:tcPr>
                  <w:tcW w:w="743" w:type="dxa"/>
                  <w:shd w:val="clear" w:color="auto" w:fill="auto"/>
                  <w:vAlign w:val="center"/>
                </w:tcPr>
                <w:p w14:paraId="6234E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740E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61E24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37</w:t>
                  </w:r>
                </w:p>
              </w:tc>
              <w:tc>
                <w:tcPr>
                  <w:tcW w:w="4048" w:type="dxa"/>
                  <w:shd w:val="clear" w:color="auto" w:fill="auto"/>
                  <w:vAlign w:val="center"/>
                </w:tcPr>
                <w:p w14:paraId="1DF93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具有热塑性的危险废物应装入容器或包装袋内进行贮存。</w:t>
                  </w:r>
                </w:p>
              </w:tc>
              <w:tc>
                <w:tcPr>
                  <w:tcW w:w="2821" w:type="dxa"/>
                  <w:vMerge w:val="continue"/>
                  <w:shd w:val="clear" w:color="auto" w:fill="auto"/>
                  <w:vAlign w:val="center"/>
                </w:tcPr>
                <w:p w14:paraId="7B1AA3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p>
              </w:tc>
              <w:tc>
                <w:tcPr>
                  <w:tcW w:w="743" w:type="dxa"/>
                  <w:shd w:val="clear" w:color="auto" w:fill="auto"/>
                  <w:vAlign w:val="center"/>
                </w:tcPr>
                <w:p w14:paraId="006B86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4CC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4CBA80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38</w:t>
                  </w:r>
                </w:p>
              </w:tc>
              <w:tc>
                <w:tcPr>
                  <w:tcW w:w="4048" w:type="dxa"/>
                  <w:shd w:val="clear" w:color="auto" w:fill="auto"/>
                  <w:vAlign w:val="center"/>
                </w:tcPr>
                <w:p w14:paraId="0FF72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易产生粉尘、VOCS、酸雾、有毒有害大气污染物和刺激性气味气体的危险废物应装入闭口容器或包装物内贮存。</w:t>
                  </w:r>
                </w:p>
              </w:tc>
              <w:tc>
                <w:tcPr>
                  <w:tcW w:w="2821" w:type="dxa"/>
                  <w:vMerge w:val="continue"/>
                  <w:shd w:val="clear" w:color="auto" w:fill="auto"/>
                  <w:vAlign w:val="center"/>
                </w:tcPr>
                <w:p w14:paraId="5F4EF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p>
              </w:tc>
              <w:tc>
                <w:tcPr>
                  <w:tcW w:w="743" w:type="dxa"/>
                  <w:shd w:val="clear" w:color="auto" w:fill="auto"/>
                  <w:vAlign w:val="center"/>
                </w:tcPr>
                <w:p w14:paraId="5E607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5969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7D2DD3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39</w:t>
                  </w:r>
                </w:p>
              </w:tc>
              <w:tc>
                <w:tcPr>
                  <w:tcW w:w="4048" w:type="dxa"/>
                  <w:shd w:val="clear" w:color="auto" w:fill="auto"/>
                  <w:vAlign w:val="center"/>
                </w:tcPr>
                <w:p w14:paraId="670C3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危险废物贮存过程中易产生粉尘等无组织排放的，应采取抑尘等有效措施。</w:t>
                  </w:r>
                </w:p>
              </w:tc>
              <w:tc>
                <w:tcPr>
                  <w:tcW w:w="2821" w:type="dxa"/>
                  <w:shd w:val="clear" w:color="auto" w:fill="auto"/>
                  <w:vAlign w:val="center"/>
                </w:tcPr>
                <w:p w14:paraId="69E89D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项目入厂</w:t>
                  </w:r>
                  <w:r>
                    <w:rPr>
                      <w:rFonts w:hint="eastAsia" w:cs="Times New Roman"/>
                      <w:color w:val="000000" w:themeColor="text1"/>
                      <w:kern w:val="0"/>
                      <w:szCs w:val="21"/>
                      <w:lang w:eastAsia="zh-CN"/>
                      <w14:textFill>
                        <w14:solidFill>
                          <w14:schemeClr w14:val="tx1"/>
                        </w14:solidFill>
                      </w14:textFill>
                    </w:rPr>
                    <w:t>危险废物</w:t>
                  </w:r>
                  <w:r>
                    <w:rPr>
                      <w:rFonts w:hint="eastAsia" w:ascii="Times New Roman" w:hAnsi="Times New Roman" w:eastAsia="宋体" w:cs="Times New Roman"/>
                      <w:color w:val="000000" w:themeColor="text1"/>
                      <w:kern w:val="0"/>
                      <w:szCs w:val="21"/>
                      <w14:textFill>
                        <w14:solidFill>
                          <w14:schemeClr w14:val="tx1"/>
                        </w14:solidFill>
                      </w14:textFill>
                    </w:rPr>
                    <w:t>不拆包，无粉尘产生。</w:t>
                  </w:r>
                </w:p>
              </w:tc>
              <w:tc>
                <w:tcPr>
                  <w:tcW w:w="743" w:type="dxa"/>
                  <w:shd w:val="clear" w:color="auto" w:fill="auto"/>
                  <w:vAlign w:val="center"/>
                </w:tcPr>
                <w:p w14:paraId="1B345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706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6F6B74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w:t>
                  </w:r>
                  <w:r>
                    <w:rPr>
                      <w:rFonts w:hint="eastAsia" w:cs="Times New Roman"/>
                      <w:color w:val="000000" w:themeColor="text1"/>
                      <w:kern w:val="0"/>
                      <w:szCs w:val="21"/>
                      <w:lang w:val="en-US" w:eastAsia="zh-CN"/>
                      <w14:textFill>
                        <w14:solidFill>
                          <w14:schemeClr w14:val="tx1"/>
                        </w14:solidFill>
                      </w14:textFill>
                    </w:rPr>
                    <w:t>0</w:t>
                  </w:r>
                </w:p>
              </w:tc>
              <w:tc>
                <w:tcPr>
                  <w:tcW w:w="4048" w:type="dxa"/>
                  <w:shd w:val="clear" w:color="auto" w:fill="auto"/>
                  <w:vAlign w:val="center"/>
                </w:tcPr>
                <w:p w14:paraId="09B46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危险废物存入贮存设施前应对危险废物类别和特性与危险废物标签等危险废物识别标志的一致性进行核验，不一致的或类别、特性不明的不应存入。</w:t>
                  </w:r>
                </w:p>
              </w:tc>
              <w:tc>
                <w:tcPr>
                  <w:tcW w:w="2821" w:type="dxa"/>
                  <w:shd w:val="clear" w:color="auto" w:fill="auto"/>
                  <w:vAlign w:val="center"/>
                </w:tcPr>
                <w:p w14:paraId="6CDC4F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危险废物存入贮存设施前要求对危险废物类别和特性与危险废物标签等危险废物识别标志的一致性进行核验，不一致的或类别、特性不明的不应存入。</w:t>
                  </w:r>
                </w:p>
              </w:tc>
              <w:tc>
                <w:tcPr>
                  <w:tcW w:w="743" w:type="dxa"/>
                  <w:shd w:val="clear" w:color="auto" w:fill="auto"/>
                  <w:vAlign w:val="center"/>
                </w:tcPr>
                <w:p w14:paraId="3FC6ED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50D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E169C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w:t>
                  </w:r>
                  <w:r>
                    <w:rPr>
                      <w:rFonts w:hint="eastAsia" w:cs="Times New Roman"/>
                      <w:color w:val="000000" w:themeColor="text1"/>
                      <w:kern w:val="0"/>
                      <w:szCs w:val="21"/>
                      <w:lang w:val="en-US" w:eastAsia="zh-CN"/>
                      <w14:textFill>
                        <w14:solidFill>
                          <w14:schemeClr w14:val="tx1"/>
                        </w14:solidFill>
                      </w14:textFill>
                    </w:rPr>
                    <w:t>1</w:t>
                  </w:r>
                </w:p>
              </w:tc>
              <w:tc>
                <w:tcPr>
                  <w:tcW w:w="4048" w:type="dxa"/>
                  <w:shd w:val="clear" w:color="auto" w:fill="auto"/>
                  <w:vAlign w:val="center"/>
                </w:tcPr>
                <w:p w14:paraId="7E59E4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p>
              </w:tc>
              <w:tc>
                <w:tcPr>
                  <w:tcW w:w="2821" w:type="dxa"/>
                  <w:shd w:val="clear" w:color="auto" w:fill="auto"/>
                  <w:vAlign w:val="center"/>
                </w:tcPr>
                <w:p w14:paraId="4D2E06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要求建设单位定期检查危险废物的贮存状况，及时清理贮存设施地面，更换破损泄漏的危险废物贮存容器和包装物，保证堆存危险废物的防雨、防风、防扬尘等设施功能完好。</w:t>
                  </w:r>
                </w:p>
              </w:tc>
              <w:tc>
                <w:tcPr>
                  <w:tcW w:w="743" w:type="dxa"/>
                  <w:shd w:val="clear" w:color="auto" w:fill="auto"/>
                  <w:vAlign w:val="center"/>
                </w:tcPr>
                <w:p w14:paraId="7064C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E05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086267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w:t>
                  </w:r>
                  <w:r>
                    <w:rPr>
                      <w:rFonts w:hint="eastAsia" w:cs="Times New Roman"/>
                      <w:color w:val="000000" w:themeColor="text1"/>
                      <w:kern w:val="0"/>
                      <w:szCs w:val="21"/>
                      <w:lang w:val="en-US" w:eastAsia="zh-CN"/>
                      <w14:textFill>
                        <w14:solidFill>
                          <w14:schemeClr w14:val="tx1"/>
                        </w14:solidFill>
                      </w14:textFill>
                    </w:rPr>
                    <w:t>2</w:t>
                  </w:r>
                </w:p>
              </w:tc>
              <w:tc>
                <w:tcPr>
                  <w:tcW w:w="4048" w:type="dxa"/>
                  <w:shd w:val="clear" w:color="auto" w:fill="auto"/>
                  <w:vAlign w:val="center"/>
                </w:tcPr>
                <w:p w14:paraId="37E7FF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作业设备及车辆等结束作业离开贮存设施时，应对其残留的危险废物进行清理，清理的废物或清洗废水应收集处理。</w:t>
                  </w:r>
                </w:p>
              </w:tc>
              <w:tc>
                <w:tcPr>
                  <w:tcW w:w="2821" w:type="dxa"/>
                  <w:shd w:val="clear" w:color="auto" w:fill="auto"/>
                  <w:vAlign w:val="center"/>
                </w:tcPr>
                <w:p w14:paraId="0CCD97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作业设备及车辆等结束作业离开贮存设施时，建设单位应进行清理。</w:t>
                  </w:r>
                </w:p>
              </w:tc>
              <w:tc>
                <w:tcPr>
                  <w:tcW w:w="743" w:type="dxa"/>
                  <w:shd w:val="clear" w:color="auto" w:fill="auto"/>
                  <w:vAlign w:val="center"/>
                </w:tcPr>
                <w:p w14:paraId="342375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77D0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53CF18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w:t>
                  </w:r>
                  <w:r>
                    <w:rPr>
                      <w:rFonts w:hint="eastAsia" w:cs="Times New Roman"/>
                      <w:color w:val="000000" w:themeColor="text1"/>
                      <w:kern w:val="0"/>
                      <w:szCs w:val="21"/>
                      <w:lang w:val="en-US" w:eastAsia="zh-CN"/>
                      <w14:textFill>
                        <w14:solidFill>
                          <w14:schemeClr w14:val="tx1"/>
                        </w14:solidFill>
                      </w14:textFill>
                    </w:rPr>
                    <w:t>3</w:t>
                  </w:r>
                </w:p>
              </w:tc>
              <w:tc>
                <w:tcPr>
                  <w:tcW w:w="4048" w:type="dxa"/>
                  <w:shd w:val="clear" w:color="auto" w:fill="auto"/>
                  <w:vAlign w:val="center"/>
                </w:tcPr>
                <w:p w14:paraId="4273AA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贮存设施运行期间，应按国家有关标准和规定建立危险废物管理台账并保存。</w:t>
                  </w:r>
                </w:p>
              </w:tc>
              <w:tc>
                <w:tcPr>
                  <w:tcW w:w="2821" w:type="dxa"/>
                  <w:shd w:val="clear" w:color="auto" w:fill="auto"/>
                  <w:vAlign w:val="center"/>
                </w:tcPr>
                <w:p w14:paraId="62495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贮存设施运行期间，要求建设单位建立危险废物管理台账并保存。</w:t>
                  </w:r>
                </w:p>
              </w:tc>
              <w:tc>
                <w:tcPr>
                  <w:tcW w:w="743" w:type="dxa"/>
                  <w:shd w:val="clear" w:color="auto" w:fill="auto"/>
                  <w:vAlign w:val="center"/>
                </w:tcPr>
                <w:p w14:paraId="3E8488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15A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48B469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w:t>
                  </w:r>
                  <w:r>
                    <w:rPr>
                      <w:rFonts w:hint="eastAsia" w:cs="Times New Roman"/>
                      <w:color w:val="000000" w:themeColor="text1"/>
                      <w:kern w:val="0"/>
                      <w:szCs w:val="21"/>
                      <w:lang w:val="en-US" w:eastAsia="zh-CN"/>
                      <w14:textFill>
                        <w14:solidFill>
                          <w14:schemeClr w14:val="tx1"/>
                        </w14:solidFill>
                      </w14:textFill>
                    </w:rPr>
                    <w:t>4</w:t>
                  </w:r>
                </w:p>
              </w:tc>
              <w:tc>
                <w:tcPr>
                  <w:tcW w:w="4048" w:type="dxa"/>
                  <w:shd w:val="clear" w:color="auto" w:fill="auto"/>
                  <w:vAlign w:val="center"/>
                </w:tcPr>
                <w:p w14:paraId="19DC4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贮存设施所有者或运营者应建立贮存设施环境管理制度、管理人员岗位职责制度、设施运行操作制度、人员岗位培训制度等。</w:t>
                  </w:r>
                </w:p>
              </w:tc>
              <w:tc>
                <w:tcPr>
                  <w:tcW w:w="2821" w:type="dxa"/>
                  <w:shd w:val="clear" w:color="auto" w:fill="auto"/>
                  <w:vAlign w:val="center"/>
                </w:tcPr>
                <w:p w14:paraId="18970C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要求建设单位建立贮存设施环境管理制度、管理人员岗位职责制度、设施运行操作制度、人员岗位培训制度等。</w:t>
                  </w:r>
                </w:p>
              </w:tc>
              <w:tc>
                <w:tcPr>
                  <w:tcW w:w="743" w:type="dxa"/>
                  <w:shd w:val="clear" w:color="auto" w:fill="auto"/>
                  <w:vAlign w:val="center"/>
                </w:tcPr>
                <w:p w14:paraId="41911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371B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1AB60F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w:t>
                  </w:r>
                  <w:r>
                    <w:rPr>
                      <w:rFonts w:hint="eastAsia" w:cs="Times New Roman"/>
                      <w:color w:val="000000" w:themeColor="text1"/>
                      <w:kern w:val="0"/>
                      <w:szCs w:val="21"/>
                      <w:lang w:val="en-US" w:eastAsia="zh-CN"/>
                      <w14:textFill>
                        <w14:solidFill>
                          <w14:schemeClr w14:val="tx1"/>
                        </w14:solidFill>
                      </w14:textFill>
                    </w:rPr>
                    <w:t>5</w:t>
                  </w:r>
                </w:p>
              </w:tc>
              <w:tc>
                <w:tcPr>
                  <w:tcW w:w="4048" w:type="dxa"/>
                  <w:shd w:val="clear" w:color="auto" w:fill="auto"/>
                  <w:vAlign w:val="center"/>
                </w:tcPr>
                <w:p w14:paraId="42454B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贮存设施所有者或运营者应依据国家和地下水污染防治的有关规定，结合贮存设施特点建立土壤和地下水污染隐患排查制度，并定期开展隐患排查：发现隐患应及时采取措施消除隐患，并建立档案。</w:t>
                  </w:r>
                </w:p>
              </w:tc>
              <w:tc>
                <w:tcPr>
                  <w:tcW w:w="2821" w:type="dxa"/>
                  <w:shd w:val="clear" w:color="auto" w:fill="auto"/>
                  <w:vAlign w:val="center"/>
                </w:tcPr>
                <w:p w14:paraId="735EAA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建设单位应定期对防渗、</w:t>
                  </w:r>
                  <w:r>
                    <w:rPr>
                      <w:rFonts w:hint="eastAsia" w:cs="Times New Roman"/>
                      <w:color w:val="000000" w:themeColor="text1"/>
                      <w:kern w:val="0"/>
                      <w:szCs w:val="21"/>
                      <w:lang w:eastAsia="zh-CN"/>
                      <w14:textFill>
                        <w14:solidFill>
                          <w14:schemeClr w14:val="tx1"/>
                        </w14:solidFill>
                      </w14:textFill>
                    </w:rPr>
                    <w:t>防</w:t>
                  </w:r>
                  <w:r>
                    <w:rPr>
                      <w:rFonts w:hint="eastAsia" w:ascii="Times New Roman" w:hAnsi="Times New Roman" w:eastAsia="宋体" w:cs="Times New Roman"/>
                      <w:color w:val="000000" w:themeColor="text1"/>
                      <w:kern w:val="0"/>
                      <w:szCs w:val="21"/>
                      <w14:textFill>
                        <w14:solidFill>
                          <w14:schemeClr w14:val="tx1"/>
                        </w14:solidFill>
                      </w14:textFill>
                    </w:rPr>
                    <w:t>泄漏措施进行检查，排除隐患，并按监测计划定期进行监测，了解区域土壤和地下水变化情况。</w:t>
                  </w:r>
                </w:p>
              </w:tc>
              <w:tc>
                <w:tcPr>
                  <w:tcW w:w="743" w:type="dxa"/>
                  <w:shd w:val="clear" w:color="auto" w:fill="auto"/>
                  <w:vAlign w:val="center"/>
                </w:tcPr>
                <w:p w14:paraId="1847D3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1CB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7BF6FA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46</w:t>
                  </w:r>
                </w:p>
              </w:tc>
              <w:tc>
                <w:tcPr>
                  <w:tcW w:w="4048" w:type="dxa"/>
                  <w:shd w:val="clear" w:color="auto" w:fill="auto"/>
                  <w:vAlign w:val="center"/>
                </w:tcPr>
                <w:p w14:paraId="1E2E3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贮存设施所有者或运营者应建立贮存设施全部档案，包括设计、施工、验收、运行、监测和环境应急等，应按国家有关档案管理的法律法规进行整理和归档。</w:t>
                  </w:r>
                </w:p>
              </w:tc>
              <w:tc>
                <w:tcPr>
                  <w:tcW w:w="2821" w:type="dxa"/>
                  <w:shd w:val="clear" w:color="auto" w:fill="auto"/>
                  <w:vAlign w:val="center"/>
                </w:tcPr>
                <w:p w14:paraId="001C7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项目应按规定完成验收、预案、环境监测等内容并存档。</w:t>
                  </w:r>
                </w:p>
              </w:tc>
              <w:tc>
                <w:tcPr>
                  <w:tcW w:w="743" w:type="dxa"/>
                  <w:shd w:val="clear" w:color="auto" w:fill="auto"/>
                  <w:vAlign w:val="center"/>
                </w:tcPr>
                <w:p w14:paraId="7CF55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E16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02DE44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47</w:t>
                  </w:r>
                </w:p>
              </w:tc>
              <w:tc>
                <w:tcPr>
                  <w:tcW w:w="4048" w:type="dxa"/>
                  <w:shd w:val="clear" w:color="auto" w:fill="auto"/>
                  <w:vAlign w:val="center"/>
                </w:tcPr>
                <w:p w14:paraId="75B08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贮存设施产生的废水（包</w:t>
                  </w:r>
                  <w:r>
                    <w:rPr>
                      <w:rFonts w:hint="eastAsia" w:cs="Times New Roman"/>
                      <w:color w:val="000000" w:themeColor="text1"/>
                      <w:kern w:val="0"/>
                      <w:szCs w:val="21"/>
                      <w:lang w:eastAsia="zh-CN"/>
                      <w14:textFill>
                        <w14:solidFill>
                          <w14:schemeClr w14:val="tx1"/>
                        </w14:solidFill>
                      </w14:textFill>
                    </w:rPr>
                    <w:t>括预</w:t>
                  </w:r>
                  <w:r>
                    <w:rPr>
                      <w:rFonts w:hint="eastAsia" w:ascii="Times New Roman" w:hAnsi="Times New Roman" w:eastAsia="宋体" w:cs="Times New Roman"/>
                      <w:color w:val="000000" w:themeColor="text1"/>
                      <w:kern w:val="0"/>
                      <w:szCs w:val="21"/>
                      <w14:textFill>
                        <w14:solidFill>
                          <w14:schemeClr w14:val="tx1"/>
                        </w14:solidFill>
                      </w14:textFill>
                    </w:rPr>
                    <w:t>存设施、作业设备、车辆等清洗废水，贮存罐区积存雨水，贮存事故废水等）应进行收集处理，废水排放应符合GB8978规定的要求。</w:t>
                  </w:r>
                </w:p>
              </w:tc>
              <w:tc>
                <w:tcPr>
                  <w:tcW w:w="2821" w:type="dxa"/>
                  <w:shd w:val="clear" w:color="auto" w:fill="auto"/>
                  <w:vAlign w:val="center"/>
                </w:tcPr>
                <w:p w14:paraId="2081B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项目无生产废水，生活污水经化粪池收集后委托环卫部门清掏处理，不外排。</w:t>
                  </w:r>
                </w:p>
              </w:tc>
              <w:tc>
                <w:tcPr>
                  <w:tcW w:w="743" w:type="dxa"/>
                  <w:shd w:val="clear" w:color="auto" w:fill="auto"/>
                  <w:vAlign w:val="center"/>
                </w:tcPr>
                <w:p w14:paraId="0DF3E2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418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14590F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48</w:t>
                  </w:r>
                </w:p>
              </w:tc>
              <w:tc>
                <w:tcPr>
                  <w:tcW w:w="4048" w:type="dxa"/>
                  <w:shd w:val="clear" w:color="auto" w:fill="auto"/>
                  <w:vAlign w:val="center"/>
                </w:tcPr>
                <w:p w14:paraId="54AAA5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设施产生的废气（含无组织废气）的排放应符合GB16297和GB37822规定的要求。</w:t>
                  </w:r>
                </w:p>
              </w:tc>
              <w:tc>
                <w:tcPr>
                  <w:tcW w:w="2821" w:type="dxa"/>
                  <w:shd w:val="clear" w:color="auto" w:fill="auto"/>
                  <w:vAlign w:val="center"/>
                </w:tcPr>
                <w:p w14:paraId="73075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项目大气污染物可达标排放。</w:t>
                  </w:r>
                </w:p>
              </w:tc>
              <w:tc>
                <w:tcPr>
                  <w:tcW w:w="743" w:type="dxa"/>
                  <w:shd w:val="clear" w:color="auto" w:fill="auto"/>
                  <w:vAlign w:val="center"/>
                </w:tcPr>
                <w:p w14:paraId="1DC056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6894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77E3EB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19</w:t>
                  </w:r>
                </w:p>
              </w:tc>
              <w:tc>
                <w:tcPr>
                  <w:tcW w:w="4048" w:type="dxa"/>
                  <w:shd w:val="clear" w:color="auto" w:fill="auto"/>
                  <w:vAlign w:val="center"/>
                </w:tcPr>
                <w:p w14:paraId="4B7F1D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贮存设施产生的恶臭气体的排放应符合GB14554规定的要求。</w:t>
                  </w:r>
                </w:p>
              </w:tc>
              <w:tc>
                <w:tcPr>
                  <w:tcW w:w="2821" w:type="dxa"/>
                  <w:shd w:val="clear" w:color="auto" w:fill="auto"/>
                  <w:vAlign w:val="center"/>
                </w:tcPr>
                <w:p w14:paraId="4C8BDC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项目大气污染物可达标排放。</w:t>
                  </w:r>
                </w:p>
              </w:tc>
              <w:tc>
                <w:tcPr>
                  <w:tcW w:w="743" w:type="dxa"/>
                  <w:shd w:val="clear" w:color="auto" w:fill="auto"/>
                  <w:vAlign w:val="center"/>
                </w:tcPr>
                <w:p w14:paraId="67924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334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07F2B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50</w:t>
                  </w:r>
                </w:p>
              </w:tc>
              <w:tc>
                <w:tcPr>
                  <w:tcW w:w="4048" w:type="dxa"/>
                  <w:shd w:val="clear" w:color="auto" w:fill="auto"/>
                  <w:vAlign w:val="center"/>
                </w:tcPr>
                <w:p w14:paraId="0BA77C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贮存设施内产生以及清理的固体废物应按固体废物分类管理要求妥善处理。</w:t>
                  </w:r>
                </w:p>
              </w:tc>
              <w:tc>
                <w:tcPr>
                  <w:tcW w:w="2821" w:type="dxa"/>
                  <w:shd w:val="clear" w:color="auto" w:fill="auto"/>
                  <w:vAlign w:val="center"/>
                </w:tcPr>
                <w:p w14:paraId="40944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项目固废处置率100%。</w:t>
                  </w:r>
                </w:p>
              </w:tc>
              <w:tc>
                <w:tcPr>
                  <w:tcW w:w="743" w:type="dxa"/>
                  <w:shd w:val="clear" w:color="auto" w:fill="auto"/>
                  <w:vAlign w:val="center"/>
                </w:tcPr>
                <w:p w14:paraId="119A37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7F96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242BE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5</w:t>
                  </w:r>
                  <w:r>
                    <w:rPr>
                      <w:rFonts w:hint="eastAsia" w:cs="Times New Roman"/>
                      <w:color w:val="000000" w:themeColor="text1"/>
                      <w:kern w:val="0"/>
                      <w:szCs w:val="21"/>
                      <w:lang w:val="en-US" w:eastAsia="zh-CN"/>
                      <w14:textFill>
                        <w14:solidFill>
                          <w14:schemeClr w14:val="tx1"/>
                        </w14:solidFill>
                      </w14:textFill>
                    </w:rPr>
                    <w:t>1</w:t>
                  </w:r>
                </w:p>
              </w:tc>
              <w:tc>
                <w:tcPr>
                  <w:tcW w:w="4048" w:type="dxa"/>
                  <w:shd w:val="clear" w:color="auto" w:fill="auto"/>
                  <w:vAlign w:val="center"/>
                </w:tcPr>
                <w:p w14:paraId="64B9A2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贮存设施排放的环境噪声应符合GB12348规定的要求。</w:t>
                  </w:r>
                </w:p>
              </w:tc>
              <w:tc>
                <w:tcPr>
                  <w:tcW w:w="2821" w:type="dxa"/>
                  <w:shd w:val="clear" w:color="auto" w:fill="auto"/>
                  <w:vAlign w:val="center"/>
                </w:tcPr>
                <w:p w14:paraId="7A154F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项目噪声可达标排放。</w:t>
                  </w:r>
                </w:p>
              </w:tc>
              <w:tc>
                <w:tcPr>
                  <w:tcW w:w="743" w:type="dxa"/>
                  <w:shd w:val="clear" w:color="auto" w:fill="auto"/>
                  <w:vAlign w:val="center"/>
                </w:tcPr>
                <w:p w14:paraId="2E4B57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392D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446626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5</w:t>
                  </w:r>
                  <w:r>
                    <w:rPr>
                      <w:rFonts w:hint="eastAsia" w:cs="Times New Roman"/>
                      <w:color w:val="000000" w:themeColor="text1"/>
                      <w:kern w:val="0"/>
                      <w:szCs w:val="21"/>
                      <w:lang w:val="en-US" w:eastAsia="zh-CN"/>
                      <w14:textFill>
                        <w14:solidFill>
                          <w14:schemeClr w14:val="tx1"/>
                        </w14:solidFill>
                      </w14:textFill>
                    </w:rPr>
                    <w:t>2</w:t>
                  </w:r>
                </w:p>
              </w:tc>
              <w:tc>
                <w:tcPr>
                  <w:tcW w:w="4048" w:type="dxa"/>
                  <w:shd w:val="clear" w:color="auto" w:fill="auto"/>
                  <w:vAlign w:val="center"/>
                </w:tcPr>
                <w:p w14:paraId="015DD4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贮存设施的环境监测应纳入主体设施的环境监测计划。</w:t>
                  </w:r>
                </w:p>
              </w:tc>
              <w:tc>
                <w:tcPr>
                  <w:tcW w:w="2821" w:type="dxa"/>
                  <w:shd w:val="clear" w:color="auto" w:fill="auto"/>
                  <w:vAlign w:val="center"/>
                </w:tcPr>
                <w:p w14:paraId="7774B4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本次环评</w:t>
                  </w:r>
                  <w:r>
                    <w:rPr>
                      <w:rFonts w:hint="eastAsia" w:ascii="Times New Roman" w:hAnsi="Times New Roman" w:eastAsia="宋体" w:cs="Times New Roman"/>
                      <w:color w:val="000000" w:themeColor="text1"/>
                      <w:kern w:val="0"/>
                      <w:szCs w:val="21"/>
                      <w14:textFill>
                        <w14:solidFill>
                          <w14:schemeClr w14:val="tx1"/>
                        </w14:solidFill>
                      </w14:textFill>
                    </w:rPr>
                    <w:t>已制定</w:t>
                  </w:r>
                  <w:r>
                    <w:rPr>
                      <w:rFonts w:hint="eastAsia" w:cs="Times New Roman"/>
                      <w:color w:val="000000" w:themeColor="text1"/>
                      <w:kern w:val="0"/>
                      <w:szCs w:val="21"/>
                      <w:lang w:val="en-US" w:eastAsia="zh-CN"/>
                      <w14:textFill>
                        <w14:solidFill>
                          <w14:schemeClr w14:val="tx1"/>
                        </w14:solidFill>
                      </w14:textFill>
                    </w:rPr>
                    <w:t>自行</w:t>
                  </w:r>
                  <w:r>
                    <w:rPr>
                      <w:rFonts w:hint="eastAsia" w:ascii="Times New Roman" w:hAnsi="Times New Roman" w:eastAsia="宋体" w:cs="Times New Roman"/>
                      <w:color w:val="000000" w:themeColor="text1"/>
                      <w:kern w:val="0"/>
                      <w:szCs w:val="21"/>
                      <w14:textFill>
                        <w14:solidFill>
                          <w14:schemeClr w14:val="tx1"/>
                        </w14:solidFill>
                      </w14:textFill>
                    </w:rPr>
                    <w:t>监测计划</w:t>
                  </w:r>
                  <w:r>
                    <w:rPr>
                      <w:rFonts w:hint="eastAsia" w:cs="Times New Roman"/>
                      <w:color w:val="000000" w:themeColor="text1"/>
                      <w:kern w:val="0"/>
                      <w:szCs w:val="21"/>
                      <w:lang w:eastAsia="zh-CN"/>
                      <w14:textFill>
                        <w14:solidFill>
                          <w14:schemeClr w14:val="tx1"/>
                        </w14:solidFill>
                      </w14:textFill>
                    </w:rPr>
                    <w:t>。</w:t>
                  </w:r>
                </w:p>
              </w:tc>
              <w:tc>
                <w:tcPr>
                  <w:tcW w:w="743" w:type="dxa"/>
                  <w:shd w:val="clear" w:color="auto" w:fill="auto"/>
                  <w:vAlign w:val="center"/>
                </w:tcPr>
                <w:p w14:paraId="48746E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2D54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2411D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5</w:t>
                  </w:r>
                  <w:r>
                    <w:rPr>
                      <w:rFonts w:hint="eastAsia" w:cs="Times New Roman"/>
                      <w:color w:val="000000" w:themeColor="text1"/>
                      <w:kern w:val="0"/>
                      <w:szCs w:val="21"/>
                      <w:lang w:val="en-US" w:eastAsia="zh-CN"/>
                      <w14:textFill>
                        <w14:solidFill>
                          <w14:schemeClr w14:val="tx1"/>
                        </w14:solidFill>
                      </w14:textFill>
                    </w:rPr>
                    <w:t>3</w:t>
                  </w:r>
                </w:p>
              </w:tc>
              <w:tc>
                <w:tcPr>
                  <w:tcW w:w="4048" w:type="dxa"/>
                  <w:shd w:val="clear" w:color="auto" w:fill="auto"/>
                  <w:vAlign w:val="center"/>
                </w:tcPr>
                <w:p w14:paraId="516058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贮存设施所有者或运营者应依据《</w:t>
                  </w:r>
                  <w:r>
                    <w:rPr>
                      <w:rFonts w:hint="eastAsia" w:cs="Times New Roman"/>
                      <w:color w:val="000000" w:themeColor="text1"/>
                      <w:kern w:val="0"/>
                      <w:szCs w:val="21"/>
                      <w:lang w:eastAsia="zh-CN"/>
                      <w14:textFill>
                        <w14:solidFill>
                          <w14:schemeClr w14:val="tx1"/>
                        </w14:solidFill>
                      </w14:textFill>
                    </w:rPr>
                    <w:t>中华人民共和国大气污染防治法</w:t>
                  </w:r>
                  <w:r>
                    <w:rPr>
                      <w:rFonts w:hint="eastAsia" w:ascii="Times New Roman" w:hAnsi="Times New Roman" w:eastAsia="宋体" w:cs="Times New Roman"/>
                      <w:color w:val="000000" w:themeColor="text1"/>
                      <w:kern w:val="0"/>
                      <w:szCs w:val="21"/>
                      <w14:textFill>
                        <w14:solidFill>
                          <w14:schemeClr w14:val="tx1"/>
                        </w14:solidFill>
                      </w14:textFill>
                    </w:rPr>
                    <w:t>》《</w:t>
                  </w:r>
                  <w:r>
                    <w:rPr>
                      <w:rFonts w:hint="eastAsia" w:cs="Times New Roman"/>
                      <w:color w:val="000000" w:themeColor="text1"/>
                      <w:kern w:val="0"/>
                      <w:szCs w:val="21"/>
                      <w:lang w:eastAsia="zh-CN"/>
                      <w14:textFill>
                        <w14:solidFill>
                          <w14:schemeClr w14:val="tx1"/>
                        </w14:solidFill>
                      </w14:textFill>
                    </w:rPr>
                    <w:t>中华人民共和国水污染防治法</w:t>
                  </w:r>
                  <w:r>
                    <w:rPr>
                      <w:rFonts w:hint="eastAsia" w:ascii="Times New Roman" w:hAnsi="Times New Roman" w:eastAsia="宋体" w:cs="Times New Roman"/>
                      <w:color w:val="000000" w:themeColor="text1"/>
                      <w:kern w:val="0"/>
                      <w:szCs w:val="21"/>
                      <w14:textFill>
                        <w14:solidFill>
                          <w14:schemeClr w14:val="tx1"/>
                        </w14:solidFill>
                      </w14:textFill>
                    </w:rPr>
                    <w:t>》《</w:t>
                  </w:r>
                  <w:r>
                    <w:rPr>
                      <w:rFonts w:hint="eastAsia" w:cs="Times New Roman"/>
                      <w:color w:val="000000" w:themeColor="text1"/>
                      <w:kern w:val="0"/>
                      <w:szCs w:val="21"/>
                      <w:lang w:eastAsia="zh-CN"/>
                      <w14:textFill>
                        <w14:solidFill>
                          <w14:schemeClr w14:val="tx1"/>
                        </w14:solidFill>
                      </w14:textFill>
                    </w:rPr>
                    <w:t>中华人民共和国土壤污染防治法</w:t>
                  </w:r>
                  <w:r>
                    <w:rPr>
                      <w:rFonts w:hint="eastAsia" w:ascii="Times New Roman" w:hAnsi="Times New Roman" w:eastAsia="宋体" w:cs="Times New Roman"/>
                      <w:color w:val="000000" w:themeColor="text1"/>
                      <w:kern w:val="0"/>
                      <w:szCs w:val="21"/>
                      <w14:textFill>
                        <w14:solidFill>
                          <w14:schemeClr w14:val="tx1"/>
                        </w14:solidFill>
                      </w14:textFill>
                    </w:rPr>
                    <w:t>》等有关法律、《排污许可管理条例》等行政法规和HJ819、HJ1250等规定制订监测方案，对贮存设施污染物排放状况开展自行监测，保存原始监测记录，并公布监测结果。</w:t>
                  </w:r>
                </w:p>
              </w:tc>
              <w:tc>
                <w:tcPr>
                  <w:tcW w:w="2821" w:type="dxa"/>
                  <w:shd w:val="clear" w:color="auto" w:fill="auto"/>
                  <w:vAlign w:val="center"/>
                </w:tcPr>
                <w:p w14:paraId="008564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环评</w:t>
                  </w:r>
                  <w:r>
                    <w:rPr>
                      <w:rFonts w:hint="eastAsia" w:ascii="Times New Roman" w:hAnsi="Times New Roman" w:eastAsia="宋体" w:cs="Times New Roman"/>
                      <w:color w:val="000000" w:themeColor="text1"/>
                      <w:kern w:val="0"/>
                      <w:szCs w:val="21"/>
                      <w14:textFill>
                        <w14:solidFill>
                          <w14:schemeClr w14:val="tx1"/>
                        </w14:solidFill>
                      </w14:textFill>
                    </w:rPr>
                    <w:t>已制定监测计划，运行阶段应按已制定的监测方案展开自行监测，保存原始监测记录，并公布监测结果。</w:t>
                  </w:r>
                </w:p>
              </w:tc>
              <w:tc>
                <w:tcPr>
                  <w:tcW w:w="743" w:type="dxa"/>
                  <w:shd w:val="clear" w:color="auto" w:fill="auto"/>
                  <w:vAlign w:val="center"/>
                </w:tcPr>
                <w:p w14:paraId="2A845C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7424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46B26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54</w:t>
                  </w:r>
                </w:p>
              </w:tc>
              <w:tc>
                <w:tcPr>
                  <w:tcW w:w="4048" w:type="dxa"/>
                  <w:shd w:val="clear" w:color="auto" w:fill="auto"/>
                  <w:vAlign w:val="center"/>
                </w:tcPr>
                <w:p w14:paraId="3093C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贮存设施所有者或运营者应按照国家有关规定编制突发环境事件应急预案，定期开展必要的培训和环境应急演练，并做好培训、演练记录。</w:t>
                  </w:r>
                </w:p>
              </w:tc>
              <w:tc>
                <w:tcPr>
                  <w:tcW w:w="2821" w:type="dxa"/>
                  <w:shd w:val="clear" w:color="auto" w:fill="auto"/>
                  <w:vAlign w:val="center"/>
                </w:tcPr>
                <w:p w14:paraId="1C49B0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项目运行前应完成应急预案的修订并备案。</w:t>
                  </w:r>
                </w:p>
              </w:tc>
              <w:tc>
                <w:tcPr>
                  <w:tcW w:w="743" w:type="dxa"/>
                  <w:shd w:val="clear" w:color="auto" w:fill="auto"/>
                  <w:vAlign w:val="center"/>
                </w:tcPr>
                <w:p w14:paraId="17898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785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7F737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55</w:t>
                  </w:r>
                </w:p>
              </w:tc>
              <w:tc>
                <w:tcPr>
                  <w:tcW w:w="4048" w:type="dxa"/>
                  <w:shd w:val="clear" w:color="auto" w:fill="auto"/>
                  <w:vAlign w:val="center"/>
                </w:tcPr>
                <w:p w14:paraId="46BC8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贮存设施所有者或运营者应配备满足其突发环境事件应急要求的应急人员、装备和物资，并应设置应急照明系统。</w:t>
                  </w:r>
                </w:p>
              </w:tc>
              <w:tc>
                <w:tcPr>
                  <w:tcW w:w="2821" w:type="dxa"/>
                  <w:shd w:val="clear" w:color="auto" w:fill="auto"/>
                  <w:vAlign w:val="center"/>
                </w:tcPr>
                <w:p w14:paraId="56184F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项目运行前应按应急预案要求，完善应急人员、装备和物资的设置，并设置应急照明系统。</w:t>
                  </w:r>
                </w:p>
              </w:tc>
              <w:tc>
                <w:tcPr>
                  <w:tcW w:w="743" w:type="dxa"/>
                  <w:shd w:val="clear" w:color="auto" w:fill="auto"/>
                  <w:vAlign w:val="center"/>
                </w:tcPr>
                <w:p w14:paraId="1E243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r w14:paraId="4AB6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5" w:type="dxa"/>
                  <w:shd w:val="clear" w:color="auto" w:fill="auto"/>
                  <w:vAlign w:val="center"/>
                </w:tcPr>
                <w:p w14:paraId="31171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56</w:t>
                  </w:r>
                </w:p>
              </w:tc>
              <w:tc>
                <w:tcPr>
                  <w:tcW w:w="4048" w:type="dxa"/>
                  <w:shd w:val="clear" w:color="auto" w:fill="auto"/>
                  <w:vAlign w:val="center"/>
                </w:tcPr>
                <w:p w14:paraId="75EED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相关部门发布自然灾害或恶劣天气预警后，贮存设施所有者或运营者应启动相应防控措施，若有必要可将危险废物转移至其他具有防护条件的地点贮存。</w:t>
                  </w:r>
                </w:p>
              </w:tc>
              <w:tc>
                <w:tcPr>
                  <w:tcW w:w="2821" w:type="dxa"/>
                  <w:shd w:val="clear" w:color="auto" w:fill="auto"/>
                  <w:vAlign w:val="center"/>
                </w:tcPr>
                <w:p w14:paraId="18CB1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要求项目运营期严格配合相关部门应急预警措施，确保危险废物贮存过程中的安全。</w:t>
                  </w:r>
                </w:p>
              </w:tc>
              <w:tc>
                <w:tcPr>
                  <w:tcW w:w="743" w:type="dxa"/>
                  <w:shd w:val="clear" w:color="auto" w:fill="auto"/>
                  <w:vAlign w:val="center"/>
                </w:tcPr>
                <w:p w14:paraId="2D440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符合</w:t>
                  </w:r>
                </w:p>
              </w:tc>
            </w:tr>
          </w:tbl>
          <w:p w14:paraId="377E114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color w:val="000000" w:themeColor="text1"/>
                <w:sz w:val="24"/>
                <w14:textFill>
                  <w14:solidFill>
                    <w14:schemeClr w14:val="tx1"/>
                  </w14:solidFill>
                </w14:textFill>
              </w:rPr>
            </w:pPr>
            <w:r>
              <w:rPr>
                <w:rFonts w:hint="eastAsia" w:cs="Times New Roman"/>
                <w:b/>
                <w:bCs w:val="0"/>
                <w:color w:val="000000" w:themeColor="text1"/>
                <w:kern w:val="0"/>
                <w:sz w:val="24"/>
                <w:szCs w:val="21"/>
                <w:highlight w:val="none"/>
                <w:lang w:val="en-US" w:eastAsia="zh-CN" w:bidi="ar"/>
                <w14:textFill>
                  <w14:solidFill>
                    <w14:schemeClr w14:val="tx1"/>
                  </w14:solidFill>
                </w14:textFill>
              </w:rPr>
              <w:t>1.3.5</w:t>
            </w:r>
            <w:r>
              <w:rPr>
                <w:rFonts w:hint="eastAsia" w:ascii="Times New Roman" w:hAnsi="Times New Roman" w:eastAsia="宋体" w:cs="Times New Roman"/>
                <w:b/>
                <w:bCs/>
                <w:color w:val="000000" w:themeColor="text1"/>
                <w:sz w:val="24"/>
                <w14:textFill>
                  <w14:solidFill>
                    <w14:schemeClr w14:val="tx1"/>
                  </w14:solidFill>
                </w14:textFill>
              </w:rPr>
              <w:t>项目与</w:t>
            </w:r>
            <w:bookmarkStart w:id="8" w:name="_Hlk137333144"/>
            <w:r>
              <w:rPr>
                <w:rFonts w:hint="eastAsia" w:ascii="Times New Roman" w:hAnsi="Times New Roman" w:eastAsia="宋体" w:cs="Times New Roman"/>
                <w:b/>
                <w:bCs/>
                <w:color w:val="000000" w:themeColor="text1"/>
                <w:sz w:val="24"/>
                <w14:textFill>
                  <w14:solidFill>
                    <w14:schemeClr w14:val="tx1"/>
                  </w14:solidFill>
                </w14:textFill>
              </w:rPr>
              <w:t>《废矿物油回收利用污染控制技术规范》（HJ607-2011）</w:t>
            </w:r>
            <w:bookmarkEnd w:id="8"/>
            <w:r>
              <w:rPr>
                <w:rFonts w:hint="eastAsia" w:ascii="Times New Roman" w:hAnsi="Times New Roman" w:eastAsia="宋体" w:cs="Times New Roman"/>
                <w:b/>
                <w:bCs/>
                <w:color w:val="000000" w:themeColor="text1"/>
                <w:sz w:val="24"/>
                <w14:textFill>
                  <w14:solidFill>
                    <w14:schemeClr w14:val="tx1"/>
                  </w14:solidFill>
                </w14:textFill>
              </w:rPr>
              <w:t>的符合性分析</w:t>
            </w:r>
          </w:p>
          <w:p w14:paraId="15EAD5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项目</w:t>
            </w:r>
            <w:r>
              <w:rPr>
                <w:rFonts w:hint="eastAsia" w:cs="Times New Roman"/>
                <w:color w:val="000000" w:themeColor="text1"/>
                <w:kern w:val="0"/>
                <w:sz w:val="24"/>
                <w:lang w:val="en-US" w:eastAsia="zh-CN"/>
                <w14:textFill>
                  <w14:solidFill>
                    <w14:schemeClr w14:val="tx1"/>
                  </w14:solidFill>
                </w14:textFill>
              </w:rPr>
              <w:t>建设满足</w:t>
            </w:r>
            <w:r>
              <w:rPr>
                <w:rFonts w:hint="eastAsia" w:ascii="Times New Roman" w:hAnsi="Times New Roman" w:eastAsia="宋体" w:cs="Times New Roman"/>
                <w:color w:val="000000" w:themeColor="text1"/>
                <w:kern w:val="0"/>
                <w:sz w:val="24"/>
                <w14:textFill>
                  <w14:solidFill>
                    <w14:schemeClr w14:val="tx1"/>
                  </w14:solidFill>
                </w14:textFill>
              </w:rPr>
              <w:t>《废矿物油回收利用污染控制技术规范》（HJ607-2011）</w:t>
            </w:r>
            <w:r>
              <w:rPr>
                <w:rFonts w:hint="eastAsia" w:cs="Times New Roman"/>
                <w:color w:val="000000" w:themeColor="text1"/>
                <w:kern w:val="0"/>
                <w:sz w:val="24"/>
                <w:lang w:val="en-US" w:eastAsia="zh-CN"/>
                <w14:textFill>
                  <w14:solidFill>
                    <w14:schemeClr w14:val="tx1"/>
                  </w14:solidFill>
                </w14:textFill>
              </w:rPr>
              <w:t>中收集、贮存要求，具体</w:t>
            </w:r>
            <w:r>
              <w:rPr>
                <w:rFonts w:hint="eastAsia" w:ascii="Times New Roman" w:hAnsi="Times New Roman" w:eastAsia="宋体" w:cs="Times New Roman"/>
                <w:color w:val="000000" w:themeColor="text1"/>
                <w:kern w:val="0"/>
                <w:sz w:val="24"/>
                <w14:textFill>
                  <w14:solidFill>
                    <w14:schemeClr w14:val="tx1"/>
                  </w14:solidFill>
                </w14:textFill>
              </w:rPr>
              <w:t>相符性分析见表</w:t>
            </w:r>
            <w:r>
              <w:rPr>
                <w:rFonts w:hint="eastAsia" w:cs="Times New Roman"/>
                <w:color w:val="000000" w:themeColor="text1"/>
                <w:kern w:val="0"/>
                <w:sz w:val="24"/>
                <w:lang w:val="en-US" w:eastAsia="zh-CN"/>
                <w14:textFill>
                  <w14:solidFill>
                    <w14:schemeClr w14:val="tx1"/>
                  </w14:solidFill>
                </w14:textFill>
              </w:rPr>
              <w:t>1.5-5所示</w:t>
            </w:r>
            <w:r>
              <w:rPr>
                <w:rFonts w:hint="eastAsia" w:ascii="Times New Roman" w:hAnsi="Times New Roman" w:eastAsia="宋体" w:cs="Times New Roman"/>
                <w:color w:val="000000" w:themeColor="text1"/>
                <w:kern w:val="0"/>
                <w:sz w:val="24"/>
                <w14:textFill>
                  <w14:solidFill>
                    <w14:schemeClr w14:val="tx1"/>
                  </w14:solidFill>
                </w14:textFill>
              </w:rPr>
              <w:t>。</w:t>
            </w:r>
          </w:p>
          <w:p w14:paraId="6CD98F96">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lang w:val="en-US" w:eastAsia="zh-CN"/>
                <w14:textFill>
                  <w14:solidFill>
                    <w14:schemeClr w14:val="tx1"/>
                  </w14:solidFill>
                </w14:textFill>
              </w:rPr>
              <w:t>表1.</w:t>
            </w:r>
            <w:r>
              <w:rPr>
                <w:rFonts w:hint="eastAsia" w:ascii="Times New Roman" w:hAnsi="Times New Roman" w:eastAsia="宋体" w:cs="Times New Roman"/>
                <w:b/>
                <w:bCs w:val="0"/>
                <w:color w:val="000000" w:themeColor="text1"/>
                <w:sz w:val="21"/>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lang w:val="en-US" w:eastAsia="zh-CN"/>
                <w14:textFill>
                  <w14:solidFill>
                    <w14:schemeClr w14:val="tx1"/>
                  </w14:solidFill>
                </w14:textFill>
              </w:rPr>
              <w:t>-</w:t>
            </w:r>
            <w:r>
              <w:rPr>
                <w:rFonts w:hint="eastAsia" w:ascii="Times New Roman" w:hAnsi="Times New Roman" w:eastAsia="宋体" w:cs="Times New Roman"/>
                <w:b/>
                <w:bCs w:val="0"/>
                <w:color w:val="000000" w:themeColor="text1"/>
                <w:sz w:val="21"/>
                <w:lang w:val="en-US" w:eastAsia="zh-CN"/>
                <w14:textFill>
                  <w14:solidFill>
                    <w14:schemeClr w14:val="tx1"/>
                  </w14:solidFill>
                </w14:textFill>
              </w:rPr>
              <w:t xml:space="preserve">5 </w:t>
            </w:r>
            <w:r>
              <w:rPr>
                <w:rFonts w:hint="default" w:ascii="Times New Roman" w:hAnsi="Times New Roman" w:eastAsia="宋体" w:cs="Times New Roman"/>
                <w:b/>
                <w:bCs w:val="0"/>
                <w:color w:val="000000" w:themeColor="text1"/>
                <w:sz w:val="21"/>
                <w:lang w:val="en-US" w:eastAsia="zh-CN"/>
                <w14:textFill>
                  <w14:solidFill>
                    <w14:schemeClr w14:val="tx1"/>
                  </w14:solidFill>
                </w14:textFill>
              </w:rPr>
              <w:t xml:space="preserve"> 与废矿物油回收利用污染控制技术规范相关要求的符合性分析</w:t>
            </w:r>
          </w:p>
          <w:tbl>
            <w:tblPr>
              <w:tblStyle w:val="26"/>
              <w:tblW w:w="499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50"/>
              <w:gridCol w:w="3975"/>
              <w:gridCol w:w="3097"/>
              <w:gridCol w:w="734"/>
            </w:tblGrid>
            <w:tr w14:paraId="28D7F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 w:hRule="atLeast"/>
                <w:jc w:val="center"/>
              </w:trPr>
              <w:tc>
                <w:tcPr>
                  <w:tcW w:w="4252" w:type="dxa"/>
                  <w:gridSpan w:val="2"/>
                  <w:vAlign w:val="center"/>
                </w:tcPr>
                <w:p w14:paraId="121AA6C8">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技术规范要求</w:t>
                  </w:r>
                </w:p>
              </w:tc>
              <w:tc>
                <w:tcPr>
                  <w:tcW w:w="2975" w:type="dxa"/>
                  <w:vAlign w:val="center"/>
                </w:tcPr>
                <w:p w14:paraId="7716E570">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项目情况</w:t>
                  </w:r>
                </w:p>
              </w:tc>
              <w:tc>
                <w:tcPr>
                  <w:tcW w:w="705" w:type="dxa"/>
                  <w:vAlign w:val="center"/>
                </w:tcPr>
                <w:p w14:paraId="41B2F057">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符合性</w:t>
                  </w:r>
                </w:p>
              </w:tc>
            </w:tr>
            <w:tr w14:paraId="1E80A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433" w:type="dxa"/>
                  <w:vMerge w:val="restart"/>
                  <w:vAlign w:val="center"/>
                </w:tcPr>
                <w:p w14:paraId="1943719B">
                  <w:pPr>
                    <w:keepNext w:val="0"/>
                    <w:keepLines w:val="0"/>
                    <w:pageBreakBefore w:val="0"/>
                    <w:kinsoku/>
                    <w:wordWrap/>
                    <w:overflowPunct/>
                    <w:topLinePunct w:val="0"/>
                    <w:autoSpaceDE/>
                    <w:bidi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收集要求</w:t>
                  </w:r>
                </w:p>
              </w:tc>
              <w:tc>
                <w:tcPr>
                  <w:tcW w:w="3819" w:type="dxa"/>
                  <w:vAlign w:val="center"/>
                </w:tcPr>
                <w:p w14:paraId="12FAF756">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废矿物油收集容器应完好无损，没有腐蚀、污染、损毁或其他能导致其使用效能减弱的缺陷。</w:t>
                  </w:r>
                </w:p>
              </w:tc>
              <w:tc>
                <w:tcPr>
                  <w:tcW w:w="2975" w:type="dxa"/>
                  <w:tcBorders>
                    <w:bottom w:val="single" w:color="auto" w:sz="4" w:space="0"/>
                  </w:tcBorders>
                  <w:vAlign w:val="center"/>
                </w:tcPr>
                <w:p w14:paraId="0586BAB5">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本项目采用完好无损的合格容器收集废矿物油。</w:t>
                  </w:r>
                </w:p>
              </w:tc>
              <w:tc>
                <w:tcPr>
                  <w:tcW w:w="705" w:type="dxa"/>
                  <w:vMerge w:val="restart"/>
                  <w:vAlign w:val="center"/>
                </w:tcPr>
                <w:p w14:paraId="78F78198">
                  <w:pPr>
                    <w:keepNext w:val="0"/>
                    <w:keepLines w:val="0"/>
                    <w:pageBreakBefore w:val="0"/>
                    <w:kinsoku/>
                    <w:wordWrap/>
                    <w:overflowPunct/>
                    <w:topLinePunct w:val="0"/>
                    <w:autoSpaceDE/>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r w14:paraId="674A5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continue"/>
                  <w:vAlign w:val="center"/>
                </w:tcPr>
                <w:p w14:paraId="44FB5B6B">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3819" w:type="dxa"/>
                  <w:tcBorders>
                    <w:bottom w:val="single" w:color="auto" w:sz="4" w:space="0"/>
                  </w:tcBorders>
                  <w:vAlign w:val="center"/>
                </w:tcPr>
                <w:p w14:paraId="6A00E71C">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废矿物油收集过程产生的废旧容器应按照危险废物进行处置，仍可转作他用的，应经过消除污染的处理。</w:t>
                  </w:r>
                </w:p>
              </w:tc>
              <w:tc>
                <w:tcPr>
                  <w:tcW w:w="2975" w:type="dxa"/>
                  <w:tcBorders>
                    <w:top w:val="single" w:color="auto" w:sz="4" w:space="0"/>
                    <w:bottom w:val="single" w:color="auto" w:sz="4" w:space="0"/>
                  </w:tcBorders>
                  <w:vAlign w:val="center"/>
                </w:tcPr>
                <w:p w14:paraId="4D0E5795">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本项目弃用的废旧容器按</w:t>
                  </w:r>
                  <w:r>
                    <w:rPr>
                      <w:rFonts w:hint="eastAsia" w:cs="Times New Roman"/>
                      <w:color w:val="000000" w:themeColor="text1"/>
                      <w:kern w:val="0"/>
                      <w:sz w:val="21"/>
                      <w:szCs w:val="21"/>
                      <w:lang w:eastAsia="zh-CN"/>
                      <w14:textFill>
                        <w14:solidFill>
                          <w14:schemeClr w14:val="tx1"/>
                        </w14:solidFill>
                      </w14:textFill>
                    </w:rPr>
                    <w:t>危险废物</w:t>
                  </w:r>
                  <w:r>
                    <w:rPr>
                      <w:rFonts w:hint="eastAsia" w:cs="Times New Roman"/>
                      <w:color w:val="000000" w:themeColor="text1"/>
                      <w:kern w:val="0"/>
                      <w:sz w:val="21"/>
                      <w:szCs w:val="21"/>
                      <w:lang w:val="en-US" w:eastAsia="zh-CN"/>
                      <w14:textFill>
                        <w14:solidFill>
                          <w14:schemeClr w14:val="tx1"/>
                        </w14:solidFill>
                      </w14:textFill>
                    </w:rPr>
                    <w:t>管理</w:t>
                  </w:r>
                  <w:r>
                    <w:rPr>
                      <w:rFonts w:ascii="Times New Roman" w:hAnsi="Times New Roman" w:eastAsia="宋体" w:cs="Times New Roman"/>
                      <w:color w:val="000000" w:themeColor="text1"/>
                      <w:kern w:val="0"/>
                      <w:sz w:val="21"/>
                      <w:szCs w:val="21"/>
                      <w14:textFill>
                        <w14:solidFill>
                          <w14:schemeClr w14:val="tx1"/>
                        </w14:solidFill>
                      </w14:textFill>
                    </w:rPr>
                    <w:t>委托资质单位处置。</w:t>
                  </w:r>
                </w:p>
              </w:tc>
              <w:tc>
                <w:tcPr>
                  <w:tcW w:w="705" w:type="dxa"/>
                  <w:vMerge w:val="continue"/>
                </w:tcPr>
                <w:p w14:paraId="7E970C82">
                  <w:pPr>
                    <w:keepNext w:val="0"/>
                    <w:keepLines w:val="0"/>
                    <w:pageBreakBefore w:val="0"/>
                    <w:kinsoku/>
                    <w:wordWrap/>
                    <w:overflowPunct/>
                    <w:topLinePunct w:val="0"/>
                    <w:autoSpaceDE/>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r>
            <w:tr w14:paraId="4E573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continue"/>
                  <w:vAlign w:val="center"/>
                </w:tcPr>
                <w:p w14:paraId="6EC2237E">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3819" w:type="dxa"/>
                  <w:tcBorders>
                    <w:top w:val="single" w:color="auto" w:sz="4" w:space="0"/>
                    <w:bottom w:val="single" w:color="auto" w:sz="4" w:space="0"/>
                  </w:tcBorders>
                  <w:vAlign w:val="center"/>
                </w:tcPr>
                <w:p w14:paraId="5238110B">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废矿物油应在产生源收集，不宜在产生源收集的应设置专用设施集中收集。</w:t>
                  </w:r>
                </w:p>
              </w:tc>
              <w:tc>
                <w:tcPr>
                  <w:tcW w:w="2975" w:type="dxa"/>
                  <w:tcBorders>
                    <w:top w:val="single" w:color="auto" w:sz="4" w:space="0"/>
                    <w:bottom w:val="single" w:color="auto" w:sz="4" w:space="0"/>
                  </w:tcBorders>
                  <w:vAlign w:val="center"/>
                </w:tcPr>
                <w:p w14:paraId="50C44F79">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项目收集的废矿物油均由建设单位到各</w:t>
                  </w:r>
                  <w:r>
                    <w:rPr>
                      <w:rFonts w:hint="eastAsia" w:cs="Times New Roman"/>
                      <w:color w:val="000000" w:themeColor="text1"/>
                      <w:kern w:val="0"/>
                      <w:sz w:val="21"/>
                      <w:szCs w:val="21"/>
                      <w:lang w:eastAsia="zh-CN"/>
                      <w14:textFill>
                        <w14:solidFill>
                          <w14:schemeClr w14:val="tx1"/>
                        </w14:solidFill>
                      </w14:textFill>
                    </w:rPr>
                    <w:t>生产</w:t>
                  </w:r>
                  <w:r>
                    <w:rPr>
                      <w:rFonts w:ascii="Times New Roman" w:hAnsi="Times New Roman" w:eastAsia="宋体" w:cs="Times New Roman"/>
                      <w:color w:val="000000" w:themeColor="text1"/>
                      <w:kern w:val="0"/>
                      <w:sz w:val="21"/>
                      <w:szCs w:val="21"/>
                      <w14:textFill>
                        <w14:solidFill>
                          <w14:schemeClr w14:val="tx1"/>
                        </w14:solidFill>
                      </w14:textFill>
                    </w:rPr>
                    <w:t>单位进行收集。</w:t>
                  </w:r>
                </w:p>
              </w:tc>
              <w:tc>
                <w:tcPr>
                  <w:tcW w:w="705" w:type="dxa"/>
                  <w:vMerge w:val="continue"/>
                </w:tcPr>
                <w:p w14:paraId="307E4BA2">
                  <w:pPr>
                    <w:keepNext w:val="0"/>
                    <w:keepLines w:val="0"/>
                    <w:pageBreakBefore w:val="0"/>
                    <w:kinsoku/>
                    <w:wordWrap/>
                    <w:overflowPunct/>
                    <w:topLinePunct w:val="0"/>
                    <w:autoSpaceDE/>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r>
            <w:tr w14:paraId="3AC98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continue"/>
                  <w:vAlign w:val="center"/>
                </w:tcPr>
                <w:p w14:paraId="36B8A7AD">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3819" w:type="dxa"/>
                  <w:tcBorders>
                    <w:top w:val="single" w:color="auto" w:sz="4" w:space="0"/>
                  </w:tcBorders>
                  <w:vAlign w:val="center"/>
                </w:tcPr>
                <w:p w14:paraId="45A623CC">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废矿物油收集过程产生的含油棉、含油毡等含废矿物油废物应一并收集。</w:t>
                  </w:r>
                </w:p>
              </w:tc>
              <w:tc>
                <w:tcPr>
                  <w:tcW w:w="2975" w:type="dxa"/>
                  <w:tcBorders>
                    <w:top w:val="single" w:color="auto" w:sz="4" w:space="0"/>
                  </w:tcBorders>
                  <w:vAlign w:val="center"/>
                </w:tcPr>
                <w:p w14:paraId="2515EE2E">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项目收集、转运贮存过程中产生的沾染废矿物油的抹布等物品均统一收集后处置。</w:t>
                  </w:r>
                </w:p>
              </w:tc>
              <w:tc>
                <w:tcPr>
                  <w:tcW w:w="705" w:type="dxa"/>
                  <w:vMerge w:val="continue"/>
                </w:tcPr>
                <w:p w14:paraId="77FB97F6">
                  <w:pPr>
                    <w:keepNext w:val="0"/>
                    <w:keepLines w:val="0"/>
                    <w:pageBreakBefore w:val="0"/>
                    <w:kinsoku/>
                    <w:wordWrap/>
                    <w:overflowPunct/>
                    <w:topLinePunct w:val="0"/>
                    <w:autoSpaceDE/>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r>
            <w:tr w14:paraId="5023B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restart"/>
                  <w:vAlign w:val="center"/>
                </w:tcPr>
                <w:p w14:paraId="3D9E8A71">
                  <w:pPr>
                    <w:keepNext w:val="0"/>
                    <w:keepLines w:val="0"/>
                    <w:pageBreakBefore w:val="0"/>
                    <w:kinsoku/>
                    <w:wordWrap/>
                    <w:overflowPunct/>
                    <w:topLinePunct w:val="0"/>
                    <w:autoSpaceDE/>
                    <w:bidi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贮存要求</w:t>
                  </w:r>
                </w:p>
              </w:tc>
              <w:tc>
                <w:tcPr>
                  <w:tcW w:w="3819" w:type="dxa"/>
                  <w:vAlign w:val="center"/>
                </w:tcPr>
                <w:p w14:paraId="43B3156D">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lang w:val="zh-CN"/>
                      <w14:textFill>
                        <w14:solidFill>
                          <w14:schemeClr w14:val="tx1"/>
                        </w14:solidFill>
                      </w14:textFill>
                    </w:rPr>
                    <w:t>废矿物油贮存污染控制应符合GB18597中的有关规定。</w:t>
                  </w:r>
                </w:p>
              </w:tc>
              <w:tc>
                <w:tcPr>
                  <w:tcW w:w="2975" w:type="dxa"/>
                  <w:tcBorders>
                    <w:bottom w:val="single" w:color="auto" w:sz="4" w:space="0"/>
                  </w:tcBorders>
                  <w:vAlign w:val="center"/>
                </w:tcPr>
                <w:p w14:paraId="6E91C1D6">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项目废矿物油贮存符合</w:t>
                  </w:r>
                  <w:r>
                    <w:rPr>
                      <w:rFonts w:ascii="Times New Roman" w:hAnsi="Times New Roman" w:eastAsia="宋体" w:cs="Times New Roman"/>
                      <w:color w:val="000000" w:themeColor="text1"/>
                      <w:kern w:val="0"/>
                      <w:sz w:val="21"/>
                      <w:szCs w:val="21"/>
                      <w:lang w:val="zh-CN"/>
                      <w14:textFill>
                        <w14:solidFill>
                          <w14:schemeClr w14:val="tx1"/>
                        </w14:solidFill>
                      </w14:textFill>
                    </w:rPr>
                    <w:t>GB18597中的有关规定。</w:t>
                  </w:r>
                </w:p>
              </w:tc>
              <w:tc>
                <w:tcPr>
                  <w:tcW w:w="705" w:type="dxa"/>
                  <w:vMerge w:val="restart"/>
                  <w:vAlign w:val="center"/>
                </w:tcPr>
                <w:p w14:paraId="0BC5EE38">
                  <w:pPr>
                    <w:keepNext w:val="0"/>
                    <w:keepLines w:val="0"/>
                    <w:pageBreakBefore w:val="0"/>
                    <w:kinsoku/>
                    <w:wordWrap/>
                    <w:overflowPunct/>
                    <w:topLinePunct w:val="0"/>
                    <w:autoSpaceDE/>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r w14:paraId="5B4E0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continue"/>
                  <w:vAlign w:val="center"/>
                </w:tcPr>
                <w:p w14:paraId="4774E2C4">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3819" w:type="dxa"/>
                  <w:vAlign w:val="center"/>
                </w:tcPr>
                <w:p w14:paraId="15D27563">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lang w:val="zh-CN"/>
                      <w14:textFill>
                        <w14:solidFill>
                          <w14:schemeClr w14:val="tx1"/>
                        </w14:solidFill>
                      </w14:textFill>
                    </w:rPr>
                    <w:t>废矿物油贮存设施的设计、建设除符合危险废物贮存设计原则外，还应符合有关消防和危险品贮存设计规范。</w:t>
                  </w:r>
                </w:p>
              </w:tc>
              <w:tc>
                <w:tcPr>
                  <w:tcW w:w="2975" w:type="dxa"/>
                  <w:tcBorders>
                    <w:top w:val="single" w:color="auto" w:sz="4" w:space="0"/>
                    <w:bottom w:val="single" w:color="auto" w:sz="4" w:space="0"/>
                  </w:tcBorders>
                  <w:vAlign w:val="center"/>
                </w:tcPr>
                <w:p w14:paraId="1486DBF7">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zh-CN"/>
                      <w14:textFill>
                        <w14:solidFill>
                          <w14:schemeClr w14:val="tx1"/>
                        </w14:solidFill>
                      </w14:textFill>
                    </w:rPr>
                    <w:t>废矿物油贮存设施的设计、建设符合危险废物贮存设计原则</w:t>
                  </w:r>
                  <w:r>
                    <w:rPr>
                      <w:rFonts w:hint="eastAsia" w:ascii="Times New Roman" w:hAnsi="Times New Roman" w:eastAsia="宋体" w:cs="Times New Roman"/>
                      <w:color w:val="000000" w:themeColor="text1"/>
                      <w:kern w:val="0"/>
                      <w:sz w:val="21"/>
                      <w:szCs w:val="21"/>
                      <w14:textFill>
                        <w14:solidFill>
                          <w14:schemeClr w14:val="tx1"/>
                        </w14:solidFill>
                      </w14:textFill>
                    </w:rPr>
                    <w:t>以及有关</w:t>
                  </w:r>
                  <w:r>
                    <w:rPr>
                      <w:rFonts w:hint="eastAsia" w:ascii="Times New Roman" w:hAnsi="Times New Roman" w:eastAsia="宋体" w:cs="Times New Roman"/>
                      <w:color w:val="000000" w:themeColor="text1"/>
                      <w:kern w:val="0"/>
                      <w:sz w:val="21"/>
                      <w:szCs w:val="21"/>
                      <w:lang w:val="zh-CN"/>
                      <w14:textFill>
                        <w14:solidFill>
                          <w14:schemeClr w14:val="tx1"/>
                        </w14:solidFill>
                      </w14:textFill>
                    </w:rPr>
                    <w:t>消防和危险品贮存设计规范。</w:t>
                  </w:r>
                </w:p>
              </w:tc>
              <w:tc>
                <w:tcPr>
                  <w:tcW w:w="705" w:type="dxa"/>
                  <w:vMerge w:val="continue"/>
                </w:tcPr>
                <w:p w14:paraId="629C7245">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r>
            <w:tr w14:paraId="5521C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continue"/>
                  <w:vAlign w:val="center"/>
                </w:tcPr>
                <w:p w14:paraId="48326DF4">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3819" w:type="dxa"/>
                  <w:vAlign w:val="center"/>
                </w:tcPr>
                <w:p w14:paraId="3518B629">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lang w:val="zh-CN"/>
                      <w14:textFill>
                        <w14:solidFill>
                          <w14:schemeClr w14:val="tx1"/>
                        </w14:solidFill>
                      </w14:textFill>
                    </w:rPr>
                    <w:t>废矿物油贮存设施应远离火源，并避免高温和阳光直射。</w:t>
                  </w:r>
                </w:p>
              </w:tc>
              <w:tc>
                <w:tcPr>
                  <w:tcW w:w="2975" w:type="dxa"/>
                  <w:tcBorders>
                    <w:top w:val="single" w:color="auto" w:sz="4" w:space="0"/>
                  </w:tcBorders>
                  <w:vAlign w:val="center"/>
                </w:tcPr>
                <w:p w14:paraId="401746C2">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项目废矿物油贮存于仓库内，远离火源，无高温和阳光直射。</w:t>
                  </w:r>
                </w:p>
              </w:tc>
              <w:tc>
                <w:tcPr>
                  <w:tcW w:w="705" w:type="dxa"/>
                  <w:vMerge w:val="continue"/>
                </w:tcPr>
                <w:p w14:paraId="5E3B99AF">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r>
            <w:tr w14:paraId="5809D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continue"/>
                  <w:vAlign w:val="center"/>
                </w:tcPr>
                <w:p w14:paraId="53ACAE20">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3819" w:type="dxa"/>
                  <w:vAlign w:val="center"/>
                </w:tcPr>
                <w:p w14:paraId="6E7D567E">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lang w:val="zh-CN"/>
                      <w14:textFill>
                        <w14:solidFill>
                          <w14:schemeClr w14:val="tx1"/>
                        </w14:solidFill>
                      </w14:textFill>
                    </w:rPr>
                    <w:t>废矿物油应使用专用设施贮存，贮存前应进行检验，不应与不相容的废物混合，实行分类存放。</w:t>
                  </w:r>
                </w:p>
              </w:tc>
              <w:tc>
                <w:tcPr>
                  <w:tcW w:w="2975" w:type="dxa"/>
                  <w:vAlign w:val="center"/>
                </w:tcPr>
                <w:p w14:paraId="05FD161D">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项目设置专门的废矿物油仓储区，采用合格油罐</w:t>
                  </w:r>
                  <w:r>
                    <w:rPr>
                      <w:rFonts w:hint="eastAsia" w:ascii="Times New Roman" w:hAnsi="Times New Roman" w:eastAsia="宋体" w:cs="Times New Roman"/>
                      <w:color w:val="000000" w:themeColor="text1"/>
                      <w:kern w:val="0"/>
                      <w:sz w:val="21"/>
                      <w:szCs w:val="21"/>
                      <w14:textFill>
                        <w14:solidFill>
                          <w14:schemeClr w14:val="tx1"/>
                        </w14:solidFill>
                      </w14:textFill>
                    </w:rPr>
                    <w:t>，</w:t>
                  </w:r>
                  <w:r>
                    <w:rPr>
                      <w:rFonts w:ascii="Times New Roman" w:hAnsi="Times New Roman" w:eastAsia="宋体" w:cs="Times New Roman"/>
                      <w:color w:val="000000" w:themeColor="text1"/>
                      <w:kern w:val="0"/>
                      <w:sz w:val="21"/>
                      <w:szCs w:val="21"/>
                      <w:lang w:val="zh-CN"/>
                      <w14:textFill>
                        <w14:solidFill>
                          <w14:schemeClr w14:val="tx1"/>
                        </w14:solidFill>
                      </w14:textFill>
                    </w:rPr>
                    <w:t>贮存前进行检验</w:t>
                  </w:r>
                  <w:r>
                    <w:rPr>
                      <w:rFonts w:hint="eastAsia" w:ascii="Times New Roman" w:hAnsi="Times New Roman" w:eastAsia="宋体" w:cs="Times New Roman"/>
                      <w:color w:val="000000" w:themeColor="text1"/>
                      <w:kern w:val="0"/>
                      <w:sz w:val="21"/>
                      <w:szCs w:val="21"/>
                      <w:lang w:val="zh-CN"/>
                      <w14:textFill>
                        <w14:solidFill>
                          <w14:schemeClr w14:val="tx1"/>
                        </w14:solidFill>
                      </w14:textFill>
                    </w:rPr>
                    <w:t>，</w:t>
                  </w:r>
                  <w:r>
                    <w:rPr>
                      <w:rFonts w:hint="eastAsia" w:ascii="Times New Roman" w:hAnsi="Times New Roman" w:eastAsia="宋体" w:cs="Times New Roman"/>
                      <w:color w:val="000000" w:themeColor="text1"/>
                      <w:kern w:val="0"/>
                      <w:sz w:val="21"/>
                      <w:szCs w:val="21"/>
                      <w14:textFill>
                        <w14:solidFill>
                          <w14:schemeClr w14:val="tx1"/>
                        </w14:solidFill>
                      </w14:textFill>
                    </w:rPr>
                    <w:t>不</w:t>
                  </w:r>
                  <w:r>
                    <w:rPr>
                      <w:rFonts w:ascii="Times New Roman" w:hAnsi="Times New Roman" w:eastAsia="宋体" w:cs="Times New Roman"/>
                      <w:color w:val="000000" w:themeColor="text1"/>
                      <w:kern w:val="0"/>
                      <w:sz w:val="21"/>
                      <w:szCs w:val="21"/>
                      <w:lang w:val="zh-CN"/>
                      <w14:textFill>
                        <w14:solidFill>
                          <w14:schemeClr w14:val="tx1"/>
                        </w14:solidFill>
                      </w14:textFill>
                    </w:rPr>
                    <w:t>与不相容的废物混合，实行分类存放。</w:t>
                  </w:r>
                </w:p>
              </w:tc>
              <w:tc>
                <w:tcPr>
                  <w:tcW w:w="705" w:type="dxa"/>
                  <w:vMerge w:val="continue"/>
                </w:tcPr>
                <w:p w14:paraId="41332EE8">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r>
            <w:tr w14:paraId="618BB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continue"/>
                  <w:vAlign w:val="center"/>
                </w:tcPr>
                <w:p w14:paraId="792FD139">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3819" w:type="dxa"/>
                  <w:vAlign w:val="center"/>
                </w:tcPr>
                <w:p w14:paraId="2FA5D8B3">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lang w:val="zh-CN"/>
                      <w14:textFill>
                        <w14:solidFill>
                          <w14:schemeClr w14:val="tx1"/>
                        </w14:solidFill>
                      </w14:textFill>
                    </w:rPr>
                    <w:t>废矿物油贮存设施内地面应</w:t>
                  </w:r>
                  <w:r>
                    <w:rPr>
                      <w:rFonts w:hint="eastAsia" w:cs="Times New Roman"/>
                      <w:color w:val="000000" w:themeColor="text1"/>
                      <w:kern w:val="0"/>
                      <w:sz w:val="21"/>
                      <w:szCs w:val="21"/>
                      <w:lang w:val="zh-CN"/>
                      <w14:textFill>
                        <w14:solidFill>
                          <w14:schemeClr w14:val="tx1"/>
                        </w14:solidFill>
                      </w14:textFill>
                    </w:rPr>
                    <w:t>做</w:t>
                  </w:r>
                  <w:r>
                    <w:rPr>
                      <w:rFonts w:ascii="Times New Roman" w:hAnsi="Times New Roman" w:eastAsia="宋体" w:cs="Times New Roman"/>
                      <w:color w:val="000000" w:themeColor="text1"/>
                      <w:kern w:val="0"/>
                      <w:sz w:val="21"/>
                      <w:szCs w:val="21"/>
                      <w:lang w:val="zh-CN"/>
                      <w14:textFill>
                        <w14:solidFill>
                          <w14:schemeClr w14:val="tx1"/>
                        </w14:solidFill>
                      </w14:textFill>
                    </w:rPr>
                    <w:t>防渗处理，并建设废矿物油收集和导流系统，用于收集不慎泄漏的废矿物油。</w:t>
                  </w:r>
                </w:p>
              </w:tc>
              <w:tc>
                <w:tcPr>
                  <w:tcW w:w="2975" w:type="dxa"/>
                  <w:vAlign w:val="center"/>
                </w:tcPr>
                <w:p w14:paraId="7D0AB1B1">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项目废矿物油仓储区</w:t>
                  </w:r>
                  <w:r>
                    <w:rPr>
                      <w:rFonts w:hint="eastAsia" w:ascii="Times New Roman" w:hAnsi="Times New Roman" w:eastAsia="宋体" w:cs="Times New Roman"/>
                      <w:color w:val="000000" w:themeColor="text1"/>
                      <w:kern w:val="0"/>
                      <w:sz w:val="21"/>
                      <w:szCs w:val="21"/>
                      <w14:textFill>
                        <w14:solidFill>
                          <w14:schemeClr w14:val="tx1"/>
                        </w14:solidFill>
                      </w14:textFill>
                    </w:rPr>
                    <w:t>地面</w:t>
                  </w:r>
                  <w:r>
                    <w:rPr>
                      <w:rFonts w:ascii="Times New Roman" w:hAnsi="Times New Roman" w:eastAsia="宋体" w:cs="Times New Roman"/>
                      <w:color w:val="000000" w:themeColor="text1"/>
                      <w:kern w:val="0"/>
                      <w:sz w:val="21"/>
                      <w:szCs w:val="21"/>
                      <w14:textFill>
                        <w14:solidFill>
                          <w14:schemeClr w14:val="tx1"/>
                        </w14:solidFill>
                      </w14:textFill>
                    </w:rPr>
                    <w:t>进行防渗</w:t>
                  </w:r>
                  <w:r>
                    <w:rPr>
                      <w:rFonts w:hint="eastAsia" w:ascii="Times New Roman" w:hAnsi="Times New Roman" w:eastAsia="宋体" w:cs="Times New Roman"/>
                      <w:color w:val="000000" w:themeColor="text1"/>
                      <w:kern w:val="0"/>
                      <w:sz w:val="21"/>
                      <w:szCs w:val="21"/>
                      <w14:textFill>
                        <w14:solidFill>
                          <w14:schemeClr w14:val="tx1"/>
                        </w14:solidFill>
                      </w14:textFill>
                    </w:rPr>
                    <w:t>处理</w:t>
                  </w:r>
                  <w:r>
                    <w:rPr>
                      <w:rFonts w:ascii="Times New Roman" w:hAnsi="Times New Roman" w:eastAsia="宋体" w:cs="Times New Roman"/>
                      <w:color w:val="000000" w:themeColor="text1"/>
                      <w:kern w:val="0"/>
                      <w:sz w:val="21"/>
                      <w:szCs w:val="21"/>
                      <w14:textFill>
                        <w14:solidFill>
                          <w14:schemeClr w14:val="tx1"/>
                        </w14:solidFill>
                      </w14:textFill>
                    </w:rPr>
                    <w:t>，设置围堰及导流系统，设置废矿物油收集池。</w:t>
                  </w:r>
                </w:p>
              </w:tc>
              <w:tc>
                <w:tcPr>
                  <w:tcW w:w="705" w:type="dxa"/>
                  <w:vMerge w:val="continue"/>
                </w:tcPr>
                <w:p w14:paraId="713A44B4">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r>
            <w:tr w14:paraId="6D87F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continue"/>
                  <w:vAlign w:val="center"/>
                </w:tcPr>
                <w:p w14:paraId="611E5CA9">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3819" w:type="dxa"/>
                  <w:vAlign w:val="center"/>
                </w:tcPr>
                <w:p w14:paraId="2564C038">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lang w:val="zh-CN"/>
                      <w14:textFill>
                        <w14:solidFill>
                          <w14:schemeClr w14:val="tx1"/>
                        </w14:solidFill>
                      </w14:textFill>
                    </w:rPr>
                    <w:t>废矿物油容器盛装液体废矿物油时，应留有足够的膨胀余量，预留容积应不少于总容积的5%。</w:t>
                  </w:r>
                </w:p>
              </w:tc>
              <w:tc>
                <w:tcPr>
                  <w:tcW w:w="2975" w:type="dxa"/>
                  <w:vAlign w:val="center"/>
                </w:tcPr>
                <w:p w14:paraId="68505A02">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项目废矿物油</w:t>
                  </w:r>
                  <w:r>
                    <w:rPr>
                      <w:rFonts w:hint="eastAsia" w:ascii="Times New Roman" w:hAnsi="Times New Roman" w:eastAsia="宋体" w:cs="Times New Roman"/>
                      <w:color w:val="000000" w:themeColor="text1"/>
                      <w:kern w:val="0"/>
                      <w:sz w:val="21"/>
                      <w:szCs w:val="21"/>
                      <w14:textFill>
                        <w14:solidFill>
                          <w14:schemeClr w14:val="tx1"/>
                        </w14:solidFill>
                      </w14:textFill>
                    </w:rPr>
                    <w:t>最大</w:t>
                  </w:r>
                  <w:r>
                    <w:rPr>
                      <w:rFonts w:ascii="Times New Roman" w:hAnsi="Times New Roman" w:eastAsia="宋体" w:cs="Times New Roman"/>
                      <w:color w:val="000000" w:themeColor="text1"/>
                      <w:kern w:val="0"/>
                      <w:sz w:val="21"/>
                      <w:szCs w:val="21"/>
                      <w14:textFill>
                        <w14:solidFill>
                          <w14:schemeClr w14:val="tx1"/>
                        </w14:solidFill>
                      </w14:textFill>
                    </w:rPr>
                    <w:t>贮存量为贮存设施</w:t>
                  </w:r>
                  <w:r>
                    <w:rPr>
                      <w:rFonts w:hint="eastAsia" w:ascii="Times New Roman" w:hAnsi="Times New Roman" w:eastAsia="宋体" w:cs="Times New Roman"/>
                      <w:color w:val="000000" w:themeColor="text1"/>
                      <w:kern w:val="0"/>
                      <w:sz w:val="21"/>
                      <w:szCs w:val="21"/>
                      <w14:textFill>
                        <w14:solidFill>
                          <w14:schemeClr w14:val="tx1"/>
                        </w14:solidFill>
                      </w14:textFill>
                    </w:rPr>
                    <w:t>（储罐）</w:t>
                  </w:r>
                  <w:r>
                    <w:rPr>
                      <w:rFonts w:ascii="Times New Roman" w:hAnsi="Times New Roman" w:eastAsia="宋体" w:cs="Times New Roman"/>
                      <w:color w:val="000000" w:themeColor="text1"/>
                      <w:kern w:val="0"/>
                      <w:sz w:val="21"/>
                      <w:szCs w:val="21"/>
                      <w14:textFill>
                        <w14:solidFill>
                          <w14:schemeClr w14:val="tx1"/>
                        </w14:solidFill>
                      </w14:textFill>
                    </w:rPr>
                    <w:t>的8</w:t>
                  </w:r>
                  <w:r>
                    <w:rPr>
                      <w:rFonts w:hint="eastAsia" w:cs="Times New Roman"/>
                      <w:color w:val="000000" w:themeColor="text1"/>
                      <w:kern w:val="0"/>
                      <w:sz w:val="21"/>
                      <w:szCs w:val="21"/>
                      <w:lang w:val="en-US" w:eastAsia="zh-CN"/>
                      <w14:textFill>
                        <w14:solidFill>
                          <w14:schemeClr w14:val="tx1"/>
                        </w14:solidFill>
                      </w14:textFill>
                    </w:rPr>
                    <w:t>0</w:t>
                  </w:r>
                  <w:r>
                    <w:rPr>
                      <w:rFonts w:ascii="Times New Roman" w:hAnsi="Times New Roman" w:eastAsia="宋体" w:cs="Times New Roman"/>
                      <w:color w:val="000000" w:themeColor="text1"/>
                      <w:kern w:val="0"/>
                      <w:sz w:val="21"/>
                      <w:szCs w:val="21"/>
                      <w14:textFill>
                        <w14:solidFill>
                          <w14:schemeClr w14:val="tx1"/>
                        </w14:solidFill>
                      </w14:textFill>
                    </w:rPr>
                    <w:t>%。</w:t>
                  </w:r>
                </w:p>
              </w:tc>
              <w:tc>
                <w:tcPr>
                  <w:tcW w:w="705" w:type="dxa"/>
                  <w:vMerge w:val="continue"/>
                </w:tcPr>
                <w:p w14:paraId="3D7DEF98">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r>
            <w:tr w14:paraId="2718B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33" w:type="dxa"/>
                  <w:vMerge w:val="continue"/>
                  <w:vAlign w:val="center"/>
                </w:tcPr>
                <w:p w14:paraId="0CB33982">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c>
                <w:tcPr>
                  <w:tcW w:w="3819" w:type="dxa"/>
                  <w:vAlign w:val="center"/>
                </w:tcPr>
                <w:p w14:paraId="48041DFD">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lang w:val="zh-CN"/>
                      <w14:textFill>
                        <w14:solidFill>
                          <w14:schemeClr w14:val="tx1"/>
                        </w14:solidFill>
                      </w14:textFill>
                    </w:rPr>
                    <w:t>已盛装废矿物油的容器应密封，贮油油罐应设置呼吸孔，防止气体膨胀，并安装防护罩，防止杂质落入。</w:t>
                  </w:r>
                </w:p>
              </w:tc>
              <w:tc>
                <w:tcPr>
                  <w:tcW w:w="2975" w:type="dxa"/>
                  <w:vAlign w:val="center"/>
                </w:tcPr>
                <w:p w14:paraId="317A197A">
                  <w:pPr>
                    <w:keepNext w:val="0"/>
                    <w:keepLines w:val="0"/>
                    <w:pageBreakBefore w:val="0"/>
                    <w:widowControl/>
                    <w:kinsoku/>
                    <w:wordWrap/>
                    <w:overflowPunct/>
                    <w:topLinePunct w:val="0"/>
                    <w:autoSpaceDE/>
                    <w:bidi w:val="0"/>
                    <w:adjustRightInd/>
                    <w:snapToGrid/>
                    <w:spacing w:line="240" w:lineRule="auto"/>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废矿物油</w:t>
                  </w:r>
                  <w:r>
                    <w:rPr>
                      <w:rFonts w:hint="eastAsia" w:cs="Times New Roman"/>
                      <w:color w:val="000000" w:themeColor="text1"/>
                      <w:kern w:val="0"/>
                      <w:sz w:val="21"/>
                      <w:szCs w:val="21"/>
                      <w:lang w:val="en-US" w:eastAsia="zh-CN"/>
                      <w14:textFill>
                        <w14:solidFill>
                          <w14:schemeClr w14:val="tx1"/>
                        </w14:solidFill>
                      </w14:textFill>
                    </w:rPr>
                    <w:t>储罐位于室内</w:t>
                  </w:r>
                  <w:r>
                    <w:rPr>
                      <w:rFonts w:ascii="Times New Roman" w:hAnsi="Times New Roman" w:eastAsia="宋体"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罐顶</w:t>
                  </w:r>
                  <w:r>
                    <w:rPr>
                      <w:rFonts w:ascii="Times New Roman" w:hAnsi="Times New Roman" w:eastAsia="宋体" w:cs="Times New Roman"/>
                      <w:color w:val="000000" w:themeColor="text1"/>
                      <w:kern w:val="0"/>
                      <w:sz w:val="21"/>
                      <w:szCs w:val="21"/>
                      <w14:textFill>
                        <w14:solidFill>
                          <w14:schemeClr w14:val="tx1"/>
                        </w14:solidFill>
                      </w14:textFill>
                    </w:rPr>
                    <w:t>设有呼吸</w:t>
                  </w:r>
                  <w:r>
                    <w:rPr>
                      <w:rFonts w:hint="eastAsia" w:cs="Times New Roman"/>
                      <w:color w:val="000000" w:themeColor="text1"/>
                      <w:kern w:val="0"/>
                      <w:sz w:val="21"/>
                      <w:szCs w:val="21"/>
                      <w:lang w:val="en-US" w:eastAsia="zh-CN"/>
                      <w14:textFill>
                        <w14:solidFill>
                          <w14:schemeClr w14:val="tx1"/>
                        </w14:solidFill>
                      </w14:textFill>
                    </w:rPr>
                    <w:t>阀</w:t>
                  </w:r>
                  <w:r>
                    <w:rPr>
                      <w:rFonts w:ascii="Times New Roman" w:hAnsi="Times New Roman" w:eastAsia="宋体" w:cs="Times New Roman"/>
                      <w:color w:val="000000" w:themeColor="text1"/>
                      <w:kern w:val="0"/>
                      <w:sz w:val="21"/>
                      <w:szCs w:val="21"/>
                      <w14:textFill>
                        <w14:solidFill>
                          <w14:schemeClr w14:val="tx1"/>
                        </w14:solidFill>
                      </w14:textFill>
                    </w:rPr>
                    <w:t>。</w:t>
                  </w:r>
                </w:p>
              </w:tc>
              <w:tc>
                <w:tcPr>
                  <w:tcW w:w="705" w:type="dxa"/>
                  <w:vMerge w:val="continue"/>
                </w:tcPr>
                <w:p w14:paraId="545F82D7">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Cs w:val="21"/>
                      <w14:textFill>
                        <w14:solidFill>
                          <w14:schemeClr w14:val="tx1"/>
                        </w14:solidFill>
                      </w14:textFill>
                    </w:rPr>
                  </w:pPr>
                </w:p>
              </w:tc>
            </w:tr>
          </w:tbl>
          <w:p w14:paraId="09FFFDD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经上表分析，本项目废矿物油在收集、暂时贮存、运输环节均可满足《废矿物油回收利用污染控制技术规范》（HJ607-2011）相关要求。</w:t>
            </w:r>
          </w:p>
          <w:p w14:paraId="0CB988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napToGrid w:val="0"/>
                <w:color w:val="000000" w:themeColor="text1"/>
                <w:sz w:val="24"/>
                <w:szCs w:val="24"/>
                <w:lang w:val="en-GB" w:eastAsia="zh-CN" w:bidi="ar-SA"/>
                <w14:textFill>
                  <w14:solidFill>
                    <w14:schemeClr w14:val="tx1"/>
                  </w14:solidFill>
                </w14:textFill>
              </w:rPr>
            </w:pPr>
            <w:r>
              <w:rPr>
                <w:rFonts w:hint="eastAsia" w:cs="Times New Roman"/>
                <w:b/>
                <w:bCs w:val="0"/>
                <w:color w:val="000000" w:themeColor="text1"/>
                <w:kern w:val="0"/>
                <w:sz w:val="24"/>
                <w:szCs w:val="21"/>
                <w:highlight w:val="none"/>
                <w:lang w:val="en-US" w:eastAsia="zh-CN" w:bidi="ar"/>
                <w14:textFill>
                  <w14:solidFill>
                    <w14:schemeClr w14:val="tx1"/>
                  </w14:solidFill>
                </w14:textFill>
              </w:rPr>
              <w:t>1.3.6项目</w:t>
            </w:r>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与</w:t>
            </w:r>
            <w:bookmarkStart w:id="9" w:name="_Hlk137333160"/>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《废铅酸蓄电池处理污染控制技术规范》（HJ519-2020）</w:t>
            </w:r>
            <w:bookmarkEnd w:id="9"/>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的符合性分析</w:t>
            </w:r>
          </w:p>
          <w:p w14:paraId="11C602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项目</w:t>
            </w:r>
            <w:r>
              <w:rPr>
                <w:rFonts w:hint="eastAsia" w:cs="Times New Roman"/>
                <w:color w:val="000000" w:themeColor="text1"/>
                <w:kern w:val="0"/>
                <w:sz w:val="24"/>
                <w:lang w:val="en-US" w:eastAsia="zh-CN"/>
                <w14:textFill>
                  <w14:solidFill>
                    <w14:schemeClr w14:val="tx1"/>
                  </w14:solidFill>
                </w14:textFill>
              </w:rPr>
              <w:t>不收集破损废铅蓄电池，项目建设满足《废铅酸蓄电池处理污染控制技术规范》（HJ519-2020）中收集、贮存要求，具体</w:t>
            </w:r>
            <w:r>
              <w:rPr>
                <w:rFonts w:hint="eastAsia" w:ascii="Times New Roman" w:hAnsi="Times New Roman" w:eastAsia="宋体" w:cs="Times New Roman"/>
                <w:color w:val="000000" w:themeColor="text1"/>
                <w:kern w:val="0"/>
                <w:sz w:val="24"/>
                <w14:textFill>
                  <w14:solidFill>
                    <w14:schemeClr w14:val="tx1"/>
                  </w14:solidFill>
                </w14:textFill>
              </w:rPr>
              <w:t>相符性分析见表</w:t>
            </w:r>
            <w:r>
              <w:rPr>
                <w:rFonts w:hint="eastAsia" w:cs="Times New Roman"/>
                <w:color w:val="000000" w:themeColor="text1"/>
                <w:kern w:val="0"/>
                <w:sz w:val="24"/>
                <w:lang w:val="en-US" w:eastAsia="zh-CN"/>
                <w14:textFill>
                  <w14:solidFill>
                    <w14:schemeClr w14:val="tx1"/>
                  </w14:solidFill>
                </w14:textFill>
              </w:rPr>
              <w:t>1.3-6所示</w:t>
            </w:r>
            <w:r>
              <w:rPr>
                <w:rFonts w:hint="eastAsia" w:ascii="Times New Roman" w:hAnsi="Times New Roman" w:eastAsia="宋体" w:cs="Times New Roman"/>
                <w:color w:val="000000" w:themeColor="text1"/>
                <w:kern w:val="0"/>
                <w:sz w:val="24"/>
                <w14:textFill>
                  <w14:solidFill>
                    <w14:schemeClr w14:val="tx1"/>
                  </w14:solidFill>
                </w14:textFill>
              </w:rPr>
              <w:t>。</w:t>
            </w:r>
          </w:p>
          <w:p w14:paraId="629F8DC1">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val="0"/>
                <w:color w:val="000000" w:themeColor="text1"/>
                <w:sz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lang w:val="en-US" w:eastAsia="zh-CN"/>
                <w14:textFill>
                  <w14:solidFill>
                    <w14:schemeClr w14:val="tx1"/>
                  </w14:solidFill>
                </w14:textFill>
              </w:rPr>
              <w:t>表1.3-6  与废铅酸蓄电池处理污染控制技术规范相关要求的符合性分析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4012"/>
              <w:gridCol w:w="2904"/>
              <w:gridCol w:w="821"/>
            </w:tblGrid>
            <w:tr w14:paraId="79D0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blHeader/>
                <w:jc w:val="center"/>
              </w:trPr>
              <w:tc>
                <w:tcPr>
                  <w:tcW w:w="4355" w:type="dxa"/>
                  <w:gridSpan w:val="2"/>
                  <w:tcBorders>
                    <w:tl2br w:val="nil"/>
                    <w:tr2bl w:val="nil"/>
                  </w:tcBorders>
                  <w:vAlign w:val="center"/>
                </w:tcPr>
                <w:p w14:paraId="06B898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000000" w:themeColor="text1"/>
                      <w:szCs w:val="21"/>
                      <w14:textFill>
                        <w14:solidFill>
                          <w14:schemeClr w14:val="tx1"/>
                        </w14:solidFill>
                      </w14:textFill>
                    </w:rPr>
                  </w:pPr>
                  <w:r>
                    <w:rPr>
                      <w:rFonts w:ascii="Times New Roman" w:hAnsi="Times New Roman" w:eastAsia="宋体" w:cs="Times New Roman"/>
                      <w:b/>
                      <w:bCs w:val="0"/>
                      <w:color w:val="000000" w:themeColor="text1"/>
                      <w:szCs w:val="21"/>
                      <w14:textFill>
                        <w14:solidFill>
                          <w14:schemeClr w14:val="tx1"/>
                        </w14:solidFill>
                      </w14:textFill>
                    </w:rPr>
                    <w:t>技术规范要求</w:t>
                  </w:r>
                </w:p>
              </w:tc>
              <w:tc>
                <w:tcPr>
                  <w:tcW w:w="2789" w:type="dxa"/>
                  <w:tcBorders>
                    <w:tl2br w:val="nil"/>
                    <w:tr2bl w:val="nil"/>
                  </w:tcBorders>
                  <w:vAlign w:val="center"/>
                </w:tcPr>
                <w:p w14:paraId="030FA1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000000" w:themeColor="text1"/>
                      <w:szCs w:val="21"/>
                      <w14:textFill>
                        <w14:solidFill>
                          <w14:schemeClr w14:val="tx1"/>
                        </w14:solidFill>
                      </w14:textFill>
                    </w:rPr>
                  </w:pPr>
                  <w:r>
                    <w:rPr>
                      <w:rFonts w:ascii="Times New Roman" w:hAnsi="Times New Roman" w:eastAsia="宋体" w:cs="Times New Roman"/>
                      <w:b/>
                      <w:bCs w:val="0"/>
                      <w:color w:val="000000" w:themeColor="text1"/>
                      <w:szCs w:val="21"/>
                      <w14:textFill>
                        <w14:solidFill>
                          <w14:schemeClr w14:val="tx1"/>
                        </w14:solidFill>
                      </w14:textFill>
                    </w:rPr>
                    <w:t>本项目</w:t>
                  </w:r>
                </w:p>
              </w:tc>
              <w:tc>
                <w:tcPr>
                  <w:tcW w:w="789" w:type="dxa"/>
                  <w:tcBorders>
                    <w:tl2br w:val="nil"/>
                    <w:tr2bl w:val="nil"/>
                  </w:tcBorders>
                  <w:vAlign w:val="center"/>
                </w:tcPr>
                <w:p w14:paraId="6F871C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000000" w:themeColor="text1"/>
                      <w:szCs w:val="21"/>
                      <w14:textFill>
                        <w14:solidFill>
                          <w14:schemeClr w14:val="tx1"/>
                        </w14:solidFill>
                      </w14:textFill>
                    </w:rPr>
                  </w:pPr>
                  <w:r>
                    <w:rPr>
                      <w:rFonts w:ascii="Times New Roman" w:hAnsi="Times New Roman" w:eastAsia="宋体" w:cs="Times New Roman"/>
                      <w:b/>
                      <w:bCs w:val="0"/>
                      <w:color w:val="000000" w:themeColor="text1"/>
                      <w:szCs w:val="21"/>
                      <w14:textFill>
                        <w14:solidFill>
                          <w14:schemeClr w14:val="tx1"/>
                        </w14:solidFill>
                      </w14:textFill>
                    </w:rPr>
                    <w:t>符合性</w:t>
                  </w:r>
                </w:p>
              </w:tc>
            </w:tr>
            <w:tr w14:paraId="68C1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restart"/>
                  <w:tcBorders>
                    <w:tl2br w:val="nil"/>
                    <w:tr2bl w:val="nil"/>
                  </w:tcBorders>
                  <w:vAlign w:val="center"/>
                </w:tcPr>
                <w:p w14:paraId="530F41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总体要求</w:t>
                  </w:r>
                </w:p>
              </w:tc>
              <w:tc>
                <w:tcPr>
                  <w:tcW w:w="3854" w:type="dxa"/>
                  <w:tcBorders>
                    <w:tl2br w:val="nil"/>
                    <w:tr2bl w:val="nil"/>
                  </w:tcBorders>
                  <w:vAlign w:val="center"/>
                </w:tcPr>
                <w:p w14:paraId="2B1603C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从事废铅蓄电池收集、贮存的企业，应依法获得危险废物经营许可证；禁止无经营许可证或者不按照经营许可证规定从事废铅蓄电池收集、贮存经营活动。</w:t>
                  </w:r>
                </w:p>
              </w:tc>
              <w:tc>
                <w:tcPr>
                  <w:tcW w:w="2789" w:type="dxa"/>
                  <w:tcBorders>
                    <w:tl2br w:val="nil"/>
                    <w:tr2bl w:val="nil"/>
                  </w:tcBorders>
                  <w:vAlign w:val="center"/>
                </w:tcPr>
                <w:p w14:paraId="0B19E72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项目为新建项目，环评要求项目建成后及时办理危险废物经营许可证相关信息。</w:t>
                  </w:r>
                </w:p>
              </w:tc>
              <w:tc>
                <w:tcPr>
                  <w:tcW w:w="789" w:type="dxa"/>
                  <w:vMerge w:val="restart"/>
                  <w:tcBorders>
                    <w:tl2br w:val="nil"/>
                    <w:tr2bl w:val="nil"/>
                  </w:tcBorders>
                  <w:vAlign w:val="center"/>
                </w:tcPr>
                <w:p w14:paraId="18F23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符合</w:t>
                  </w:r>
                </w:p>
              </w:tc>
            </w:tr>
            <w:tr w14:paraId="2B79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1" w:type="dxa"/>
                  <w:vMerge w:val="continue"/>
                  <w:tcBorders>
                    <w:tl2br w:val="nil"/>
                    <w:tr2bl w:val="nil"/>
                  </w:tcBorders>
                  <w:vAlign w:val="center"/>
                </w:tcPr>
                <w:p w14:paraId="1E2E9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c>
                <w:tcPr>
                  <w:tcW w:w="3854" w:type="dxa"/>
                  <w:tcBorders>
                    <w:tl2br w:val="nil"/>
                    <w:tr2bl w:val="nil"/>
                  </w:tcBorders>
                  <w:vAlign w:val="center"/>
                </w:tcPr>
                <w:p w14:paraId="455E8CD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收集、运输、贮存废铅蓄电池的容器或托盘，应根据废铅蓄电池的特性设计，不易破损、变形，其所用材料能有效地防止渗漏、扩散，并耐酸腐蚀。装有废铅蓄电池的容器或托盘必须粘贴符合GB18597要求的危险废物标签。</w:t>
                  </w:r>
                </w:p>
              </w:tc>
              <w:tc>
                <w:tcPr>
                  <w:tcW w:w="2789" w:type="dxa"/>
                  <w:tcBorders>
                    <w:tl2br w:val="nil"/>
                    <w:tr2bl w:val="nil"/>
                  </w:tcBorders>
                  <w:vAlign w:val="center"/>
                </w:tcPr>
                <w:p w14:paraId="5D6D403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项目</w:t>
                  </w:r>
                  <w:r>
                    <w:rPr>
                      <w:rFonts w:hint="eastAsia" w:cs="Times New Roman"/>
                      <w:color w:val="000000" w:themeColor="text1"/>
                      <w:szCs w:val="21"/>
                      <w:lang w:val="en-US" w:eastAsia="zh-CN"/>
                      <w14:textFill>
                        <w14:solidFill>
                          <w14:schemeClr w14:val="tx1"/>
                        </w14:solidFill>
                      </w14:textFill>
                    </w:rPr>
                    <w:t>不收集破损铅蓄电池，</w:t>
                  </w:r>
                  <w:r>
                    <w:rPr>
                      <w:rFonts w:ascii="Times New Roman" w:hAnsi="Times New Roman" w:eastAsia="宋体" w:cs="Times New Roman"/>
                      <w:color w:val="000000" w:themeColor="text1"/>
                      <w:szCs w:val="21"/>
                      <w14:textFill>
                        <w14:solidFill>
                          <w14:schemeClr w14:val="tx1"/>
                        </w14:solidFill>
                      </w14:textFill>
                    </w:rPr>
                    <w:t>完整铅酸蓄电池采用托盘盛装，均耐酸耐腐蚀，且贴符合GB18597要求的危险废物标签。</w:t>
                  </w:r>
                </w:p>
              </w:tc>
              <w:tc>
                <w:tcPr>
                  <w:tcW w:w="789" w:type="dxa"/>
                  <w:vMerge w:val="continue"/>
                  <w:tcBorders>
                    <w:tl2br w:val="nil"/>
                    <w:tr2bl w:val="nil"/>
                  </w:tcBorders>
                  <w:vAlign w:val="center"/>
                </w:tcPr>
                <w:p w14:paraId="0A258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r>
            <w:tr w14:paraId="3846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1" w:type="dxa"/>
                  <w:vMerge w:val="continue"/>
                  <w:tcBorders>
                    <w:tl2br w:val="nil"/>
                    <w:tr2bl w:val="nil"/>
                  </w:tcBorders>
                  <w:vAlign w:val="center"/>
                </w:tcPr>
                <w:p w14:paraId="55DCDC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c>
                <w:tcPr>
                  <w:tcW w:w="3854" w:type="dxa"/>
                  <w:tcBorders>
                    <w:tl2br w:val="nil"/>
                    <w:tr2bl w:val="nil"/>
                  </w:tcBorders>
                  <w:vAlign w:val="center"/>
                </w:tcPr>
                <w:p w14:paraId="647D3D2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废铅蓄电池收集、贮存企业应建立废铅蓄电池收集处理数据信息管理系统，如实记录收集、贮存、转移废铅蓄电池的重量、来源、去向等信息，并实现与全国固体废物管理信息系统的数据对接。</w:t>
                  </w:r>
                </w:p>
              </w:tc>
              <w:tc>
                <w:tcPr>
                  <w:tcW w:w="2789" w:type="dxa"/>
                  <w:tcBorders>
                    <w:tl2br w:val="nil"/>
                    <w:tr2bl w:val="nil"/>
                  </w:tcBorders>
                  <w:vAlign w:val="center"/>
                </w:tcPr>
                <w:p w14:paraId="36ECFB4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本项目废铅酸蓄电池收集、贮存、转运过程均采用台账记录废铅酸蓄电池来源、去向等相关信息。</w:t>
                  </w:r>
                </w:p>
              </w:tc>
              <w:tc>
                <w:tcPr>
                  <w:tcW w:w="789" w:type="dxa"/>
                  <w:vMerge w:val="continue"/>
                  <w:tcBorders>
                    <w:tl2br w:val="nil"/>
                    <w:tr2bl w:val="nil"/>
                  </w:tcBorders>
                  <w:vAlign w:val="center"/>
                </w:tcPr>
                <w:p w14:paraId="6B8D2F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r>
            <w:tr w14:paraId="3B22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l2br w:val="nil"/>
                    <w:tr2bl w:val="nil"/>
                  </w:tcBorders>
                  <w:vAlign w:val="center"/>
                </w:tcPr>
                <w:p w14:paraId="57482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c>
                <w:tcPr>
                  <w:tcW w:w="3854" w:type="dxa"/>
                  <w:tcBorders>
                    <w:tl2br w:val="nil"/>
                    <w:tr2bl w:val="nil"/>
                  </w:tcBorders>
                  <w:vAlign w:val="center"/>
                </w:tcPr>
                <w:p w14:paraId="71DF179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禁止在收集、运输和贮存过程中擅自拆解、破碎、丢弃废铅蓄电池；禁止倾倒含铅酸性电解质。</w:t>
                  </w:r>
                </w:p>
              </w:tc>
              <w:tc>
                <w:tcPr>
                  <w:tcW w:w="2789" w:type="dxa"/>
                  <w:tcBorders>
                    <w:tl2br w:val="nil"/>
                    <w:tr2bl w:val="nil"/>
                  </w:tcBorders>
                  <w:vAlign w:val="center"/>
                </w:tcPr>
                <w:p w14:paraId="3B3E0BD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本项目仅收集、贮存和转运废铅酸蓄电池，不对其进行处理、处置等操作。</w:t>
                  </w:r>
                </w:p>
              </w:tc>
              <w:tc>
                <w:tcPr>
                  <w:tcW w:w="789" w:type="dxa"/>
                  <w:vMerge w:val="continue"/>
                  <w:tcBorders>
                    <w:tl2br w:val="nil"/>
                    <w:tr2bl w:val="nil"/>
                  </w:tcBorders>
                  <w:vAlign w:val="center"/>
                </w:tcPr>
                <w:p w14:paraId="115FF9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r>
            <w:tr w14:paraId="5F2E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1" w:type="dxa"/>
                  <w:vMerge w:val="continue"/>
                  <w:tcBorders>
                    <w:tl2br w:val="nil"/>
                    <w:tr2bl w:val="nil"/>
                  </w:tcBorders>
                  <w:vAlign w:val="center"/>
                </w:tcPr>
                <w:p w14:paraId="22887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c>
                <w:tcPr>
                  <w:tcW w:w="3854" w:type="dxa"/>
                  <w:tcBorders>
                    <w:tl2br w:val="nil"/>
                    <w:tr2bl w:val="nil"/>
                  </w:tcBorders>
                  <w:vAlign w:val="center"/>
                </w:tcPr>
                <w:p w14:paraId="26E8F8D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废铅蓄电池收集企业和运输企业应组织收集人员、运输车辆驾驶员等相关人员参加危险废物环境管理和环境事故应急救援方面的培训。</w:t>
                  </w:r>
                </w:p>
              </w:tc>
              <w:tc>
                <w:tcPr>
                  <w:tcW w:w="2789" w:type="dxa"/>
                  <w:tcBorders>
                    <w:tl2br w:val="nil"/>
                    <w:tr2bl w:val="nil"/>
                  </w:tcBorders>
                  <w:vAlign w:val="center"/>
                </w:tcPr>
                <w:p w14:paraId="260F805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本项目作业人员均要求培训后</w:t>
                  </w:r>
                  <w:r>
                    <w:rPr>
                      <w:rFonts w:hint="eastAsia" w:cs="Times New Roman"/>
                      <w:bCs/>
                      <w:color w:val="000000" w:themeColor="text1"/>
                      <w:kern w:val="0"/>
                      <w:szCs w:val="21"/>
                      <w:lang w:eastAsia="zh-CN"/>
                      <w14:textFill>
                        <w14:solidFill>
                          <w14:schemeClr w14:val="tx1"/>
                        </w14:solidFill>
                      </w14:textFill>
                    </w:rPr>
                    <w:t>再</w:t>
                  </w:r>
                  <w:r>
                    <w:rPr>
                      <w:rFonts w:ascii="Times New Roman" w:hAnsi="Times New Roman" w:eastAsia="宋体" w:cs="Times New Roman"/>
                      <w:bCs/>
                      <w:color w:val="000000" w:themeColor="text1"/>
                      <w:kern w:val="0"/>
                      <w:szCs w:val="21"/>
                      <w14:textFill>
                        <w14:solidFill>
                          <w14:schemeClr w14:val="tx1"/>
                        </w14:solidFill>
                      </w14:textFill>
                    </w:rPr>
                    <w:t>上岗。</w:t>
                  </w:r>
                </w:p>
              </w:tc>
              <w:tc>
                <w:tcPr>
                  <w:tcW w:w="789" w:type="dxa"/>
                  <w:vMerge w:val="continue"/>
                  <w:tcBorders>
                    <w:tl2br w:val="nil"/>
                    <w:tr2bl w:val="nil"/>
                  </w:tcBorders>
                  <w:vAlign w:val="center"/>
                </w:tcPr>
                <w:p w14:paraId="0C484B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r>
            <w:tr w14:paraId="0B1C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01" w:type="dxa"/>
                  <w:vMerge w:val="restart"/>
                  <w:tcBorders>
                    <w:tl2br w:val="nil"/>
                    <w:tr2bl w:val="nil"/>
                  </w:tcBorders>
                  <w:vAlign w:val="center"/>
                </w:tcPr>
                <w:p w14:paraId="76BB35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收集</w:t>
                  </w:r>
                </w:p>
              </w:tc>
              <w:tc>
                <w:tcPr>
                  <w:tcW w:w="3854" w:type="dxa"/>
                  <w:tcBorders>
                    <w:tl2br w:val="nil"/>
                    <w:tr2bl w:val="nil"/>
                  </w:tcBorders>
                  <w:vAlign w:val="center"/>
                </w:tcPr>
                <w:p w14:paraId="48B064C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收集企业可在收集区域内设置废铅蓄电池收集网点，建设废铅蓄电池集中转运点，以利于中转。</w:t>
                  </w:r>
                </w:p>
              </w:tc>
              <w:tc>
                <w:tcPr>
                  <w:tcW w:w="2789" w:type="dxa"/>
                  <w:tcBorders>
                    <w:tl2br w:val="nil"/>
                    <w:tr2bl w:val="nil"/>
                  </w:tcBorders>
                  <w:vAlign w:val="center"/>
                </w:tcPr>
                <w:p w14:paraId="054AAC8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本项目属废铅酸蓄电池收集企业，针对废铅酸蓄电池产生较集中的企业进行收集，有利中转。</w:t>
                  </w:r>
                </w:p>
              </w:tc>
              <w:tc>
                <w:tcPr>
                  <w:tcW w:w="789" w:type="dxa"/>
                  <w:vMerge w:val="restart"/>
                  <w:tcBorders>
                    <w:tl2br w:val="nil"/>
                    <w:tr2bl w:val="nil"/>
                  </w:tcBorders>
                  <w:vAlign w:val="center"/>
                </w:tcPr>
                <w:p w14:paraId="724075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符合</w:t>
                  </w:r>
                </w:p>
              </w:tc>
            </w:tr>
            <w:tr w14:paraId="7124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01" w:type="dxa"/>
                  <w:vMerge w:val="continue"/>
                  <w:tcBorders>
                    <w:tl2br w:val="nil"/>
                    <w:tr2bl w:val="nil"/>
                  </w:tcBorders>
                  <w:vAlign w:val="center"/>
                </w:tcPr>
                <w:p w14:paraId="6A6CCF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c>
                <w:tcPr>
                  <w:tcW w:w="3854" w:type="dxa"/>
                  <w:tcBorders>
                    <w:tl2br w:val="nil"/>
                    <w:tr2bl w:val="nil"/>
                  </w:tcBorders>
                  <w:vAlign w:val="center"/>
                </w:tcPr>
                <w:p w14:paraId="4FD9334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废铅蓄电池收集过程应采取以下防范措施，避免发生环境污染事故：</w:t>
                  </w:r>
                  <w:r>
                    <w:rPr>
                      <w:rFonts w:hint="eastAsia" w:ascii="宋体" w:hAnsi="宋体" w:eastAsia="宋体" w:cs="宋体"/>
                      <w:bCs/>
                      <w:color w:val="000000" w:themeColor="text1"/>
                      <w:szCs w:val="21"/>
                      <w14:textFill>
                        <w14:solidFill>
                          <w14:schemeClr w14:val="tx1"/>
                        </w14:solidFill>
                      </w14:textFill>
                    </w:rPr>
                    <w:t>①</w:t>
                  </w:r>
                  <w:r>
                    <w:rPr>
                      <w:rFonts w:ascii="Times New Roman" w:hAnsi="Times New Roman" w:eastAsia="宋体" w:cs="Times New Roman"/>
                      <w:bCs/>
                      <w:color w:val="000000" w:themeColor="text1"/>
                      <w:szCs w:val="21"/>
                      <w14:textFill>
                        <w14:solidFill>
                          <w14:schemeClr w14:val="tx1"/>
                        </w14:solidFill>
                      </w14:textFill>
                    </w:rPr>
                    <w:t>废铅蓄电池应进行合理包装，防止运输过程破损和电解质泄漏。</w:t>
                  </w:r>
                  <w:r>
                    <w:rPr>
                      <w:rFonts w:hint="eastAsia" w:ascii="宋体" w:hAnsi="宋体" w:eastAsia="宋体" w:cs="宋体"/>
                      <w:bCs/>
                      <w:color w:val="000000" w:themeColor="text1"/>
                      <w:szCs w:val="21"/>
                      <w14:textFill>
                        <w14:solidFill>
                          <w14:schemeClr w14:val="tx1"/>
                        </w14:solidFill>
                      </w14:textFill>
                    </w:rPr>
                    <w:t>②</w:t>
                  </w:r>
                  <w:r>
                    <w:rPr>
                      <w:rFonts w:ascii="Times New Roman" w:hAnsi="Times New Roman" w:eastAsia="宋体" w:cs="Times New Roman"/>
                      <w:bCs/>
                      <w:color w:val="000000" w:themeColor="text1"/>
                      <w:szCs w:val="21"/>
                      <w14:textFill>
                        <w14:solidFill>
                          <w14:schemeClr w14:val="tx1"/>
                        </w14:solidFill>
                      </w14:textFill>
                    </w:rPr>
                    <w:t>废铅蓄电池有破损或电解质渗漏的，应将废铅蓄电池及其渗漏液贮存于耐酸容器中。</w:t>
                  </w:r>
                </w:p>
              </w:tc>
              <w:tc>
                <w:tcPr>
                  <w:tcW w:w="2789" w:type="dxa"/>
                  <w:tcBorders>
                    <w:tl2br w:val="nil"/>
                    <w:tr2bl w:val="nil"/>
                  </w:tcBorders>
                  <w:vAlign w:val="center"/>
                </w:tcPr>
                <w:p w14:paraId="7278280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项目不收集破损铅蓄电池</w:t>
                  </w:r>
                  <w:r>
                    <w:rPr>
                      <w:rFonts w:ascii="Times New Roman" w:hAnsi="Times New Roman" w:eastAsia="宋体" w:cs="Times New Roman"/>
                      <w:bCs/>
                      <w:color w:val="000000" w:themeColor="text1"/>
                      <w:kern w:val="0"/>
                      <w:szCs w:val="21"/>
                      <w14:textFill>
                        <w14:solidFill>
                          <w14:schemeClr w14:val="tx1"/>
                        </w14:solidFill>
                      </w14:textFill>
                    </w:rPr>
                    <w:t>，完整铅酸蓄电池置于托盘内，避免堆放过高导致破损。</w:t>
                  </w:r>
                </w:p>
              </w:tc>
              <w:tc>
                <w:tcPr>
                  <w:tcW w:w="789" w:type="dxa"/>
                  <w:vMerge w:val="continue"/>
                  <w:tcBorders>
                    <w:tl2br w:val="nil"/>
                    <w:tr2bl w:val="nil"/>
                  </w:tcBorders>
                  <w:vAlign w:val="center"/>
                </w:tcPr>
                <w:p w14:paraId="023D80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r>
            <w:tr w14:paraId="6533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501" w:type="dxa"/>
                  <w:vMerge w:val="restart"/>
                  <w:tcBorders>
                    <w:tl2br w:val="nil"/>
                    <w:tr2bl w:val="nil"/>
                  </w:tcBorders>
                  <w:vAlign w:val="center"/>
                </w:tcPr>
                <w:p w14:paraId="4FA822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暂存和贮存</w:t>
                  </w:r>
                </w:p>
              </w:tc>
              <w:tc>
                <w:tcPr>
                  <w:tcW w:w="3854" w:type="dxa"/>
                  <w:tcBorders>
                    <w:tl2br w:val="nil"/>
                    <w:tr2bl w:val="nil"/>
                  </w:tcBorders>
                  <w:vAlign w:val="center"/>
                </w:tcPr>
                <w:p w14:paraId="1EDE502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废铅蓄电池集中转运点贮存设施应开展环境影响评价，并参照GB18597的有关要求进行建设和管理，符合以下要求：</w:t>
                  </w:r>
                  <w:r>
                    <w:rPr>
                      <w:rFonts w:hint="eastAsia" w:ascii="宋体" w:hAnsi="宋体" w:eastAsia="宋体" w:cs="宋体"/>
                      <w:bCs/>
                      <w:color w:val="000000" w:themeColor="text1"/>
                      <w:szCs w:val="21"/>
                      <w14:textFill>
                        <w14:solidFill>
                          <w14:schemeClr w14:val="tx1"/>
                        </w14:solidFill>
                      </w14:textFill>
                    </w:rPr>
                    <w:t>①</w:t>
                  </w:r>
                  <w:r>
                    <w:rPr>
                      <w:rFonts w:ascii="Times New Roman" w:hAnsi="Times New Roman" w:eastAsia="宋体" w:cs="Times New Roman"/>
                      <w:bCs/>
                      <w:color w:val="000000" w:themeColor="text1"/>
                      <w:szCs w:val="21"/>
                      <w14:textFill>
                        <w14:solidFill>
                          <w14:schemeClr w14:val="tx1"/>
                        </w14:solidFill>
                      </w14:textFill>
                    </w:rPr>
                    <w:t>应防雨，必须远离其他水源和热源；</w:t>
                  </w:r>
                  <w:r>
                    <w:rPr>
                      <w:rFonts w:hint="eastAsia" w:ascii="宋体" w:hAnsi="宋体" w:eastAsia="宋体" w:cs="宋体"/>
                      <w:bCs/>
                      <w:color w:val="000000" w:themeColor="text1"/>
                      <w:szCs w:val="21"/>
                      <w14:textFill>
                        <w14:solidFill>
                          <w14:schemeClr w14:val="tx1"/>
                        </w14:solidFill>
                      </w14:textFill>
                    </w:rPr>
                    <w:t>②</w:t>
                  </w:r>
                  <w:r>
                    <w:rPr>
                      <w:rFonts w:ascii="Times New Roman" w:hAnsi="Times New Roman" w:eastAsia="宋体" w:cs="Times New Roman"/>
                      <w:bCs/>
                      <w:color w:val="000000" w:themeColor="text1"/>
                      <w:szCs w:val="21"/>
                      <w14:textFill>
                        <w14:solidFill>
                          <w14:schemeClr w14:val="tx1"/>
                        </w14:solidFill>
                      </w14:textFill>
                    </w:rPr>
                    <w:t>面积不少于30m</w:t>
                  </w:r>
                  <w:r>
                    <w:rPr>
                      <w:rFonts w:ascii="Times New Roman" w:hAnsi="Times New Roman" w:eastAsia="宋体" w:cs="Times New Roman"/>
                      <w:bCs/>
                      <w:color w:val="000000" w:themeColor="text1"/>
                      <w:szCs w:val="21"/>
                      <w:vertAlign w:val="superscript"/>
                      <w14:textFill>
                        <w14:solidFill>
                          <w14:schemeClr w14:val="tx1"/>
                        </w14:solidFill>
                      </w14:textFill>
                    </w:rPr>
                    <w:t>2</w:t>
                  </w:r>
                  <w:r>
                    <w:rPr>
                      <w:rFonts w:ascii="Times New Roman" w:hAnsi="Times New Roman" w:eastAsia="宋体" w:cs="Times New Roman"/>
                      <w:bCs/>
                      <w:color w:val="000000" w:themeColor="text1"/>
                      <w:szCs w:val="21"/>
                      <w14:textFill>
                        <w14:solidFill>
                          <w14:schemeClr w14:val="tx1"/>
                        </w14:solidFill>
                      </w14:textFill>
                    </w:rPr>
                    <w:t>，有硬化地面和必要的防渗措施；</w:t>
                  </w:r>
                  <w:r>
                    <w:rPr>
                      <w:rFonts w:hint="eastAsia" w:ascii="宋体" w:hAnsi="宋体" w:eastAsia="宋体" w:cs="宋体"/>
                      <w:bCs/>
                      <w:color w:val="000000" w:themeColor="text1"/>
                      <w:szCs w:val="21"/>
                      <w14:textFill>
                        <w14:solidFill>
                          <w14:schemeClr w14:val="tx1"/>
                        </w14:solidFill>
                      </w14:textFill>
                    </w:rPr>
                    <w:t>③</w:t>
                  </w:r>
                  <w:r>
                    <w:rPr>
                      <w:rFonts w:ascii="Times New Roman" w:hAnsi="Times New Roman" w:eastAsia="宋体" w:cs="Times New Roman"/>
                      <w:bCs/>
                      <w:color w:val="000000" w:themeColor="text1"/>
                      <w:szCs w:val="21"/>
                      <w14:textFill>
                        <w14:solidFill>
                          <w14:schemeClr w14:val="tx1"/>
                        </w14:solidFill>
                      </w14:textFill>
                    </w:rPr>
                    <w:t>应设有截流槽、导流沟、临时应急池和废液收集系统；</w:t>
                  </w:r>
                  <w:r>
                    <w:rPr>
                      <w:rFonts w:hint="eastAsia" w:ascii="宋体" w:hAnsi="宋体" w:eastAsia="宋体" w:cs="宋体"/>
                      <w:bCs/>
                      <w:color w:val="000000" w:themeColor="text1"/>
                      <w:szCs w:val="21"/>
                      <w14:textFill>
                        <w14:solidFill>
                          <w14:schemeClr w14:val="tx1"/>
                        </w14:solidFill>
                      </w14:textFill>
                    </w:rPr>
                    <w:t>④</w:t>
                  </w:r>
                  <w:r>
                    <w:rPr>
                      <w:rFonts w:ascii="Times New Roman" w:hAnsi="Times New Roman" w:eastAsia="宋体" w:cs="Times New Roman"/>
                      <w:bCs/>
                      <w:color w:val="000000" w:themeColor="text1"/>
                      <w:szCs w:val="21"/>
                      <w14:textFill>
                        <w14:solidFill>
                          <w14:schemeClr w14:val="tx1"/>
                        </w14:solidFill>
                      </w14:textFill>
                    </w:rPr>
                    <w:t>应配备通讯设备、计量设备、照明设施、视频监控设施；</w:t>
                  </w:r>
                  <w:r>
                    <w:rPr>
                      <w:rFonts w:hint="eastAsia" w:ascii="宋体" w:hAnsi="宋体" w:eastAsia="宋体" w:cs="宋体"/>
                      <w:bCs/>
                      <w:color w:val="000000" w:themeColor="text1"/>
                      <w:szCs w:val="21"/>
                      <w14:textFill>
                        <w14:solidFill>
                          <w14:schemeClr w14:val="tx1"/>
                        </w14:solidFill>
                      </w14:textFill>
                    </w:rPr>
                    <w:t>⑤</w:t>
                  </w:r>
                  <w:r>
                    <w:rPr>
                      <w:rFonts w:ascii="Times New Roman" w:hAnsi="Times New Roman" w:eastAsia="宋体" w:cs="Times New Roman"/>
                      <w:bCs/>
                      <w:color w:val="000000" w:themeColor="text1"/>
                      <w:szCs w:val="21"/>
                      <w14:textFill>
                        <w14:solidFill>
                          <w14:schemeClr w14:val="tx1"/>
                        </w14:solidFill>
                      </w14:textFill>
                    </w:rPr>
                    <w:t>应设立警示标志，只允许收集废铅蓄电池的专门人员进入；</w:t>
                  </w:r>
                  <w:r>
                    <w:rPr>
                      <w:rFonts w:hint="eastAsia" w:ascii="宋体" w:hAnsi="宋体" w:eastAsia="宋体" w:cs="宋体"/>
                      <w:bCs/>
                      <w:color w:val="000000" w:themeColor="text1"/>
                      <w:szCs w:val="21"/>
                      <w14:textFill>
                        <w14:solidFill>
                          <w14:schemeClr w14:val="tx1"/>
                        </w14:solidFill>
                      </w14:textFill>
                    </w:rPr>
                    <w:t>⑥</w:t>
                  </w:r>
                  <w:r>
                    <w:rPr>
                      <w:rFonts w:ascii="Times New Roman" w:hAnsi="Times New Roman" w:eastAsia="宋体" w:cs="Times New Roman"/>
                      <w:bCs/>
                      <w:color w:val="000000" w:themeColor="text1"/>
                      <w:szCs w:val="21"/>
                      <w14:textFill>
                        <w14:solidFill>
                          <w14:schemeClr w14:val="tx1"/>
                        </w14:solidFill>
                      </w14:textFill>
                    </w:rPr>
                    <w:t>应有排风换气系统，保证良好通风；</w:t>
                  </w:r>
                  <w:r>
                    <w:rPr>
                      <w:rFonts w:hint="eastAsia" w:ascii="宋体" w:hAnsi="宋体" w:eastAsia="宋体" w:cs="宋体"/>
                      <w:bCs/>
                      <w:color w:val="000000" w:themeColor="text1"/>
                      <w:szCs w:val="21"/>
                      <w14:textFill>
                        <w14:solidFill>
                          <w14:schemeClr w14:val="tx1"/>
                        </w14:solidFill>
                      </w14:textFill>
                    </w:rPr>
                    <w:t>⑦</w:t>
                  </w:r>
                  <w:r>
                    <w:rPr>
                      <w:rFonts w:ascii="Times New Roman" w:hAnsi="Times New Roman" w:eastAsia="宋体" w:cs="Times New Roman"/>
                      <w:bCs/>
                      <w:color w:val="000000" w:themeColor="text1"/>
                      <w:szCs w:val="21"/>
                      <w14:textFill>
                        <w14:solidFill>
                          <w14:schemeClr w14:val="tx1"/>
                        </w14:solidFill>
                      </w14:textFill>
                    </w:rPr>
                    <w:t>应配备耐腐蚀、不易破损变形的专用容器，用于单独分区存放开口式废铅蓄电池和破损的密闭式免维护废铅蓄电池。</w:t>
                  </w:r>
                </w:p>
              </w:tc>
              <w:tc>
                <w:tcPr>
                  <w:tcW w:w="2789" w:type="dxa"/>
                  <w:tcBorders>
                    <w:tl2br w:val="nil"/>
                    <w:tr2bl w:val="nil"/>
                  </w:tcBorders>
                  <w:vAlign w:val="center"/>
                </w:tcPr>
                <w:p w14:paraId="6A0C2F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bCs/>
                      <w:color w:val="000000" w:themeColor="text1"/>
                      <w:kern w:val="0"/>
                      <w:szCs w:val="21"/>
                      <w:vertAlign w:val="baseline"/>
                      <w:lang w:val="en-US" w:eastAsia="zh-CN"/>
                      <w14:textFill>
                        <w14:solidFill>
                          <w14:schemeClr w14:val="tx1"/>
                        </w14:solidFill>
                      </w14:textFill>
                    </w:rPr>
                  </w:pPr>
                  <w:r>
                    <w:rPr>
                      <w:rFonts w:hint="eastAsia" w:cs="Times New Roman"/>
                      <w:bCs/>
                      <w:color w:val="000000" w:themeColor="text1"/>
                      <w:kern w:val="0"/>
                      <w:szCs w:val="21"/>
                      <w:vertAlign w:val="baseline"/>
                      <w:lang w:val="en-US" w:eastAsia="zh-CN"/>
                      <w14:textFill>
                        <w14:solidFill>
                          <w14:schemeClr w14:val="tx1"/>
                        </w14:solidFill>
                      </w14:textFill>
                    </w:rPr>
                    <w:t>1、</w:t>
                  </w:r>
                  <w:r>
                    <w:rPr>
                      <w:rFonts w:hint="eastAsia" w:ascii="Times New Roman" w:hAnsi="Times New Roman" w:cs="Times New Roman"/>
                      <w:bCs/>
                      <w:color w:val="000000" w:themeColor="text1"/>
                      <w:kern w:val="0"/>
                      <w:szCs w:val="21"/>
                      <w:vertAlign w:val="baseline"/>
                      <w:lang w:val="en-US" w:eastAsia="zh-CN"/>
                      <w14:textFill>
                        <w14:solidFill>
                          <w14:schemeClr w14:val="tx1"/>
                        </w14:solidFill>
                      </w14:textFill>
                    </w:rPr>
                    <w:t>项目不收集破损铅蓄电池，</w:t>
                  </w:r>
                  <w:r>
                    <w:rPr>
                      <w:rFonts w:hint="eastAsia" w:ascii="Times New Roman" w:hAnsi="Times New Roman" w:cs="Times New Roman"/>
                      <w:bCs/>
                      <w:color w:val="000000" w:themeColor="text1"/>
                      <w:kern w:val="0"/>
                      <w:szCs w:val="21"/>
                      <w:lang w:val="en-US" w:eastAsia="zh-CN"/>
                      <w14:textFill>
                        <w14:solidFill>
                          <w14:schemeClr w14:val="tx1"/>
                        </w14:solidFill>
                      </w14:textFill>
                    </w:rPr>
                    <w:t>废铅蓄电池采用专门贮区贮存，贮存分区面积</w:t>
                  </w:r>
                  <w:r>
                    <w:rPr>
                      <w:rFonts w:hint="eastAsia" w:cs="Times New Roman"/>
                      <w:bCs/>
                      <w:color w:val="000000" w:themeColor="text1"/>
                      <w:kern w:val="0"/>
                      <w:szCs w:val="21"/>
                      <w:lang w:val="en-US" w:eastAsia="zh-CN"/>
                      <w14:textFill>
                        <w14:solidFill>
                          <w14:schemeClr w14:val="tx1"/>
                        </w14:solidFill>
                      </w14:textFill>
                    </w:rPr>
                    <w:t>60</w:t>
                  </w:r>
                  <w:r>
                    <w:rPr>
                      <w:rFonts w:hint="eastAsia" w:ascii="Times New Roman" w:hAnsi="Times New Roman" w:cs="Times New Roman"/>
                      <w:bCs/>
                      <w:color w:val="000000" w:themeColor="text1"/>
                      <w:kern w:val="0"/>
                      <w:szCs w:val="21"/>
                      <w:lang w:val="en-US" w:eastAsia="zh-CN"/>
                      <w14:textFill>
                        <w14:solidFill>
                          <w14:schemeClr w14:val="tx1"/>
                        </w14:solidFill>
                      </w14:textFill>
                    </w:rPr>
                    <w:t>m</w:t>
                  </w:r>
                  <w:r>
                    <w:rPr>
                      <w:rFonts w:hint="eastAsia" w:ascii="Times New Roman" w:hAnsi="Times New Roman" w:cs="Times New Roman"/>
                      <w:bCs/>
                      <w:color w:val="000000" w:themeColor="text1"/>
                      <w:kern w:val="0"/>
                      <w:szCs w:val="21"/>
                      <w:vertAlign w:val="superscript"/>
                      <w:lang w:val="en-US" w:eastAsia="zh-CN"/>
                      <w14:textFill>
                        <w14:solidFill>
                          <w14:schemeClr w14:val="tx1"/>
                        </w14:solidFill>
                      </w14:textFill>
                    </w:rPr>
                    <w:t>2</w:t>
                  </w:r>
                  <w:r>
                    <w:rPr>
                      <w:rFonts w:hint="eastAsia" w:ascii="Times New Roman" w:hAnsi="Times New Roman" w:cs="Times New Roman"/>
                      <w:bCs/>
                      <w:color w:val="000000" w:themeColor="text1"/>
                      <w:kern w:val="0"/>
                      <w:szCs w:val="21"/>
                      <w:vertAlign w:val="baseline"/>
                      <w:lang w:val="en-US" w:eastAsia="zh-CN"/>
                      <w14:textFill>
                        <w14:solidFill>
                          <w14:schemeClr w14:val="tx1"/>
                        </w14:solidFill>
                      </w14:textFill>
                    </w:rPr>
                    <w:t>，分区内建设导流沟，</w:t>
                  </w:r>
                  <w:r>
                    <w:rPr>
                      <w:rFonts w:hint="eastAsia" w:cs="Times New Roman"/>
                      <w:bCs/>
                      <w:color w:val="000000" w:themeColor="text1"/>
                      <w:kern w:val="0"/>
                      <w:szCs w:val="21"/>
                      <w:vertAlign w:val="baseline"/>
                      <w:lang w:val="en-US" w:eastAsia="zh-CN"/>
                      <w14:textFill>
                        <w14:solidFill>
                          <w14:schemeClr w14:val="tx1"/>
                        </w14:solidFill>
                      </w14:textFill>
                    </w:rPr>
                    <w:t>废液收集池</w:t>
                  </w:r>
                  <w:r>
                    <w:rPr>
                      <w:rFonts w:hint="eastAsia" w:ascii="Times New Roman" w:hAnsi="Times New Roman" w:cs="Times New Roman"/>
                      <w:bCs/>
                      <w:color w:val="000000" w:themeColor="text1"/>
                      <w:kern w:val="0"/>
                      <w:szCs w:val="21"/>
                      <w:vertAlign w:val="baseline"/>
                      <w:lang w:val="en-US" w:eastAsia="zh-CN"/>
                      <w14:textFill>
                        <w14:solidFill>
                          <w14:schemeClr w14:val="tx1"/>
                        </w14:solidFill>
                      </w14:textFill>
                    </w:rPr>
                    <w:t>。</w:t>
                  </w:r>
                </w:p>
                <w:p w14:paraId="54E5FE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Cs/>
                      <w:color w:val="000000" w:themeColor="text1"/>
                      <w:kern w:val="0"/>
                      <w:szCs w:val="21"/>
                      <w:vertAlign w:val="baseline"/>
                      <w:lang w:val="en-US" w:eastAsia="zh-CN"/>
                      <w14:textFill>
                        <w14:solidFill>
                          <w14:schemeClr w14:val="tx1"/>
                        </w14:solidFill>
                      </w14:textFill>
                    </w:rPr>
                  </w:pPr>
                  <w:r>
                    <w:rPr>
                      <w:rFonts w:hint="eastAsia" w:cs="Times New Roman"/>
                      <w:bCs/>
                      <w:color w:val="000000" w:themeColor="text1"/>
                      <w:kern w:val="0"/>
                      <w:szCs w:val="21"/>
                      <w:vertAlign w:val="baseline"/>
                      <w:lang w:val="en-US" w:eastAsia="zh-CN"/>
                      <w14:textFill>
                        <w14:solidFill>
                          <w14:schemeClr w14:val="tx1"/>
                        </w14:solidFill>
                      </w14:textFill>
                    </w:rPr>
                    <w:t>2、贮存区位于贮存库内，属于室内建筑，可防雨，周边贮存分区不涉及水源和热源。</w:t>
                  </w:r>
                </w:p>
                <w:p w14:paraId="1791E53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Cs/>
                      <w:color w:val="000000" w:themeColor="text1"/>
                      <w:szCs w:val="21"/>
                      <w:lang w:eastAsia="zh-CN"/>
                      <w14:textFill>
                        <w14:solidFill>
                          <w14:schemeClr w14:val="tx1"/>
                        </w14:solidFill>
                      </w14:textFill>
                    </w:rPr>
                  </w:pPr>
                  <w:r>
                    <w:rPr>
                      <w:rFonts w:hint="eastAsia" w:cs="Times New Roman"/>
                      <w:bCs/>
                      <w:color w:val="000000" w:themeColor="text1"/>
                      <w:kern w:val="0"/>
                      <w:szCs w:val="21"/>
                      <w:vertAlign w:val="baseline"/>
                      <w:lang w:val="en-US" w:eastAsia="zh-CN"/>
                      <w14:textFill>
                        <w14:solidFill>
                          <w14:schemeClr w14:val="tx1"/>
                        </w14:solidFill>
                      </w14:textFill>
                    </w:rPr>
                    <w:t>3、项目贮存库内设有</w:t>
                  </w:r>
                  <w:r>
                    <w:rPr>
                      <w:rFonts w:ascii="Times New Roman" w:hAnsi="Times New Roman" w:eastAsia="宋体" w:cs="Times New Roman"/>
                      <w:bCs/>
                      <w:color w:val="000000" w:themeColor="text1"/>
                      <w:szCs w:val="21"/>
                      <w14:textFill>
                        <w14:solidFill>
                          <w14:schemeClr w14:val="tx1"/>
                        </w14:solidFill>
                      </w14:textFill>
                    </w:rPr>
                    <w:t>通讯设备、计量设备、照明设施、视频监控设施</w:t>
                  </w:r>
                  <w:r>
                    <w:rPr>
                      <w:rFonts w:hint="eastAsia" w:cs="Times New Roman"/>
                      <w:bCs/>
                      <w:color w:val="000000" w:themeColor="text1"/>
                      <w:szCs w:val="21"/>
                      <w:lang w:eastAsia="zh-CN"/>
                      <w14:textFill>
                        <w14:solidFill>
                          <w14:schemeClr w14:val="tx1"/>
                        </w14:solidFill>
                      </w14:textFill>
                    </w:rPr>
                    <w:t>。</w:t>
                  </w:r>
                </w:p>
                <w:p w14:paraId="5F70A6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4、项目贮存库设有警示标志，只允许专门人员进入。</w:t>
                  </w:r>
                </w:p>
                <w:p w14:paraId="26F16D6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5、收集运输过程产生的破损电池由专业容器盛装，容器材质要求防腐、不易破损。</w:t>
                  </w:r>
                </w:p>
              </w:tc>
              <w:tc>
                <w:tcPr>
                  <w:tcW w:w="789" w:type="dxa"/>
                  <w:vMerge w:val="restart"/>
                  <w:tcBorders>
                    <w:tl2br w:val="nil"/>
                    <w:tr2bl w:val="nil"/>
                  </w:tcBorders>
                  <w:vAlign w:val="center"/>
                </w:tcPr>
                <w:p w14:paraId="06FEB5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符合</w:t>
                  </w:r>
                </w:p>
              </w:tc>
            </w:tr>
            <w:tr w14:paraId="2033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1" w:type="dxa"/>
                  <w:vMerge w:val="continue"/>
                  <w:tcBorders>
                    <w:tl2br w:val="nil"/>
                    <w:tr2bl w:val="nil"/>
                  </w:tcBorders>
                  <w:vAlign w:val="center"/>
                </w:tcPr>
                <w:p w14:paraId="6B27B1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c>
                <w:tcPr>
                  <w:tcW w:w="3854" w:type="dxa"/>
                  <w:tcBorders>
                    <w:tl2br w:val="nil"/>
                    <w:tr2bl w:val="nil"/>
                  </w:tcBorders>
                  <w:vAlign w:val="center"/>
                </w:tcPr>
                <w:p w14:paraId="7E3B834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禁止将废铅蓄电池堆放在露天场地，避免废铅蓄电池遭受雨淋水浸。</w:t>
                  </w:r>
                </w:p>
              </w:tc>
              <w:tc>
                <w:tcPr>
                  <w:tcW w:w="2789" w:type="dxa"/>
                  <w:tcBorders>
                    <w:tl2br w:val="nil"/>
                    <w:tr2bl w:val="nil"/>
                  </w:tcBorders>
                  <w:vAlign w:val="center"/>
                </w:tcPr>
                <w:p w14:paraId="1FA8D5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废铅酸蓄电池堆存于仓库内，装卸均在仓库内进行。</w:t>
                  </w:r>
                </w:p>
              </w:tc>
              <w:tc>
                <w:tcPr>
                  <w:tcW w:w="789" w:type="dxa"/>
                  <w:vMerge w:val="continue"/>
                  <w:tcBorders>
                    <w:tl2br w:val="nil"/>
                    <w:tr2bl w:val="nil"/>
                  </w:tcBorders>
                  <w:vAlign w:val="center"/>
                </w:tcPr>
                <w:p w14:paraId="7EFDCB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r>
          </w:tbl>
          <w:p w14:paraId="020910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napToGrid w:val="0"/>
                <w:color w:val="000000" w:themeColor="text1"/>
                <w:kern w:val="0"/>
                <w:sz w:val="24"/>
                <w:szCs w:val="24"/>
                <w:lang w:val="en-GB" w:eastAsia="zh-CN" w:bidi="ar-SA"/>
                <w14:textFill>
                  <w14:solidFill>
                    <w14:schemeClr w14:val="tx1"/>
                  </w14:solidFill>
                </w14:textFill>
              </w:rPr>
            </w:pPr>
            <w:r>
              <w:rPr>
                <w:rFonts w:hint="eastAsia" w:cs="Times New Roman"/>
                <w:b/>
                <w:bCs w:val="0"/>
                <w:color w:val="000000" w:themeColor="text1"/>
                <w:kern w:val="0"/>
                <w:sz w:val="24"/>
                <w:szCs w:val="21"/>
                <w:highlight w:val="none"/>
                <w:lang w:val="en-US" w:eastAsia="zh-CN" w:bidi="ar"/>
                <w14:textFill>
                  <w14:solidFill>
                    <w14:schemeClr w14:val="tx1"/>
                  </w14:solidFill>
                </w14:textFill>
              </w:rPr>
              <w:t>1.3.7项目</w:t>
            </w:r>
            <w:r>
              <w:rPr>
                <w:rFonts w:hint="default"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t>与《废铅酸蓄电池回收技术规范》（GB/T37281-2019）的符合性分析</w:t>
            </w:r>
          </w:p>
          <w:p w14:paraId="37265D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项目</w:t>
            </w:r>
            <w:r>
              <w:rPr>
                <w:rFonts w:hint="eastAsia" w:cs="Times New Roman"/>
                <w:color w:val="000000" w:themeColor="text1"/>
                <w:kern w:val="0"/>
                <w:sz w:val="24"/>
                <w:lang w:val="en-US" w:eastAsia="zh-CN"/>
                <w14:textFill>
                  <w14:solidFill>
                    <w14:schemeClr w14:val="tx1"/>
                  </w14:solidFill>
                </w14:textFill>
              </w:rPr>
              <w:t>不收集破损废铅蓄电池，项目建设满足《废铅酸蓄电池回收技术规范》（GB/T37281-2019）中收集、贮存要求，具体</w:t>
            </w:r>
            <w:r>
              <w:rPr>
                <w:rFonts w:hint="eastAsia" w:ascii="Times New Roman" w:hAnsi="Times New Roman" w:eastAsia="宋体" w:cs="Times New Roman"/>
                <w:color w:val="000000" w:themeColor="text1"/>
                <w:kern w:val="0"/>
                <w:sz w:val="24"/>
                <w14:textFill>
                  <w14:solidFill>
                    <w14:schemeClr w14:val="tx1"/>
                  </w14:solidFill>
                </w14:textFill>
              </w:rPr>
              <w:t>相符性分析见表</w:t>
            </w:r>
            <w:r>
              <w:rPr>
                <w:rFonts w:hint="eastAsia" w:cs="Times New Roman"/>
                <w:color w:val="000000" w:themeColor="text1"/>
                <w:kern w:val="0"/>
                <w:sz w:val="24"/>
                <w:lang w:val="en-US" w:eastAsia="zh-CN"/>
                <w14:textFill>
                  <w14:solidFill>
                    <w14:schemeClr w14:val="tx1"/>
                  </w14:solidFill>
                </w14:textFill>
              </w:rPr>
              <w:t>1.3-7所示</w:t>
            </w:r>
            <w:r>
              <w:rPr>
                <w:rFonts w:hint="eastAsia" w:ascii="Times New Roman" w:hAnsi="Times New Roman" w:eastAsia="宋体" w:cs="Times New Roman"/>
                <w:color w:val="000000" w:themeColor="text1"/>
                <w:kern w:val="0"/>
                <w:sz w:val="24"/>
                <w14:textFill>
                  <w14:solidFill>
                    <w14:schemeClr w14:val="tx1"/>
                  </w14:solidFill>
                </w14:textFill>
              </w:rPr>
              <w:t>。</w:t>
            </w:r>
          </w:p>
          <w:p w14:paraId="1E581305">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val="0"/>
                <w:color w:val="000000" w:themeColor="text1"/>
                <w:sz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lang w:val="en-US" w:eastAsia="zh-CN"/>
                <w14:textFill>
                  <w14:solidFill>
                    <w14:schemeClr w14:val="tx1"/>
                  </w14:solidFill>
                </w14:textFill>
              </w:rPr>
              <w:t xml:space="preserve">表1.3-7 </w:t>
            </w:r>
            <w:r>
              <w:rPr>
                <w:rFonts w:hint="eastAsia" w:cs="Times New Roman"/>
                <w:b/>
                <w:bCs w:val="0"/>
                <w:color w:val="000000" w:themeColor="text1"/>
                <w:sz w:val="21"/>
                <w:lang w:val="en-US" w:eastAsia="zh-CN"/>
                <w14:textFill>
                  <w14:solidFill>
                    <w14:schemeClr w14:val="tx1"/>
                  </w14:solidFill>
                </w14:textFill>
              </w:rPr>
              <w:t>项目</w:t>
            </w:r>
            <w:r>
              <w:rPr>
                <w:rFonts w:hint="eastAsia" w:ascii="Times New Roman" w:hAnsi="Times New Roman" w:eastAsia="宋体" w:cs="Times New Roman"/>
                <w:b/>
                <w:bCs w:val="0"/>
                <w:color w:val="000000" w:themeColor="text1"/>
                <w:sz w:val="21"/>
                <w:lang w:val="en-US" w:eastAsia="zh-CN"/>
                <w14:textFill>
                  <w14:solidFill>
                    <w14:schemeClr w14:val="tx1"/>
                  </w14:solidFill>
                </w14:textFill>
              </w:rPr>
              <w:t>与废铅酸蓄电池回收技术规范相关要求的符合性分析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4145"/>
              <w:gridCol w:w="2645"/>
              <w:gridCol w:w="947"/>
            </w:tblGrid>
            <w:tr w14:paraId="08BF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blHeader/>
                <w:jc w:val="center"/>
              </w:trPr>
              <w:tc>
                <w:tcPr>
                  <w:tcW w:w="4683" w:type="dxa"/>
                  <w:gridSpan w:val="2"/>
                  <w:tcBorders>
                    <w:tl2br w:val="nil"/>
                    <w:tr2bl w:val="nil"/>
                  </w:tcBorders>
                  <w:vAlign w:val="center"/>
                </w:tcPr>
                <w:p w14:paraId="4C3C0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000000" w:themeColor="text1"/>
                      <w:szCs w:val="21"/>
                      <w14:textFill>
                        <w14:solidFill>
                          <w14:schemeClr w14:val="tx1"/>
                        </w14:solidFill>
                      </w14:textFill>
                    </w:rPr>
                  </w:pPr>
                  <w:bookmarkStart w:id="10" w:name="_Hlk137213392"/>
                  <w:r>
                    <w:rPr>
                      <w:rFonts w:ascii="Times New Roman" w:hAnsi="Times New Roman" w:eastAsia="宋体" w:cs="Times New Roman"/>
                      <w:b/>
                      <w:bCs w:val="0"/>
                      <w:color w:val="000000" w:themeColor="text1"/>
                      <w:szCs w:val="21"/>
                      <w14:textFill>
                        <w14:solidFill>
                          <w14:schemeClr w14:val="tx1"/>
                        </w14:solidFill>
                      </w14:textFill>
                    </w:rPr>
                    <w:t>相关要求</w:t>
                  </w:r>
                </w:p>
              </w:tc>
              <w:tc>
                <w:tcPr>
                  <w:tcW w:w="2654" w:type="dxa"/>
                  <w:tcBorders>
                    <w:tl2br w:val="nil"/>
                    <w:tr2bl w:val="nil"/>
                  </w:tcBorders>
                  <w:vAlign w:val="center"/>
                </w:tcPr>
                <w:p w14:paraId="659EA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000000" w:themeColor="text1"/>
                      <w:szCs w:val="21"/>
                      <w14:textFill>
                        <w14:solidFill>
                          <w14:schemeClr w14:val="tx1"/>
                        </w14:solidFill>
                      </w14:textFill>
                    </w:rPr>
                  </w:pPr>
                  <w:r>
                    <w:rPr>
                      <w:rFonts w:ascii="Times New Roman" w:hAnsi="Times New Roman" w:eastAsia="宋体" w:cs="Times New Roman"/>
                      <w:b/>
                      <w:bCs w:val="0"/>
                      <w:color w:val="000000" w:themeColor="text1"/>
                      <w:szCs w:val="21"/>
                      <w14:textFill>
                        <w14:solidFill>
                          <w14:schemeClr w14:val="tx1"/>
                        </w14:solidFill>
                      </w14:textFill>
                    </w:rPr>
                    <w:t>本项目</w:t>
                  </w:r>
                </w:p>
              </w:tc>
              <w:tc>
                <w:tcPr>
                  <w:tcW w:w="950" w:type="dxa"/>
                  <w:tcBorders>
                    <w:tl2br w:val="nil"/>
                    <w:tr2bl w:val="nil"/>
                  </w:tcBorders>
                  <w:vAlign w:val="center"/>
                </w:tcPr>
                <w:p w14:paraId="47132A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000000" w:themeColor="text1"/>
                      <w:szCs w:val="21"/>
                      <w14:textFill>
                        <w14:solidFill>
                          <w14:schemeClr w14:val="tx1"/>
                        </w14:solidFill>
                      </w14:textFill>
                    </w:rPr>
                  </w:pPr>
                  <w:r>
                    <w:rPr>
                      <w:rFonts w:ascii="Times New Roman" w:hAnsi="Times New Roman" w:eastAsia="宋体" w:cs="Times New Roman"/>
                      <w:b/>
                      <w:bCs w:val="0"/>
                      <w:color w:val="000000" w:themeColor="text1"/>
                      <w:szCs w:val="21"/>
                      <w14:textFill>
                        <w14:solidFill>
                          <w14:schemeClr w14:val="tx1"/>
                        </w14:solidFill>
                      </w14:textFill>
                    </w:rPr>
                    <w:t>符合性</w:t>
                  </w:r>
                </w:p>
              </w:tc>
            </w:tr>
            <w:tr w14:paraId="4BE7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dxa"/>
                  <w:tcBorders>
                    <w:tl2br w:val="nil"/>
                    <w:tr2bl w:val="nil"/>
                  </w:tcBorders>
                  <w:vAlign w:val="center"/>
                </w:tcPr>
                <w:p w14:paraId="495799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一般要求</w:t>
                  </w:r>
                </w:p>
              </w:tc>
              <w:tc>
                <w:tcPr>
                  <w:tcW w:w="4160" w:type="dxa"/>
                  <w:tcBorders>
                    <w:tl2br w:val="nil"/>
                    <w:tr2bl w:val="nil"/>
                  </w:tcBorders>
                  <w:vAlign w:val="center"/>
                </w:tcPr>
                <w:p w14:paraId="5A8136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按照环境保护主管部门的规定建立危险废物收集、贮存、运输、转移等情况的数据信息管理系统（或记录簿）和视频监控系统，如实记录收集、贮存、运输、转移危险废物的类别重量或数量、来源、去向等信息，保存相关视频监控录像，并至少按月向县级以上地方环境保护主管部门报送有关信息。</w:t>
                  </w:r>
                </w:p>
              </w:tc>
              <w:tc>
                <w:tcPr>
                  <w:tcW w:w="2654" w:type="dxa"/>
                  <w:tcBorders>
                    <w:tl2br w:val="nil"/>
                    <w:tr2bl w:val="nil"/>
                  </w:tcBorders>
                  <w:vAlign w:val="center"/>
                </w:tcPr>
                <w:p w14:paraId="001E94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项目采用台账记录危险废物收集、贮存、运输、转移危险废物的类别重量或数量、来源、去向等信息。</w:t>
                  </w:r>
                  <w:r>
                    <w:rPr>
                      <w:rFonts w:hint="eastAsia" w:cs="Times New Roman"/>
                      <w:bCs/>
                      <w:color w:val="000000" w:themeColor="text1"/>
                      <w:kern w:val="0"/>
                      <w:szCs w:val="21"/>
                      <w:lang w:val="en-US" w:eastAsia="zh-CN"/>
                      <w14:textFill>
                        <w14:solidFill>
                          <w14:schemeClr w14:val="tx1"/>
                        </w14:solidFill>
                      </w14:textFill>
                    </w:rPr>
                    <w:t>同时设有视频监控系统。</w:t>
                  </w:r>
                </w:p>
              </w:tc>
              <w:tc>
                <w:tcPr>
                  <w:tcW w:w="950" w:type="dxa"/>
                  <w:tcBorders>
                    <w:tl2br w:val="nil"/>
                    <w:tr2bl w:val="nil"/>
                  </w:tcBorders>
                  <w:vAlign w:val="center"/>
                </w:tcPr>
                <w:p w14:paraId="1B7774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符合</w:t>
                  </w:r>
                </w:p>
              </w:tc>
            </w:tr>
            <w:tr w14:paraId="2C38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3" w:type="dxa"/>
                  <w:vMerge w:val="restart"/>
                  <w:tcBorders>
                    <w:tl2br w:val="nil"/>
                    <w:tr2bl w:val="nil"/>
                  </w:tcBorders>
                  <w:vAlign w:val="center"/>
                </w:tcPr>
                <w:p w14:paraId="7A1A6E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收集</w:t>
                  </w:r>
                </w:p>
              </w:tc>
              <w:tc>
                <w:tcPr>
                  <w:tcW w:w="4160" w:type="dxa"/>
                  <w:tcBorders>
                    <w:tl2br w:val="nil"/>
                    <w:tr2bl w:val="nil"/>
                  </w:tcBorders>
                  <w:vAlign w:val="center"/>
                </w:tcPr>
                <w:p w14:paraId="564C1E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废电池应处于独立状态，带有连接线（条）的应将连接线（条）拆除；</w:t>
                  </w:r>
                </w:p>
              </w:tc>
              <w:tc>
                <w:tcPr>
                  <w:tcW w:w="2654" w:type="dxa"/>
                  <w:vMerge w:val="restart"/>
                  <w:tcBorders>
                    <w:tl2br w:val="nil"/>
                    <w:tr2bl w:val="nil"/>
                  </w:tcBorders>
                  <w:vAlign w:val="center"/>
                </w:tcPr>
                <w:p w14:paraId="513C52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项目收集阶段对废铅酸蓄电池进行甄别，</w:t>
                  </w:r>
                  <w:r>
                    <w:rPr>
                      <w:rFonts w:hint="eastAsia" w:cs="Times New Roman"/>
                      <w:bCs/>
                      <w:color w:val="000000" w:themeColor="text1"/>
                      <w:kern w:val="0"/>
                      <w:szCs w:val="21"/>
                      <w:lang w:val="en-US" w:eastAsia="zh-CN"/>
                      <w14:textFill>
                        <w14:solidFill>
                          <w14:schemeClr w14:val="tx1"/>
                        </w14:solidFill>
                      </w14:textFill>
                    </w:rPr>
                    <w:t>项目不收集破损铅蓄电池。</w:t>
                  </w:r>
                </w:p>
              </w:tc>
              <w:tc>
                <w:tcPr>
                  <w:tcW w:w="950" w:type="dxa"/>
                  <w:vMerge w:val="restart"/>
                  <w:tcBorders>
                    <w:tl2br w:val="nil"/>
                    <w:tr2bl w:val="nil"/>
                  </w:tcBorders>
                  <w:vAlign w:val="center"/>
                </w:tcPr>
                <w:p w14:paraId="01430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符合</w:t>
                  </w:r>
                </w:p>
              </w:tc>
            </w:tr>
            <w:tr w14:paraId="3CA1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3" w:type="dxa"/>
                  <w:vMerge w:val="continue"/>
                  <w:tcBorders>
                    <w:tl2br w:val="nil"/>
                    <w:tr2bl w:val="nil"/>
                  </w:tcBorders>
                  <w:vAlign w:val="center"/>
                </w:tcPr>
                <w:p w14:paraId="7B6E5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c>
                <w:tcPr>
                  <w:tcW w:w="4160" w:type="dxa"/>
                  <w:tcBorders>
                    <w:tl2br w:val="nil"/>
                    <w:tr2bl w:val="nil"/>
                  </w:tcBorders>
                  <w:vAlign w:val="center"/>
                </w:tcPr>
                <w:p w14:paraId="38525D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废电池应按以下方法进行鉴别和分类：</w:t>
                  </w:r>
                  <w:r>
                    <w:rPr>
                      <w:rFonts w:hint="eastAsia" w:ascii="宋体" w:hAnsi="宋体" w:eastAsia="宋体" w:cs="宋体"/>
                      <w:bCs/>
                      <w:color w:val="000000" w:themeColor="text1"/>
                      <w:szCs w:val="21"/>
                      <w14:textFill>
                        <w14:solidFill>
                          <w14:schemeClr w14:val="tx1"/>
                        </w14:solidFill>
                      </w14:textFill>
                    </w:rPr>
                    <w:t>①</w:t>
                  </w:r>
                  <w:r>
                    <w:rPr>
                      <w:rFonts w:ascii="Times New Roman" w:hAnsi="Times New Roman" w:eastAsia="宋体" w:cs="Times New Roman"/>
                      <w:bCs/>
                      <w:color w:val="000000" w:themeColor="text1"/>
                      <w:szCs w:val="21"/>
                      <w14:textFill>
                        <w14:solidFill>
                          <w14:schemeClr w14:val="tx1"/>
                        </w14:solidFill>
                      </w14:textFill>
                    </w:rPr>
                    <w:t>按废电池外壳上的回收标志鉴别或确认为铅酸蓄电池。额定电压通常为2的</w:t>
                  </w:r>
                  <w:r>
                    <w:rPr>
                      <w:rFonts w:hint="eastAsia" w:cs="Times New Roman"/>
                      <w:bCs/>
                      <w:color w:val="000000" w:themeColor="text1"/>
                      <w:szCs w:val="21"/>
                      <w:lang w:eastAsia="zh-CN"/>
                      <w14:textFill>
                        <w14:solidFill>
                          <w14:schemeClr w14:val="tx1"/>
                        </w14:solidFill>
                      </w14:textFill>
                    </w:rPr>
                    <w:t>倍数</w:t>
                  </w:r>
                  <w:r>
                    <w:rPr>
                      <w:rFonts w:ascii="Times New Roman" w:hAnsi="Times New Roman" w:eastAsia="宋体" w:cs="Times New Roman"/>
                      <w:bCs/>
                      <w:color w:val="000000" w:themeColor="text1"/>
                      <w:szCs w:val="21"/>
                      <w14:textFill>
                        <w14:solidFill>
                          <w14:schemeClr w14:val="tx1"/>
                        </w14:solidFill>
                      </w14:textFill>
                    </w:rPr>
                    <w:t>如2V、6V、12V等。</w:t>
                  </w:r>
                  <w:r>
                    <w:rPr>
                      <w:rFonts w:hint="eastAsia" w:ascii="宋体" w:hAnsi="宋体" w:eastAsia="宋体" w:cs="宋体"/>
                      <w:bCs/>
                      <w:color w:val="000000" w:themeColor="text1"/>
                      <w:szCs w:val="21"/>
                      <w14:textFill>
                        <w14:solidFill>
                          <w14:schemeClr w14:val="tx1"/>
                        </w14:solidFill>
                      </w14:textFill>
                    </w:rPr>
                    <w:t>②</w:t>
                  </w:r>
                  <w:r>
                    <w:rPr>
                      <w:rFonts w:ascii="Times New Roman" w:hAnsi="Times New Roman" w:eastAsia="宋体" w:cs="Times New Roman"/>
                      <w:bCs/>
                      <w:color w:val="000000" w:themeColor="text1"/>
                      <w:szCs w:val="21"/>
                      <w14:textFill>
                        <w14:solidFill>
                          <w14:schemeClr w14:val="tx1"/>
                        </w14:solidFill>
                      </w14:textFill>
                    </w:rPr>
                    <w:t>完整废电池和破损废电池的鉴别：目测法检查电池外观，无外壳破损、端子破裂和电解液渗漏的为完整废电池；若存在外壳破损、端子破裂或电解液泄漏问题的应鉴定为破损废电池。</w:t>
                  </w:r>
                </w:p>
              </w:tc>
              <w:tc>
                <w:tcPr>
                  <w:tcW w:w="2654" w:type="dxa"/>
                  <w:vMerge w:val="continue"/>
                  <w:tcBorders>
                    <w:tl2br w:val="nil"/>
                    <w:tr2bl w:val="nil"/>
                  </w:tcBorders>
                  <w:vAlign w:val="center"/>
                </w:tcPr>
                <w:p w14:paraId="1886A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kern w:val="0"/>
                      <w:szCs w:val="21"/>
                      <w14:textFill>
                        <w14:solidFill>
                          <w14:schemeClr w14:val="tx1"/>
                        </w14:solidFill>
                      </w14:textFill>
                    </w:rPr>
                  </w:pPr>
                </w:p>
              </w:tc>
              <w:tc>
                <w:tcPr>
                  <w:tcW w:w="950" w:type="dxa"/>
                  <w:vMerge w:val="continue"/>
                  <w:tcBorders>
                    <w:tl2br w:val="nil"/>
                    <w:tr2bl w:val="nil"/>
                  </w:tcBorders>
                  <w:vAlign w:val="center"/>
                </w:tcPr>
                <w:p w14:paraId="4F748D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r>
            <w:tr w14:paraId="0756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3" w:type="dxa"/>
                  <w:vMerge w:val="restart"/>
                  <w:tcBorders>
                    <w:tl2br w:val="nil"/>
                    <w:tr2bl w:val="nil"/>
                  </w:tcBorders>
                  <w:vAlign w:val="center"/>
                </w:tcPr>
                <w:p w14:paraId="7E786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暂时贮存</w:t>
                  </w:r>
                </w:p>
              </w:tc>
              <w:tc>
                <w:tcPr>
                  <w:tcW w:w="4160" w:type="dxa"/>
                  <w:tcBorders>
                    <w:tl2br w:val="nil"/>
                    <w:tr2bl w:val="nil"/>
                  </w:tcBorders>
                  <w:vAlign w:val="center"/>
                </w:tcPr>
                <w:p w14:paraId="642D87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贮存场所：</w:t>
                  </w:r>
                </w:p>
                <w:p w14:paraId="3C25D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①</w:t>
                  </w:r>
                  <w:r>
                    <w:rPr>
                      <w:rFonts w:ascii="Times New Roman" w:hAnsi="Times New Roman" w:eastAsia="宋体" w:cs="Times New Roman"/>
                      <w:bCs/>
                      <w:color w:val="000000" w:themeColor="text1"/>
                      <w:szCs w:val="21"/>
                      <w14:textFill>
                        <w14:solidFill>
                          <w14:schemeClr w14:val="tx1"/>
                        </w14:solidFill>
                      </w14:textFill>
                    </w:rPr>
                    <w:t>具有独立的集中场地和足够的贮存空间；</w:t>
                  </w:r>
                  <w:r>
                    <w:rPr>
                      <w:rFonts w:hint="eastAsia" w:ascii="宋体" w:hAnsi="宋体" w:eastAsia="宋体" w:cs="宋体"/>
                      <w:bCs/>
                      <w:color w:val="000000" w:themeColor="text1"/>
                      <w:szCs w:val="21"/>
                      <w14:textFill>
                        <w14:solidFill>
                          <w14:schemeClr w14:val="tx1"/>
                        </w14:solidFill>
                      </w14:textFill>
                    </w:rPr>
                    <w:t>②</w:t>
                  </w:r>
                  <w:r>
                    <w:rPr>
                      <w:rFonts w:ascii="Times New Roman" w:hAnsi="Times New Roman" w:eastAsia="宋体" w:cs="Times New Roman"/>
                      <w:bCs/>
                      <w:color w:val="000000" w:themeColor="text1"/>
                      <w:szCs w:val="21"/>
                      <w14:textFill>
                        <w14:solidFill>
                          <w14:schemeClr w14:val="tx1"/>
                        </w14:solidFill>
                      </w14:textFill>
                    </w:rPr>
                    <w:t>应按GB15562.2的规定设立警示标志，禁止非专业工作人员</w:t>
                  </w:r>
                  <w:r>
                    <w:rPr>
                      <w:rFonts w:hint="eastAsia" w:cs="Times New Roman"/>
                      <w:bCs/>
                      <w:color w:val="000000" w:themeColor="text1"/>
                      <w:szCs w:val="21"/>
                      <w:lang w:eastAsia="zh-CN"/>
                      <w14:textFill>
                        <w14:solidFill>
                          <w14:schemeClr w14:val="tx1"/>
                        </w14:solidFill>
                      </w14:textFill>
                    </w:rPr>
                    <w:t>进入</w:t>
                  </w:r>
                  <w:r>
                    <w:rPr>
                      <w:rFonts w:ascii="Times New Roman" w:hAnsi="Times New Roman" w:eastAsia="宋体" w:cs="Times New Roman"/>
                      <w:bCs/>
                      <w:color w:val="000000" w:themeColor="text1"/>
                      <w:szCs w:val="21"/>
                      <w14:textFill>
                        <w14:solidFill>
                          <w14:schemeClr w14:val="tx1"/>
                        </w14:solidFill>
                      </w14:textFill>
                    </w:rPr>
                    <w:t>；</w:t>
                  </w:r>
                </w:p>
                <w:p w14:paraId="4D897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③</w:t>
                  </w:r>
                  <w:r>
                    <w:rPr>
                      <w:rFonts w:ascii="Times New Roman" w:hAnsi="Times New Roman" w:eastAsia="宋体" w:cs="Times New Roman"/>
                      <w:bCs/>
                      <w:color w:val="000000" w:themeColor="text1"/>
                      <w:szCs w:val="21"/>
                      <w14:textFill>
                        <w14:solidFill>
                          <w14:schemeClr w14:val="tx1"/>
                        </w14:solidFill>
                      </w14:textFill>
                    </w:rPr>
                    <w:t>地面应进行耐酸防渗处理；</w:t>
                  </w:r>
                  <w:r>
                    <w:rPr>
                      <w:rFonts w:hint="eastAsia" w:ascii="宋体" w:hAnsi="宋体" w:eastAsia="宋体" w:cs="宋体"/>
                      <w:bCs/>
                      <w:color w:val="000000" w:themeColor="text1"/>
                      <w:szCs w:val="21"/>
                      <w14:textFill>
                        <w14:solidFill>
                          <w14:schemeClr w14:val="tx1"/>
                        </w14:solidFill>
                      </w14:textFill>
                    </w:rPr>
                    <w:t>④</w:t>
                  </w:r>
                  <w:r>
                    <w:rPr>
                      <w:rFonts w:ascii="Times New Roman" w:hAnsi="Times New Roman" w:eastAsia="宋体" w:cs="Times New Roman"/>
                      <w:bCs/>
                      <w:color w:val="000000" w:themeColor="text1"/>
                      <w:szCs w:val="21"/>
                      <w14:textFill>
                        <w14:solidFill>
                          <w14:schemeClr w14:val="tx1"/>
                        </w14:solidFill>
                      </w14:textFill>
                    </w:rPr>
                    <w:t>应配备相应的废电池</w:t>
                  </w:r>
                  <w:r>
                    <w:rPr>
                      <w:rFonts w:hint="eastAsia" w:cs="Times New Roman"/>
                      <w:bCs/>
                      <w:color w:val="000000" w:themeColor="text1"/>
                      <w:szCs w:val="21"/>
                      <w:lang w:eastAsia="zh-CN"/>
                      <w14:textFill>
                        <w14:solidFill>
                          <w14:schemeClr w14:val="tx1"/>
                        </w14:solidFill>
                      </w14:textFill>
                    </w:rPr>
                    <w:t>存储</w:t>
                  </w:r>
                  <w:r>
                    <w:rPr>
                      <w:rFonts w:ascii="Times New Roman" w:hAnsi="Times New Roman" w:eastAsia="宋体" w:cs="Times New Roman"/>
                      <w:bCs/>
                      <w:color w:val="000000" w:themeColor="text1"/>
                      <w:szCs w:val="21"/>
                      <w14:textFill>
                        <w14:solidFill>
                          <w14:schemeClr w14:val="tx1"/>
                        </w14:solidFill>
                      </w14:textFill>
                    </w:rPr>
                    <w:t>装置、耐酸塑料容器以及用于收集废酸的装置；应防雨，配备防火设施并设置防火标志。</w:t>
                  </w:r>
                </w:p>
              </w:tc>
              <w:tc>
                <w:tcPr>
                  <w:tcW w:w="2654" w:type="dxa"/>
                  <w:tcBorders>
                    <w:tl2br w:val="nil"/>
                    <w:tr2bl w:val="nil"/>
                  </w:tcBorders>
                  <w:vAlign w:val="center"/>
                </w:tcPr>
                <w:p w14:paraId="20773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项目废铅酸蓄电池贮存于独立的暂存区；运营期间设置警示标志，限制非工作人员进入；暂存区地面进行耐酸防渗处理；配备耐酸塑料箱；暂存仓库防雨并配备防火设施。</w:t>
                  </w:r>
                </w:p>
              </w:tc>
              <w:tc>
                <w:tcPr>
                  <w:tcW w:w="950" w:type="dxa"/>
                  <w:vMerge w:val="restart"/>
                  <w:tcBorders>
                    <w:tl2br w:val="nil"/>
                    <w:tr2bl w:val="nil"/>
                  </w:tcBorders>
                  <w:vAlign w:val="center"/>
                </w:tcPr>
                <w:p w14:paraId="1BA4B1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符合</w:t>
                  </w:r>
                </w:p>
              </w:tc>
            </w:tr>
            <w:tr w14:paraId="5553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3" w:type="dxa"/>
                  <w:vMerge w:val="continue"/>
                  <w:tcBorders>
                    <w:tl2br w:val="nil"/>
                    <w:tr2bl w:val="nil"/>
                  </w:tcBorders>
                  <w:vAlign w:val="center"/>
                </w:tcPr>
                <w:p w14:paraId="68ECA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c>
                <w:tcPr>
                  <w:tcW w:w="4160" w:type="dxa"/>
                  <w:tcBorders>
                    <w:tl2br w:val="nil"/>
                    <w:tr2bl w:val="nil"/>
                  </w:tcBorders>
                  <w:vAlign w:val="center"/>
                </w:tcPr>
                <w:p w14:paraId="17ED5D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贮存要求：</w:t>
                  </w:r>
                </w:p>
                <w:p w14:paraId="303584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①</w:t>
                  </w:r>
                  <w:r>
                    <w:rPr>
                      <w:rFonts w:ascii="Times New Roman" w:hAnsi="Times New Roman" w:eastAsia="宋体" w:cs="Times New Roman"/>
                      <w:bCs/>
                      <w:color w:val="000000" w:themeColor="text1"/>
                      <w:szCs w:val="21"/>
                      <w14:textFill>
                        <w14:solidFill>
                          <w14:schemeClr w14:val="tx1"/>
                        </w14:solidFill>
                      </w14:textFill>
                    </w:rPr>
                    <w:t>作业人员应配备耐酸工作服、专用眼镜、耐酸手套等个人防护装备；完整废电池应分类按区域正立（端子朝上）、有序地存放在耐酸装置上，并做好标识，防止正负极短路；</w:t>
                  </w:r>
                  <w:r>
                    <w:rPr>
                      <w:rFonts w:hint="eastAsia" w:ascii="宋体" w:hAnsi="宋体" w:eastAsia="宋体" w:cs="宋体"/>
                      <w:bCs/>
                      <w:color w:val="000000" w:themeColor="text1"/>
                      <w:szCs w:val="21"/>
                      <w14:textFill>
                        <w14:solidFill>
                          <w14:schemeClr w14:val="tx1"/>
                        </w14:solidFill>
                      </w14:textFill>
                    </w:rPr>
                    <w:t>②</w:t>
                  </w:r>
                  <w:r>
                    <w:rPr>
                      <w:rFonts w:ascii="Times New Roman" w:hAnsi="Times New Roman" w:eastAsia="宋体" w:cs="Times New Roman"/>
                      <w:bCs/>
                      <w:color w:val="000000" w:themeColor="text1"/>
                      <w:szCs w:val="21"/>
                      <w14:textFill>
                        <w14:solidFill>
                          <w14:schemeClr w14:val="tx1"/>
                        </w14:solidFill>
                      </w14:textFill>
                    </w:rPr>
                    <w:t>破损废电池应装入耐酸的塑料容器内单独存放，并按照GB18597的要求粘贴危险废物标签；</w:t>
                  </w:r>
                  <w:r>
                    <w:rPr>
                      <w:rFonts w:hint="eastAsia" w:ascii="宋体" w:hAnsi="宋体" w:eastAsia="宋体" w:cs="宋体"/>
                      <w:bCs/>
                      <w:color w:val="000000" w:themeColor="text1"/>
                      <w:szCs w:val="21"/>
                      <w14:textFill>
                        <w14:solidFill>
                          <w14:schemeClr w14:val="tx1"/>
                        </w14:solidFill>
                      </w14:textFill>
                    </w:rPr>
                    <w:t>③</w:t>
                  </w:r>
                  <w:r>
                    <w:rPr>
                      <w:rFonts w:ascii="Times New Roman" w:hAnsi="Times New Roman" w:eastAsia="宋体" w:cs="Times New Roman"/>
                      <w:bCs/>
                      <w:color w:val="000000" w:themeColor="text1"/>
                      <w:szCs w:val="21"/>
                      <w14:textFill>
                        <w14:solidFill>
                          <w14:schemeClr w14:val="tx1"/>
                        </w14:solidFill>
                      </w14:textFill>
                    </w:rPr>
                    <w:t>应有完整的出入库记录、台账等资料，并至少保存1年；</w:t>
                  </w:r>
                  <w:r>
                    <w:rPr>
                      <w:rFonts w:hint="eastAsia" w:ascii="宋体" w:hAnsi="宋体" w:eastAsia="宋体" w:cs="宋体"/>
                      <w:bCs/>
                      <w:color w:val="000000" w:themeColor="text1"/>
                      <w:szCs w:val="21"/>
                      <w14:textFill>
                        <w14:solidFill>
                          <w14:schemeClr w14:val="tx1"/>
                        </w14:solidFill>
                      </w14:textFill>
                    </w:rPr>
                    <w:t>④</w:t>
                  </w:r>
                  <w:r>
                    <w:rPr>
                      <w:rFonts w:ascii="Times New Roman" w:hAnsi="Times New Roman" w:eastAsia="宋体" w:cs="Times New Roman"/>
                      <w:bCs/>
                      <w:color w:val="000000" w:themeColor="text1"/>
                      <w:szCs w:val="21"/>
                      <w14:textFill>
                        <w14:solidFill>
                          <w14:schemeClr w14:val="tx1"/>
                        </w14:solidFill>
                      </w14:textFill>
                    </w:rPr>
                    <w:t>禁止擅自倾倒电解液，拆解、破碎、丢弃废电池；</w:t>
                  </w:r>
                  <w:r>
                    <w:rPr>
                      <w:rFonts w:hint="eastAsia" w:ascii="宋体" w:hAnsi="宋体" w:eastAsia="宋体" w:cs="宋体"/>
                      <w:bCs/>
                      <w:color w:val="000000" w:themeColor="text1"/>
                      <w:szCs w:val="21"/>
                      <w14:textFill>
                        <w14:solidFill>
                          <w14:schemeClr w14:val="tx1"/>
                        </w14:solidFill>
                      </w14:textFill>
                    </w:rPr>
                    <w:t>⑤</w:t>
                  </w:r>
                  <w:r>
                    <w:rPr>
                      <w:rFonts w:ascii="Times New Roman" w:hAnsi="Times New Roman" w:eastAsia="宋体" w:cs="Times New Roman"/>
                      <w:bCs/>
                      <w:color w:val="000000" w:themeColor="text1"/>
                      <w:szCs w:val="21"/>
                      <w14:textFill>
                        <w14:solidFill>
                          <w14:schemeClr w14:val="tx1"/>
                        </w14:solidFill>
                      </w14:textFill>
                    </w:rPr>
                    <w:t>贮存量不应超过10t。</w:t>
                  </w:r>
                </w:p>
              </w:tc>
              <w:tc>
                <w:tcPr>
                  <w:tcW w:w="2654" w:type="dxa"/>
                  <w:tcBorders>
                    <w:tl2br w:val="nil"/>
                    <w:tr2bl w:val="nil"/>
                  </w:tcBorders>
                  <w:vAlign w:val="center"/>
                </w:tcPr>
                <w:p w14:paraId="66F9A9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项目作业人员配备个人防护装备；废铅酸蓄电池分类、分区、有序存放；破损铅酸蓄电池放置于密封塑料箱内并粘贴危险废物标志；运营期间做好台账记录并保存；建设单位仅进行仓储，不处理、处置废电池；本项目为集中转运点，其贮存量满足《废铅酸蓄电池处理污染控制技术规范》（HJ519-2020）中关于废铅酸蓄电池贮存量的要求。</w:t>
                  </w:r>
                </w:p>
              </w:tc>
              <w:tc>
                <w:tcPr>
                  <w:tcW w:w="950" w:type="dxa"/>
                  <w:vMerge w:val="continue"/>
                  <w:tcBorders>
                    <w:tl2br w:val="nil"/>
                    <w:tr2bl w:val="nil"/>
                  </w:tcBorders>
                  <w:vAlign w:val="center"/>
                </w:tcPr>
                <w:p w14:paraId="06265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p>
              </w:tc>
            </w:tr>
            <w:bookmarkEnd w:id="10"/>
          </w:tbl>
          <w:p w14:paraId="315A3C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pPr>
            <w:r>
              <w:rPr>
                <w:rFonts w:hint="eastAsia" w:cs="Times New Roman"/>
                <w:b/>
                <w:bCs w:val="0"/>
                <w:color w:val="000000" w:themeColor="text1"/>
                <w:kern w:val="0"/>
                <w:sz w:val="24"/>
                <w:szCs w:val="21"/>
                <w:highlight w:val="none"/>
                <w:lang w:val="en-US" w:eastAsia="zh-CN" w:bidi="ar"/>
                <w14:textFill>
                  <w14:solidFill>
                    <w14:schemeClr w14:val="tx1"/>
                  </w14:solidFill>
                </w14:textFill>
              </w:rPr>
              <w:t>1.3.8</w:t>
            </w:r>
            <w:r>
              <w:rPr>
                <w:rFonts w:hint="eastAsia"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t>项目与</w:t>
            </w:r>
            <w:bookmarkStart w:id="11" w:name="_Hlk137333215"/>
            <w:r>
              <w:rPr>
                <w:rFonts w:hint="eastAsia"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t>《2020年挥发性有机物治理攻坚方案》</w:t>
            </w:r>
            <w:bookmarkEnd w:id="11"/>
            <w:r>
              <w:rPr>
                <w:rFonts w:hint="eastAsia"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t>符合性分析</w:t>
            </w:r>
          </w:p>
          <w:p w14:paraId="72F25C29">
            <w:pPr>
              <w:widowControl w:val="0"/>
              <w:spacing w:line="360" w:lineRule="auto"/>
              <w:ind w:firstLine="480" w:firstLineChars="200"/>
              <w:jc w:val="both"/>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根据“生态环境部关于印发《2020年挥发性有机物治理攻坚方案》的通知”（环大气〔2020〕33号），项目相关符合性分析见表</w:t>
            </w:r>
            <w:r>
              <w:rPr>
                <w:rFonts w:hint="eastAsia" w:cs="Times New Roman"/>
                <w:color w:val="000000" w:themeColor="text1"/>
                <w:kern w:val="0"/>
                <w:sz w:val="24"/>
                <w:szCs w:val="24"/>
                <w:lang w:val="en-US" w:eastAsia="zh-CN" w:bidi="ar-SA"/>
                <w14:textFill>
                  <w14:solidFill>
                    <w14:schemeClr w14:val="tx1"/>
                  </w14:solidFill>
                </w14:textFill>
              </w:rPr>
              <w:t>1.3-8所示</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14:paraId="1FA68332">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val="0"/>
                <w:color w:val="000000" w:themeColor="text1"/>
                <w:sz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lang w:val="en-US" w:eastAsia="zh-CN"/>
                <w14:textFill>
                  <w14:solidFill>
                    <w14:schemeClr w14:val="tx1"/>
                  </w14:solidFill>
                </w14:textFill>
              </w:rPr>
              <w:t>表1.3-8  项目与《2020年挥发性有机物治理攻坚方案》的符合性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3"/>
              <w:gridCol w:w="2653"/>
              <w:gridCol w:w="873"/>
            </w:tblGrid>
            <w:tr w14:paraId="5256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 w:hRule="atLeast"/>
                <w:tblHeader/>
                <w:jc w:val="center"/>
              </w:trPr>
              <w:tc>
                <w:tcPr>
                  <w:tcW w:w="4546" w:type="dxa"/>
                  <w:tcBorders>
                    <w:tl2br w:val="nil"/>
                    <w:tr2bl w:val="nil"/>
                  </w:tcBorders>
                  <w:vAlign w:val="center"/>
                </w:tcPr>
                <w:p w14:paraId="25C45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000000" w:themeColor="text1"/>
                      <w:szCs w:val="21"/>
                      <w14:textFill>
                        <w14:solidFill>
                          <w14:schemeClr w14:val="tx1"/>
                        </w14:solidFill>
                      </w14:textFill>
                    </w:rPr>
                  </w:pPr>
                  <w:r>
                    <w:rPr>
                      <w:rFonts w:hint="eastAsia" w:ascii="Times New Roman" w:hAnsi="Times New Roman" w:eastAsia="宋体" w:cs="Times New Roman"/>
                      <w:b/>
                      <w:bCs w:val="0"/>
                      <w:color w:val="000000" w:themeColor="text1"/>
                      <w:szCs w:val="21"/>
                      <w14:textFill>
                        <w14:solidFill>
                          <w14:schemeClr w14:val="tx1"/>
                        </w14:solidFill>
                      </w14:textFill>
                    </w:rPr>
                    <w:t>方案</w:t>
                  </w:r>
                  <w:r>
                    <w:rPr>
                      <w:rFonts w:ascii="Times New Roman" w:hAnsi="Times New Roman" w:eastAsia="宋体" w:cs="Times New Roman"/>
                      <w:b/>
                      <w:bCs w:val="0"/>
                      <w:color w:val="000000" w:themeColor="text1"/>
                      <w:szCs w:val="21"/>
                      <w14:textFill>
                        <w14:solidFill>
                          <w14:schemeClr w14:val="tx1"/>
                        </w14:solidFill>
                      </w14:textFill>
                    </w:rPr>
                    <w:t>要求</w:t>
                  </w:r>
                </w:p>
              </w:tc>
              <w:tc>
                <w:tcPr>
                  <w:tcW w:w="2548" w:type="dxa"/>
                  <w:tcBorders>
                    <w:tl2br w:val="nil"/>
                    <w:tr2bl w:val="nil"/>
                  </w:tcBorders>
                  <w:vAlign w:val="center"/>
                </w:tcPr>
                <w:p w14:paraId="56F9D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000000" w:themeColor="text1"/>
                      <w:szCs w:val="21"/>
                      <w14:textFill>
                        <w14:solidFill>
                          <w14:schemeClr w14:val="tx1"/>
                        </w14:solidFill>
                      </w14:textFill>
                    </w:rPr>
                  </w:pPr>
                  <w:r>
                    <w:rPr>
                      <w:rFonts w:ascii="Times New Roman" w:hAnsi="Times New Roman" w:eastAsia="宋体" w:cs="Times New Roman"/>
                      <w:b/>
                      <w:bCs w:val="0"/>
                      <w:color w:val="000000" w:themeColor="text1"/>
                      <w:szCs w:val="21"/>
                      <w14:textFill>
                        <w14:solidFill>
                          <w14:schemeClr w14:val="tx1"/>
                        </w14:solidFill>
                      </w14:textFill>
                    </w:rPr>
                    <w:t>本项目</w:t>
                  </w:r>
                </w:p>
              </w:tc>
              <w:tc>
                <w:tcPr>
                  <w:tcW w:w="839" w:type="dxa"/>
                  <w:tcBorders>
                    <w:tl2br w:val="nil"/>
                    <w:tr2bl w:val="nil"/>
                  </w:tcBorders>
                  <w:vAlign w:val="center"/>
                </w:tcPr>
                <w:p w14:paraId="01F49F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000000" w:themeColor="text1"/>
                      <w:szCs w:val="21"/>
                      <w14:textFill>
                        <w14:solidFill>
                          <w14:schemeClr w14:val="tx1"/>
                        </w14:solidFill>
                      </w14:textFill>
                    </w:rPr>
                  </w:pPr>
                  <w:r>
                    <w:rPr>
                      <w:rFonts w:ascii="Times New Roman" w:hAnsi="Times New Roman" w:eastAsia="宋体" w:cs="Times New Roman"/>
                      <w:b/>
                      <w:bCs w:val="0"/>
                      <w:color w:val="000000" w:themeColor="text1"/>
                      <w:szCs w:val="21"/>
                      <w14:textFill>
                        <w14:solidFill>
                          <w14:schemeClr w14:val="tx1"/>
                        </w14:solidFill>
                      </w14:textFill>
                    </w:rPr>
                    <w:t>符合性</w:t>
                  </w:r>
                </w:p>
              </w:tc>
            </w:tr>
            <w:tr w14:paraId="03DB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6" w:type="dxa"/>
                  <w:tcBorders>
                    <w:tl2br w:val="nil"/>
                    <w:tr2bl w:val="nil"/>
                  </w:tcBorders>
                  <w:vAlign w:val="center"/>
                </w:tcPr>
                <w:p w14:paraId="42696C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t>一、大力推进源头替代，有效减少VOCs产生</w:t>
                  </w:r>
                </w:p>
                <w:p w14:paraId="3C121AB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w:t>
                  </w:r>
                  <w:r>
                    <w:rPr>
                      <w:rFonts w:hint="eastAsia" w:cs="Times New Roman"/>
                      <w:color w:val="000000" w:themeColor="text1"/>
                      <w:kern w:val="0"/>
                      <w:sz w:val="21"/>
                      <w:szCs w:val="24"/>
                      <w:lang w:val="en-US" w:eastAsia="zh-CN" w:bidi="ar-SA"/>
                      <w14:textFill>
                        <w14:solidFill>
                          <w14:schemeClr w14:val="tx1"/>
                        </w14:solidFill>
                      </w14:textFill>
                    </w:rPr>
                    <w:t>胶黏剂</w:t>
                  </w:r>
                  <w: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t>等，排放浓度稳定达标且排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w:t>
                  </w:r>
                  <w:r>
                    <w:rPr>
                      <w:rFonts w:hint="eastAsia" w:cs="Times New Roman"/>
                      <w:color w:val="000000" w:themeColor="text1"/>
                      <w:kern w:val="0"/>
                      <w:sz w:val="21"/>
                      <w:szCs w:val="24"/>
                      <w:lang w:val="en-US" w:eastAsia="zh-CN" w:bidi="ar-SA"/>
                      <w14:textFill>
                        <w14:solidFill>
                          <w14:schemeClr w14:val="tx1"/>
                        </w14:solidFill>
                      </w14:textFill>
                    </w:rPr>
                    <w:t>胶黏剂</w:t>
                  </w:r>
                  <w: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t>等纳入政府采购装修合同环保条款。</w:t>
                  </w:r>
                </w:p>
              </w:tc>
              <w:tc>
                <w:tcPr>
                  <w:tcW w:w="2548" w:type="dxa"/>
                  <w:tcBorders>
                    <w:tl2br w:val="nil"/>
                    <w:tr2bl w:val="nil"/>
                  </w:tcBorders>
                  <w:vAlign w:val="center"/>
                </w:tcPr>
                <w:p w14:paraId="65DAD4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hint="eastAsia" w:ascii="Times New Roman" w:hAnsi="Times New Roman" w:eastAsia="宋体" w:cs="Times New Roman"/>
                      <w:bCs/>
                      <w:color w:val="000000" w:themeColor="text1"/>
                      <w:kern w:val="0"/>
                      <w:szCs w:val="21"/>
                      <w14:textFill>
                        <w14:solidFill>
                          <w14:schemeClr w14:val="tx1"/>
                        </w14:solidFill>
                      </w14:textFill>
                    </w:rPr>
                    <w:t>项目为危险废物收集、贮存项目，不涉及加工及生产；不涉及相关源头替代方面的要求。</w:t>
                  </w:r>
                </w:p>
              </w:tc>
              <w:tc>
                <w:tcPr>
                  <w:tcW w:w="839" w:type="dxa"/>
                  <w:tcBorders>
                    <w:tl2br w:val="nil"/>
                    <w:tr2bl w:val="nil"/>
                  </w:tcBorders>
                  <w:vAlign w:val="center"/>
                </w:tcPr>
                <w:p w14:paraId="0C97A8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不涉及</w:t>
                  </w:r>
                </w:p>
              </w:tc>
            </w:tr>
            <w:tr w14:paraId="49E2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6" w:type="dxa"/>
                  <w:tcBorders>
                    <w:tl2br w:val="nil"/>
                    <w:tr2bl w:val="nil"/>
                  </w:tcBorders>
                  <w:vAlign w:val="center"/>
                </w:tcPr>
                <w:p w14:paraId="42B618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二、全面落实标准要求，强化无组织排放控制</w:t>
                  </w:r>
                </w:p>
                <w:p w14:paraId="6F4813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企业中载有气态、液态VOCs物料的设备与管线组件密封点大于等于2000个的，应全面梳理建立台账，6-9月完成一轮泄漏检测与修复（LDAR）工作，及时修复泄漏源；石油炼制、石油化工、合成树脂企业严格按照排放标准要求开展LDAR工作，加强备用泵、在用泵、调节阀、搅拌器、开口管线等检测工作，强化质量控制；要将VOCs治理设施和储罐的密封点纳入检测计划中。</w:t>
                  </w:r>
                </w:p>
              </w:tc>
              <w:tc>
                <w:tcPr>
                  <w:tcW w:w="2548" w:type="dxa"/>
                  <w:tcBorders>
                    <w:tl2br w:val="nil"/>
                    <w:tr2bl w:val="nil"/>
                  </w:tcBorders>
                  <w:vAlign w:val="center"/>
                </w:tcPr>
                <w:p w14:paraId="675E883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hint="eastAsia" w:ascii="Times New Roman" w:hAnsi="Times New Roman" w:eastAsia="宋体" w:cs="Times New Roman"/>
                      <w:bCs/>
                      <w:color w:val="000000" w:themeColor="text1"/>
                      <w:kern w:val="0"/>
                      <w:szCs w:val="21"/>
                      <w14:textFill>
                        <w14:solidFill>
                          <w14:schemeClr w14:val="tx1"/>
                        </w14:solidFill>
                      </w14:textFill>
                    </w:rPr>
                    <w:t>项目为危险废物收集、贮存项目，收集贮存的涉及挥发性有机物的物料包括H</w:t>
                  </w:r>
                  <w:r>
                    <w:rPr>
                      <w:rFonts w:ascii="Times New Roman" w:hAnsi="Times New Roman" w:eastAsia="宋体" w:cs="Times New Roman"/>
                      <w:bCs/>
                      <w:color w:val="000000" w:themeColor="text1"/>
                      <w:kern w:val="0"/>
                      <w:szCs w:val="21"/>
                      <w14:textFill>
                        <w14:solidFill>
                          <w14:schemeClr w14:val="tx1"/>
                        </w14:solidFill>
                      </w14:textFill>
                    </w:rPr>
                    <w:t>W08</w:t>
                  </w:r>
                  <w:r>
                    <w:rPr>
                      <w:rFonts w:hint="eastAsia" w:ascii="Times New Roman" w:hAnsi="Times New Roman" w:eastAsia="宋体" w:cs="Times New Roman"/>
                      <w:bCs/>
                      <w:color w:val="000000" w:themeColor="text1"/>
                      <w:kern w:val="0"/>
                      <w:szCs w:val="21"/>
                      <w14:textFill>
                        <w14:solidFill>
                          <w14:schemeClr w14:val="tx1"/>
                        </w14:solidFill>
                      </w14:textFill>
                    </w:rPr>
                    <w:t>类，储存过程采用密封储油罐、铁桶、吨桶等容器，有效减少贮存过程中挥发性有机物的无组织排放量。</w:t>
                  </w:r>
                </w:p>
              </w:tc>
              <w:tc>
                <w:tcPr>
                  <w:tcW w:w="839" w:type="dxa"/>
                  <w:tcBorders>
                    <w:tl2br w:val="nil"/>
                    <w:tr2bl w:val="nil"/>
                  </w:tcBorders>
                  <w:vAlign w:val="center"/>
                </w:tcPr>
                <w:p w14:paraId="3542B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符合</w:t>
                  </w:r>
                </w:p>
              </w:tc>
            </w:tr>
            <w:tr w14:paraId="5E4D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6" w:type="dxa"/>
                  <w:tcBorders>
                    <w:tl2br w:val="nil"/>
                    <w:tr2bl w:val="nil"/>
                  </w:tcBorders>
                  <w:vAlign w:val="center"/>
                </w:tcPr>
                <w:p w14:paraId="4737022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三、聚焦治污设施“三率”，提升综合治理效率</w:t>
                  </w:r>
                </w:p>
                <w:p w14:paraId="45F13707">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both"/>
                    <w:textAlignment w:val="auto"/>
                    <w:outlineLvl w:val="9"/>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bookmarkStart w:id="12" w:name="_Toc15181"/>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按照与生产设备“同启同停”的原则提升治理设施运行率。根据处理工艺要求，在处理设施达到正常运行条件后方可启动生产设备，在生产设备停止、残留VOCS废气收集处理完毕后，方可停运处理设施。采用活性炭吸附技术的，应选择碘值不低于800毫克/克的活性炭，并按设计要求足量添加、及时更换。</w:t>
                  </w:r>
                  <w:bookmarkEnd w:id="12"/>
                </w:p>
              </w:tc>
              <w:tc>
                <w:tcPr>
                  <w:tcW w:w="2548" w:type="dxa"/>
                  <w:tcBorders>
                    <w:tl2br w:val="nil"/>
                    <w:tr2bl w:val="nil"/>
                  </w:tcBorders>
                  <w:vAlign w:val="center"/>
                </w:tcPr>
                <w:p w14:paraId="79C2E2C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Cs/>
                      <w:color w:val="000000" w:themeColor="text1"/>
                      <w:kern w:val="0"/>
                      <w:szCs w:val="21"/>
                      <w14:textFill>
                        <w14:solidFill>
                          <w14:schemeClr w14:val="tx1"/>
                        </w14:solidFill>
                      </w14:textFill>
                    </w:rPr>
                  </w:pPr>
                  <w:r>
                    <w:rPr>
                      <w:rFonts w:hint="eastAsia" w:ascii="Times New Roman" w:hAnsi="Times New Roman" w:eastAsia="宋体" w:cs="Times New Roman"/>
                      <w:bCs/>
                      <w:color w:val="000000" w:themeColor="text1"/>
                      <w:kern w:val="0"/>
                      <w:szCs w:val="21"/>
                      <w14:textFill>
                        <w14:solidFill>
                          <w14:schemeClr w14:val="tx1"/>
                        </w14:solidFill>
                      </w14:textFill>
                    </w:rPr>
                    <w:t>收集贮存的涉及挥发性有机物的物料包括</w:t>
                  </w:r>
                  <w:r>
                    <w:rPr>
                      <w:rFonts w:hint="eastAsia" w:cs="Times New Roman"/>
                      <w:bCs/>
                      <w:color w:val="000000" w:themeColor="text1"/>
                      <w:kern w:val="0"/>
                      <w:szCs w:val="21"/>
                      <w:lang w:eastAsia="zh-CN"/>
                      <w14:textFill>
                        <w14:solidFill>
                          <w14:schemeClr w14:val="tx1"/>
                        </w14:solidFill>
                      </w14:textFill>
                    </w:rPr>
                    <w:t>：</w:t>
                  </w:r>
                  <w:r>
                    <w:rPr>
                      <w:rFonts w:hint="eastAsia" w:ascii="Times New Roman" w:hAnsi="Times New Roman" w:eastAsia="宋体" w:cs="Times New Roman"/>
                      <w:bCs/>
                      <w:color w:val="000000" w:themeColor="text1"/>
                      <w:kern w:val="0"/>
                      <w:szCs w:val="21"/>
                      <w14:textFill>
                        <w14:solidFill>
                          <w14:schemeClr w14:val="tx1"/>
                        </w14:solidFill>
                      </w14:textFill>
                    </w:rPr>
                    <w:t>H</w:t>
                  </w:r>
                  <w:r>
                    <w:rPr>
                      <w:rFonts w:ascii="Times New Roman" w:hAnsi="Times New Roman" w:eastAsia="宋体" w:cs="Times New Roman"/>
                      <w:bCs/>
                      <w:color w:val="000000" w:themeColor="text1"/>
                      <w:kern w:val="0"/>
                      <w:szCs w:val="21"/>
                      <w14:textFill>
                        <w14:solidFill>
                          <w14:schemeClr w14:val="tx1"/>
                        </w14:solidFill>
                      </w14:textFill>
                    </w:rPr>
                    <w:t>W08</w:t>
                  </w:r>
                  <w:r>
                    <w:rPr>
                      <w:rFonts w:hint="eastAsia" w:ascii="Times New Roman" w:hAnsi="Times New Roman" w:eastAsia="宋体" w:cs="Times New Roman"/>
                      <w:bCs/>
                      <w:color w:val="000000" w:themeColor="text1"/>
                      <w:kern w:val="0"/>
                      <w:szCs w:val="21"/>
                      <w14:textFill>
                        <w14:solidFill>
                          <w14:schemeClr w14:val="tx1"/>
                        </w14:solidFill>
                      </w14:textFill>
                    </w:rPr>
                    <w:t>类别，储存过程采用密封储油罐、铁桶、吨桶等容器，有效减少贮存过程中挥发性有机物的无组织排放量。</w:t>
                  </w:r>
                </w:p>
                <w:p w14:paraId="3BAFB52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bCs/>
                      <w:color w:val="000000" w:themeColor="text1"/>
                      <w:kern w:val="0"/>
                      <w:szCs w:val="21"/>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储罐呼吸废气</w:t>
                  </w:r>
                  <w:r>
                    <w:rPr>
                      <w:rFonts w:hint="eastAsia" w:ascii="Times New Roman" w:hAnsi="Times New Roman" w:eastAsia="宋体" w:cs="Times New Roman"/>
                      <w:bCs/>
                      <w:color w:val="000000" w:themeColor="text1"/>
                      <w:kern w:val="0"/>
                      <w:szCs w:val="21"/>
                      <w14:textFill>
                        <w14:solidFill>
                          <w14:schemeClr w14:val="tx1"/>
                        </w14:solidFill>
                      </w14:textFill>
                    </w:rPr>
                    <w:t>采取“性炭吸附”进行处理</w:t>
                  </w:r>
                  <w:r>
                    <w:rPr>
                      <w:rFonts w:hint="eastAsia" w:cs="Times New Roman"/>
                      <w:bCs/>
                      <w:color w:val="000000" w:themeColor="text1"/>
                      <w:kern w:val="0"/>
                      <w:szCs w:val="21"/>
                      <w:lang w:val="en-US" w:eastAsia="zh-CN"/>
                      <w14:textFill>
                        <w14:solidFill>
                          <w14:schemeClr w14:val="tx1"/>
                        </w14:solidFill>
                      </w14:textFill>
                    </w:rPr>
                    <w:t>环评要求</w:t>
                  </w:r>
                  <w:r>
                    <w:rPr>
                      <w:rFonts w:hint="eastAsia" w:ascii="Times New Roman" w:hAnsi="Times New Roman" w:eastAsia="宋体" w:cs="Times New Roman"/>
                      <w:bCs/>
                      <w:color w:val="000000" w:themeColor="text1"/>
                      <w:kern w:val="0"/>
                      <w:szCs w:val="21"/>
                      <w14:textFill>
                        <w14:solidFill>
                          <w14:schemeClr w14:val="tx1"/>
                        </w14:solidFill>
                      </w14:textFill>
                    </w:rPr>
                    <w:t>应选择碘值不低于800毫克/克的活性炭，并根据采取的设备</w:t>
                  </w:r>
                  <w:r>
                    <w:rPr>
                      <w:rFonts w:hint="eastAsia" w:ascii="Times New Roman" w:hAnsi="Times New Roman" w:eastAsia="宋体" w:cs="Times New Roman"/>
                      <w:bCs/>
                      <w:color w:val="000000" w:themeColor="text1"/>
                      <w:szCs w:val="21"/>
                      <w14:textFill>
                        <w14:solidFill>
                          <w14:schemeClr w14:val="tx1"/>
                        </w14:solidFill>
                      </w14:textFill>
                    </w:rPr>
                    <w:t>足量添加、及时更换活性炭，并做好废活性炭的后续收集及委托处置工作。</w:t>
                  </w:r>
                </w:p>
              </w:tc>
              <w:tc>
                <w:tcPr>
                  <w:tcW w:w="839" w:type="dxa"/>
                  <w:tcBorders>
                    <w:tl2br w:val="nil"/>
                    <w:tr2bl w:val="nil"/>
                  </w:tcBorders>
                  <w:vAlign w:val="center"/>
                </w:tcPr>
                <w:p w14:paraId="044B4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符合</w:t>
                  </w:r>
                </w:p>
              </w:tc>
            </w:tr>
          </w:tbl>
          <w:p w14:paraId="690E181F">
            <w:pPr>
              <w:widowControl w:val="0"/>
              <w:spacing w:line="360" w:lineRule="auto"/>
              <w:ind w:firstLine="480" w:firstLineChars="200"/>
              <w:jc w:val="both"/>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综上，项目与《2020年挥发性有机物治理攻坚方案》的相关要求相符。</w:t>
            </w:r>
          </w:p>
          <w:p w14:paraId="41DFE8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val="0"/>
                <w:color w:val="auto"/>
                <w:kern w:val="0"/>
                <w:sz w:val="24"/>
                <w:szCs w:val="21"/>
                <w:highlight w:val="none"/>
                <w:lang w:val="en-US" w:eastAsia="zh-CN" w:bidi="ar"/>
              </w:rPr>
            </w:pPr>
            <w:r>
              <w:rPr>
                <w:rFonts w:hint="eastAsia" w:ascii="Times New Roman" w:hAnsi="Times New Roman" w:eastAsia="宋体" w:cs="Times New Roman"/>
                <w:b/>
                <w:bCs w:val="0"/>
                <w:color w:val="auto"/>
                <w:kern w:val="0"/>
                <w:sz w:val="24"/>
                <w:szCs w:val="21"/>
                <w:highlight w:val="none"/>
                <w:lang w:val="en-US" w:eastAsia="zh-CN" w:bidi="ar"/>
              </w:rPr>
              <w:t>1.3.9项目与《环境空气质量持续改善行动计划》（国发〔2023〕24号）符合性分析</w:t>
            </w:r>
          </w:p>
          <w:p w14:paraId="1C61BF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项目与《环境空气质量持续改善行动计划》（国发〔2023〕24号）符合性分析详见表1.3-9所示。</w:t>
            </w:r>
          </w:p>
          <w:p w14:paraId="42E162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表1.3-9 项目与《环境空气质量持续改善行动计划》（国发〔2023〕24号）符合性分析一览表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0"/>
              <w:gridCol w:w="3553"/>
              <w:gridCol w:w="903"/>
            </w:tblGrid>
            <w:tr w14:paraId="387A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pct"/>
                  <w:noWrap w:val="0"/>
                  <w:vAlign w:val="center"/>
                </w:tcPr>
                <w:p w14:paraId="13B95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lang w:val="en-US" w:eastAsia="zh-CN"/>
                    </w:rPr>
                    <w:t>国发〔2023〕24号要求</w:t>
                  </w:r>
                </w:p>
              </w:tc>
              <w:tc>
                <w:tcPr>
                  <w:tcW w:w="2151" w:type="pct"/>
                  <w:noWrap w:val="0"/>
                  <w:vAlign w:val="center"/>
                </w:tcPr>
                <w:p w14:paraId="19A42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项目情况</w:t>
                  </w:r>
                </w:p>
              </w:tc>
              <w:tc>
                <w:tcPr>
                  <w:tcW w:w="547" w:type="pct"/>
                  <w:noWrap w:val="0"/>
                  <w:vAlign w:val="center"/>
                </w:tcPr>
                <w:p w14:paraId="6995AC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符合性</w:t>
                  </w:r>
                </w:p>
              </w:tc>
            </w:tr>
            <w:tr w14:paraId="0CD8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pct"/>
                  <w:noWrap w:val="0"/>
                  <w:vAlign w:val="center"/>
                </w:tcPr>
                <w:p w14:paraId="207FF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2151" w:type="pct"/>
                  <w:noWrap w:val="0"/>
                  <w:vAlign w:val="center"/>
                </w:tcPr>
                <w:p w14:paraId="518125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olor w:val="auto"/>
                      <w:kern w:val="0"/>
                      <w:sz w:val="21"/>
                      <w:szCs w:val="21"/>
                      <w:highlight w:val="none"/>
                    </w:rPr>
                    <w:t>根据《产业结构调整指导目录（20</w:t>
                  </w:r>
                  <w:r>
                    <w:rPr>
                      <w:rFonts w:hint="eastAsia"/>
                      <w:color w:val="auto"/>
                      <w:kern w:val="0"/>
                      <w:sz w:val="21"/>
                      <w:szCs w:val="21"/>
                      <w:highlight w:val="none"/>
                      <w:lang w:val="en-US" w:eastAsia="zh-CN"/>
                    </w:rPr>
                    <w:t>24</w:t>
                  </w:r>
                  <w:r>
                    <w:rPr>
                      <w:rFonts w:hint="eastAsia"/>
                      <w:color w:val="auto"/>
                      <w:kern w:val="0"/>
                      <w:sz w:val="21"/>
                      <w:szCs w:val="21"/>
                      <w:highlight w:val="none"/>
                    </w:rPr>
                    <w:t>年本）》，项目属于鼓励类“四十</w:t>
                  </w:r>
                  <w:r>
                    <w:rPr>
                      <w:rFonts w:hint="eastAsia"/>
                      <w:color w:val="auto"/>
                      <w:kern w:val="0"/>
                      <w:sz w:val="21"/>
                      <w:szCs w:val="21"/>
                      <w:highlight w:val="none"/>
                      <w:lang w:val="en-US" w:eastAsia="zh-CN"/>
                    </w:rPr>
                    <w:t>二</w:t>
                  </w:r>
                  <w:r>
                    <w:rPr>
                      <w:rFonts w:hint="eastAsia"/>
                      <w:color w:val="auto"/>
                      <w:kern w:val="0"/>
                      <w:sz w:val="21"/>
                      <w:szCs w:val="21"/>
                      <w:highlight w:val="none"/>
                    </w:rPr>
                    <w:t>、环境保护与资源节约综合利用”中“1</w:t>
                  </w:r>
                  <w:r>
                    <w:rPr>
                      <w:rFonts w:hint="eastAsia"/>
                      <w:color w:val="auto"/>
                      <w:kern w:val="0"/>
                      <w:sz w:val="21"/>
                      <w:szCs w:val="21"/>
                      <w:highlight w:val="none"/>
                      <w:lang w:val="en-US" w:eastAsia="zh-CN"/>
                    </w:rPr>
                    <w:t>0</w:t>
                  </w:r>
                  <w:r>
                    <w:rPr>
                      <w:rFonts w:hint="eastAsia"/>
                      <w:color w:val="auto"/>
                      <w:kern w:val="0"/>
                      <w:sz w:val="21"/>
                      <w:szCs w:val="21"/>
                      <w:highlight w:val="none"/>
                    </w:rPr>
                    <w:t>、‘三废’综合利用与治理技术、装备和工程”。同时本项目于202</w:t>
                  </w:r>
                  <w:r>
                    <w:rPr>
                      <w:rFonts w:hint="eastAsia"/>
                      <w:color w:val="auto"/>
                      <w:kern w:val="0"/>
                      <w:sz w:val="21"/>
                      <w:szCs w:val="21"/>
                      <w:highlight w:val="none"/>
                      <w:lang w:val="en-US" w:eastAsia="zh-CN"/>
                    </w:rPr>
                    <w:t>4</w:t>
                  </w:r>
                  <w:r>
                    <w:rPr>
                      <w:rFonts w:hint="eastAsia"/>
                      <w:color w:val="auto"/>
                      <w:kern w:val="0"/>
                      <w:sz w:val="21"/>
                      <w:szCs w:val="21"/>
                      <w:highlight w:val="none"/>
                    </w:rPr>
                    <w:t>年</w:t>
                  </w:r>
                  <w:r>
                    <w:rPr>
                      <w:rFonts w:hint="eastAsia"/>
                      <w:color w:val="auto"/>
                      <w:kern w:val="0"/>
                      <w:sz w:val="21"/>
                      <w:szCs w:val="21"/>
                      <w:highlight w:val="none"/>
                      <w:lang w:val="en-US" w:eastAsia="zh-CN"/>
                    </w:rPr>
                    <w:t>10</w:t>
                  </w:r>
                  <w:r>
                    <w:rPr>
                      <w:rFonts w:hint="eastAsia"/>
                      <w:color w:val="auto"/>
                      <w:kern w:val="0"/>
                      <w:sz w:val="21"/>
                      <w:szCs w:val="21"/>
                      <w:highlight w:val="none"/>
                    </w:rPr>
                    <w:t>月</w:t>
                  </w:r>
                  <w:r>
                    <w:rPr>
                      <w:rFonts w:hint="eastAsia"/>
                      <w:color w:val="auto"/>
                      <w:kern w:val="0"/>
                      <w:sz w:val="21"/>
                      <w:szCs w:val="21"/>
                      <w:highlight w:val="none"/>
                      <w:lang w:val="en-US" w:eastAsia="zh-CN"/>
                    </w:rPr>
                    <w:t>31日</w:t>
                  </w:r>
                  <w:r>
                    <w:rPr>
                      <w:rFonts w:hint="eastAsia"/>
                      <w:color w:val="auto"/>
                      <w:kern w:val="0"/>
                      <w:sz w:val="21"/>
                      <w:szCs w:val="21"/>
                      <w:highlight w:val="none"/>
                    </w:rPr>
                    <w:t>取得曲靖市麒麟区发展和改革局的投资备案，项目代码：2410-530302-04-01-179633</w:t>
                  </w:r>
                  <w:r>
                    <w:rPr>
                      <w:rFonts w:hint="eastAsia" w:ascii="Times New Roman" w:hAnsi="Times New Roman" w:eastAsia="宋体" w:cs="Times New Roman"/>
                      <w:b w:val="0"/>
                      <w:bCs w:val="0"/>
                      <w:color w:val="auto"/>
                      <w:sz w:val="21"/>
                      <w:szCs w:val="21"/>
                      <w:vertAlign w:val="baseline"/>
                      <w:lang w:val="en-US" w:eastAsia="zh-CN"/>
                    </w:rPr>
                    <w:t>，项目符合国家、地方产业政策；</w:t>
                  </w:r>
                  <w:r>
                    <w:rPr>
                      <w:rFonts w:hint="eastAsia"/>
                      <w:b w:val="0"/>
                      <w:bCs/>
                      <w:color w:val="auto"/>
                      <w:spacing w:val="10"/>
                      <w:sz w:val="21"/>
                      <w:szCs w:val="21"/>
                      <w:highlight w:val="none"/>
                      <w:lang w:val="en-US" w:eastAsia="zh-CN"/>
                    </w:rPr>
                    <w:t>项目主要废旧电池及废矿物油集中收集、中转项目</w:t>
                  </w:r>
                  <w:r>
                    <w:rPr>
                      <w:rFonts w:hint="eastAsia" w:ascii="Times New Roman" w:hAnsi="Times New Roman" w:eastAsia="宋体" w:cs="Times New Roman"/>
                      <w:b w:val="0"/>
                      <w:bCs w:val="0"/>
                      <w:color w:val="auto"/>
                      <w:sz w:val="21"/>
                      <w:szCs w:val="21"/>
                      <w:vertAlign w:val="baseline"/>
                      <w:lang w:val="en-US" w:eastAsia="zh-CN"/>
                    </w:rPr>
                    <w:t>，建设过程严格落实</w:t>
                  </w:r>
                  <w:r>
                    <w:rPr>
                      <w:rFonts w:hint="default" w:ascii="Times New Roman" w:hAnsi="Times New Roman" w:eastAsia="宋体" w:cs="Times New Roman"/>
                      <w:b w:val="0"/>
                      <w:bCs w:val="0"/>
                      <w:color w:val="auto"/>
                      <w:sz w:val="21"/>
                      <w:szCs w:val="21"/>
                      <w:highlight w:val="none"/>
                      <w:vertAlign w:val="baseline"/>
                      <w:lang w:val="en-US" w:eastAsia="zh-CN"/>
                    </w:rPr>
                    <w:t>国家产业规划、产业政策、生态环境分区管控方案、项目环评、节能审查、产能置换、重点污染物总量控制、污染物排放区域削减、碳排放达峰目标等相关要求</w:t>
                  </w:r>
                </w:p>
              </w:tc>
              <w:tc>
                <w:tcPr>
                  <w:tcW w:w="547" w:type="pct"/>
                  <w:noWrap w:val="0"/>
                  <w:vAlign w:val="center"/>
                </w:tcPr>
                <w:p w14:paraId="64805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符合</w:t>
                  </w:r>
                </w:p>
              </w:tc>
            </w:tr>
            <w:tr w14:paraId="1776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pct"/>
                  <w:noWrap w:val="0"/>
                  <w:vAlign w:val="center"/>
                </w:tcPr>
                <w:p w14:paraId="696BB3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五）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2151" w:type="pct"/>
                  <w:noWrap w:val="0"/>
                  <w:vAlign w:val="center"/>
                </w:tcPr>
                <w:p w14:paraId="23B34A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olor w:val="auto"/>
                      <w:kern w:val="0"/>
                      <w:sz w:val="21"/>
                      <w:szCs w:val="21"/>
                      <w:highlight w:val="none"/>
                    </w:rPr>
                    <w:t>根据《产业结构调整指导目录（20</w:t>
                  </w:r>
                  <w:r>
                    <w:rPr>
                      <w:rFonts w:hint="eastAsia"/>
                      <w:color w:val="auto"/>
                      <w:kern w:val="0"/>
                      <w:sz w:val="21"/>
                      <w:szCs w:val="21"/>
                      <w:highlight w:val="none"/>
                      <w:lang w:val="en-US" w:eastAsia="zh-CN"/>
                    </w:rPr>
                    <w:t>24</w:t>
                  </w:r>
                  <w:r>
                    <w:rPr>
                      <w:rFonts w:hint="eastAsia"/>
                      <w:color w:val="auto"/>
                      <w:kern w:val="0"/>
                      <w:sz w:val="21"/>
                      <w:szCs w:val="21"/>
                      <w:highlight w:val="none"/>
                    </w:rPr>
                    <w:t>年本）》，项目属于鼓励类“四十</w:t>
                  </w:r>
                  <w:r>
                    <w:rPr>
                      <w:rFonts w:hint="eastAsia"/>
                      <w:color w:val="auto"/>
                      <w:kern w:val="0"/>
                      <w:sz w:val="21"/>
                      <w:szCs w:val="21"/>
                      <w:highlight w:val="none"/>
                      <w:lang w:val="en-US" w:eastAsia="zh-CN"/>
                    </w:rPr>
                    <w:t>二</w:t>
                  </w:r>
                  <w:r>
                    <w:rPr>
                      <w:rFonts w:hint="eastAsia"/>
                      <w:color w:val="auto"/>
                      <w:kern w:val="0"/>
                      <w:sz w:val="21"/>
                      <w:szCs w:val="21"/>
                      <w:highlight w:val="none"/>
                    </w:rPr>
                    <w:t>、环境保护与资源节约综合利用”中“1</w:t>
                  </w:r>
                  <w:r>
                    <w:rPr>
                      <w:rFonts w:hint="eastAsia"/>
                      <w:color w:val="auto"/>
                      <w:kern w:val="0"/>
                      <w:sz w:val="21"/>
                      <w:szCs w:val="21"/>
                      <w:highlight w:val="none"/>
                      <w:lang w:val="en-US" w:eastAsia="zh-CN"/>
                    </w:rPr>
                    <w:t>0</w:t>
                  </w:r>
                  <w:r>
                    <w:rPr>
                      <w:rFonts w:hint="eastAsia"/>
                      <w:color w:val="auto"/>
                      <w:kern w:val="0"/>
                      <w:sz w:val="21"/>
                      <w:szCs w:val="21"/>
                      <w:highlight w:val="none"/>
                    </w:rPr>
                    <w:t>、‘三废’综合利用与治理技术、装备和工程”。同时本项目于202</w:t>
                  </w:r>
                  <w:r>
                    <w:rPr>
                      <w:rFonts w:hint="eastAsia"/>
                      <w:color w:val="auto"/>
                      <w:kern w:val="0"/>
                      <w:sz w:val="21"/>
                      <w:szCs w:val="21"/>
                      <w:highlight w:val="none"/>
                      <w:lang w:val="en-US" w:eastAsia="zh-CN"/>
                    </w:rPr>
                    <w:t>4</w:t>
                  </w:r>
                  <w:r>
                    <w:rPr>
                      <w:rFonts w:hint="eastAsia"/>
                      <w:color w:val="auto"/>
                      <w:kern w:val="0"/>
                      <w:sz w:val="21"/>
                      <w:szCs w:val="21"/>
                      <w:highlight w:val="none"/>
                    </w:rPr>
                    <w:t>年</w:t>
                  </w:r>
                  <w:r>
                    <w:rPr>
                      <w:rFonts w:hint="eastAsia"/>
                      <w:color w:val="auto"/>
                      <w:kern w:val="0"/>
                      <w:sz w:val="21"/>
                      <w:szCs w:val="21"/>
                      <w:highlight w:val="none"/>
                      <w:lang w:val="en-US" w:eastAsia="zh-CN"/>
                    </w:rPr>
                    <w:t>10</w:t>
                  </w:r>
                  <w:r>
                    <w:rPr>
                      <w:rFonts w:hint="eastAsia"/>
                      <w:color w:val="auto"/>
                      <w:kern w:val="0"/>
                      <w:sz w:val="21"/>
                      <w:szCs w:val="21"/>
                      <w:highlight w:val="none"/>
                    </w:rPr>
                    <w:t>月</w:t>
                  </w:r>
                  <w:r>
                    <w:rPr>
                      <w:rFonts w:hint="eastAsia"/>
                      <w:color w:val="auto"/>
                      <w:kern w:val="0"/>
                      <w:sz w:val="21"/>
                      <w:szCs w:val="21"/>
                      <w:highlight w:val="none"/>
                      <w:lang w:val="en-US" w:eastAsia="zh-CN"/>
                    </w:rPr>
                    <w:t>31日</w:t>
                  </w:r>
                  <w:r>
                    <w:rPr>
                      <w:rFonts w:hint="eastAsia"/>
                      <w:color w:val="auto"/>
                      <w:kern w:val="0"/>
                      <w:sz w:val="21"/>
                      <w:szCs w:val="21"/>
                      <w:highlight w:val="none"/>
                    </w:rPr>
                    <w:t>取得曲靖市麒麟区发展和改革局的投资备案，项目代码：2410-530302-04-01-179633</w:t>
                  </w:r>
                  <w:r>
                    <w:rPr>
                      <w:rFonts w:hint="eastAsia" w:ascii="Times New Roman" w:hAnsi="Times New Roman" w:eastAsia="宋体" w:cs="Times New Roman"/>
                      <w:b w:val="0"/>
                      <w:bCs w:val="0"/>
                      <w:color w:val="auto"/>
                      <w:sz w:val="21"/>
                      <w:szCs w:val="21"/>
                      <w:vertAlign w:val="baseline"/>
                      <w:lang w:val="en-US" w:eastAsia="zh-CN"/>
                    </w:rPr>
                    <w:t>，项目符合国家、地方产业政策</w:t>
                  </w:r>
                  <w:r>
                    <w:rPr>
                      <w:rFonts w:hint="default" w:ascii="Times New Roman" w:hAnsi="Times New Roman" w:eastAsia="宋体" w:cs="Times New Roman"/>
                      <w:b w:val="0"/>
                      <w:bCs w:val="0"/>
                      <w:color w:val="auto"/>
                      <w:sz w:val="21"/>
                      <w:szCs w:val="21"/>
                      <w:vertAlign w:val="baseline"/>
                      <w:lang w:val="en-US" w:eastAsia="zh-CN"/>
                    </w:rPr>
                    <w:t>。</w:t>
                  </w:r>
                  <w:r>
                    <w:rPr>
                      <w:rFonts w:hint="eastAsia"/>
                      <w:b w:val="0"/>
                      <w:bCs/>
                      <w:color w:val="auto"/>
                      <w:spacing w:val="10"/>
                      <w:sz w:val="21"/>
                      <w:szCs w:val="21"/>
                      <w:highlight w:val="none"/>
                      <w:lang w:val="en-US" w:eastAsia="zh-CN"/>
                    </w:rPr>
                    <w:t>项目主要废旧电池及废矿物油集中收集、中转项目</w:t>
                  </w:r>
                  <w:r>
                    <w:rPr>
                      <w:rFonts w:hint="eastAsia" w:ascii="Times New Roman" w:hAnsi="Times New Roman" w:eastAsia="宋体" w:cs="Times New Roman"/>
                      <w:b w:val="0"/>
                      <w:bCs w:val="0"/>
                      <w:color w:val="auto"/>
                      <w:sz w:val="21"/>
                      <w:szCs w:val="21"/>
                      <w:vertAlign w:val="baseline"/>
                      <w:lang w:val="en-US" w:eastAsia="zh-CN"/>
                    </w:rPr>
                    <w:t>，项目不涉及</w:t>
                  </w:r>
                  <w:r>
                    <w:rPr>
                      <w:rFonts w:hint="default" w:ascii="Times New Roman" w:hAnsi="Times New Roman" w:eastAsia="宋体" w:cs="Times New Roman"/>
                      <w:b w:val="0"/>
                      <w:bCs w:val="0"/>
                      <w:color w:val="auto"/>
                      <w:sz w:val="21"/>
                      <w:szCs w:val="21"/>
                      <w:highlight w:val="none"/>
                      <w:vertAlign w:val="baseline"/>
                      <w:lang w:val="en-US" w:eastAsia="zh-CN"/>
                    </w:rPr>
                    <w:t>限制类涉气行业工艺和装备</w:t>
                  </w:r>
                  <w:r>
                    <w:rPr>
                      <w:rFonts w:hint="eastAsia" w:ascii="Times New Roman" w:hAnsi="Times New Roman" w:eastAsia="宋体" w:cs="Times New Roman"/>
                      <w:b w:val="0"/>
                      <w:bCs w:val="0"/>
                      <w:color w:val="auto"/>
                      <w:sz w:val="21"/>
                      <w:szCs w:val="21"/>
                      <w:highlight w:val="none"/>
                      <w:vertAlign w:val="baseline"/>
                      <w:lang w:val="en-US" w:eastAsia="zh-CN"/>
                    </w:rPr>
                    <w:t>，不涉及</w:t>
                  </w:r>
                  <w:r>
                    <w:rPr>
                      <w:rFonts w:hint="default" w:ascii="Times New Roman" w:hAnsi="Times New Roman" w:eastAsia="宋体" w:cs="Times New Roman"/>
                      <w:b w:val="0"/>
                      <w:bCs w:val="0"/>
                      <w:color w:val="auto"/>
                      <w:sz w:val="21"/>
                      <w:szCs w:val="21"/>
                      <w:highlight w:val="none"/>
                      <w:vertAlign w:val="baseline"/>
                      <w:lang w:val="en-US" w:eastAsia="zh-CN"/>
                    </w:rPr>
                    <w:t>烧结机和球团竖炉以及半封闭式硅锰合金、镍铁、高碳铬铁、高碳锰铁电炉</w:t>
                  </w:r>
                </w:p>
              </w:tc>
              <w:tc>
                <w:tcPr>
                  <w:tcW w:w="547" w:type="pct"/>
                  <w:noWrap w:val="0"/>
                  <w:vAlign w:val="center"/>
                </w:tcPr>
                <w:p w14:paraId="6526F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符合</w:t>
                  </w:r>
                </w:p>
              </w:tc>
            </w:tr>
            <w:tr w14:paraId="0324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pct"/>
                  <w:noWrap w:val="0"/>
                  <w:vAlign w:val="center"/>
                </w:tcPr>
                <w:p w14:paraId="68A75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（十八）</w:t>
                  </w:r>
                  <w:r>
                    <w:rPr>
                      <w:rFonts w:hint="default" w:ascii="Times New Roman" w:hAnsi="Times New Roman" w:eastAsia="宋体" w:cs="Times New Roman"/>
                      <w:b w:val="0"/>
                      <w:bCs w:val="0"/>
                      <w:color w:val="auto"/>
                      <w:sz w:val="21"/>
                      <w:szCs w:val="21"/>
                      <w:highlight w:val="none"/>
                      <w:vertAlign w:val="baseline"/>
                      <w:lang w:val="en-US" w:eastAsia="zh-CN"/>
                    </w:rPr>
                    <w:t>深化扬尘污染综合治理。鼓励经济发达地区5000平方米及以上建筑工地安装视频监控并接入当地监管平台</w:t>
                  </w:r>
                  <w:r>
                    <w:rPr>
                      <w:rFonts w:hint="eastAsia" w:cs="Times New Roman"/>
                      <w:b w:val="0"/>
                      <w:bCs w:val="0"/>
                      <w:color w:val="auto"/>
                      <w:sz w:val="21"/>
                      <w:szCs w:val="21"/>
                      <w:highlight w:val="none"/>
                      <w:vertAlign w:val="baseline"/>
                      <w:lang w:val="en-US" w:eastAsia="zh-CN"/>
                    </w:rPr>
                    <w:t>；对</w:t>
                  </w:r>
                  <w:r>
                    <w:rPr>
                      <w:rFonts w:hint="default" w:ascii="Times New Roman" w:hAnsi="Times New Roman" w:eastAsia="宋体" w:cs="Times New Roman"/>
                      <w:b w:val="0"/>
                      <w:bCs w:val="0"/>
                      <w:color w:val="auto"/>
                      <w:sz w:val="21"/>
                      <w:szCs w:val="21"/>
                      <w:highlight w:val="none"/>
                      <w:vertAlign w:val="baseline"/>
                      <w:lang w:val="en-US" w:eastAsia="zh-CN"/>
                    </w:rPr>
                    <w:t>重点区域道路、水务等长距离线性工程实行分段施工。将防治扬尘污染费用纳入工程造价。到2025年，装配式建筑占新建建筑面积比例达30%；地级及以上城市建成区道路机械化清扫率达80%左右，县城达70%左右。对城市</w:t>
                  </w:r>
                  <w:r>
                    <w:rPr>
                      <w:rFonts w:hint="eastAsia" w:cs="Times New Roman"/>
                      <w:b w:val="0"/>
                      <w:bCs w:val="0"/>
                      <w:color w:val="auto"/>
                      <w:sz w:val="21"/>
                      <w:szCs w:val="21"/>
                      <w:highlight w:val="none"/>
                      <w:vertAlign w:val="baseline"/>
                      <w:lang w:val="en-US" w:eastAsia="zh-CN"/>
                    </w:rPr>
                    <w:t>公共绿地</w:t>
                  </w:r>
                  <w:r>
                    <w:rPr>
                      <w:rFonts w:hint="default" w:ascii="Times New Roman" w:hAnsi="Times New Roman" w:eastAsia="宋体" w:cs="Times New Roman"/>
                      <w:b w:val="0"/>
                      <w:bCs w:val="0"/>
                      <w:color w:val="auto"/>
                      <w:sz w:val="21"/>
                      <w:szCs w:val="21"/>
                      <w:highlight w:val="none"/>
                      <w:vertAlign w:val="baseline"/>
                      <w:lang w:val="en-US" w:eastAsia="zh-CN"/>
                    </w:rPr>
                    <w:t>进行排查建档并采取防尘措施。城市大型煤炭、矿石等干散货码头物料堆场基本完成抑尘设施建设和物料输送系统封闭改造。</w:t>
                  </w:r>
                </w:p>
              </w:tc>
              <w:tc>
                <w:tcPr>
                  <w:tcW w:w="2151" w:type="pct"/>
                  <w:vMerge w:val="restart"/>
                  <w:noWrap w:val="0"/>
                  <w:vAlign w:val="center"/>
                </w:tcPr>
                <w:p w14:paraId="5E4FF903">
                  <w:pP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项目运营期严格落实环评提出废气处理措施：</w:t>
                  </w:r>
                  <w:r>
                    <w:rPr>
                      <w:rFonts w:hint="eastAsia"/>
                      <w:color w:val="auto"/>
                      <w:sz w:val="21"/>
                      <w:szCs w:val="21"/>
                      <w:lang w:val="en-US" w:eastAsia="zh-CN"/>
                    </w:rPr>
                    <w:t>①</w:t>
                  </w: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呼吸废气经收集后</w:t>
                  </w:r>
                  <w:r>
                    <w:rPr>
                      <w:rFonts w:hint="eastAsia" w:cs="Times New Roman"/>
                      <w:color w:val="FF0000"/>
                      <w:sz w:val="21"/>
                      <w:szCs w:val="21"/>
                      <w:lang w:val="en-US" w:eastAsia="zh-CN" w:bidi="ar-SA"/>
                    </w:rPr>
                    <w:t>通过引风机</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color w:val="FF0000"/>
                      <w:sz w:val="21"/>
                      <w:szCs w:val="21"/>
                      <w:lang w:val="en-US" w:eastAsia="zh-CN" w:bidi="ar-SA"/>
                    </w:rPr>
                    <w:t>引至</w:t>
                  </w:r>
                  <w:r>
                    <w:rPr>
                      <w:rFonts w:hint="eastAsia" w:cs="Times New Roman"/>
                      <w:color w:val="FF0000"/>
                      <w:sz w:val="21"/>
                      <w:szCs w:val="21"/>
                      <w:lang w:val="en-US" w:eastAsia="zh-CN" w:bidi="ar-SA"/>
                    </w:rPr>
                    <w:t>1套活性炭吸附装置</w:t>
                  </w:r>
                  <w:r>
                    <w:rPr>
                      <w:rFonts w:hint="eastAsia" w:ascii="Times New Roman" w:hAnsi="Times New Roman" w:eastAsia="宋体" w:cs="Times New Roman"/>
                      <w:color w:val="FF0000"/>
                      <w:sz w:val="21"/>
                      <w:szCs w:val="21"/>
                      <w:lang w:val="en-US" w:eastAsia="zh-CN" w:bidi="ar-SA"/>
                    </w:rPr>
                    <w:t>处理；</w:t>
                  </w:r>
                  <w:r>
                    <w:rPr>
                      <w:rFonts w:hint="eastAsia"/>
                      <w:b w:val="0"/>
                      <w:bCs w:val="0"/>
                      <w:color w:val="FF0000"/>
                      <w:sz w:val="21"/>
                      <w:szCs w:val="21"/>
                      <w:lang w:val="en-US" w:eastAsia="zh-CN"/>
                    </w:rPr>
                    <w:t>废铅蓄电池破损泄漏产生的酸性废气由集气罩收集后</w:t>
                  </w:r>
                  <w:r>
                    <w:rPr>
                      <w:rFonts w:hint="eastAsia" w:cs="Times New Roman"/>
                      <w:b w:val="0"/>
                      <w:bCs w:val="0"/>
                      <w:color w:val="FF0000"/>
                      <w:sz w:val="21"/>
                      <w:szCs w:val="21"/>
                      <w:lang w:val="en-US" w:eastAsia="zh-CN" w:bidi="ar-SA"/>
                    </w:rPr>
                    <w:t>通过引风机（</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引至</w:t>
                  </w:r>
                  <w:r>
                    <w:rPr>
                      <w:rFonts w:hint="eastAsia"/>
                      <w:b w:val="0"/>
                      <w:bCs w:val="0"/>
                      <w:color w:val="FF0000"/>
                      <w:sz w:val="21"/>
                      <w:szCs w:val="21"/>
                      <w:lang w:val="en-US" w:eastAsia="zh-CN"/>
                    </w:rPr>
                    <w:t>1座碱洗塔处理；</w:t>
                  </w: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w:t>
                  </w:r>
                  <w:r>
                    <w:rPr>
                      <w:rFonts w:hint="eastAsia"/>
                      <w:b w:val="0"/>
                      <w:bCs w:val="0"/>
                      <w:color w:val="FF0000"/>
                      <w:sz w:val="21"/>
                      <w:szCs w:val="21"/>
                      <w:lang w:val="en-US" w:eastAsia="zh-CN"/>
                    </w:rPr>
                    <w:t>和酸性废气经处理后合并通过一根15m高排气筒（编号：DA001）排放</w:t>
                  </w:r>
                  <w:r>
                    <w:rPr>
                      <w:rFonts w:hint="eastAsia"/>
                      <w:color w:val="auto"/>
                      <w:sz w:val="21"/>
                      <w:szCs w:val="21"/>
                      <w:lang w:val="en-US" w:eastAsia="zh-CN"/>
                    </w:rPr>
                    <w:t>；②危险废物采取密闭包装、闭口包装，加强厂区环境管理</w:t>
                  </w:r>
                </w:p>
              </w:tc>
              <w:tc>
                <w:tcPr>
                  <w:tcW w:w="547" w:type="pct"/>
                  <w:noWrap w:val="0"/>
                  <w:vAlign w:val="center"/>
                </w:tcPr>
                <w:p w14:paraId="61942A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符合</w:t>
                  </w:r>
                </w:p>
              </w:tc>
            </w:tr>
            <w:tr w14:paraId="3BF3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pct"/>
                  <w:noWrap w:val="0"/>
                  <w:vAlign w:val="center"/>
                </w:tcPr>
                <w:p w14:paraId="3801B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二十六）完善区域大气污染防治协作机制。国家统筹推进京津冀及周边地区大气污染联防联控工作，继续发挥长三角地区协作机制、汾渭平原协作机制作用。国家加强对成渝地区、长江中游城市群、东北地区、天山北坡城市群等区域大气污染防治协作的指导，将粤港澳大湾区作为空气质量改善先行示范区。各省级政府加强本行政区域内联防联控。鼓励省际交界地区市县积极开展联防联控，推动联合交叉执法。对省界两侧20公里内的涉气重点行业新建项目，以及对下风向空气质量影响大的新建高架源项目，有关省份要开展环评一致性会商。</w:t>
                  </w:r>
                </w:p>
              </w:tc>
              <w:tc>
                <w:tcPr>
                  <w:tcW w:w="2151" w:type="pct"/>
                  <w:vMerge w:val="continue"/>
                  <w:noWrap w:val="0"/>
                  <w:vAlign w:val="center"/>
                </w:tcPr>
                <w:p w14:paraId="23A614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547" w:type="pct"/>
                  <w:noWrap w:val="0"/>
                  <w:vAlign w:val="center"/>
                </w:tcPr>
                <w:p w14:paraId="62012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符合</w:t>
                  </w:r>
                </w:p>
              </w:tc>
            </w:tr>
            <w:tr w14:paraId="2C20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pct"/>
                  <w:noWrap w:val="0"/>
                  <w:vAlign w:val="center"/>
                </w:tcPr>
                <w:p w14:paraId="2D36F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二十七）完善重污染天气应对机制。建立健全省市县三级重污染天气应急预案体系，明确地方各级政府部门责任分工，规范重污染天气预警启动、响应、解除工作流程。优化重污染天气预警启动标准。完善重点行业企业绩效分级指标体系，规范企业绩效分级管理流程，鼓励开展绩效等级提升行动。结合排污许可制度，确保应急减排清单覆盖所有涉气企业。位于同一区域的城市要按照区域预警提示信息，依法依规同步采取应急响应措施。</w:t>
                  </w:r>
                </w:p>
              </w:tc>
              <w:tc>
                <w:tcPr>
                  <w:tcW w:w="2151" w:type="pct"/>
                  <w:noWrap w:val="0"/>
                  <w:vAlign w:val="center"/>
                </w:tcPr>
                <w:p w14:paraId="6C03B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项目运营期严格按照环评要求编制应急预案，并进行备案，同时运营期根据《固定污染源排污许可分类管理名录（2019年版）》</w:t>
                  </w:r>
                  <w:r>
                    <w:rPr>
                      <w:rFonts w:hint="eastAsia" w:cs="Times New Roman"/>
                      <w:b w:val="0"/>
                      <w:bCs w:val="0"/>
                      <w:color w:val="auto"/>
                      <w:sz w:val="21"/>
                      <w:szCs w:val="21"/>
                      <w:highlight w:val="none"/>
                      <w:vertAlign w:val="baseline"/>
                      <w:lang w:val="en-US" w:eastAsia="zh-CN"/>
                    </w:rPr>
                    <w:t>－第</w:t>
                  </w:r>
                  <w:r>
                    <w:rPr>
                      <w:rFonts w:hint="eastAsia" w:ascii="Times New Roman" w:hAnsi="Times New Roman" w:eastAsia="宋体" w:cs="Times New Roman"/>
                      <w:b w:val="0"/>
                      <w:bCs w:val="0"/>
                      <w:color w:val="auto"/>
                      <w:sz w:val="21"/>
                      <w:szCs w:val="21"/>
                      <w:highlight w:val="none"/>
                      <w:vertAlign w:val="baseline"/>
                      <w:lang w:val="en-US" w:eastAsia="zh-CN"/>
                    </w:rPr>
                    <w:t>四十五、生态保护和环境治理业77－环境治理业 772－专业从事危险废物贮存、利用、处理、处置（含焚烧发电）的，专业从事一般工业固体废物贮存、处置（含焚烧发电）的，本项目应该按照重点管理级别申请排污许可证，建设单位按排污许可证管理要求向曲靖市生态环境局申请排污许可证</w:t>
                  </w:r>
                </w:p>
              </w:tc>
              <w:tc>
                <w:tcPr>
                  <w:tcW w:w="547" w:type="pct"/>
                  <w:noWrap w:val="0"/>
                  <w:vAlign w:val="center"/>
                </w:tcPr>
                <w:p w14:paraId="6FBDF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符合</w:t>
                  </w:r>
                </w:p>
              </w:tc>
            </w:tr>
          </w:tbl>
          <w:p w14:paraId="1E8723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1.3.10项目与《云南省空气质量持续改善行动实施方案》符合性分析</w:t>
            </w:r>
          </w:p>
          <w:p w14:paraId="13538F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项目与《</w:t>
            </w:r>
            <w:bookmarkStart w:id="13" w:name="_Hlk167578264"/>
            <w:r>
              <w:rPr>
                <w:rFonts w:hint="default" w:ascii="Times New Roman" w:hAnsi="Times New Roman" w:cs="Times New Roman"/>
                <w:color w:val="auto"/>
                <w:sz w:val="24"/>
                <w:szCs w:val="24"/>
              </w:rPr>
              <w:t>云南省空气质量持续改善行动实施方案</w:t>
            </w:r>
            <w:bookmarkEnd w:id="13"/>
            <w:r>
              <w:rPr>
                <w:rFonts w:hint="default" w:ascii="Times New Roman" w:hAnsi="Times New Roman" w:cs="Times New Roman"/>
                <w:color w:val="auto"/>
                <w:sz w:val="24"/>
                <w:szCs w:val="24"/>
              </w:rPr>
              <w:t>》的相关符合性分析见表</w:t>
            </w:r>
            <w:r>
              <w:rPr>
                <w:rFonts w:hint="eastAsia" w:ascii="Times New Roman" w:hAnsi="Times New Roman" w:cs="Times New Roman"/>
                <w:color w:val="auto"/>
                <w:sz w:val="24"/>
                <w:szCs w:val="24"/>
                <w:lang w:val="en-US" w:eastAsia="zh-CN"/>
              </w:rPr>
              <w:t>1.3-10</w:t>
            </w:r>
            <w:r>
              <w:rPr>
                <w:rFonts w:hint="default" w:ascii="Times New Roman" w:hAnsi="Times New Roman" w:cs="Times New Roman"/>
                <w:color w:val="auto"/>
                <w:sz w:val="24"/>
                <w:szCs w:val="24"/>
              </w:rPr>
              <w:t>所示。</w:t>
            </w:r>
          </w:p>
          <w:p w14:paraId="54F1EE1F">
            <w:pPr>
              <w:adjustRightIn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1.3</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 xml:space="preserve">10 </w:t>
            </w:r>
            <w:r>
              <w:rPr>
                <w:rFonts w:hint="default" w:ascii="Times New Roman" w:hAnsi="Times New Roman" w:cs="Times New Roman"/>
                <w:b/>
                <w:bCs/>
                <w:color w:val="auto"/>
                <w:sz w:val="21"/>
                <w:szCs w:val="21"/>
              </w:rPr>
              <w:t xml:space="preserve"> 项目与《云南省空气质量持续改善行动实施方案》的符合性分析一览表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3"/>
              <w:gridCol w:w="3581"/>
              <w:gridCol w:w="832"/>
            </w:tblGrid>
            <w:tr w14:paraId="4A46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327" w:type="pct"/>
                  <w:noWrap w:val="0"/>
                  <w:vAlign w:val="center"/>
                </w:tcPr>
                <w:p w14:paraId="1FE3468D">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《方案》相关要求</w:t>
                  </w:r>
                </w:p>
              </w:tc>
              <w:tc>
                <w:tcPr>
                  <w:tcW w:w="2168" w:type="pct"/>
                  <w:noWrap w:val="0"/>
                  <w:vAlign w:val="center"/>
                </w:tcPr>
                <w:p w14:paraId="1537C991">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504" w:type="pct"/>
                  <w:noWrap w:val="0"/>
                  <w:vAlign w:val="center"/>
                </w:tcPr>
                <w:p w14:paraId="011D1596">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668E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6" w:hRule="atLeast"/>
              </w:trPr>
              <w:tc>
                <w:tcPr>
                  <w:tcW w:w="2327" w:type="pct"/>
                  <w:noWrap w:val="0"/>
                  <w:vAlign w:val="center"/>
                </w:tcPr>
                <w:p w14:paraId="3B2471B3">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十八）推进重点行业污染深度治理。高质量推进钢铁、水泥、焦化等重点行业及燃煤锅炉超低排放改造。到2025年，全省80%以上的钢铁产能完成超低排放改造，力争50%以上的水泥熟料产能、合规焦化产能完成超低排放改造。推进玻璃、石灰、矿棉、有色等行业深度治理。强化治污设施运行维护，减少非正常工况排放。重点涉气企业逐步取消烟气和含VOCs废气旁路。</w:t>
                  </w:r>
                </w:p>
              </w:tc>
              <w:tc>
                <w:tcPr>
                  <w:tcW w:w="2168" w:type="pct"/>
                  <w:noWrap w:val="0"/>
                  <w:vAlign w:val="center"/>
                </w:tcPr>
                <w:p w14:paraId="2AFC2D7C">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属于</w:t>
                  </w:r>
                  <w:r>
                    <w:rPr>
                      <w:rFonts w:hint="default" w:ascii="Times New Roman" w:hAnsi="Times New Roman" w:eastAsia="宋体" w:cs="Times New Roman"/>
                      <w:b w:val="0"/>
                      <w:bCs w:val="0"/>
                      <w:color w:val="auto"/>
                      <w:sz w:val="21"/>
                      <w:szCs w:val="21"/>
                    </w:rPr>
                    <w:t>废旧电池及废矿物油集中收集、中转项目</w:t>
                  </w:r>
                  <w:r>
                    <w:rPr>
                      <w:rFonts w:hint="default" w:ascii="Times New Roman" w:hAnsi="Times New Roman" w:cs="Times New Roman"/>
                      <w:color w:val="auto"/>
                      <w:sz w:val="21"/>
                      <w:szCs w:val="21"/>
                      <w:highlight w:val="none"/>
                    </w:rPr>
                    <w:t>，不属于钢铁、水泥、焦化等重点行业及燃煤锅炉项目。且项目在严格</w:t>
                  </w:r>
                  <w:r>
                    <w:rPr>
                      <w:rFonts w:hint="eastAsia" w:ascii="Times New Roman" w:hAnsi="Times New Roman" w:cs="Times New Roman"/>
                      <w:color w:val="auto"/>
                      <w:sz w:val="21"/>
                      <w:szCs w:val="21"/>
                      <w:highlight w:val="none"/>
                      <w:lang w:val="en-US" w:eastAsia="zh-CN"/>
                    </w:rPr>
                    <w:t>执行</w:t>
                  </w:r>
                  <w:r>
                    <w:rPr>
                      <w:rFonts w:hint="default" w:ascii="Times New Roman" w:hAnsi="Times New Roman" w:cs="Times New Roman"/>
                      <w:color w:val="auto"/>
                      <w:sz w:val="21"/>
                      <w:szCs w:val="21"/>
                      <w:highlight w:val="none"/>
                    </w:rPr>
                    <w:t>环评提出的要求后污染物可达标排放。</w:t>
                  </w:r>
                </w:p>
              </w:tc>
              <w:tc>
                <w:tcPr>
                  <w:tcW w:w="504" w:type="pct"/>
                  <w:noWrap w:val="0"/>
                  <w:vAlign w:val="center"/>
                </w:tcPr>
                <w:p w14:paraId="7518874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72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2" w:hRule="atLeast"/>
              </w:trPr>
              <w:tc>
                <w:tcPr>
                  <w:tcW w:w="2327" w:type="pct"/>
                  <w:noWrap w:val="0"/>
                  <w:vAlign w:val="center"/>
                </w:tcPr>
                <w:p w14:paraId="21FBA56C">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十一）加强城市空气质量管理。空气质量未达标城市制定限期达标规划，已达标城市持续巩固提升空气质量。完善网格化动态监管机制，实现PM2.5精细化管控，抓好氮氧化物和VOCs协同减排，持续推进PM2.5和臭氧</w:t>
                  </w:r>
                  <w:r>
                    <w:rPr>
                      <w:rFonts w:hint="eastAsia" w:cs="Times New Roman"/>
                      <w:color w:val="auto"/>
                      <w:sz w:val="21"/>
                      <w:szCs w:val="21"/>
                      <w:highlight w:val="none"/>
                      <w:lang w:eastAsia="zh-CN"/>
                    </w:rPr>
                    <w:t>污染物协同控制</w:t>
                  </w:r>
                  <w:r>
                    <w:rPr>
                      <w:rFonts w:hint="default" w:ascii="Times New Roman" w:hAnsi="Times New Roman" w:cs="Times New Roman"/>
                      <w:color w:val="auto"/>
                      <w:sz w:val="21"/>
                      <w:szCs w:val="21"/>
                      <w:highlight w:val="none"/>
                    </w:rPr>
                    <w:t>。到2025年，臭氧前体物氮氧化物和VOCs协同控制取得积极成效，全省臭氧浓度增长趋势得到有效遏制。</w:t>
                  </w:r>
                </w:p>
              </w:tc>
              <w:tc>
                <w:tcPr>
                  <w:tcW w:w="2168" w:type="pct"/>
                  <w:noWrap w:val="0"/>
                  <w:vAlign w:val="center"/>
                </w:tcPr>
                <w:p w14:paraId="44BE142B">
                  <w:pP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项目为</w:t>
                  </w:r>
                  <w:r>
                    <w:rPr>
                      <w:rFonts w:hint="default" w:ascii="Times New Roman" w:hAnsi="Times New Roman" w:eastAsia="宋体" w:cs="Times New Roman"/>
                      <w:b w:val="0"/>
                      <w:bCs w:val="0"/>
                      <w:color w:val="auto"/>
                      <w:sz w:val="21"/>
                      <w:szCs w:val="21"/>
                    </w:rPr>
                    <w:t>废旧电池及废矿物油集中收集、中转项目</w:t>
                  </w:r>
                  <w:r>
                    <w:rPr>
                      <w:rFonts w:hint="default" w:ascii="Times New Roman" w:hAnsi="Times New Roman" w:cs="Times New Roman"/>
                      <w:color w:val="auto"/>
                      <w:sz w:val="21"/>
                      <w:szCs w:val="21"/>
                      <w:highlight w:val="none"/>
                    </w:rPr>
                    <w:t>，</w:t>
                  </w:r>
                  <w:r>
                    <w:rPr>
                      <w:rFonts w:hint="eastAsia" w:ascii="Times New Roman" w:hAnsi="Times New Roman" w:eastAsia="宋体" w:cs="Times New Roman"/>
                      <w:b w:val="0"/>
                      <w:bCs w:val="0"/>
                      <w:color w:val="auto"/>
                      <w:sz w:val="21"/>
                      <w:szCs w:val="21"/>
                      <w:vertAlign w:val="baseline"/>
                      <w:lang w:val="en-US" w:eastAsia="zh-CN"/>
                    </w:rPr>
                    <w:t>项目运营期严格落实环评提出废气处理措施：</w:t>
                  </w:r>
                  <w:r>
                    <w:rPr>
                      <w:rFonts w:hint="eastAsia"/>
                      <w:color w:val="auto"/>
                      <w:sz w:val="21"/>
                      <w:szCs w:val="21"/>
                      <w:lang w:val="en-US" w:eastAsia="zh-CN"/>
                    </w:rPr>
                    <w:t>①</w:t>
                  </w: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呼吸废气经收集后</w:t>
                  </w:r>
                  <w:r>
                    <w:rPr>
                      <w:rFonts w:hint="eastAsia" w:cs="Times New Roman"/>
                      <w:color w:val="FF0000"/>
                      <w:sz w:val="21"/>
                      <w:szCs w:val="21"/>
                      <w:lang w:val="en-US" w:eastAsia="zh-CN" w:bidi="ar-SA"/>
                    </w:rPr>
                    <w:t>通过引风机</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color w:val="FF0000"/>
                      <w:sz w:val="21"/>
                      <w:szCs w:val="21"/>
                      <w:lang w:val="en-US" w:eastAsia="zh-CN" w:bidi="ar-SA"/>
                    </w:rPr>
                    <w:t>引至</w:t>
                  </w:r>
                  <w:r>
                    <w:rPr>
                      <w:rFonts w:hint="eastAsia" w:cs="Times New Roman"/>
                      <w:color w:val="FF0000"/>
                      <w:sz w:val="21"/>
                      <w:szCs w:val="21"/>
                      <w:lang w:val="en-US" w:eastAsia="zh-CN" w:bidi="ar-SA"/>
                    </w:rPr>
                    <w:t>1套活性炭吸附装置</w:t>
                  </w:r>
                  <w:r>
                    <w:rPr>
                      <w:rFonts w:hint="eastAsia" w:ascii="Times New Roman" w:hAnsi="Times New Roman" w:eastAsia="宋体" w:cs="Times New Roman"/>
                      <w:color w:val="FF0000"/>
                      <w:sz w:val="21"/>
                      <w:szCs w:val="21"/>
                      <w:lang w:val="en-US" w:eastAsia="zh-CN" w:bidi="ar-SA"/>
                    </w:rPr>
                    <w:t>处理；</w:t>
                  </w:r>
                  <w:r>
                    <w:rPr>
                      <w:rFonts w:hint="eastAsia"/>
                      <w:b w:val="0"/>
                      <w:bCs w:val="0"/>
                      <w:color w:val="FF0000"/>
                      <w:sz w:val="21"/>
                      <w:szCs w:val="21"/>
                      <w:lang w:val="en-US" w:eastAsia="zh-CN"/>
                    </w:rPr>
                    <w:t>废铅蓄电池破损泄漏产生的酸性废气由集气罩收集后</w:t>
                  </w:r>
                  <w:r>
                    <w:rPr>
                      <w:rFonts w:hint="eastAsia" w:cs="Times New Roman"/>
                      <w:b w:val="0"/>
                      <w:bCs w:val="0"/>
                      <w:color w:val="FF0000"/>
                      <w:sz w:val="21"/>
                      <w:szCs w:val="21"/>
                      <w:lang w:val="en-US" w:eastAsia="zh-CN" w:bidi="ar-SA"/>
                    </w:rPr>
                    <w:t>通过引风机（</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引至</w:t>
                  </w:r>
                  <w:r>
                    <w:rPr>
                      <w:rFonts w:hint="eastAsia"/>
                      <w:b w:val="0"/>
                      <w:bCs w:val="0"/>
                      <w:color w:val="FF0000"/>
                      <w:sz w:val="21"/>
                      <w:szCs w:val="21"/>
                      <w:lang w:val="en-US" w:eastAsia="zh-CN"/>
                    </w:rPr>
                    <w:t>1座碱洗塔处理；</w:t>
                  </w: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w:t>
                  </w:r>
                  <w:r>
                    <w:rPr>
                      <w:rFonts w:hint="eastAsia"/>
                      <w:b w:val="0"/>
                      <w:bCs w:val="0"/>
                      <w:color w:val="FF0000"/>
                      <w:sz w:val="21"/>
                      <w:szCs w:val="21"/>
                      <w:lang w:val="en-US" w:eastAsia="zh-CN"/>
                    </w:rPr>
                    <w:t>和酸性废气经处理后合并通过一根15m高排气筒（编号：DA001）排放</w:t>
                  </w:r>
                  <w:r>
                    <w:rPr>
                      <w:rFonts w:hint="eastAsia"/>
                      <w:color w:val="auto"/>
                      <w:sz w:val="21"/>
                      <w:szCs w:val="21"/>
                      <w:lang w:val="en-US" w:eastAsia="zh-CN"/>
                    </w:rPr>
                    <w:t>；②危险废物采取密闭包装、闭口包装，加强厂区环境管理</w:t>
                  </w:r>
                </w:p>
              </w:tc>
              <w:tc>
                <w:tcPr>
                  <w:tcW w:w="504" w:type="pct"/>
                  <w:noWrap w:val="0"/>
                  <w:vAlign w:val="center"/>
                </w:tcPr>
                <w:p w14:paraId="35A01DE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1BBCF4F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color w:val="auto"/>
                <w:sz w:val="24"/>
                <w:szCs w:val="24"/>
                <w:lang w:val="en-US" w:eastAsia="zh-CN"/>
              </w:rPr>
            </w:pPr>
            <w:r>
              <w:rPr>
                <w:rFonts w:hint="default" w:ascii="Times New Roman" w:hAnsi="Times New Roman" w:cs="Times New Roman"/>
                <w:color w:val="auto"/>
                <w:sz w:val="24"/>
                <w:szCs w:val="24"/>
              </w:rPr>
              <w:t>综上，项目与《云南省空气质量持续改善行动实施方案》相关要求相符合。</w:t>
            </w:r>
          </w:p>
          <w:p w14:paraId="041D086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1.3.11项目与《中共云南省委 云南省人民政府关于深入打好污染防治攻坚战的实施意见》（2022年）的相符性分析</w:t>
            </w:r>
          </w:p>
          <w:p w14:paraId="3C8EC7E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color w:val="000000"/>
                <w:sz w:val="24"/>
                <w:szCs w:val="24"/>
                <w:lang w:val="en-US" w:eastAsia="zh-CN"/>
              </w:rPr>
            </w:pPr>
            <w:r>
              <w:rPr>
                <w:rFonts w:hint="default"/>
                <w:color w:val="000000"/>
                <w:sz w:val="24"/>
                <w:szCs w:val="24"/>
                <w:lang w:val="en-US" w:eastAsia="zh-CN"/>
              </w:rPr>
              <w:t>项目与《中共云南省委 云南省人民政府关于深入打好污染防治攻坚战的实施意见》</w:t>
            </w:r>
            <w:r>
              <w:rPr>
                <w:rFonts w:hint="eastAsia" w:ascii="Times New Roman" w:hAnsi="Times New Roman" w:eastAsia="宋体" w:cs="Times New Roman"/>
                <w:b w:val="0"/>
                <w:bCs w:val="0"/>
                <w:color w:val="000000"/>
                <w:sz w:val="24"/>
                <w:szCs w:val="24"/>
                <w:lang w:val="en-US" w:eastAsia="zh-CN"/>
              </w:rPr>
              <w:t>（2022年）</w:t>
            </w:r>
            <w:r>
              <w:rPr>
                <w:rFonts w:hint="default"/>
                <w:color w:val="000000"/>
                <w:sz w:val="24"/>
                <w:szCs w:val="24"/>
                <w:lang w:val="en-US" w:eastAsia="zh-CN"/>
              </w:rPr>
              <w:t>符合性分析见下表</w:t>
            </w:r>
            <w:r>
              <w:rPr>
                <w:rFonts w:hint="eastAsia"/>
                <w:color w:val="000000"/>
                <w:sz w:val="24"/>
                <w:szCs w:val="24"/>
                <w:lang w:val="en-US" w:eastAsia="zh-CN"/>
              </w:rPr>
              <w:t>1.3-11所示</w:t>
            </w:r>
            <w:r>
              <w:rPr>
                <w:rFonts w:hint="default"/>
                <w:color w:val="000000"/>
                <w:sz w:val="24"/>
                <w:szCs w:val="24"/>
                <w:lang w:val="en-US" w:eastAsia="zh-CN"/>
              </w:rPr>
              <w:t>。</w:t>
            </w:r>
          </w:p>
          <w:p w14:paraId="58576D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sz w:val="21"/>
                <w:szCs w:val="21"/>
                <w:highlight w:val="none"/>
                <w:lang w:val="en-US" w:eastAsia="zh-CN"/>
              </w:rPr>
            </w:pPr>
            <w:r>
              <w:rPr>
                <w:rFonts w:hint="default"/>
                <w:b/>
                <w:bCs/>
                <w:color w:val="000000"/>
                <w:sz w:val="21"/>
                <w:szCs w:val="21"/>
                <w:highlight w:val="none"/>
                <w:lang w:val="en-US" w:eastAsia="zh-CN"/>
              </w:rPr>
              <w:t>表1</w:t>
            </w:r>
            <w:r>
              <w:rPr>
                <w:rFonts w:hint="eastAsia"/>
                <w:b/>
                <w:bCs/>
                <w:color w:val="000000"/>
                <w:sz w:val="21"/>
                <w:szCs w:val="21"/>
                <w:highlight w:val="none"/>
                <w:lang w:val="en-US" w:eastAsia="zh-CN"/>
              </w:rPr>
              <w:t>.3</w:t>
            </w:r>
            <w:r>
              <w:rPr>
                <w:rFonts w:hint="default"/>
                <w:b/>
                <w:bCs/>
                <w:color w:val="000000"/>
                <w:sz w:val="21"/>
                <w:szCs w:val="21"/>
                <w:highlight w:val="none"/>
                <w:lang w:val="en-US" w:eastAsia="zh-CN"/>
              </w:rPr>
              <w:t>-</w:t>
            </w:r>
            <w:r>
              <w:rPr>
                <w:rFonts w:hint="eastAsia"/>
                <w:b/>
                <w:bCs/>
                <w:color w:val="000000"/>
                <w:sz w:val="21"/>
                <w:szCs w:val="21"/>
                <w:highlight w:val="none"/>
                <w:lang w:val="en-US" w:eastAsia="zh-CN"/>
              </w:rPr>
              <w:t xml:space="preserve">11 </w:t>
            </w:r>
            <w:r>
              <w:rPr>
                <w:rFonts w:hint="default"/>
                <w:b/>
                <w:bCs/>
                <w:color w:val="000000"/>
                <w:sz w:val="21"/>
                <w:szCs w:val="21"/>
                <w:highlight w:val="none"/>
                <w:lang w:val="en-US" w:eastAsia="zh-CN"/>
              </w:rPr>
              <w:t xml:space="preserve"> 项目与《中共云南省委 云南省人民政府关于深入打好污染防治攻坚战的实施意见》（2022年）相关要求的符合性分析</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3185"/>
              <w:gridCol w:w="2977"/>
              <w:gridCol w:w="943"/>
            </w:tblGrid>
            <w:tr w14:paraId="5BBB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97" w:type="pct"/>
                  <w:noWrap w:val="0"/>
                  <w:vAlign w:val="center"/>
                </w:tcPr>
                <w:p w14:paraId="0D993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sz w:val="21"/>
                      <w:szCs w:val="21"/>
                      <w:vertAlign w:val="baseline"/>
                      <w:lang w:val="en-US" w:eastAsia="zh-CN"/>
                    </w:rPr>
                  </w:pPr>
                  <w:r>
                    <w:rPr>
                      <w:rFonts w:hint="eastAsia"/>
                      <w:b/>
                      <w:bCs/>
                      <w:color w:val="000000"/>
                      <w:sz w:val="21"/>
                      <w:szCs w:val="21"/>
                      <w:vertAlign w:val="baseline"/>
                      <w:lang w:val="en-US" w:eastAsia="zh-CN"/>
                    </w:rPr>
                    <w:t>条目</w:t>
                  </w:r>
                </w:p>
              </w:tc>
              <w:tc>
                <w:tcPr>
                  <w:tcW w:w="1928" w:type="pct"/>
                  <w:noWrap w:val="0"/>
                  <w:vAlign w:val="center"/>
                </w:tcPr>
                <w:p w14:paraId="5F1540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sz w:val="21"/>
                      <w:szCs w:val="21"/>
                      <w:vertAlign w:val="baseline"/>
                      <w:lang w:val="en-US" w:eastAsia="zh-CN"/>
                    </w:rPr>
                  </w:pPr>
                  <w:r>
                    <w:rPr>
                      <w:rFonts w:hint="eastAsia"/>
                      <w:b/>
                      <w:bCs/>
                      <w:color w:val="000000"/>
                      <w:sz w:val="21"/>
                      <w:szCs w:val="21"/>
                      <w:vertAlign w:val="baseline"/>
                      <w:lang w:val="en-US" w:eastAsia="zh-CN"/>
                    </w:rPr>
                    <w:t>相关要求</w:t>
                  </w:r>
                </w:p>
              </w:tc>
              <w:tc>
                <w:tcPr>
                  <w:tcW w:w="1802" w:type="pct"/>
                  <w:noWrap w:val="0"/>
                  <w:vAlign w:val="center"/>
                </w:tcPr>
                <w:p w14:paraId="598F5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sz w:val="21"/>
                      <w:szCs w:val="21"/>
                      <w:vertAlign w:val="baseline"/>
                      <w:lang w:val="en-US" w:eastAsia="zh-CN"/>
                    </w:rPr>
                  </w:pPr>
                  <w:r>
                    <w:rPr>
                      <w:rFonts w:hint="eastAsia"/>
                      <w:b/>
                      <w:bCs/>
                      <w:color w:val="000000"/>
                      <w:sz w:val="21"/>
                      <w:szCs w:val="21"/>
                      <w:vertAlign w:val="baseline"/>
                      <w:lang w:val="en-US" w:eastAsia="zh-CN"/>
                    </w:rPr>
                    <w:t>本项目情况</w:t>
                  </w:r>
                </w:p>
              </w:tc>
              <w:tc>
                <w:tcPr>
                  <w:tcW w:w="571" w:type="pct"/>
                  <w:noWrap w:val="0"/>
                  <w:vAlign w:val="center"/>
                </w:tcPr>
                <w:p w14:paraId="63E3C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sz w:val="21"/>
                      <w:szCs w:val="21"/>
                      <w:vertAlign w:val="baseline"/>
                      <w:lang w:val="en-US" w:eastAsia="zh-CN"/>
                    </w:rPr>
                  </w:pPr>
                  <w:r>
                    <w:rPr>
                      <w:rFonts w:hint="eastAsia"/>
                      <w:b/>
                      <w:bCs/>
                      <w:color w:val="000000"/>
                      <w:sz w:val="21"/>
                      <w:szCs w:val="21"/>
                      <w:vertAlign w:val="baseline"/>
                      <w:lang w:val="en-US" w:eastAsia="zh-CN"/>
                    </w:rPr>
                    <w:t>符合性情况</w:t>
                  </w:r>
                </w:p>
              </w:tc>
            </w:tr>
            <w:tr w14:paraId="7680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97" w:type="pct"/>
                  <w:noWrap w:val="0"/>
                  <w:vAlign w:val="center"/>
                </w:tcPr>
                <w:p w14:paraId="6991B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vertAlign w:val="baseline"/>
                      <w:lang w:val="en-US" w:eastAsia="zh-CN"/>
                    </w:rPr>
                  </w:pPr>
                  <w:r>
                    <w:rPr>
                      <w:rFonts w:hint="default"/>
                      <w:color w:val="000000"/>
                      <w:sz w:val="21"/>
                      <w:szCs w:val="21"/>
                      <w:vertAlign w:val="baseline"/>
                      <w:lang w:val="en-US" w:eastAsia="zh-CN"/>
                    </w:rPr>
                    <w:t>二、加快推动绿色低碳发展</w:t>
                  </w:r>
                </w:p>
              </w:tc>
              <w:tc>
                <w:tcPr>
                  <w:tcW w:w="1928" w:type="pct"/>
                  <w:noWrap w:val="0"/>
                  <w:vAlign w:val="center"/>
                </w:tcPr>
                <w:p w14:paraId="11D5C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vertAlign w:val="baseline"/>
                      <w:lang w:val="en-US" w:eastAsia="zh-CN"/>
                    </w:rPr>
                  </w:pPr>
                  <w:r>
                    <w:rPr>
                      <w:rFonts w:hint="eastAsia"/>
                      <w:color w:val="000000"/>
                      <w:sz w:val="21"/>
                      <w:szCs w:val="21"/>
                      <w:vertAlign w:val="baseline"/>
                      <w:lang w:val="en-US" w:eastAsia="zh-CN"/>
                    </w:rPr>
                    <w:t>（</w:t>
                  </w:r>
                  <w:r>
                    <w:rPr>
                      <w:rFonts w:hint="default"/>
                      <w:color w:val="000000"/>
                      <w:sz w:val="21"/>
                      <w:szCs w:val="21"/>
                      <w:vertAlign w:val="baseline"/>
                      <w:lang w:val="en-US" w:eastAsia="zh-CN"/>
                    </w:rPr>
                    <w:t>五</w:t>
                  </w:r>
                  <w:r>
                    <w:rPr>
                      <w:rFonts w:hint="eastAsia"/>
                      <w:color w:val="000000"/>
                      <w:sz w:val="21"/>
                      <w:szCs w:val="21"/>
                      <w:vertAlign w:val="baseline"/>
                      <w:lang w:val="en-US" w:eastAsia="zh-CN"/>
                    </w:rPr>
                    <w:t>）</w:t>
                  </w:r>
                  <w:r>
                    <w:rPr>
                      <w:rFonts w:hint="default"/>
                      <w:color w:val="000000"/>
                      <w:sz w:val="21"/>
                      <w:szCs w:val="21"/>
                      <w:vertAlign w:val="baseline"/>
                      <w:lang w:val="en-US" w:eastAsia="zh-CN"/>
                    </w:rPr>
                    <w:t>加强生态环境分区管控。优化生态环境分区管控格局，不断完善“三线一单”生态环境分区管控体系。开展重大经济技术政策的生态环境影响分析和重大生态环境政策的社会经济影响评估</w:t>
                  </w:r>
                </w:p>
              </w:tc>
              <w:tc>
                <w:tcPr>
                  <w:tcW w:w="1802" w:type="pct"/>
                  <w:noWrap w:val="0"/>
                  <w:vAlign w:val="center"/>
                </w:tcPr>
                <w:p w14:paraId="3FF32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vertAlign w:val="baseline"/>
                      <w:lang w:val="en-US" w:eastAsia="zh-CN"/>
                    </w:rPr>
                  </w:pPr>
                  <w:r>
                    <w:rPr>
                      <w:rFonts w:hint="default"/>
                      <w:color w:val="000000"/>
                      <w:sz w:val="21"/>
                      <w:szCs w:val="21"/>
                      <w:highlight w:val="none"/>
                      <w:vertAlign w:val="baseline"/>
                      <w:lang w:val="en-US" w:eastAsia="zh-CN"/>
                    </w:rPr>
                    <w:t>本项目符合</w:t>
                  </w:r>
                  <w:r>
                    <w:rPr>
                      <w:rFonts w:hint="eastAsia" w:ascii="Times New Roman" w:hAnsi="Times New Roman" w:eastAsia="宋体" w:cs="宋体"/>
                      <w:color w:val="000000"/>
                      <w:sz w:val="21"/>
                      <w:szCs w:val="21"/>
                      <w:lang w:val="en-US" w:eastAsia="zh-CN" w:bidi="en-US"/>
                    </w:rPr>
                    <w:t>《曲靖市生态环境分区管控动态更新方案（</w:t>
                  </w:r>
                  <w:r>
                    <w:rPr>
                      <w:rFonts w:hint="default" w:ascii="Times New Roman" w:hAnsi="Times New Roman" w:eastAsia="宋体" w:cs="宋体"/>
                      <w:color w:val="000000"/>
                      <w:sz w:val="21"/>
                      <w:szCs w:val="21"/>
                      <w:lang w:val="en-US" w:eastAsia="zh-CN" w:bidi="en-US"/>
                    </w:rPr>
                    <w:t>2023年）》</w:t>
                  </w:r>
                  <w:r>
                    <w:rPr>
                      <w:rFonts w:hint="eastAsia" w:cs="宋体"/>
                      <w:color w:val="000000"/>
                      <w:sz w:val="21"/>
                      <w:szCs w:val="21"/>
                      <w:lang w:val="en-US" w:eastAsia="zh-CN" w:bidi="en-US"/>
                    </w:rPr>
                    <w:t>（</w:t>
                  </w:r>
                  <w:r>
                    <w:rPr>
                      <w:rFonts w:hint="default" w:ascii="Times New Roman" w:hAnsi="Times New Roman" w:eastAsia="宋体" w:cs="宋体"/>
                      <w:color w:val="000000"/>
                      <w:sz w:val="21"/>
                      <w:szCs w:val="21"/>
                      <w:lang w:val="en-US" w:eastAsia="zh-CN" w:bidi="en-US"/>
                    </w:rPr>
                    <w:t>曲环通〔2024〕36号</w:t>
                  </w:r>
                  <w:r>
                    <w:rPr>
                      <w:rFonts w:hint="eastAsia" w:cs="宋体"/>
                      <w:color w:val="000000"/>
                      <w:sz w:val="21"/>
                      <w:szCs w:val="21"/>
                      <w:lang w:val="en-US" w:eastAsia="zh-CN" w:bidi="en-US"/>
                    </w:rPr>
                    <w:t>）要求</w:t>
                  </w:r>
                </w:p>
              </w:tc>
              <w:tc>
                <w:tcPr>
                  <w:tcW w:w="571" w:type="pct"/>
                  <w:noWrap w:val="0"/>
                  <w:vAlign w:val="center"/>
                </w:tcPr>
                <w:p w14:paraId="28F5EA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vertAlign w:val="baseline"/>
                      <w:lang w:val="en-US" w:eastAsia="zh-CN"/>
                    </w:rPr>
                  </w:pPr>
                  <w:r>
                    <w:rPr>
                      <w:rFonts w:hint="eastAsia"/>
                      <w:color w:val="000000"/>
                      <w:sz w:val="21"/>
                      <w:szCs w:val="21"/>
                      <w:vertAlign w:val="baseline"/>
                      <w:lang w:val="en-US" w:eastAsia="zh-CN"/>
                    </w:rPr>
                    <w:t>符合</w:t>
                  </w:r>
                </w:p>
              </w:tc>
            </w:tr>
            <w:tr w14:paraId="33C6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97" w:type="pct"/>
                  <w:vMerge w:val="restart"/>
                  <w:noWrap w:val="0"/>
                  <w:vAlign w:val="center"/>
                </w:tcPr>
                <w:p w14:paraId="24EC9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vertAlign w:val="baseline"/>
                      <w:lang w:val="en-US" w:eastAsia="zh-CN"/>
                    </w:rPr>
                  </w:pPr>
                  <w:r>
                    <w:rPr>
                      <w:rFonts w:hint="default"/>
                      <w:color w:val="000000"/>
                      <w:sz w:val="21"/>
                      <w:szCs w:val="21"/>
                      <w:vertAlign w:val="baseline"/>
                      <w:lang w:val="en-US" w:eastAsia="zh-CN"/>
                    </w:rPr>
                    <w:t>三、深入打好蓝天保卫战</w:t>
                  </w:r>
                </w:p>
              </w:tc>
              <w:tc>
                <w:tcPr>
                  <w:tcW w:w="1928" w:type="pct"/>
                  <w:noWrap w:val="0"/>
                  <w:vAlign w:val="center"/>
                </w:tcPr>
                <w:p w14:paraId="74E813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B050"/>
                      <w:sz w:val="21"/>
                      <w:szCs w:val="21"/>
                      <w:vertAlign w:val="baseline"/>
                      <w:lang w:val="en-US" w:eastAsia="zh-CN"/>
                    </w:rPr>
                  </w:pPr>
                  <w:r>
                    <w:rPr>
                      <w:rFonts w:hint="eastAsia"/>
                      <w:color w:val="00B050"/>
                      <w:sz w:val="21"/>
                      <w:szCs w:val="21"/>
                      <w:vertAlign w:val="baseline"/>
                      <w:lang w:val="en-US" w:eastAsia="zh-CN"/>
                    </w:rPr>
                    <w:t>（</w:t>
                  </w:r>
                  <w:r>
                    <w:rPr>
                      <w:rFonts w:hint="default"/>
                      <w:color w:val="00B050"/>
                      <w:sz w:val="21"/>
                      <w:szCs w:val="21"/>
                      <w:vertAlign w:val="baseline"/>
                      <w:lang w:val="en-US" w:eastAsia="zh-CN"/>
                    </w:rPr>
                    <w:t>三</w:t>
                  </w:r>
                  <w:r>
                    <w:rPr>
                      <w:rFonts w:hint="eastAsia"/>
                      <w:color w:val="00B050"/>
                      <w:sz w:val="21"/>
                      <w:szCs w:val="21"/>
                      <w:vertAlign w:val="baseline"/>
                      <w:lang w:val="en-US" w:eastAsia="zh-CN"/>
                    </w:rPr>
                    <w:t>）</w:t>
                  </w:r>
                  <w:r>
                    <w:rPr>
                      <w:rFonts w:hint="default"/>
                      <w:color w:val="00B050"/>
                      <w:sz w:val="21"/>
                      <w:szCs w:val="21"/>
                      <w:vertAlign w:val="baseline"/>
                      <w:lang w:val="en-US" w:eastAsia="zh-CN"/>
                    </w:rPr>
                    <w:t>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1802" w:type="pct"/>
                  <w:noWrap w:val="0"/>
                  <w:vAlign w:val="center"/>
                </w:tcPr>
                <w:p w14:paraId="78E9D88F">
                  <w:pPr>
                    <w:rPr>
                      <w:rFonts w:hint="default"/>
                      <w:color w:val="00B050"/>
                      <w:sz w:val="21"/>
                      <w:szCs w:val="21"/>
                      <w:vertAlign w:val="baseline"/>
                      <w:lang w:val="en-US" w:eastAsia="zh-CN"/>
                    </w:rPr>
                  </w:pPr>
                  <w:r>
                    <w:rPr>
                      <w:rFonts w:hint="default" w:ascii="Times New Roman" w:hAnsi="Times New Roman" w:cs="Times New Roman"/>
                      <w:color w:val="00B050"/>
                      <w:sz w:val="21"/>
                      <w:szCs w:val="21"/>
                      <w:highlight w:val="none"/>
                    </w:rPr>
                    <w:t>项目为</w:t>
                  </w:r>
                  <w:r>
                    <w:rPr>
                      <w:rFonts w:hint="default" w:ascii="Times New Roman" w:hAnsi="Times New Roman" w:eastAsia="宋体" w:cs="Times New Roman"/>
                      <w:b w:val="0"/>
                      <w:bCs w:val="0"/>
                      <w:color w:val="00B050"/>
                      <w:sz w:val="21"/>
                      <w:szCs w:val="21"/>
                    </w:rPr>
                    <w:t>废旧电池及废矿物油集中收集、中转项目</w:t>
                  </w:r>
                  <w:r>
                    <w:rPr>
                      <w:rFonts w:hint="default" w:ascii="Times New Roman" w:hAnsi="Times New Roman" w:cs="Times New Roman"/>
                      <w:color w:val="00B050"/>
                      <w:sz w:val="21"/>
                      <w:szCs w:val="21"/>
                      <w:highlight w:val="none"/>
                    </w:rPr>
                    <w:t>，</w:t>
                  </w:r>
                  <w:r>
                    <w:rPr>
                      <w:rFonts w:hint="eastAsia" w:ascii="Times New Roman" w:hAnsi="Times New Roman" w:eastAsia="宋体" w:cs="Times New Roman"/>
                      <w:b w:val="0"/>
                      <w:bCs w:val="0"/>
                      <w:color w:val="00B050"/>
                      <w:sz w:val="21"/>
                      <w:szCs w:val="21"/>
                      <w:vertAlign w:val="baseline"/>
                      <w:lang w:val="en-US" w:eastAsia="zh-CN"/>
                    </w:rPr>
                    <w:t>项目运营期严格落实环评提出废气处理措施：</w:t>
                  </w:r>
                  <w:r>
                    <w:rPr>
                      <w:rFonts w:hint="eastAsia"/>
                      <w:color w:val="auto"/>
                      <w:sz w:val="21"/>
                      <w:szCs w:val="21"/>
                      <w:lang w:val="en-US" w:eastAsia="zh-CN"/>
                    </w:rPr>
                    <w:t>①</w:t>
                  </w: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呼吸废气经收集后</w:t>
                  </w:r>
                  <w:r>
                    <w:rPr>
                      <w:rFonts w:hint="eastAsia" w:cs="Times New Roman"/>
                      <w:color w:val="FF0000"/>
                      <w:sz w:val="21"/>
                      <w:szCs w:val="21"/>
                      <w:lang w:val="en-US" w:eastAsia="zh-CN" w:bidi="ar-SA"/>
                    </w:rPr>
                    <w:t>通过引风机</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color w:val="FF0000"/>
                      <w:sz w:val="21"/>
                      <w:szCs w:val="21"/>
                      <w:lang w:val="en-US" w:eastAsia="zh-CN" w:bidi="ar-SA"/>
                    </w:rPr>
                    <w:t>引至</w:t>
                  </w:r>
                  <w:r>
                    <w:rPr>
                      <w:rFonts w:hint="eastAsia" w:cs="Times New Roman"/>
                      <w:color w:val="FF0000"/>
                      <w:sz w:val="21"/>
                      <w:szCs w:val="21"/>
                      <w:lang w:val="en-US" w:eastAsia="zh-CN" w:bidi="ar-SA"/>
                    </w:rPr>
                    <w:t>1套活性炭吸附装置</w:t>
                  </w:r>
                  <w:r>
                    <w:rPr>
                      <w:rFonts w:hint="eastAsia" w:ascii="Times New Roman" w:hAnsi="Times New Roman" w:eastAsia="宋体" w:cs="Times New Roman"/>
                      <w:color w:val="FF0000"/>
                      <w:sz w:val="21"/>
                      <w:szCs w:val="21"/>
                      <w:lang w:val="en-US" w:eastAsia="zh-CN" w:bidi="ar-SA"/>
                    </w:rPr>
                    <w:t>处理；</w:t>
                  </w:r>
                  <w:r>
                    <w:rPr>
                      <w:rFonts w:hint="eastAsia"/>
                      <w:b w:val="0"/>
                      <w:bCs w:val="0"/>
                      <w:color w:val="FF0000"/>
                      <w:sz w:val="21"/>
                      <w:szCs w:val="21"/>
                      <w:lang w:val="en-US" w:eastAsia="zh-CN"/>
                    </w:rPr>
                    <w:t>废铅蓄电池破损泄漏产生的酸性废气由集气罩收集后</w:t>
                  </w:r>
                  <w:r>
                    <w:rPr>
                      <w:rFonts w:hint="eastAsia" w:cs="Times New Roman"/>
                      <w:b w:val="0"/>
                      <w:bCs w:val="0"/>
                      <w:color w:val="FF0000"/>
                      <w:sz w:val="21"/>
                      <w:szCs w:val="21"/>
                      <w:lang w:val="en-US" w:eastAsia="zh-CN" w:bidi="ar-SA"/>
                    </w:rPr>
                    <w:t>通过引风机（</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引至</w:t>
                  </w:r>
                  <w:r>
                    <w:rPr>
                      <w:rFonts w:hint="eastAsia"/>
                      <w:b w:val="0"/>
                      <w:bCs w:val="0"/>
                      <w:color w:val="FF0000"/>
                      <w:sz w:val="21"/>
                      <w:szCs w:val="21"/>
                      <w:lang w:val="en-US" w:eastAsia="zh-CN"/>
                    </w:rPr>
                    <w:t>1座碱洗塔处理；</w:t>
                  </w: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w:t>
                  </w:r>
                  <w:r>
                    <w:rPr>
                      <w:rFonts w:hint="eastAsia"/>
                      <w:b w:val="0"/>
                      <w:bCs w:val="0"/>
                      <w:color w:val="FF0000"/>
                      <w:sz w:val="21"/>
                      <w:szCs w:val="21"/>
                      <w:lang w:val="en-US" w:eastAsia="zh-CN"/>
                    </w:rPr>
                    <w:t>和酸性废气经处理后合并通过一根15m高排气筒（编号：DA001）排放</w:t>
                  </w:r>
                  <w:r>
                    <w:rPr>
                      <w:rFonts w:hint="eastAsia"/>
                      <w:color w:val="auto"/>
                      <w:sz w:val="21"/>
                      <w:szCs w:val="21"/>
                      <w:lang w:val="en-US" w:eastAsia="zh-CN"/>
                    </w:rPr>
                    <w:t>；②危险废物采取密闭包装、闭口包装，加强厂区环境管理</w:t>
                  </w:r>
                  <w:r>
                    <w:rPr>
                      <w:rFonts w:hint="default" w:ascii="Times New Roman" w:hAnsi="Times New Roman" w:eastAsia="宋体" w:cs="Times New Roman"/>
                      <w:b w:val="0"/>
                      <w:bCs/>
                      <w:color w:val="00B050"/>
                      <w:sz w:val="21"/>
                      <w:szCs w:val="21"/>
                      <w:vertAlign w:val="baseline"/>
                      <w:lang w:val="en-US" w:eastAsia="zh-CN"/>
                    </w:rPr>
                    <w:t>；</w:t>
                  </w:r>
                  <w:r>
                    <w:rPr>
                      <w:rFonts w:hint="eastAsia"/>
                      <w:color w:val="00B050"/>
                      <w:sz w:val="21"/>
                      <w:szCs w:val="21"/>
                      <w:highlight w:val="none"/>
                      <w:lang w:val="en-US" w:eastAsia="zh-CN"/>
                    </w:rPr>
                    <w:t>不属于</w:t>
                  </w:r>
                  <w:r>
                    <w:rPr>
                      <w:rFonts w:hint="default"/>
                      <w:color w:val="00B050"/>
                      <w:sz w:val="21"/>
                      <w:szCs w:val="21"/>
                      <w:vertAlign w:val="baseline"/>
                      <w:lang w:val="en-US" w:eastAsia="zh-CN"/>
                    </w:rPr>
                    <w:t>钢铁企业</w:t>
                  </w:r>
                  <w:r>
                    <w:rPr>
                      <w:rFonts w:hint="eastAsia"/>
                      <w:color w:val="00B050"/>
                      <w:sz w:val="21"/>
                      <w:szCs w:val="21"/>
                      <w:vertAlign w:val="baseline"/>
                      <w:lang w:val="en-US" w:eastAsia="zh-CN"/>
                    </w:rPr>
                    <w:t>；不属于</w:t>
                  </w:r>
                  <w:r>
                    <w:rPr>
                      <w:rFonts w:hint="default"/>
                      <w:color w:val="00B050"/>
                      <w:sz w:val="21"/>
                      <w:szCs w:val="21"/>
                      <w:vertAlign w:val="baseline"/>
                      <w:lang w:val="en-US" w:eastAsia="zh-CN"/>
                    </w:rPr>
                    <w:t>煤电、水泥、焦化企业</w:t>
                  </w:r>
                </w:p>
              </w:tc>
              <w:tc>
                <w:tcPr>
                  <w:tcW w:w="571" w:type="pct"/>
                  <w:noWrap w:val="0"/>
                  <w:vAlign w:val="center"/>
                </w:tcPr>
                <w:p w14:paraId="0F6B24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B050"/>
                      <w:sz w:val="21"/>
                      <w:szCs w:val="21"/>
                      <w:vertAlign w:val="baseline"/>
                      <w:lang w:val="en-US" w:eastAsia="zh-CN"/>
                    </w:rPr>
                  </w:pPr>
                  <w:r>
                    <w:rPr>
                      <w:rFonts w:hint="eastAsia"/>
                      <w:color w:val="00B050"/>
                      <w:sz w:val="21"/>
                      <w:szCs w:val="21"/>
                      <w:vertAlign w:val="baseline"/>
                      <w:lang w:val="en-US" w:eastAsia="zh-CN"/>
                    </w:rPr>
                    <w:t>符合</w:t>
                  </w:r>
                </w:p>
              </w:tc>
            </w:tr>
            <w:tr w14:paraId="4028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97" w:type="pct"/>
                  <w:vMerge w:val="continue"/>
                  <w:noWrap w:val="0"/>
                  <w:vAlign w:val="center"/>
                </w:tcPr>
                <w:p w14:paraId="7D820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vertAlign w:val="baseline"/>
                      <w:lang w:val="en-US" w:eastAsia="zh-CN"/>
                    </w:rPr>
                  </w:pPr>
                </w:p>
              </w:tc>
              <w:tc>
                <w:tcPr>
                  <w:tcW w:w="1928" w:type="pct"/>
                  <w:noWrap w:val="0"/>
                  <w:vAlign w:val="center"/>
                </w:tcPr>
                <w:p w14:paraId="4590C3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B050"/>
                      <w:sz w:val="21"/>
                      <w:szCs w:val="21"/>
                      <w:vertAlign w:val="baseline"/>
                      <w:lang w:val="en-US" w:eastAsia="zh-CN"/>
                    </w:rPr>
                  </w:pPr>
                  <w:r>
                    <w:rPr>
                      <w:rFonts w:hint="eastAsia"/>
                      <w:color w:val="00B050"/>
                      <w:sz w:val="21"/>
                      <w:szCs w:val="21"/>
                      <w:vertAlign w:val="baseline"/>
                      <w:lang w:val="en-US" w:eastAsia="zh-CN"/>
                    </w:rPr>
                    <w:t>（</w:t>
                  </w:r>
                  <w:r>
                    <w:rPr>
                      <w:rFonts w:hint="default"/>
                      <w:color w:val="00B050"/>
                      <w:sz w:val="21"/>
                      <w:szCs w:val="21"/>
                      <w:vertAlign w:val="baseline"/>
                      <w:lang w:val="en-US" w:eastAsia="zh-CN"/>
                    </w:rPr>
                    <w:t>四</w:t>
                  </w:r>
                  <w:r>
                    <w:rPr>
                      <w:rFonts w:hint="eastAsia"/>
                      <w:color w:val="00B050"/>
                      <w:sz w:val="21"/>
                      <w:szCs w:val="21"/>
                      <w:vertAlign w:val="baseline"/>
                      <w:lang w:val="en-US" w:eastAsia="zh-CN"/>
                    </w:rPr>
                    <w:t>）</w:t>
                  </w:r>
                  <w:r>
                    <w:rPr>
                      <w:rFonts w:hint="default"/>
                      <w:color w:val="00B050"/>
                      <w:sz w:val="21"/>
                      <w:szCs w:val="21"/>
                      <w:vertAlign w:val="baseline"/>
                      <w:lang w:val="en-US" w:eastAsia="zh-CN"/>
                    </w:rPr>
                    <w:t>改善区域大气和声环境质量。加大餐饮油烟污染、恶臭异味治理力度。实施噪声污染防治行动，解决群众关心的噪声污染问题</w:t>
                  </w:r>
                </w:p>
              </w:tc>
              <w:tc>
                <w:tcPr>
                  <w:tcW w:w="1802" w:type="pct"/>
                  <w:noWrap w:val="0"/>
                  <w:vAlign w:val="center"/>
                </w:tcPr>
                <w:p w14:paraId="66B693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B050"/>
                      <w:sz w:val="21"/>
                      <w:szCs w:val="21"/>
                      <w:vertAlign w:val="baseline"/>
                      <w:lang w:val="en-US" w:eastAsia="zh-CN"/>
                    </w:rPr>
                  </w:pPr>
                  <w:r>
                    <w:rPr>
                      <w:rFonts w:hint="default"/>
                      <w:color w:val="00B050"/>
                      <w:sz w:val="21"/>
                      <w:szCs w:val="21"/>
                      <w:vertAlign w:val="baseline"/>
                      <w:lang w:val="en-US" w:eastAsia="zh-CN"/>
                    </w:rPr>
                    <w:t>项目</w:t>
                  </w:r>
                  <w:r>
                    <w:rPr>
                      <w:rFonts w:hint="eastAsia"/>
                      <w:color w:val="00B050"/>
                      <w:sz w:val="21"/>
                      <w:szCs w:val="21"/>
                      <w:vertAlign w:val="baseline"/>
                      <w:lang w:val="en-US" w:eastAsia="zh-CN"/>
                    </w:rPr>
                    <w:t>不设置</w:t>
                  </w:r>
                  <w:r>
                    <w:rPr>
                      <w:rFonts w:hint="default"/>
                      <w:color w:val="00B050"/>
                      <w:sz w:val="21"/>
                      <w:szCs w:val="21"/>
                      <w:vertAlign w:val="baseline"/>
                      <w:lang w:val="en-US" w:eastAsia="zh-CN"/>
                    </w:rPr>
                    <w:t>食堂</w:t>
                  </w:r>
                  <w:r>
                    <w:rPr>
                      <w:rFonts w:hint="eastAsia"/>
                      <w:color w:val="00B050"/>
                      <w:sz w:val="21"/>
                      <w:szCs w:val="21"/>
                      <w:vertAlign w:val="baseline"/>
                      <w:lang w:val="en-US" w:eastAsia="zh-CN"/>
                    </w:rPr>
                    <w:t>；设备采取隔音、减振等处理措施，并加强设备日常维护与保养</w:t>
                  </w:r>
                </w:p>
              </w:tc>
              <w:tc>
                <w:tcPr>
                  <w:tcW w:w="571" w:type="pct"/>
                  <w:noWrap w:val="0"/>
                  <w:vAlign w:val="center"/>
                </w:tcPr>
                <w:p w14:paraId="7C5567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B050"/>
                      <w:sz w:val="21"/>
                      <w:szCs w:val="21"/>
                      <w:vertAlign w:val="baseline"/>
                      <w:lang w:val="en-US" w:eastAsia="zh-CN"/>
                    </w:rPr>
                  </w:pPr>
                  <w:r>
                    <w:rPr>
                      <w:rFonts w:hint="eastAsia"/>
                      <w:color w:val="00B050"/>
                      <w:sz w:val="21"/>
                      <w:szCs w:val="21"/>
                      <w:vertAlign w:val="baseline"/>
                      <w:lang w:val="en-US" w:eastAsia="zh-CN"/>
                    </w:rPr>
                    <w:t>符合</w:t>
                  </w:r>
                </w:p>
              </w:tc>
            </w:tr>
          </w:tbl>
          <w:p w14:paraId="05A9A8D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综上，本项目总体符合《中共云南省委 云南省人民政府关于深入打好污染防治攻坚战的实施意见》相关要求。</w:t>
            </w:r>
          </w:p>
          <w:p w14:paraId="730375B8">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1.3.12项目与《中华人民共和国固体废物污染环境防治法》符合性分析</w:t>
            </w:r>
          </w:p>
          <w:p w14:paraId="67CC9511">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项目与《中华人民共和国固体废物污染环境防治法》符合性分析</w:t>
            </w:r>
            <w:r>
              <w:rPr>
                <w:rFonts w:hint="eastAsia" w:ascii="Times New Roman" w:hAnsi="Times New Roman" w:eastAsia="宋体" w:cs="Times New Roman"/>
                <w:color w:val="auto"/>
                <w:sz w:val="24"/>
                <w:szCs w:val="24"/>
                <w:lang w:val="en-US" w:eastAsia="zh-CN"/>
              </w:rPr>
              <w:t>详见表1.3-12所示。</w:t>
            </w:r>
          </w:p>
          <w:p w14:paraId="5787B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lang w:val="en-US" w:eastAsia="zh-CN"/>
              </w:rPr>
            </w:pPr>
            <w:r>
              <w:rPr>
                <w:rFonts w:hint="default"/>
                <w:b/>
                <w:bCs/>
                <w:color w:val="auto"/>
                <w:sz w:val="21"/>
                <w:szCs w:val="21"/>
                <w:highlight w:val="none"/>
                <w:lang w:val="en-US" w:eastAsia="zh-CN"/>
              </w:rPr>
              <w:t>表1</w:t>
            </w:r>
            <w:r>
              <w:rPr>
                <w:rFonts w:hint="eastAsia"/>
                <w:b/>
                <w:bCs/>
                <w:color w:val="auto"/>
                <w:sz w:val="21"/>
                <w:szCs w:val="21"/>
                <w:highlight w:val="none"/>
                <w:lang w:val="en-US" w:eastAsia="zh-CN"/>
              </w:rPr>
              <w:t>.3</w:t>
            </w:r>
            <w:r>
              <w:rPr>
                <w:rFonts w:hint="default"/>
                <w:b/>
                <w:bCs/>
                <w:color w:val="auto"/>
                <w:sz w:val="21"/>
                <w:szCs w:val="21"/>
                <w:highlight w:val="none"/>
                <w:lang w:val="en-US" w:eastAsia="zh-CN"/>
              </w:rPr>
              <w:t>-</w:t>
            </w:r>
            <w:r>
              <w:rPr>
                <w:rFonts w:hint="eastAsia"/>
                <w:b/>
                <w:bCs/>
                <w:color w:val="auto"/>
                <w:sz w:val="21"/>
                <w:szCs w:val="21"/>
                <w:highlight w:val="none"/>
                <w:lang w:val="en-US" w:eastAsia="zh-CN"/>
              </w:rPr>
              <w:t>12</w:t>
            </w:r>
            <w:r>
              <w:rPr>
                <w:rFonts w:hint="default"/>
                <w:b/>
                <w:bCs/>
                <w:color w:val="auto"/>
                <w:sz w:val="21"/>
                <w:szCs w:val="21"/>
                <w:highlight w:val="none"/>
                <w:lang w:val="en-US" w:eastAsia="zh-CN"/>
              </w:rPr>
              <w:t xml:space="preserve"> 项目与《中华人民共和国固体废物污染环境防治法》（自2020年9月1日起施行）相关要求的符合性分析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4042"/>
              <w:gridCol w:w="2137"/>
              <w:gridCol w:w="936"/>
            </w:tblGrid>
            <w:tr w14:paraId="595B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91" w:type="pct"/>
                  <w:noWrap w:val="0"/>
                  <w:vAlign w:val="center"/>
                </w:tcPr>
                <w:p w14:paraId="64887B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条目</w:t>
                  </w:r>
                </w:p>
              </w:tc>
              <w:tc>
                <w:tcPr>
                  <w:tcW w:w="2447" w:type="pct"/>
                  <w:noWrap w:val="0"/>
                  <w:vAlign w:val="center"/>
                </w:tcPr>
                <w:p w14:paraId="18E246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相关要求</w:t>
                  </w:r>
                </w:p>
              </w:tc>
              <w:tc>
                <w:tcPr>
                  <w:tcW w:w="1294" w:type="pct"/>
                  <w:noWrap w:val="0"/>
                  <w:vAlign w:val="center"/>
                </w:tcPr>
                <w:p w14:paraId="7F029F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本项目情况</w:t>
                  </w:r>
                </w:p>
              </w:tc>
              <w:tc>
                <w:tcPr>
                  <w:tcW w:w="566" w:type="pct"/>
                  <w:noWrap w:val="0"/>
                  <w:vAlign w:val="center"/>
                </w:tcPr>
                <w:p w14:paraId="034127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符合性情况</w:t>
                  </w:r>
                </w:p>
              </w:tc>
            </w:tr>
            <w:tr w14:paraId="041E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91" w:type="pct"/>
                  <w:vMerge w:val="restart"/>
                  <w:noWrap w:val="0"/>
                  <w:vAlign w:val="center"/>
                </w:tcPr>
                <w:p w14:paraId="1531B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第三章　工业固体废物</w:t>
                  </w:r>
                </w:p>
              </w:tc>
              <w:tc>
                <w:tcPr>
                  <w:tcW w:w="2447" w:type="pct"/>
                  <w:noWrap w:val="0"/>
                  <w:vAlign w:val="center"/>
                </w:tcPr>
                <w:p w14:paraId="12D648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第三十六条　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3CE770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禁止向生活垃圾收集设施中投放工业固体废物。</w:t>
                  </w:r>
                </w:p>
              </w:tc>
              <w:tc>
                <w:tcPr>
                  <w:tcW w:w="1294" w:type="pct"/>
                  <w:vMerge w:val="restart"/>
                  <w:noWrap w:val="0"/>
                  <w:vAlign w:val="center"/>
                </w:tcPr>
                <w:p w14:paraId="4CFB5470">
                  <w:pPr>
                    <w:keepNext w:val="0"/>
                    <w:keepLines w:val="0"/>
                    <w:pageBreakBefore w:val="0"/>
                    <w:widowControl w:val="0"/>
                    <w:kinsoku/>
                    <w:wordWrap/>
                    <w:overflowPunct/>
                    <w:topLinePunct w:val="0"/>
                    <w:autoSpaceDE/>
                    <w:autoSpaceDN/>
                    <w:bidi w:val="0"/>
                    <w:ind w:firstLine="0" w:firstLineChars="0"/>
                    <w:textAlignment w:val="auto"/>
                    <w:rPr>
                      <w:rFonts w:hint="default" w:eastAsia="宋体"/>
                      <w:color w:val="auto"/>
                      <w:sz w:val="24"/>
                      <w:szCs w:val="24"/>
                      <w:lang w:val="en-US" w:eastAsia="zh-CN"/>
                    </w:rPr>
                  </w:pPr>
                  <w:r>
                    <w:rPr>
                      <w:rFonts w:hint="eastAsia" w:ascii="Times New Roman" w:hAnsi="Times New Roman" w:eastAsia="宋体" w:cs="Times New Roman"/>
                      <w:color w:val="auto"/>
                      <w:kern w:val="0"/>
                      <w:szCs w:val="21"/>
                      <w:highlight w:val="none"/>
                      <w:lang w:val="en-US" w:eastAsia="zh-CN"/>
                    </w:rPr>
                    <w:t>①项目收集贮存</w:t>
                  </w:r>
                  <w:r>
                    <w:rPr>
                      <w:rFonts w:hint="eastAsia" w:ascii="Times New Roman" w:hAnsi="Times New Roman" w:eastAsia="宋体" w:cs="Times New Roman"/>
                      <w:color w:val="auto"/>
                      <w:kern w:val="0"/>
                      <w:szCs w:val="21"/>
                    </w:rPr>
                    <w:t>废镍氢电池</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highlight w:val="none"/>
                    </w:rPr>
                    <w:t>废离子电池</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rPr>
                    <w:t>废新能源动力电池</w:t>
                  </w:r>
                  <w:r>
                    <w:rPr>
                      <w:rFonts w:hint="eastAsia" w:ascii="Times New Roman" w:hAnsi="Times New Roman" w:eastAsia="宋体" w:cs="Times New Roman"/>
                      <w:color w:val="auto"/>
                      <w:kern w:val="0"/>
                      <w:szCs w:val="21"/>
                      <w:lang w:val="en-US" w:eastAsia="zh-CN"/>
                    </w:rPr>
                    <w:t>委托固体废物处置单位定期进行清运处置；</w:t>
                  </w:r>
                </w:p>
                <w:p w14:paraId="5B41DA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②项目产生生活垃圾</w:t>
                  </w:r>
                  <w:r>
                    <w:rPr>
                      <w:rFonts w:hint="eastAsia" w:ascii="Times New Roman" w:hAnsi="Times New Roman" w:eastAsia="宋体" w:cs="Times New Roman"/>
                      <w:color w:val="auto"/>
                      <w:kern w:val="0"/>
                      <w:szCs w:val="21"/>
                    </w:rPr>
                    <w:t>进行简单分类，可以回收的回收利用，不可回收的装袋</w:t>
                  </w:r>
                  <w:r>
                    <w:rPr>
                      <w:rFonts w:hint="default" w:ascii="Times New Roman" w:hAnsi="Times New Roman" w:eastAsia="宋体" w:cs="Times New Roman"/>
                      <w:color w:val="auto"/>
                      <w:kern w:val="0"/>
                      <w:szCs w:val="21"/>
                    </w:rPr>
                    <w:t>送至</w:t>
                  </w:r>
                  <w:r>
                    <w:rPr>
                      <w:rFonts w:hint="default" w:ascii="Times New Roman" w:hAnsi="Times New Roman" w:eastAsia="宋体" w:cs="Times New Roman"/>
                      <w:color w:val="auto"/>
                      <w:kern w:val="0"/>
                      <w:szCs w:val="21"/>
                      <w:lang w:val="en-US" w:eastAsia="zh-CN"/>
                    </w:rPr>
                    <w:t>珠街社区珠街村</w:t>
                  </w:r>
                  <w:r>
                    <w:rPr>
                      <w:rFonts w:hint="default" w:ascii="Times New Roman" w:hAnsi="Times New Roman" w:eastAsia="宋体" w:cs="Times New Roman"/>
                      <w:color w:val="auto"/>
                      <w:kern w:val="0"/>
                      <w:szCs w:val="21"/>
                    </w:rPr>
                    <w:t>垃圾堆放点，委托</w:t>
                  </w:r>
                  <w:r>
                    <w:rPr>
                      <w:rFonts w:hint="eastAsia" w:ascii="Times New Roman" w:hAnsi="Times New Roman" w:eastAsia="宋体" w:cs="Times New Roman"/>
                      <w:color w:val="auto"/>
                      <w:kern w:val="0"/>
                      <w:szCs w:val="21"/>
                      <w:lang w:val="en-US" w:eastAsia="zh-CN"/>
                    </w:rPr>
                    <w:t>麒麟区</w:t>
                  </w:r>
                  <w:r>
                    <w:rPr>
                      <w:rFonts w:hint="default" w:ascii="Times New Roman" w:hAnsi="Times New Roman" w:eastAsia="宋体" w:cs="Times New Roman"/>
                      <w:color w:val="auto"/>
                      <w:kern w:val="0"/>
                      <w:szCs w:val="21"/>
                    </w:rPr>
                    <w:t>环卫部门清运处置</w:t>
                  </w:r>
                  <w:r>
                    <w:rPr>
                      <w:rFonts w:hint="eastAsia" w:ascii="Times New Roman" w:hAnsi="Times New Roman" w:eastAsia="宋体" w:cs="Times New Roman"/>
                      <w:color w:val="auto"/>
                      <w:kern w:val="0"/>
                      <w:szCs w:val="21"/>
                      <w:lang w:val="en-US" w:eastAsia="zh-CN"/>
                    </w:rPr>
                    <w:t>；</w:t>
                  </w:r>
                </w:p>
                <w:p w14:paraId="2C0293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Cs w:val="21"/>
                      <w:lang w:val="en-US" w:eastAsia="zh-CN"/>
                    </w:rPr>
                    <w:t>③</w:t>
                  </w:r>
                  <w:r>
                    <w:rPr>
                      <w:rFonts w:hint="eastAsia" w:ascii="Times New Roman" w:hAnsi="Times New Roman" w:eastAsia="宋体" w:cs="Times New Roman"/>
                      <w:color w:val="auto"/>
                      <w:kern w:val="0"/>
                      <w:szCs w:val="21"/>
                      <w:lang w:val="en-US" w:eastAsia="zh-CN"/>
                    </w:rPr>
                    <w:t>项目产生危险废物经贮存库收集后随同类危险废物转移至资质单位处置。</w:t>
                  </w:r>
                </w:p>
              </w:tc>
              <w:tc>
                <w:tcPr>
                  <w:tcW w:w="566" w:type="pct"/>
                  <w:noWrap w:val="0"/>
                  <w:vAlign w:val="center"/>
                </w:tcPr>
                <w:p w14:paraId="49E260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3BEB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91" w:type="pct"/>
                  <w:vMerge w:val="continue"/>
                  <w:noWrap w:val="0"/>
                  <w:vAlign w:val="center"/>
                </w:tcPr>
                <w:p w14:paraId="55046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2447" w:type="pct"/>
                  <w:noWrap w:val="0"/>
                  <w:vAlign w:val="center"/>
                </w:tcPr>
                <w:p w14:paraId="5747D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第三十七条　产生工业固体废物的单位委托他人运输、利用、处置工业固体废物的，应当对受托方的主体资格和技术能力进行核实，依法签订书面合同，在合同中约定污染防治要求。</w:t>
                  </w:r>
                </w:p>
              </w:tc>
              <w:tc>
                <w:tcPr>
                  <w:tcW w:w="1294" w:type="pct"/>
                  <w:vMerge w:val="continue"/>
                  <w:noWrap w:val="0"/>
                  <w:vAlign w:val="center"/>
                </w:tcPr>
                <w:p w14:paraId="5C1F7BC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sz w:val="21"/>
                      <w:szCs w:val="21"/>
                      <w:vertAlign w:val="baseline"/>
                      <w:lang w:val="en-US" w:eastAsia="zh-CN"/>
                    </w:rPr>
                  </w:pPr>
                </w:p>
              </w:tc>
              <w:tc>
                <w:tcPr>
                  <w:tcW w:w="566" w:type="pct"/>
                  <w:noWrap w:val="0"/>
                  <w:vAlign w:val="center"/>
                </w:tcPr>
                <w:p w14:paraId="6712FF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31AB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91" w:type="pct"/>
                  <w:vMerge w:val="continue"/>
                  <w:noWrap w:val="0"/>
                  <w:vAlign w:val="center"/>
                </w:tcPr>
                <w:p w14:paraId="6A0F1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2447" w:type="pct"/>
                  <w:noWrap w:val="0"/>
                  <w:vAlign w:val="center"/>
                </w:tcPr>
                <w:p w14:paraId="6667C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第四十条　产生工业固体废物的单位应当根据经济、技术条件对工业固体废物加以利用；对暂时不利用或者不能利用的，应当按照国务院生态环境主管部门的规定建设贮存设施、场所，安全分类存放，或者采取无害化处置措施。贮存工业固体废物应当采取符合国家环境保护标准的防护措施。</w:t>
                  </w:r>
                </w:p>
              </w:tc>
              <w:tc>
                <w:tcPr>
                  <w:tcW w:w="1294" w:type="pct"/>
                  <w:vMerge w:val="continue"/>
                  <w:noWrap w:val="0"/>
                  <w:vAlign w:val="center"/>
                </w:tcPr>
                <w:p w14:paraId="5DF08C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566" w:type="pct"/>
                  <w:noWrap w:val="0"/>
                  <w:vAlign w:val="center"/>
                </w:tcPr>
                <w:p w14:paraId="6325F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7A66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91" w:type="pct"/>
                  <w:vMerge w:val="restart"/>
                  <w:noWrap w:val="0"/>
                  <w:vAlign w:val="center"/>
                </w:tcPr>
                <w:p w14:paraId="37E485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第四章生活垃圾</w:t>
                  </w:r>
                </w:p>
              </w:tc>
              <w:tc>
                <w:tcPr>
                  <w:tcW w:w="2447" w:type="pct"/>
                  <w:noWrap w:val="0"/>
                  <w:vAlign w:val="center"/>
                </w:tcPr>
                <w:p w14:paraId="5C1C84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第四十九条　产生生活垃圾的单位、家庭和个人应当依法履行生活垃圾源头减量和分类投放义务，承担生活垃圾产生者</w:t>
                  </w:r>
                  <w:r>
                    <w:rPr>
                      <w:rFonts w:hint="eastAsia"/>
                      <w:color w:val="auto"/>
                      <w:sz w:val="21"/>
                      <w:szCs w:val="21"/>
                      <w:vertAlign w:val="baseline"/>
                      <w:lang w:val="en-US" w:eastAsia="zh-CN"/>
                    </w:rPr>
                    <w:t>；</w:t>
                  </w:r>
                </w:p>
                <w:p w14:paraId="5C14F4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任何单位和个人都应当依法在指定的地点分类投放生活垃圾。禁止随意倾倒、抛撒、堆放或者焚烧生活垃圾。责任。</w:t>
                  </w:r>
                </w:p>
              </w:tc>
              <w:tc>
                <w:tcPr>
                  <w:tcW w:w="1294" w:type="pct"/>
                  <w:vMerge w:val="restart"/>
                  <w:noWrap w:val="0"/>
                  <w:vAlign w:val="center"/>
                </w:tcPr>
                <w:p w14:paraId="3F3D55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Cs w:val="21"/>
                      <w:lang w:val="en-US" w:eastAsia="zh-CN"/>
                    </w:rPr>
                    <w:t>项目产生生活垃圾</w:t>
                  </w:r>
                  <w:r>
                    <w:rPr>
                      <w:rFonts w:hint="eastAsia" w:ascii="Times New Roman" w:hAnsi="Times New Roman" w:eastAsia="宋体" w:cs="Times New Roman"/>
                      <w:color w:val="auto"/>
                      <w:kern w:val="0"/>
                      <w:szCs w:val="21"/>
                    </w:rPr>
                    <w:t>进行简单分类，可以回收的回收利用，不可回收的装袋</w:t>
                  </w:r>
                  <w:r>
                    <w:rPr>
                      <w:rFonts w:hint="default" w:ascii="Times New Roman" w:hAnsi="Times New Roman" w:eastAsia="宋体" w:cs="Times New Roman"/>
                      <w:color w:val="auto"/>
                      <w:kern w:val="0"/>
                      <w:szCs w:val="21"/>
                    </w:rPr>
                    <w:t>送至</w:t>
                  </w:r>
                  <w:r>
                    <w:rPr>
                      <w:rFonts w:hint="default" w:ascii="Times New Roman" w:hAnsi="Times New Roman" w:eastAsia="宋体" w:cs="Times New Roman"/>
                      <w:color w:val="auto"/>
                      <w:kern w:val="0"/>
                      <w:szCs w:val="21"/>
                      <w:lang w:val="en-US" w:eastAsia="zh-CN"/>
                    </w:rPr>
                    <w:t>珠街社区珠街村</w:t>
                  </w:r>
                  <w:r>
                    <w:rPr>
                      <w:rFonts w:hint="default" w:ascii="Times New Roman" w:hAnsi="Times New Roman" w:eastAsia="宋体" w:cs="Times New Roman"/>
                      <w:color w:val="auto"/>
                      <w:kern w:val="0"/>
                      <w:szCs w:val="21"/>
                    </w:rPr>
                    <w:t>垃圾堆放点，委托</w:t>
                  </w:r>
                  <w:r>
                    <w:rPr>
                      <w:rFonts w:hint="eastAsia" w:ascii="Times New Roman" w:hAnsi="Times New Roman" w:eastAsia="宋体" w:cs="Times New Roman"/>
                      <w:color w:val="auto"/>
                      <w:kern w:val="0"/>
                      <w:szCs w:val="21"/>
                      <w:lang w:val="en-US" w:eastAsia="zh-CN"/>
                    </w:rPr>
                    <w:t>麒麟区</w:t>
                  </w:r>
                  <w:r>
                    <w:rPr>
                      <w:rFonts w:hint="default" w:ascii="Times New Roman" w:hAnsi="Times New Roman" w:eastAsia="宋体" w:cs="Times New Roman"/>
                      <w:color w:val="auto"/>
                      <w:kern w:val="0"/>
                      <w:szCs w:val="21"/>
                    </w:rPr>
                    <w:t>环卫部门清运处置</w:t>
                  </w:r>
                </w:p>
              </w:tc>
              <w:tc>
                <w:tcPr>
                  <w:tcW w:w="566" w:type="pct"/>
                  <w:noWrap w:val="0"/>
                  <w:vAlign w:val="center"/>
                </w:tcPr>
                <w:p w14:paraId="0A6EB6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C65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91" w:type="pct"/>
                  <w:vMerge w:val="continue"/>
                  <w:noWrap w:val="0"/>
                  <w:vAlign w:val="center"/>
                </w:tcPr>
                <w:p w14:paraId="0B948E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p>
              </w:tc>
              <w:tc>
                <w:tcPr>
                  <w:tcW w:w="2447" w:type="pct"/>
                  <w:noWrap w:val="0"/>
                  <w:vAlign w:val="center"/>
                </w:tcPr>
                <w:p w14:paraId="6A30B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第五十条　清扫、收集、运输、处理城乡生活垃圾，应当遵守国家有关环境保护和环境卫生管理的规定，防止污染环境。</w:t>
                  </w:r>
                </w:p>
                <w:p w14:paraId="6FAE8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从生活垃圾中分类并集中收集的有害垃圾，属于危险废物的，应当按照危险废物管理。</w:t>
                  </w:r>
                </w:p>
              </w:tc>
              <w:tc>
                <w:tcPr>
                  <w:tcW w:w="1294" w:type="pct"/>
                  <w:vMerge w:val="continue"/>
                  <w:noWrap w:val="0"/>
                  <w:vAlign w:val="center"/>
                </w:tcPr>
                <w:p w14:paraId="775F3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566" w:type="pct"/>
                  <w:noWrap w:val="0"/>
                  <w:vAlign w:val="center"/>
                </w:tcPr>
                <w:p w14:paraId="14BD1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2EC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91" w:type="pct"/>
                  <w:vMerge w:val="restart"/>
                  <w:noWrap w:val="0"/>
                  <w:vAlign w:val="center"/>
                </w:tcPr>
                <w:p w14:paraId="4A5B7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第六章危险废物</w:t>
                  </w:r>
                </w:p>
              </w:tc>
              <w:tc>
                <w:tcPr>
                  <w:tcW w:w="2447" w:type="pct"/>
                  <w:noWrap w:val="0"/>
                  <w:vAlign w:val="center"/>
                </w:tcPr>
                <w:p w14:paraId="01F98B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第七十七条　对危险废物的容器和包装物以及收集、贮存、运输、利用、处置危险废物的设施、场所，应当按照规定设置危险废物识别标志。</w:t>
                  </w:r>
                </w:p>
              </w:tc>
              <w:tc>
                <w:tcPr>
                  <w:tcW w:w="1294" w:type="pct"/>
                  <w:vMerge w:val="restart"/>
                  <w:noWrap w:val="0"/>
                  <w:vAlign w:val="center"/>
                </w:tcPr>
                <w:p w14:paraId="0AB541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kern w:val="0"/>
                      <w:szCs w:val="21"/>
                      <w:lang w:val="en-US" w:eastAsia="zh-CN"/>
                    </w:rPr>
                    <w:t>项目拟收集和贮存废矿物油、废铅蓄电池、废镉镍电池委托危险废物运输单位和危险废物处置单位定期进行清运；</w:t>
                  </w:r>
                  <w:r>
                    <w:rPr>
                      <w:rFonts w:hint="eastAsia" w:cs="Times New Roman"/>
                      <w:color w:val="auto"/>
                      <w:kern w:val="0"/>
                      <w:szCs w:val="21"/>
                      <w:lang w:val="en-US" w:eastAsia="zh-CN"/>
                    </w:rPr>
                    <w:t>项目</w:t>
                  </w:r>
                  <w:r>
                    <w:rPr>
                      <w:rFonts w:hint="eastAsia" w:ascii="Times New Roman" w:hAnsi="Times New Roman" w:eastAsia="宋体" w:cs="Times New Roman"/>
                      <w:color w:val="auto"/>
                      <w:kern w:val="0"/>
                      <w:szCs w:val="21"/>
                      <w:lang w:val="en-US" w:eastAsia="zh-CN"/>
                    </w:rPr>
                    <w:t>产</w:t>
                  </w:r>
                  <w:r>
                    <w:rPr>
                      <w:rFonts w:hint="eastAsia" w:cs="Times New Roman"/>
                      <w:color w:val="auto"/>
                      <w:kern w:val="0"/>
                      <w:szCs w:val="21"/>
                      <w:lang w:val="en-US" w:eastAsia="zh-CN"/>
                    </w:rPr>
                    <w:t>生的</w:t>
                  </w:r>
                  <w:r>
                    <w:rPr>
                      <w:rFonts w:hint="eastAsia" w:ascii="Times New Roman" w:hAnsi="Times New Roman" w:eastAsia="宋体" w:cs="Times New Roman"/>
                      <w:color w:val="auto"/>
                      <w:kern w:val="0"/>
                      <w:szCs w:val="21"/>
                      <w:lang w:val="en-US" w:eastAsia="zh-CN"/>
                    </w:rPr>
                    <w:t>危险废物经贮存库收集后随同类危险废物转移至资质单位处置</w:t>
                  </w:r>
                  <w:r>
                    <w:rPr>
                      <w:rFonts w:hint="default"/>
                      <w:color w:val="auto"/>
                      <w:sz w:val="21"/>
                      <w:szCs w:val="21"/>
                      <w:vertAlign w:val="baseline"/>
                      <w:lang w:val="en-US" w:eastAsia="zh-CN"/>
                    </w:rPr>
                    <w:t>。为保证暂存的危险废物不对环境产生污染，危险废物暂存、转运、处置应严格按照《危险废物贮存污染控制标准》（GB18597-2023）和《危险废物收集贮存运输技术规范》（HJ 2025-2012）执行</w:t>
                  </w:r>
                </w:p>
              </w:tc>
              <w:tc>
                <w:tcPr>
                  <w:tcW w:w="566" w:type="pct"/>
                  <w:noWrap w:val="0"/>
                  <w:vAlign w:val="center"/>
                </w:tcPr>
                <w:p w14:paraId="63C97C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1C3D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91" w:type="pct"/>
                  <w:vMerge w:val="continue"/>
                  <w:noWrap w:val="0"/>
                  <w:vAlign w:val="center"/>
                </w:tcPr>
                <w:p w14:paraId="3EDC36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p>
              </w:tc>
              <w:tc>
                <w:tcPr>
                  <w:tcW w:w="2447" w:type="pct"/>
                  <w:noWrap w:val="0"/>
                  <w:vAlign w:val="center"/>
                </w:tcPr>
                <w:p w14:paraId="01BFC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第七十八条　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tc>
              <w:tc>
                <w:tcPr>
                  <w:tcW w:w="1294" w:type="pct"/>
                  <w:vMerge w:val="continue"/>
                  <w:noWrap w:val="0"/>
                  <w:vAlign w:val="center"/>
                </w:tcPr>
                <w:p w14:paraId="474224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566" w:type="pct"/>
                  <w:noWrap w:val="0"/>
                  <w:vAlign w:val="center"/>
                </w:tcPr>
                <w:p w14:paraId="205942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w:t>
                  </w:r>
                </w:p>
              </w:tc>
            </w:tr>
            <w:tr w14:paraId="48B2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91" w:type="pct"/>
                  <w:vMerge w:val="continue"/>
                  <w:noWrap w:val="0"/>
                  <w:vAlign w:val="center"/>
                </w:tcPr>
                <w:p w14:paraId="255E4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p>
              </w:tc>
              <w:tc>
                <w:tcPr>
                  <w:tcW w:w="2447" w:type="pct"/>
                  <w:noWrap w:val="0"/>
                  <w:vAlign w:val="center"/>
                </w:tcPr>
                <w:p w14:paraId="33E21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第七十九条　产生危险废物的单位，应当按照国家有关规定和环境保护标准要求贮存、利用、处置危险废物，不得擅自倾倒、堆放。</w:t>
                  </w:r>
                </w:p>
              </w:tc>
              <w:tc>
                <w:tcPr>
                  <w:tcW w:w="1294" w:type="pct"/>
                  <w:vMerge w:val="continue"/>
                  <w:noWrap w:val="0"/>
                  <w:vAlign w:val="center"/>
                </w:tcPr>
                <w:p w14:paraId="7235BB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566" w:type="pct"/>
                  <w:noWrap w:val="0"/>
                  <w:vAlign w:val="center"/>
                </w:tcPr>
                <w:p w14:paraId="74AEC6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w:t>
                  </w:r>
                </w:p>
              </w:tc>
            </w:tr>
          </w:tbl>
          <w:p w14:paraId="3D0BA04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项目与《中华人民共和国固体废物污染环境防治法》</w:t>
            </w:r>
            <w:r>
              <w:rPr>
                <w:rFonts w:hint="eastAsia" w:ascii="Times New Roman" w:hAnsi="Times New Roman" w:eastAsia="宋体" w:cs="Times New Roman"/>
                <w:color w:val="auto"/>
                <w:sz w:val="24"/>
                <w:lang w:val="en-US" w:eastAsia="zh-CN"/>
              </w:rPr>
              <w:t>相符合。</w:t>
            </w:r>
          </w:p>
          <w:p w14:paraId="779AAC0C">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eastAsia="宋体" w:cs="Times New Roman"/>
                <w:b/>
                <w:bCs/>
                <w:color w:val="00B050"/>
                <w:sz w:val="28"/>
                <w:szCs w:val="28"/>
              </w:rPr>
            </w:pPr>
            <w:r>
              <w:rPr>
                <w:rFonts w:hint="eastAsia" w:cs="Times New Roman"/>
                <w:b/>
                <w:bCs/>
                <w:color w:val="00B050"/>
                <w:sz w:val="28"/>
                <w:szCs w:val="28"/>
                <w:lang w:val="en-US" w:eastAsia="zh-CN"/>
              </w:rPr>
              <w:t>1.4</w:t>
            </w:r>
            <w:r>
              <w:rPr>
                <w:rFonts w:hint="eastAsia" w:ascii="Times New Roman" w:hAnsi="Times New Roman" w:eastAsia="宋体" w:cs="Times New Roman"/>
                <w:b/>
                <w:bCs/>
                <w:color w:val="00B050"/>
                <w:sz w:val="28"/>
                <w:szCs w:val="28"/>
              </w:rPr>
              <w:t>选址合理性分析</w:t>
            </w:r>
          </w:p>
          <w:p w14:paraId="3A95C70E">
            <w:pPr>
              <w:autoSpaceDE w:val="0"/>
              <w:autoSpaceDN w:val="0"/>
              <w:adjustRightInd w:val="0"/>
              <w:snapToGrid w:val="0"/>
              <w:spacing w:line="360" w:lineRule="auto"/>
              <w:ind w:firstLine="480" w:firstLineChars="200"/>
              <w:rPr>
                <w:rFonts w:hint="eastAsia" w:cs="Times New Roman"/>
                <w:color w:val="00B050"/>
                <w:sz w:val="24"/>
                <w:lang w:val="en-US" w:eastAsia="zh-CN"/>
              </w:rPr>
            </w:pPr>
            <w:r>
              <w:rPr>
                <w:rFonts w:hint="eastAsia" w:cs="Times New Roman"/>
                <w:color w:val="00B050"/>
                <w:sz w:val="24"/>
                <w:lang w:val="en-US" w:eastAsia="zh-CN"/>
              </w:rPr>
              <w:t>项目为危险废物贮存库建设，建设地点位于云南曲靖市麒麟区珠街街道办事处珠街社区珠街村666号2栋18-19-20内，不涉及生态保护红线、基本农田。</w:t>
            </w:r>
          </w:p>
          <w:p w14:paraId="2453F9DF">
            <w:pPr>
              <w:autoSpaceDE w:val="0"/>
              <w:autoSpaceDN w:val="0"/>
              <w:adjustRightInd w:val="0"/>
              <w:snapToGrid w:val="0"/>
              <w:spacing w:line="360" w:lineRule="auto"/>
              <w:ind w:firstLine="480" w:firstLineChars="200"/>
              <w:rPr>
                <w:rFonts w:hint="default" w:cs="Times New Roman"/>
                <w:color w:val="00B050"/>
                <w:sz w:val="24"/>
                <w:lang w:val="en-US" w:eastAsia="zh-CN"/>
              </w:rPr>
            </w:pPr>
            <w:r>
              <w:rPr>
                <w:rFonts w:hint="eastAsia" w:cs="Times New Roman"/>
                <w:color w:val="00B050"/>
                <w:sz w:val="24"/>
                <w:lang w:val="en-US" w:eastAsia="zh-CN"/>
              </w:rPr>
              <w:t>结合与《曲靖市“三线一单”生态环境分区管控实施方案》符合性分析，项目建设符合分区管控方案。根据现场踏勘情况，项目区周边不涉及江河、湖泊</w:t>
            </w:r>
            <w:r>
              <w:rPr>
                <w:rFonts w:hint="eastAsia" w:ascii="Times New Roman" w:hAnsi="Times New Roman" w:eastAsia="宋体" w:cs="Times New Roman"/>
                <w:color w:val="00B050"/>
                <w:sz w:val="24"/>
              </w:rPr>
              <w:t>、运河、渠道、水库及其最高水位线以下的滩地和岸坡</w:t>
            </w:r>
            <w:r>
              <w:rPr>
                <w:rFonts w:hint="eastAsia" w:cs="Times New Roman"/>
                <w:color w:val="00B050"/>
                <w:sz w:val="24"/>
                <w:lang w:eastAsia="zh-CN"/>
              </w:rPr>
              <w:t>，</w:t>
            </w:r>
            <w:r>
              <w:rPr>
                <w:rFonts w:hint="eastAsia" w:cs="Times New Roman"/>
                <w:color w:val="00B050"/>
                <w:sz w:val="24"/>
                <w:lang w:val="en-US" w:eastAsia="zh-CN"/>
              </w:rPr>
              <w:t>无洪水、滑坡、泥石流发生可能，区域地质环境无溶洞区分布。</w:t>
            </w:r>
          </w:p>
          <w:p w14:paraId="10F35D2C">
            <w:pPr>
              <w:autoSpaceDE w:val="0"/>
              <w:autoSpaceDN w:val="0"/>
              <w:adjustRightInd w:val="0"/>
              <w:snapToGrid w:val="0"/>
              <w:spacing w:line="360" w:lineRule="auto"/>
              <w:ind w:firstLine="480" w:firstLineChars="200"/>
              <w:rPr>
                <w:rFonts w:ascii="Times New Roman" w:hAnsi="Times New Roman" w:eastAsia="宋体" w:cs="Times New Roman"/>
                <w:color w:val="00B050"/>
                <w:sz w:val="24"/>
              </w:rPr>
            </w:pPr>
            <w:r>
              <w:rPr>
                <w:rFonts w:hint="eastAsia" w:cs="Times New Roman"/>
                <w:color w:val="00B050"/>
                <w:sz w:val="24"/>
                <w:lang w:val="en-US" w:eastAsia="zh-CN"/>
              </w:rPr>
              <w:t>项目危险废物贮存过程中</w:t>
            </w:r>
            <w:r>
              <w:rPr>
                <w:rFonts w:hint="eastAsia" w:cs="Times New Roman"/>
                <w:color w:val="00B050"/>
                <w:sz w:val="24"/>
                <w:szCs w:val="24"/>
                <w:lang w:val="en-US" w:eastAsia="zh-CN"/>
              </w:rPr>
              <w:t>，</w:t>
            </w:r>
            <w:r>
              <w:rPr>
                <w:rFonts w:hint="eastAsia" w:cs="Times New Roman"/>
                <w:color w:val="FF0000"/>
                <w:sz w:val="24"/>
                <w:szCs w:val="24"/>
                <w:lang w:val="en-US" w:eastAsia="zh-CN" w:bidi="ar-SA"/>
              </w:rPr>
              <w:t>储罐</w:t>
            </w:r>
            <w:r>
              <w:rPr>
                <w:rFonts w:hint="eastAsia" w:ascii="Times New Roman" w:hAnsi="Times New Roman" w:eastAsia="宋体" w:cs="Times New Roman"/>
                <w:color w:val="FF0000"/>
                <w:sz w:val="24"/>
                <w:szCs w:val="24"/>
                <w:lang w:val="en-US" w:eastAsia="zh-CN" w:bidi="ar-SA"/>
              </w:rPr>
              <w:t>呼吸废气经收集后</w:t>
            </w:r>
            <w:r>
              <w:rPr>
                <w:rFonts w:hint="eastAsia" w:cs="Times New Roman"/>
                <w:color w:val="FF0000"/>
                <w:sz w:val="24"/>
                <w:szCs w:val="24"/>
                <w:lang w:val="en-US" w:eastAsia="zh-CN" w:bidi="ar-SA"/>
              </w:rPr>
              <w:t>通过引风机</w:t>
            </w:r>
            <w:r>
              <w:rPr>
                <w:rFonts w:hint="eastAsia" w:cs="Times New Roman"/>
                <w:b w:val="0"/>
                <w:bCs w:val="0"/>
                <w:color w:val="FF0000"/>
                <w:sz w:val="24"/>
                <w:szCs w:val="24"/>
                <w:lang w:val="en-US" w:eastAsia="zh-CN" w:bidi="ar-SA"/>
              </w:rPr>
              <w:t>（</w:t>
            </w:r>
            <w:r>
              <w:rPr>
                <w:rFonts w:hint="eastAsia" w:ascii="Times New Roman" w:hAnsi="Times New Roman" w:eastAsia="宋体" w:cs="Times New Roman"/>
                <w:b w:val="0"/>
                <w:bCs w:val="0"/>
                <w:color w:val="FF0000"/>
                <w:sz w:val="24"/>
                <w:szCs w:val="24"/>
                <w:lang w:val="en-US" w:eastAsia="zh-CN" w:bidi="ar-SA"/>
              </w:rPr>
              <w:t>设计风量2</w:t>
            </w:r>
            <w:r>
              <w:rPr>
                <w:rFonts w:hint="eastAsia" w:cs="Times New Roman"/>
                <w:b w:val="0"/>
                <w:bCs w:val="0"/>
                <w:color w:val="FF0000"/>
                <w:sz w:val="24"/>
                <w:szCs w:val="24"/>
                <w:lang w:val="en-US" w:eastAsia="zh-CN" w:bidi="ar-SA"/>
              </w:rPr>
              <w:t>0</w:t>
            </w:r>
            <w:r>
              <w:rPr>
                <w:rFonts w:hint="eastAsia" w:ascii="Times New Roman" w:hAnsi="Times New Roman" w:eastAsia="宋体" w:cs="Times New Roman"/>
                <w:b w:val="0"/>
                <w:bCs w:val="0"/>
                <w:color w:val="FF0000"/>
                <w:sz w:val="24"/>
                <w:szCs w:val="24"/>
                <w:lang w:val="en-US" w:eastAsia="zh-CN" w:bidi="ar-SA"/>
              </w:rPr>
              <w:t>00m</w:t>
            </w:r>
            <w:r>
              <w:rPr>
                <w:rFonts w:hint="eastAsia" w:ascii="Times New Roman" w:hAnsi="Times New Roman" w:eastAsia="宋体" w:cs="Times New Roman"/>
                <w:b w:val="0"/>
                <w:bCs w:val="0"/>
                <w:color w:val="FF0000"/>
                <w:sz w:val="24"/>
                <w:szCs w:val="24"/>
                <w:vertAlign w:val="superscript"/>
                <w:lang w:val="en-US" w:eastAsia="zh-CN" w:bidi="ar-SA"/>
              </w:rPr>
              <w:t>3</w:t>
            </w:r>
            <w:r>
              <w:rPr>
                <w:rFonts w:hint="eastAsia" w:ascii="Times New Roman" w:hAnsi="Times New Roman" w:eastAsia="宋体" w:cs="Times New Roman"/>
                <w:b w:val="0"/>
                <w:bCs w:val="0"/>
                <w:color w:val="FF0000"/>
                <w:sz w:val="24"/>
                <w:szCs w:val="24"/>
                <w:lang w:val="en-US" w:eastAsia="zh-CN" w:bidi="ar-SA"/>
              </w:rPr>
              <w:t>/h</w:t>
            </w:r>
            <w:r>
              <w:rPr>
                <w:rFonts w:hint="eastAsia" w:cs="Times New Roman"/>
                <w:b w:val="0"/>
                <w:bCs w:val="0"/>
                <w:color w:val="FF0000"/>
                <w:sz w:val="24"/>
                <w:szCs w:val="24"/>
                <w:lang w:val="en-US" w:eastAsia="zh-CN" w:bidi="ar-SA"/>
              </w:rPr>
              <w:t>）</w:t>
            </w:r>
            <w:r>
              <w:rPr>
                <w:rFonts w:hint="eastAsia" w:ascii="Times New Roman" w:hAnsi="Times New Roman" w:eastAsia="宋体" w:cs="Times New Roman"/>
                <w:color w:val="FF0000"/>
                <w:sz w:val="24"/>
                <w:szCs w:val="24"/>
                <w:lang w:val="en-US" w:eastAsia="zh-CN" w:bidi="ar-SA"/>
              </w:rPr>
              <w:t>引至</w:t>
            </w:r>
            <w:r>
              <w:rPr>
                <w:rFonts w:hint="eastAsia" w:cs="Times New Roman"/>
                <w:color w:val="FF0000"/>
                <w:sz w:val="24"/>
                <w:szCs w:val="24"/>
                <w:lang w:val="en-US" w:eastAsia="zh-CN" w:bidi="ar-SA"/>
              </w:rPr>
              <w:t>1套活性炭吸附装置</w:t>
            </w:r>
            <w:r>
              <w:rPr>
                <w:rFonts w:hint="eastAsia" w:ascii="Times New Roman" w:hAnsi="Times New Roman" w:eastAsia="宋体" w:cs="Times New Roman"/>
                <w:color w:val="FF0000"/>
                <w:sz w:val="24"/>
                <w:szCs w:val="24"/>
                <w:lang w:val="en-US" w:eastAsia="zh-CN" w:bidi="ar-SA"/>
              </w:rPr>
              <w:t>处理；</w:t>
            </w:r>
            <w:r>
              <w:rPr>
                <w:rFonts w:hint="eastAsia"/>
                <w:b w:val="0"/>
                <w:bCs w:val="0"/>
                <w:color w:val="FF0000"/>
                <w:sz w:val="24"/>
                <w:szCs w:val="24"/>
                <w:lang w:val="en-US" w:eastAsia="zh-CN"/>
              </w:rPr>
              <w:t>废铅蓄电池破损泄漏产生的酸性废气由集气罩收集后</w:t>
            </w:r>
            <w:r>
              <w:rPr>
                <w:rFonts w:hint="eastAsia" w:cs="Times New Roman"/>
                <w:b w:val="0"/>
                <w:bCs w:val="0"/>
                <w:color w:val="FF0000"/>
                <w:sz w:val="24"/>
                <w:szCs w:val="24"/>
                <w:lang w:val="en-US" w:eastAsia="zh-CN" w:bidi="ar-SA"/>
              </w:rPr>
              <w:t>通过引风机（</w:t>
            </w:r>
            <w:r>
              <w:rPr>
                <w:rFonts w:hint="eastAsia" w:ascii="Times New Roman" w:hAnsi="Times New Roman" w:eastAsia="宋体" w:cs="Times New Roman"/>
                <w:b w:val="0"/>
                <w:bCs w:val="0"/>
                <w:color w:val="FF0000"/>
                <w:sz w:val="24"/>
                <w:szCs w:val="24"/>
                <w:lang w:val="en-US" w:eastAsia="zh-CN" w:bidi="ar-SA"/>
              </w:rPr>
              <w:t>设计风量2</w:t>
            </w:r>
            <w:r>
              <w:rPr>
                <w:rFonts w:hint="eastAsia" w:cs="Times New Roman"/>
                <w:b w:val="0"/>
                <w:bCs w:val="0"/>
                <w:color w:val="FF0000"/>
                <w:sz w:val="24"/>
                <w:szCs w:val="24"/>
                <w:lang w:val="en-US" w:eastAsia="zh-CN" w:bidi="ar-SA"/>
              </w:rPr>
              <w:t>0</w:t>
            </w:r>
            <w:r>
              <w:rPr>
                <w:rFonts w:hint="eastAsia" w:ascii="Times New Roman" w:hAnsi="Times New Roman" w:eastAsia="宋体" w:cs="Times New Roman"/>
                <w:b w:val="0"/>
                <w:bCs w:val="0"/>
                <w:color w:val="FF0000"/>
                <w:sz w:val="24"/>
                <w:szCs w:val="24"/>
                <w:lang w:val="en-US" w:eastAsia="zh-CN" w:bidi="ar-SA"/>
              </w:rPr>
              <w:t>00m</w:t>
            </w:r>
            <w:r>
              <w:rPr>
                <w:rFonts w:hint="eastAsia" w:ascii="Times New Roman" w:hAnsi="Times New Roman" w:eastAsia="宋体" w:cs="Times New Roman"/>
                <w:b w:val="0"/>
                <w:bCs w:val="0"/>
                <w:color w:val="FF0000"/>
                <w:sz w:val="24"/>
                <w:szCs w:val="24"/>
                <w:vertAlign w:val="superscript"/>
                <w:lang w:val="en-US" w:eastAsia="zh-CN" w:bidi="ar-SA"/>
              </w:rPr>
              <w:t>3</w:t>
            </w:r>
            <w:r>
              <w:rPr>
                <w:rFonts w:hint="eastAsia" w:ascii="Times New Roman" w:hAnsi="Times New Roman" w:eastAsia="宋体" w:cs="Times New Roman"/>
                <w:b w:val="0"/>
                <w:bCs w:val="0"/>
                <w:color w:val="FF0000"/>
                <w:sz w:val="24"/>
                <w:szCs w:val="24"/>
                <w:lang w:val="en-US" w:eastAsia="zh-CN" w:bidi="ar-SA"/>
              </w:rPr>
              <w:t>/h</w:t>
            </w:r>
            <w:r>
              <w:rPr>
                <w:rFonts w:hint="eastAsia" w:cs="Times New Roman"/>
                <w:b w:val="0"/>
                <w:bCs w:val="0"/>
                <w:color w:val="FF0000"/>
                <w:sz w:val="24"/>
                <w:szCs w:val="24"/>
                <w:lang w:val="en-US" w:eastAsia="zh-CN" w:bidi="ar-SA"/>
              </w:rPr>
              <w:t>）</w:t>
            </w:r>
            <w:r>
              <w:rPr>
                <w:rFonts w:hint="eastAsia" w:ascii="Times New Roman" w:hAnsi="Times New Roman" w:eastAsia="宋体" w:cs="Times New Roman"/>
                <w:b w:val="0"/>
                <w:bCs w:val="0"/>
                <w:color w:val="FF0000"/>
                <w:sz w:val="24"/>
                <w:szCs w:val="24"/>
                <w:lang w:val="en-US" w:eastAsia="zh-CN" w:bidi="ar-SA"/>
              </w:rPr>
              <w:t>引至</w:t>
            </w:r>
            <w:r>
              <w:rPr>
                <w:rFonts w:hint="eastAsia"/>
                <w:b w:val="0"/>
                <w:bCs w:val="0"/>
                <w:color w:val="FF0000"/>
                <w:sz w:val="24"/>
                <w:szCs w:val="24"/>
                <w:lang w:val="en-US" w:eastAsia="zh-CN"/>
              </w:rPr>
              <w:t>1座碱洗塔处理；</w:t>
            </w:r>
            <w:r>
              <w:rPr>
                <w:rFonts w:hint="eastAsia" w:cs="Times New Roman"/>
                <w:color w:val="FF0000"/>
                <w:sz w:val="24"/>
                <w:szCs w:val="24"/>
                <w:lang w:val="en-US" w:eastAsia="zh-CN" w:bidi="ar-SA"/>
              </w:rPr>
              <w:t>储罐</w:t>
            </w:r>
            <w:r>
              <w:rPr>
                <w:rFonts w:hint="eastAsia" w:ascii="Times New Roman" w:hAnsi="Times New Roman" w:eastAsia="宋体" w:cs="Times New Roman"/>
                <w:color w:val="FF0000"/>
                <w:sz w:val="24"/>
                <w:szCs w:val="24"/>
                <w:lang w:val="en-US" w:eastAsia="zh-CN" w:bidi="ar-SA"/>
              </w:rPr>
              <w:t>呼吸废气</w:t>
            </w:r>
            <w:r>
              <w:rPr>
                <w:rFonts w:hint="eastAsia"/>
                <w:b w:val="0"/>
                <w:bCs w:val="0"/>
                <w:color w:val="FF0000"/>
                <w:sz w:val="24"/>
                <w:szCs w:val="24"/>
                <w:lang w:val="en-US" w:eastAsia="zh-CN"/>
              </w:rPr>
              <w:t>和酸性废气经处理后合并通过一根15m高排气筒（编号：DA001）排放</w:t>
            </w:r>
            <w:r>
              <w:rPr>
                <w:rFonts w:hint="eastAsia" w:cs="Times New Roman"/>
                <w:color w:val="00B050"/>
                <w:sz w:val="24"/>
                <w:szCs w:val="24"/>
                <w:lang w:val="en-US" w:eastAsia="zh-CN"/>
              </w:rPr>
              <w:t>；</w:t>
            </w:r>
            <w:r>
              <w:rPr>
                <w:rFonts w:hint="eastAsia"/>
                <w:color w:val="auto"/>
                <w:sz w:val="24"/>
                <w:szCs w:val="24"/>
                <w:lang w:val="en-US" w:eastAsia="zh-CN"/>
              </w:rPr>
              <w:t>危险废物采取密闭包装、闭口包装，加强厂区环境管理；</w:t>
            </w:r>
            <w:r>
              <w:rPr>
                <w:rFonts w:hint="eastAsia"/>
                <w:b w:val="0"/>
                <w:bCs w:val="0"/>
                <w:snapToGrid/>
                <w:color w:val="00B050"/>
                <w:kern w:val="0"/>
                <w:sz w:val="24"/>
                <w:szCs w:val="24"/>
              </w:rPr>
              <w:t>项目采取雨污分流，项目产生碱洗废水经0.5m</w:t>
            </w:r>
            <w:r>
              <w:rPr>
                <w:rFonts w:hint="eastAsia"/>
                <w:b w:val="0"/>
                <w:bCs w:val="0"/>
                <w:snapToGrid/>
                <w:color w:val="00B050"/>
                <w:kern w:val="0"/>
                <w:sz w:val="24"/>
                <w:szCs w:val="24"/>
                <w:vertAlign w:val="superscript"/>
              </w:rPr>
              <w:t>3</w:t>
            </w:r>
            <w:r>
              <w:rPr>
                <w:rFonts w:hint="eastAsia"/>
                <w:b w:val="0"/>
                <w:bCs w:val="0"/>
                <w:snapToGrid/>
                <w:color w:val="00B050"/>
                <w:kern w:val="0"/>
                <w:sz w:val="24"/>
                <w:szCs w:val="24"/>
              </w:rPr>
              <w:t>收集桶收集后委托碱洗废水处置单位进行清运处置；生活污水依托曲靖市东五六供应链管理有限公司已建化粪池（容积：10m</w:t>
            </w:r>
            <w:r>
              <w:rPr>
                <w:rFonts w:hint="eastAsia"/>
                <w:b w:val="0"/>
                <w:bCs w:val="0"/>
                <w:snapToGrid/>
                <w:color w:val="00B050"/>
                <w:kern w:val="0"/>
                <w:sz w:val="24"/>
                <w:szCs w:val="24"/>
                <w:vertAlign w:val="superscript"/>
              </w:rPr>
              <w:t>3</w:t>
            </w:r>
            <w:r>
              <w:rPr>
                <w:rFonts w:hint="eastAsia"/>
                <w:b w:val="0"/>
                <w:bCs w:val="0"/>
                <w:snapToGrid/>
                <w:color w:val="00B050"/>
                <w:kern w:val="0"/>
                <w:sz w:val="24"/>
                <w:szCs w:val="24"/>
              </w:rPr>
              <w:t>）收集后委托麒麟区环卫部门清掏处理，不外排</w:t>
            </w:r>
            <w:r>
              <w:rPr>
                <w:rFonts w:hint="eastAsia" w:cs="Times New Roman"/>
                <w:color w:val="00B050"/>
                <w:sz w:val="24"/>
                <w:szCs w:val="24"/>
                <w:lang w:val="en-US" w:eastAsia="zh-CN"/>
              </w:rPr>
              <w:t>；</w:t>
            </w:r>
            <w:r>
              <w:rPr>
                <w:rFonts w:hint="eastAsia" w:cs="Times New Roman"/>
                <w:color w:val="00B050"/>
                <w:sz w:val="24"/>
                <w:lang w:val="en-US" w:eastAsia="zh-CN"/>
              </w:rPr>
              <w:t>对于产噪设备采取减震降噪措施，运营期</w:t>
            </w:r>
            <w:r>
              <w:rPr>
                <w:rFonts w:hint="eastAsia" w:ascii="Times New Roman" w:hAnsi="Times New Roman" w:eastAsia="宋体" w:cs="Times New Roman"/>
                <w:color w:val="00B050"/>
                <w:sz w:val="24"/>
              </w:rPr>
              <w:t>对周围环境造成的影响不大，不会改变</w:t>
            </w:r>
            <w:r>
              <w:rPr>
                <w:rFonts w:hint="eastAsia" w:cs="Times New Roman"/>
                <w:color w:val="00B050"/>
                <w:sz w:val="24"/>
                <w:lang w:val="en-US" w:eastAsia="zh-CN"/>
              </w:rPr>
              <w:t>区域</w:t>
            </w:r>
            <w:r>
              <w:rPr>
                <w:rFonts w:hint="eastAsia" w:ascii="Times New Roman" w:hAnsi="Times New Roman" w:eastAsia="宋体" w:cs="Times New Roman"/>
                <w:color w:val="00B050"/>
                <w:sz w:val="24"/>
              </w:rPr>
              <w:t>环境空气、地表水、声环境的功能。</w:t>
            </w:r>
          </w:p>
          <w:p w14:paraId="0DA51DCF">
            <w:pPr>
              <w:adjustRightInd w:val="0"/>
              <w:snapToGrid w:val="0"/>
              <w:spacing w:line="360" w:lineRule="auto"/>
              <w:ind w:left="239" w:leftChars="114" w:firstLine="240" w:firstLineChars="100"/>
              <w:rPr>
                <w:rFonts w:hint="eastAsia" w:cs="Times New Roman"/>
                <w:b w:val="0"/>
                <w:bCs w:val="0"/>
                <w:color w:val="00B050"/>
                <w:sz w:val="24"/>
                <w:lang w:val="en-US" w:eastAsia="zh-CN"/>
              </w:rPr>
            </w:pPr>
            <w:r>
              <w:rPr>
                <w:rFonts w:hint="eastAsia" w:cs="Times New Roman"/>
                <w:b w:val="0"/>
                <w:bCs w:val="0"/>
                <w:color w:val="00B050"/>
                <w:sz w:val="24"/>
                <w:lang w:val="en-US" w:eastAsia="zh-CN"/>
              </w:rPr>
              <w:t>综上，从环境保护角度而言，项目选址合理可行。</w:t>
            </w:r>
          </w:p>
          <w:p w14:paraId="1E23B359">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Times New Roman" w:hAnsi="Times New Roman" w:eastAsia="宋体" w:cs="Times New Roman"/>
                <w:b/>
                <w:bCs/>
                <w:color w:val="00B050"/>
                <w:sz w:val="28"/>
                <w:szCs w:val="28"/>
                <w:lang w:val="en-US" w:eastAsia="zh-CN"/>
              </w:rPr>
            </w:pPr>
            <w:r>
              <w:rPr>
                <w:rFonts w:hint="eastAsia" w:ascii="Times New Roman" w:hAnsi="Times New Roman" w:eastAsia="宋体" w:cs="Times New Roman"/>
                <w:b/>
                <w:bCs/>
                <w:color w:val="00B050"/>
                <w:sz w:val="28"/>
                <w:szCs w:val="28"/>
                <w:lang w:val="en-US" w:eastAsia="zh-CN"/>
              </w:rPr>
              <w:t>1.5周边环境相容性分析</w:t>
            </w:r>
          </w:p>
          <w:p w14:paraId="2B2D234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B050"/>
                <w:sz w:val="24"/>
                <w:szCs w:val="24"/>
                <w:highlight w:val="none"/>
              </w:rPr>
            </w:pPr>
            <w:r>
              <w:rPr>
                <w:rFonts w:hint="eastAsia" w:ascii="Times New Roman" w:hAnsi="Times New Roman" w:cs="Times New Roman"/>
                <w:color w:val="00B050"/>
                <w:sz w:val="24"/>
                <w:szCs w:val="24"/>
                <w:highlight w:val="none"/>
                <w:lang w:val="en-US" w:eastAsia="zh-CN"/>
              </w:rPr>
              <w:t>根据现场踏勘，项目周边企业分布情况见表</w:t>
            </w:r>
            <w:r>
              <w:rPr>
                <w:rFonts w:hint="eastAsia" w:cs="Times New Roman"/>
                <w:color w:val="00B050"/>
                <w:sz w:val="24"/>
                <w:szCs w:val="24"/>
                <w:highlight w:val="none"/>
                <w:lang w:val="en-US" w:eastAsia="zh-CN"/>
              </w:rPr>
              <w:t>1.5-1所示</w:t>
            </w:r>
            <w:r>
              <w:rPr>
                <w:rFonts w:ascii="Times New Roman" w:hAnsi="Times New Roman" w:eastAsia="宋体" w:cs="Times New Roman"/>
                <w:color w:val="00B050"/>
                <w:sz w:val="24"/>
                <w:szCs w:val="24"/>
                <w:highlight w:val="none"/>
              </w:rPr>
              <w:t>。</w:t>
            </w:r>
          </w:p>
          <w:p w14:paraId="1C5CC6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00B050"/>
                <w:sz w:val="21"/>
                <w:szCs w:val="21"/>
                <w:highlight w:val="none"/>
                <w:vertAlign w:val="baseline"/>
                <w:lang w:val="en-US" w:eastAsia="zh-CN"/>
              </w:rPr>
            </w:pPr>
            <w:r>
              <w:rPr>
                <w:rFonts w:hint="default" w:ascii="Times New Roman" w:hAnsi="Times New Roman" w:eastAsia="宋体" w:cs="Times New Roman"/>
                <w:b/>
                <w:bCs/>
                <w:color w:val="00B050"/>
                <w:sz w:val="21"/>
                <w:szCs w:val="21"/>
                <w:highlight w:val="none"/>
                <w:lang w:eastAsia="zh-CN"/>
              </w:rPr>
              <w:t>表</w:t>
            </w:r>
            <w:r>
              <w:rPr>
                <w:rFonts w:hint="default" w:ascii="Times New Roman" w:hAnsi="Times New Roman" w:eastAsia="宋体" w:cs="Times New Roman"/>
                <w:b/>
                <w:bCs/>
                <w:color w:val="00B050"/>
                <w:sz w:val="21"/>
                <w:szCs w:val="21"/>
                <w:highlight w:val="none"/>
                <w:lang w:val="en-US" w:eastAsia="zh-CN"/>
              </w:rPr>
              <w:t>1.5-1  项目周边部分企业情况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1531"/>
              <w:gridCol w:w="2298"/>
              <w:gridCol w:w="1325"/>
              <w:gridCol w:w="929"/>
            </w:tblGrid>
            <w:tr w14:paraId="2CC1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26" w:type="dxa"/>
                  <w:noWrap w:val="0"/>
                  <w:vAlign w:val="center"/>
                </w:tcPr>
                <w:p w14:paraId="5325C5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B050"/>
                      <w:sz w:val="21"/>
                      <w:szCs w:val="21"/>
                      <w:highlight w:val="none"/>
                      <w:vertAlign w:val="baseline"/>
                      <w:lang w:val="en-US" w:eastAsia="zh-CN"/>
                    </w:rPr>
                  </w:pPr>
                  <w:r>
                    <w:rPr>
                      <w:rFonts w:hint="eastAsia" w:ascii="Times New Roman" w:hAnsi="Times New Roman" w:cs="Times New Roman"/>
                      <w:b/>
                      <w:bCs/>
                      <w:color w:val="00B050"/>
                      <w:sz w:val="21"/>
                      <w:szCs w:val="21"/>
                      <w:highlight w:val="none"/>
                      <w:vertAlign w:val="baseline"/>
                      <w:lang w:val="en-US" w:eastAsia="zh-CN"/>
                    </w:rPr>
                    <w:t>企业名称</w:t>
                  </w:r>
                </w:p>
              </w:tc>
              <w:tc>
                <w:tcPr>
                  <w:tcW w:w="1496" w:type="dxa"/>
                  <w:noWrap w:val="0"/>
                  <w:vAlign w:val="center"/>
                </w:tcPr>
                <w:p w14:paraId="79DF49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B050"/>
                      <w:sz w:val="21"/>
                      <w:szCs w:val="21"/>
                      <w:highlight w:val="none"/>
                      <w:vertAlign w:val="baseline"/>
                      <w:lang w:val="en-US" w:eastAsia="zh-CN"/>
                    </w:rPr>
                  </w:pPr>
                  <w:r>
                    <w:rPr>
                      <w:rFonts w:hint="eastAsia" w:cs="Times New Roman"/>
                      <w:b/>
                      <w:bCs/>
                      <w:color w:val="00B050"/>
                      <w:sz w:val="21"/>
                      <w:szCs w:val="21"/>
                      <w:highlight w:val="none"/>
                      <w:vertAlign w:val="baseline"/>
                      <w:lang w:val="en-US" w:eastAsia="zh-CN"/>
                    </w:rPr>
                    <w:t>行业特征</w:t>
                  </w:r>
                </w:p>
              </w:tc>
              <w:tc>
                <w:tcPr>
                  <w:tcW w:w="2245" w:type="dxa"/>
                  <w:noWrap w:val="0"/>
                  <w:vAlign w:val="center"/>
                </w:tcPr>
                <w:p w14:paraId="349BB0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B050"/>
                      <w:sz w:val="21"/>
                      <w:szCs w:val="21"/>
                      <w:highlight w:val="none"/>
                      <w:vertAlign w:val="baseline"/>
                      <w:lang w:val="en-US" w:eastAsia="zh-CN"/>
                    </w:rPr>
                  </w:pPr>
                  <w:r>
                    <w:rPr>
                      <w:rFonts w:hint="eastAsia" w:ascii="Times New Roman" w:hAnsi="Times New Roman" w:cs="Times New Roman"/>
                      <w:b/>
                      <w:bCs/>
                      <w:color w:val="00B050"/>
                      <w:sz w:val="21"/>
                      <w:szCs w:val="21"/>
                      <w:highlight w:val="none"/>
                      <w:vertAlign w:val="baseline"/>
                      <w:lang w:val="en-US" w:eastAsia="zh-CN"/>
                    </w:rPr>
                    <w:t>污染物排放</w:t>
                  </w:r>
                </w:p>
              </w:tc>
              <w:tc>
                <w:tcPr>
                  <w:tcW w:w="1295" w:type="dxa"/>
                  <w:noWrap w:val="0"/>
                  <w:vAlign w:val="center"/>
                </w:tcPr>
                <w:p w14:paraId="0F7AC5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B050"/>
                      <w:sz w:val="21"/>
                      <w:szCs w:val="21"/>
                      <w:highlight w:val="none"/>
                      <w:vertAlign w:val="baseline"/>
                      <w:lang w:val="en-US" w:eastAsia="zh-CN"/>
                    </w:rPr>
                  </w:pPr>
                  <w:r>
                    <w:rPr>
                      <w:rFonts w:hint="eastAsia" w:ascii="Times New Roman" w:hAnsi="Times New Roman" w:cs="Times New Roman"/>
                      <w:b/>
                      <w:bCs/>
                      <w:color w:val="00B050"/>
                      <w:sz w:val="21"/>
                      <w:szCs w:val="21"/>
                      <w:highlight w:val="none"/>
                      <w:vertAlign w:val="baseline"/>
                      <w:lang w:val="en-US" w:eastAsia="zh-CN"/>
                    </w:rPr>
                    <w:t>与项目相对位置关系</w:t>
                  </w:r>
                </w:p>
              </w:tc>
              <w:tc>
                <w:tcPr>
                  <w:tcW w:w="907" w:type="dxa"/>
                  <w:noWrap w:val="0"/>
                  <w:vAlign w:val="center"/>
                </w:tcPr>
                <w:p w14:paraId="421E2E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B050"/>
                      <w:sz w:val="21"/>
                      <w:szCs w:val="21"/>
                      <w:highlight w:val="none"/>
                      <w:vertAlign w:val="baseline"/>
                      <w:lang w:val="en-US" w:eastAsia="zh-CN"/>
                    </w:rPr>
                  </w:pPr>
                  <w:r>
                    <w:rPr>
                      <w:rFonts w:hint="eastAsia" w:ascii="Times New Roman" w:hAnsi="Times New Roman" w:cs="Times New Roman"/>
                      <w:b/>
                      <w:bCs/>
                      <w:color w:val="00B050"/>
                      <w:sz w:val="21"/>
                      <w:szCs w:val="21"/>
                      <w:highlight w:val="none"/>
                      <w:vertAlign w:val="baseline"/>
                      <w:lang w:val="en-US" w:eastAsia="zh-CN"/>
                    </w:rPr>
                    <w:t>相符性分析</w:t>
                  </w:r>
                </w:p>
              </w:tc>
            </w:tr>
            <w:tr w14:paraId="7532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26" w:type="dxa"/>
                  <w:noWrap w:val="0"/>
                  <w:vAlign w:val="center"/>
                </w:tcPr>
                <w:p w14:paraId="3BCFA2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B050"/>
                      <w:kern w:val="2"/>
                      <w:sz w:val="21"/>
                      <w:szCs w:val="21"/>
                      <w:highlight w:val="none"/>
                      <w:lang w:val="en-US" w:eastAsia="zh-CN" w:bidi="ar-SA"/>
                    </w:rPr>
                  </w:pPr>
                  <w:r>
                    <w:rPr>
                      <w:rFonts w:hint="eastAsia" w:cs="Times New Roman"/>
                      <w:color w:val="00B050"/>
                      <w:kern w:val="2"/>
                      <w:sz w:val="21"/>
                      <w:szCs w:val="21"/>
                      <w:highlight w:val="none"/>
                      <w:lang w:val="en-US" w:eastAsia="zh-CN" w:bidi="ar-SA"/>
                    </w:rPr>
                    <w:t>曲靖市东五六供应链管理有限公司</w:t>
                  </w:r>
                </w:p>
              </w:tc>
              <w:tc>
                <w:tcPr>
                  <w:tcW w:w="1496" w:type="dxa"/>
                  <w:noWrap w:val="0"/>
                  <w:vAlign w:val="center"/>
                </w:tcPr>
                <w:p w14:paraId="73EAAD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B050"/>
                      <w:sz w:val="21"/>
                      <w:szCs w:val="21"/>
                      <w:highlight w:val="none"/>
                      <w:vertAlign w:val="baseline"/>
                      <w:lang w:val="en-US" w:eastAsia="zh-CN"/>
                    </w:rPr>
                  </w:pPr>
                  <w:r>
                    <w:rPr>
                      <w:rFonts w:hint="eastAsia" w:cs="Times New Roman"/>
                      <w:color w:val="00B050"/>
                      <w:sz w:val="21"/>
                      <w:szCs w:val="21"/>
                      <w:highlight w:val="none"/>
                      <w:vertAlign w:val="baseline"/>
                      <w:lang w:val="en-US" w:eastAsia="zh-CN"/>
                    </w:rPr>
                    <w:t>物流、仓储</w:t>
                  </w:r>
                </w:p>
              </w:tc>
              <w:tc>
                <w:tcPr>
                  <w:tcW w:w="2245" w:type="dxa"/>
                  <w:noWrap w:val="0"/>
                  <w:vAlign w:val="center"/>
                </w:tcPr>
                <w:p w14:paraId="3861AC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B050"/>
                      <w:sz w:val="21"/>
                      <w:szCs w:val="21"/>
                      <w:highlight w:val="none"/>
                      <w:vertAlign w:val="baseline"/>
                      <w:lang w:val="en-US" w:eastAsia="zh-CN"/>
                    </w:rPr>
                  </w:pPr>
                  <w:r>
                    <w:rPr>
                      <w:rFonts w:hint="default" w:ascii="Times New Roman" w:hAnsi="Times New Roman" w:eastAsia="宋体" w:cs="Times New Roman"/>
                      <w:color w:val="00B050"/>
                      <w:sz w:val="21"/>
                      <w:szCs w:val="21"/>
                      <w:highlight w:val="none"/>
                      <w:vertAlign w:val="baseline"/>
                      <w:lang w:val="en-US" w:eastAsia="zh-CN"/>
                    </w:rPr>
                    <w:t>生活</w:t>
                  </w:r>
                  <w:r>
                    <w:rPr>
                      <w:rFonts w:hint="eastAsia" w:ascii="Times New Roman" w:hAnsi="Times New Roman" w:cs="Times New Roman"/>
                      <w:color w:val="00B050"/>
                      <w:sz w:val="21"/>
                      <w:szCs w:val="21"/>
                      <w:highlight w:val="none"/>
                      <w:vertAlign w:val="baseline"/>
                      <w:lang w:val="en-US" w:eastAsia="zh-CN"/>
                    </w:rPr>
                    <w:t>污水、</w:t>
                  </w:r>
                  <w:r>
                    <w:rPr>
                      <w:rFonts w:hint="default" w:ascii="Times New Roman" w:hAnsi="Times New Roman" w:eastAsia="宋体" w:cs="Times New Roman"/>
                      <w:color w:val="00B050"/>
                      <w:sz w:val="21"/>
                      <w:szCs w:val="21"/>
                      <w:highlight w:val="none"/>
                      <w:vertAlign w:val="baseline"/>
                      <w:lang w:val="en-US" w:eastAsia="zh-CN"/>
                    </w:rPr>
                    <w:t>噪声</w:t>
                  </w:r>
                </w:p>
              </w:tc>
              <w:tc>
                <w:tcPr>
                  <w:tcW w:w="1295" w:type="dxa"/>
                  <w:noWrap w:val="0"/>
                  <w:vAlign w:val="center"/>
                </w:tcPr>
                <w:p w14:paraId="711088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B050"/>
                      <w:sz w:val="21"/>
                      <w:szCs w:val="21"/>
                      <w:highlight w:val="none"/>
                      <w:vertAlign w:val="baseline"/>
                      <w:lang w:val="en-US" w:eastAsia="zh-CN"/>
                    </w:rPr>
                  </w:pPr>
                  <w:r>
                    <w:rPr>
                      <w:rFonts w:hint="eastAsia" w:cs="Times New Roman"/>
                      <w:color w:val="00B050"/>
                      <w:sz w:val="21"/>
                      <w:szCs w:val="21"/>
                      <w:highlight w:val="none"/>
                      <w:vertAlign w:val="baseline"/>
                      <w:lang w:val="en-US" w:eastAsia="zh-CN"/>
                    </w:rPr>
                    <w:t>西侧，0m</w:t>
                  </w:r>
                </w:p>
              </w:tc>
              <w:tc>
                <w:tcPr>
                  <w:tcW w:w="907" w:type="dxa"/>
                  <w:noWrap w:val="0"/>
                  <w:vAlign w:val="center"/>
                </w:tcPr>
                <w:p w14:paraId="3239A9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B050"/>
                      <w:sz w:val="21"/>
                      <w:szCs w:val="21"/>
                      <w:highlight w:val="none"/>
                      <w:vertAlign w:val="baseline"/>
                      <w:lang w:val="en-US" w:eastAsia="zh-CN"/>
                    </w:rPr>
                  </w:pPr>
                  <w:r>
                    <w:rPr>
                      <w:rFonts w:hint="eastAsia" w:cs="Times New Roman"/>
                      <w:color w:val="00B050"/>
                      <w:sz w:val="21"/>
                      <w:szCs w:val="21"/>
                      <w:highlight w:val="none"/>
                      <w:vertAlign w:val="baseline"/>
                      <w:lang w:val="en-US" w:eastAsia="zh-CN"/>
                    </w:rPr>
                    <w:t>相符</w:t>
                  </w:r>
                </w:p>
              </w:tc>
            </w:tr>
          </w:tbl>
          <w:p w14:paraId="5FA83A94">
            <w:pPr>
              <w:widowControl w:val="0"/>
              <w:autoSpaceDE w:val="0"/>
              <w:autoSpaceDN w:val="0"/>
              <w:adjustRightInd w:val="0"/>
              <w:spacing w:before="120" w:beforeLines="50" w:line="360" w:lineRule="auto"/>
              <w:ind w:firstLine="480" w:firstLineChars="200"/>
              <w:jc w:val="both"/>
              <w:rPr>
                <w:rFonts w:ascii="Times New Roman" w:hAnsi="Times New Roman" w:eastAsia="宋体" w:cs="Times New Roman"/>
                <w:color w:val="00B050"/>
                <w:kern w:val="0"/>
                <w:sz w:val="24"/>
                <w:szCs w:val="24"/>
                <w:u w:val="none"/>
                <w:lang w:val="en-US" w:eastAsia="zh-CN" w:bidi="ar-SA"/>
              </w:rPr>
            </w:pPr>
            <w:r>
              <w:rPr>
                <w:rFonts w:ascii="Times New Roman" w:hAnsi="Times New Roman" w:eastAsia="宋体" w:cs="Times New Roman"/>
                <w:color w:val="00B050"/>
                <w:kern w:val="0"/>
                <w:sz w:val="24"/>
                <w:szCs w:val="24"/>
                <w:u w:val="none"/>
                <w:lang w:val="en-US" w:eastAsia="zh-CN" w:bidi="ar-SA"/>
              </w:rPr>
              <w:t>从对项目周边企业情况调查可知，项目</w:t>
            </w:r>
            <w:r>
              <w:rPr>
                <w:rFonts w:hint="eastAsia" w:cs="Times New Roman"/>
                <w:color w:val="00B050"/>
                <w:kern w:val="0"/>
                <w:sz w:val="24"/>
                <w:szCs w:val="24"/>
                <w:u w:val="none"/>
                <w:lang w:val="en-US" w:eastAsia="zh-CN" w:bidi="ar-SA"/>
              </w:rPr>
              <w:t>周边为物流、仓储、销售单位</w:t>
            </w:r>
            <w:r>
              <w:rPr>
                <w:rFonts w:ascii="Times New Roman" w:hAnsi="Times New Roman" w:eastAsia="宋体" w:cs="Times New Roman"/>
                <w:color w:val="00B050"/>
                <w:kern w:val="0"/>
                <w:sz w:val="24"/>
                <w:szCs w:val="24"/>
                <w:u w:val="none"/>
                <w:lang w:val="en-US" w:eastAsia="zh-CN" w:bidi="ar-SA"/>
              </w:rPr>
              <w:t>，周围的企业对本项目无制约性因素，</w:t>
            </w:r>
            <w:r>
              <w:rPr>
                <w:rFonts w:hint="eastAsia" w:cs="Times New Roman"/>
                <w:color w:val="00B050"/>
                <w:kern w:val="0"/>
                <w:sz w:val="24"/>
                <w:szCs w:val="24"/>
                <w:u w:val="none"/>
                <w:lang w:val="en-US" w:eastAsia="zh-CN" w:bidi="ar-SA"/>
              </w:rPr>
              <w:t>项目建设对周边企业也无明显的影响，</w:t>
            </w:r>
            <w:r>
              <w:rPr>
                <w:rFonts w:ascii="Times New Roman" w:hAnsi="Times New Roman" w:eastAsia="宋体" w:cs="Times New Roman"/>
                <w:color w:val="00B050"/>
                <w:kern w:val="0"/>
                <w:sz w:val="24"/>
                <w:szCs w:val="24"/>
                <w:u w:val="none"/>
                <w:lang w:val="en-US" w:eastAsia="zh-CN" w:bidi="ar-SA"/>
              </w:rPr>
              <w:t>项目</w:t>
            </w:r>
            <w:r>
              <w:rPr>
                <w:rFonts w:hint="eastAsia" w:ascii="Times New Roman" w:hAnsi="Times New Roman" w:eastAsia="宋体" w:cs="Times New Roman"/>
                <w:color w:val="00B050"/>
                <w:kern w:val="0"/>
                <w:sz w:val="24"/>
                <w:szCs w:val="24"/>
                <w:u w:val="none"/>
                <w:lang w:val="en-US" w:eastAsia="zh-CN" w:bidi="ar-SA"/>
              </w:rPr>
              <w:t>建设</w:t>
            </w:r>
            <w:r>
              <w:rPr>
                <w:rFonts w:ascii="Times New Roman" w:hAnsi="Times New Roman" w:eastAsia="宋体" w:cs="Times New Roman"/>
                <w:color w:val="00B050"/>
                <w:kern w:val="0"/>
                <w:sz w:val="24"/>
                <w:szCs w:val="24"/>
                <w:u w:val="none"/>
                <w:lang w:val="en-US" w:eastAsia="zh-CN" w:bidi="ar-SA"/>
              </w:rPr>
              <w:t>与周</w:t>
            </w:r>
            <w:r>
              <w:rPr>
                <w:rFonts w:hint="eastAsia" w:ascii="Times New Roman" w:hAnsi="Times New Roman" w:eastAsia="宋体" w:cs="Times New Roman"/>
                <w:color w:val="00B050"/>
                <w:kern w:val="0"/>
                <w:sz w:val="24"/>
                <w:szCs w:val="24"/>
                <w:u w:val="none"/>
                <w:lang w:val="en-US" w:eastAsia="zh-CN" w:bidi="ar-SA"/>
              </w:rPr>
              <w:t>边环境具有较好的相容性</w:t>
            </w:r>
            <w:r>
              <w:rPr>
                <w:rFonts w:ascii="Times New Roman" w:hAnsi="Times New Roman" w:eastAsia="宋体" w:cs="Times New Roman"/>
                <w:color w:val="00B050"/>
                <w:kern w:val="0"/>
                <w:sz w:val="24"/>
                <w:szCs w:val="24"/>
                <w:u w:val="none"/>
                <w:lang w:val="en-US" w:eastAsia="zh-CN" w:bidi="ar-SA"/>
              </w:rPr>
              <w:t>。</w:t>
            </w:r>
          </w:p>
          <w:p w14:paraId="1446EF29">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Times New Roman" w:hAnsi="Times New Roman" w:eastAsia="宋体" w:cs="Times New Roman"/>
                <w:b/>
                <w:bCs/>
                <w:color w:val="00B050"/>
                <w:sz w:val="28"/>
                <w:szCs w:val="28"/>
                <w:lang w:val="en-US" w:eastAsia="zh-CN"/>
              </w:rPr>
            </w:pPr>
            <w:r>
              <w:rPr>
                <w:rFonts w:hint="eastAsia" w:ascii="Times New Roman" w:hAnsi="Times New Roman" w:eastAsia="宋体" w:cs="Times New Roman"/>
                <w:b/>
                <w:bCs/>
                <w:color w:val="00B050"/>
                <w:sz w:val="28"/>
                <w:szCs w:val="28"/>
                <w:lang w:val="en-US" w:eastAsia="zh-CN"/>
              </w:rPr>
              <w:t>1.6平面布局的合理性</w:t>
            </w:r>
          </w:p>
          <w:p w14:paraId="48DE7CD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00B050"/>
                <w:sz w:val="24"/>
              </w:rPr>
            </w:pPr>
            <w:r>
              <w:rPr>
                <w:rFonts w:hint="eastAsia" w:cs="Times New Roman"/>
                <w:color w:val="00B050"/>
                <w:sz w:val="24"/>
                <w:lang w:val="en-US" w:eastAsia="zh-CN"/>
              </w:rPr>
              <w:t>项目</w:t>
            </w:r>
            <w:r>
              <w:rPr>
                <w:rFonts w:hint="eastAsia" w:ascii="Times New Roman" w:hAnsi="Times New Roman" w:eastAsia="宋体" w:cs="Times New Roman"/>
                <w:color w:val="00B050"/>
                <w:sz w:val="24"/>
              </w:rPr>
              <w:t>根据</w:t>
            </w:r>
            <w:r>
              <w:rPr>
                <w:rFonts w:hint="eastAsia" w:cs="Times New Roman"/>
                <w:color w:val="00B050"/>
                <w:sz w:val="24"/>
                <w:lang w:eastAsia="zh-CN"/>
              </w:rPr>
              <w:t>危险废物</w:t>
            </w:r>
            <w:r>
              <w:rPr>
                <w:rFonts w:hint="eastAsia" w:ascii="Times New Roman" w:hAnsi="Times New Roman" w:eastAsia="宋体" w:cs="Times New Roman"/>
                <w:color w:val="00B050"/>
                <w:sz w:val="24"/>
              </w:rPr>
              <w:t>种类及</w:t>
            </w:r>
            <w:r>
              <w:rPr>
                <w:rFonts w:hint="eastAsia" w:cs="Times New Roman"/>
                <w:color w:val="00B050"/>
                <w:sz w:val="24"/>
                <w:lang w:val="en-US" w:eastAsia="zh-CN"/>
              </w:rPr>
              <w:t>性状分类贮存</w:t>
            </w:r>
            <w:r>
              <w:rPr>
                <w:rFonts w:hint="eastAsia" w:ascii="Times New Roman" w:hAnsi="Times New Roman" w:eastAsia="宋体" w:cs="Times New Roman"/>
                <w:color w:val="00B050"/>
                <w:sz w:val="24"/>
              </w:rPr>
              <w:t>，</w:t>
            </w:r>
            <w:r>
              <w:rPr>
                <w:rFonts w:hint="eastAsia" w:cs="Times New Roman"/>
                <w:color w:val="00B050"/>
                <w:sz w:val="24"/>
                <w:lang w:val="en-US" w:eastAsia="zh-CN"/>
              </w:rPr>
              <w:t>共设置2个贮存区，包括废矿物油罐区及其他废物贮存区。其他废物贮存区内以隔墙方式进行分区，共划分7个贮区，各危险废物和一般固体废物入库后按相应贮区进行贮存</w:t>
            </w:r>
            <w:r>
              <w:rPr>
                <w:rFonts w:hint="eastAsia" w:ascii="Times New Roman" w:hAnsi="Times New Roman" w:eastAsia="宋体" w:cs="Times New Roman"/>
                <w:color w:val="00B050"/>
                <w:sz w:val="24"/>
              </w:rPr>
              <w:t>。项目不相容的危险废物分开存放，并设有隔离</w:t>
            </w:r>
            <w:r>
              <w:rPr>
                <w:rFonts w:hint="eastAsia" w:cs="Times New Roman"/>
                <w:color w:val="00B050"/>
                <w:sz w:val="24"/>
                <w:lang w:eastAsia="zh-CN"/>
              </w:rPr>
              <w:t>间隔</w:t>
            </w:r>
            <w:r>
              <w:rPr>
                <w:rFonts w:hint="eastAsia" w:ascii="Times New Roman" w:hAnsi="Times New Roman" w:eastAsia="宋体" w:cs="Times New Roman"/>
                <w:color w:val="00B050"/>
                <w:sz w:val="24"/>
              </w:rPr>
              <w:t>，每个部分都有防漏裙脚，防漏裙脚的材料要与危险废物相容。根据危险废物的物理、化学性质的不同，配备不同的盛装容器，</w:t>
            </w:r>
            <w:r>
              <w:rPr>
                <w:rFonts w:hint="eastAsia" w:cs="Times New Roman"/>
                <w:color w:val="00B050"/>
                <w:sz w:val="24"/>
                <w:lang w:eastAsia="zh-CN"/>
              </w:rPr>
              <w:t>固体废物</w:t>
            </w:r>
            <w:r>
              <w:rPr>
                <w:rFonts w:hint="eastAsia" w:ascii="Times New Roman" w:hAnsi="Times New Roman" w:eastAsia="宋体" w:cs="Times New Roman"/>
                <w:color w:val="00B050"/>
                <w:sz w:val="24"/>
              </w:rPr>
              <w:t>包装容器选择高密度聚乙烯、聚丙烯、聚氯乙烯作为容器或衬垫进行袋装；液态和半固态废物包装容器选择高密度聚乙烯、聚丙烯、聚氯乙烯作为容器或衬垫进行桶装。</w:t>
            </w:r>
          </w:p>
          <w:p w14:paraId="20937E8C">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themeColor="text1"/>
                <w:kern w:val="0"/>
                <w:sz w:val="24"/>
                <w14:textFill>
                  <w14:solidFill>
                    <w14:schemeClr w14:val="tx1"/>
                  </w14:solidFill>
                </w14:textFill>
              </w:rPr>
            </w:pPr>
            <w:r>
              <w:rPr>
                <w:rFonts w:hint="eastAsia" w:cs="Times New Roman"/>
                <w:color w:val="00B050"/>
                <w:sz w:val="24"/>
                <w:lang w:val="en-US" w:eastAsia="zh-CN"/>
              </w:rPr>
              <w:t>项目危险废物均在贮存库内贮存，贮存方式集中，有利于危险废物的管理，</w:t>
            </w:r>
            <w:r>
              <w:rPr>
                <w:rFonts w:hint="eastAsia" w:cs="Times New Roman"/>
                <w:color w:val="00B050"/>
                <w:kern w:val="2"/>
                <w:sz w:val="24"/>
                <w:szCs w:val="24"/>
                <w:lang w:val="en-US" w:eastAsia="zh-CN" w:bidi="ar-SA"/>
              </w:rPr>
              <w:t>平面布局整体</w:t>
            </w:r>
            <w:r>
              <w:rPr>
                <w:rFonts w:hint="eastAsia" w:ascii="Times New Roman" w:hAnsi="Times New Roman" w:eastAsia="宋体" w:cs="Times New Roman"/>
                <w:color w:val="00B050"/>
                <w:kern w:val="2"/>
                <w:sz w:val="24"/>
                <w:szCs w:val="24"/>
                <w:lang w:val="en-US" w:eastAsia="zh-CN" w:bidi="ar-SA"/>
              </w:rPr>
              <w:t>合理可行的。</w:t>
            </w:r>
          </w:p>
        </w:tc>
      </w:tr>
    </w:tbl>
    <w:p w14:paraId="1DAD3DD8">
      <w:pPr>
        <w:pageBreakBefore w:val="0"/>
        <w:kinsoku/>
        <w:wordWrap/>
        <w:overflowPunct/>
        <w:topLinePunct w:val="0"/>
        <w:bidi w:val="0"/>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417" w:bottom="1417" w:left="1417" w:header="794" w:footer="1077" w:gutter="0"/>
          <w:pgBorders>
            <w:top w:val="none" w:sz="0" w:space="0"/>
            <w:left w:val="none" w:sz="0" w:space="0"/>
            <w:bottom w:val="none" w:sz="0" w:space="0"/>
            <w:right w:val="none" w:sz="0" w:space="0"/>
          </w:pgBorders>
          <w:pgNumType w:fmt="decimal" w:start="1"/>
          <w:cols w:space="720" w:num="1"/>
          <w:docGrid w:linePitch="312" w:charSpace="0"/>
        </w:sectPr>
      </w:pPr>
    </w:p>
    <w:p w14:paraId="3BDD29C9">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right="0" w:rightChars="0" w:firstLine="0" w:firstLineChars="0"/>
        <w:jc w:val="both"/>
        <w:textAlignment w:val="auto"/>
        <w:outlineLvl w:val="0"/>
        <w:rPr>
          <w:rFonts w:hint="eastAsia" w:ascii="宋体" w:hAnsi="宋体" w:eastAsia="宋体" w:cs="宋体"/>
          <w:b/>
          <w:bCs/>
          <w:color w:val="000000" w:themeColor="text1"/>
          <w:sz w:val="32"/>
          <w:szCs w:val="32"/>
          <w14:textFill>
            <w14:solidFill>
              <w14:schemeClr w14:val="tx1"/>
            </w14:solidFill>
          </w14:textFill>
        </w:rPr>
      </w:pPr>
      <w:bookmarkStart w:id="14" w:name="_Toc1580"/>
      <w:r>
        <w:rPr>
          <w:rFonts w:hint="eastAsia" w:ascii="宋体" w:hAnsi="宋体" w:eastAsia="宋体" w:cs="宋体"/>
          <w:b/>
          <w:bCs/>
          <w:color w:val="000000" w:themeColor="text1"/>
          <w:sz w:val="32"/>
          <w:szCs w:val="32"/>
          <w14:textFill>
            <w14:solidFill>
              <w14:schemeClr w14:val="tx1"/>
            </w14:solidFill>
          </w14:textFill>
        </w:rPr>
        <w:t>二、建设项目工程分析</w:t>
      </w:r>
      <w:bookmarkEnd w:id="14"/>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460"/>
      </w:tblGrid>
      <w:tr w14:paraId="3F9AB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28" w:type="dxa"/>
            <w:vAlign w:val="center"/>
          </w:tcPr>
          <w:p w14:paraId="242A91AC">
            <w:pPr>
              <w:pStyle w:val="22"/>
              <w:pageBreakBefore w:val="0"/>
              <w:kinsoku/>
              <w:wordWrap/>
              <w:overflowPunct/>
              <w:topLinePunct w:val="0"/>
              <w:bidi w:val="0"/>
              <w:adjustRightInd w:val="0"/>
              <w:snapToGrid w:val="0"/>
              <w:spacing w:before="0" w:beforeAutospacing="0" w:after="0" w:afterAutospacing="0"/>
              <w:jc w:val="center"/>
              <w:rPr>
                <w:rFonts w:cs="宋体"/>
                <w:color w:val="000000" w:themeColor="text1"/>
                <w:szCs w:val="24"/>
                <w14:textFill>
                  <w14:solidFill>
                    <w14:schemeClr w14:val="tx1"/>
                  </w14:solidFill>
                </w14:textFill>
              </w:rPr>
            </w:pPr>
            <w:r>
              <w:rPr>
                <w:rFonts w:hint="eastAsia" w:cs="宋体"/>
                <w:color w:val="000000" w:themeColor="text1"/>
                <w:szCs w:val="24"/>
                <w14:textFill>
                  <w14:solidFill>
                    <w14:schemeClr w14:val="tx1"/>
                  </w14:solidFill>
                </w14:textFill>
              </w:rPr>
              <w:t>建设内容</w:t>
            </w:r>
          </w:p>
        </w:tc>
        <w:tc>
          <w:tcPr>
            <w:tcW w:w="8460" w:type="dxa"/>
            <w:vAlign w:val="center"/>
          </w:tcPr>
          <w:p w14:paraId="433C45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cs="Times New Roman"/>
                <w:b/>
                <w:color w:val="000000" w:themeColor="text1"/>
                <w:kern w:val="0"/>
                <w:sz w:val="24"/>
                <w:szCs w:val="24"/>
                <w:lang w:val="en-US" w:eastAsia="zh-CN"/>
                <w14:textFill>
                  <w14:solidFill>
                    <w14:schemeClr w14:val="tx1"/>
                  </w14:solidFill>
                </w14:textFill>
              </w:rPr>
            </w:pPr>
            <w:r>
              <w:rPr>
                <w:rFonts w:hint="eastAsia" w:cs="Times New Roman"/>
                <w:b/>
                <w:color w:val="000000" w:themeColor="text1"/>
                <w:kern w:val="0"/>
                <w:sz w:val="24"/>
                <w:szCs w:val="24"/>
                <w:lang w:val="en-US" w:eastAsia="zh-CN"/>
                <w14:textFill>
                  <w14:solidFill>
                    <w14:schemeClr w14:val="tx1"/>
                  </w14:solidFill>
                </w14:textFill>
              </w:rPr>
              <w:t>2.1.1</w:t>
            </w:r>
            <w:r>
              <w:rPr>
                <w:rFonts w:hint="default" w:cs="Times New Roman"/>
                <w:b/>
                <w:color w:val="000000" w:themeColor="text1"/>
                <w:kern w:val="0"/>
                <w:sz w:val="24"/>
                <w:szCs w:val="24"/>
                <w:lang w:val="en-US" w:eastAsia="zh-CN"/>
                <w14:textFill>
                  <w14:solidFill>
                    <w14:schemeClr w14:val="tx1"/>
                  </w14:solidFill>
                </w14:textFill>
              </w:rPr>
              <w:t>项目由来</w:t>
            </w:r>
          </w:p>
          <w:p w14:paraId="73D56A5B">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cs="Times New Roman"/>
                <w:color w:val="00B050"/>
                <w:sz w:val="24"/>
                <w:szCs w:val="24"/>
                <w:lang w:val="en-US" w:eastAsia="zh-CN"/>
              </w:rPr>
            </w:pPr>
            <w:r>
              <w:rPr>
                <w:rFonts w:hint="eastAsia" w:cs="Times New Roman"/>
                <w:color w:val="00B050"/>
                <w:sz w:val="24"/>
                <w:szCs w:val="24"/>
                <w:lang w:eastAsia="zh-CN"/>
              </w:rPr>
              <w:t>云南绿荷再生资源有限公司</w:t>
            </w:r>
            <w:r>
              <w:rPr>
                <w:rFonts w:hint="eastAsia" w:ascii="Times New Roman" w:hAnsi="Times New Roman" w:eastAsia="宋体" w:cs="Times New Roman"/>
                <w:color w:val="00B050"/>
                <w:sz w:val="24"/>
                <w:szCs w:val="24"/>
                <w:lang w:eastAsia="zh-CN"/>
              </w:rPr>
              <w:t>（</w:t>
            </w:r>
            <w:r>
              <w:rPr>
                <w:rFonts w:hint="eastAsia" w:ascii="Times New Roman" w:hAnsi="Times New Roman" w:eastAsia="宋体" w:cs="Times New Roman"/>
                <w:color w:val="00B050"/>
                <w:sz w:val="24"/>
                <w:szCs w:val="24"/>
                <w:lang w:val="en-US" w:eastAsia="zh-CN"/>
              </w:rPr>
              <w:t>建设单位</w:t>
            </w:r>
            <w:r>
              <w:rPr>
                <w:rFonts w:hint="eastAsia" w:ascii="Times New Roman" w:hAnsi="Times New Roman" w:eastAsia="宋体" w:cs="Times New Roman"/>
                <w:color w:val="00B050"/>
                <w:sz w:val="24"/>
                <w:szCs w:val="24"/>
                <w:lang w:eastAsia="zh-CN"/>
              </w:rPr>
              <w:t>）</w:t>
            </w:r>
            <w:r>
              <w:rPr>
                <w:rFonts w:hint="eastAsia" w:cs="Times New Roman"/>
                <w:color w:val="00B050"/>
                <w:sz w:val="24"/>
                <w:szCs w:val="24"/>
                <w:lang w:val="en-US" w:eastAsia="zh-CN"/>
              </w:rPr>
              <w:t>成立于2024年10月23日，建设单位位于云南省曲靖市麒麟区珠街街道办事处珠街社区珠街村666号，主要从事危险废物和固体废物的收集和贮存。</w:t>
            </w:r>
          </w:p>
          <w:p w14:paraId="2BAF02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B050"/>
                <w:sz w:val="24"/>
                <w:lang w:val="en-US" w:eastAsia="zh-CN"/>
              </w:rPr>
            </w:pPr>
            <w:r>
              <w:rPr>
                <w:rFonts w:hint="eastAsia" w:cs="Times New Roman"/>
                <w:color w:val="00B050"/>
                <w:sz w:val="24"/>
                <w:szCs w:val="24"/>
                <w:lang w:val="en-US" w:eastAsia="zh-CN"/>
              </w:rPr>
              <w:t>建设单位拟租用</w:t>
            </w:r>
            <w:r>
              <w:rPr>
                <w:rFonts w:hint="eastAsia"/>
                <w:color w:val="00B050"/>
                <w:sz w:val="24"/>
                <w:lang w:val="en-US" w:eastAsia="zh-CN"/>
              </w:rPr>
              <w:t>曲靖市东五六供应链管理有限公司已建厂房改造建设危险废物贮存场所（附件4：房屋租赁合同），</w:t>
            </w:r>
            <w:r>
              <w:rPr>
                <w:rFonts w:hint="eastAsia"/>
                <w:color w:val="00B050"/>
                <w:kern w:val="0"/>
                <w:sz w:val="24"/>
                <w:highlight w:val="none"/>
              </w:rPr>
              <w:t>项目于202</w:t>
            </w:r>
            <w:r>
              <w:rPr>
                <w:rFonts w:hint="eastAsia"/>
                <w:color w:val="00B050"/>
                <w:kern w:val="0"/>
                <w:sz w:val="24"/>
                <w:highlight w:val="none"/>
                <w:lang w:val="en-US" w:eastAsia="zh-CN"/>
              </w:rPr>
              <w:t>4</w:t>
            </w:r>
            <w:r>
              <w:rPr>
                <w:rFonts w:hint="eastAsia"/>
                <w:color w:val="00B050"/>
                <w:kern w:val="0"/>
                <w:sz w:val="24"/>
                <w:highlight w:val="none"/>
              </w:rPr>
              <w:t>年</w:t>
            </w:r>
            <w:r>
              <w:rPr>
                <w:rFonts w:hint="eastAsia"/>
                <w:color w:val="00B050"/>
                <w:kern w:val="0"/>
                <w:sz w:val="24"/>
                <w:highlight w:val="none"/>
                <w:lang w:val="en-US" w:eastAsia="zh-CN"/>
              </w:rPr>
              <w:t>10</w:t>
            </w:r>
            <w:r>
              <w:rPr>
                <w:rFonts w:hint="eastAsia"/>
                <w:color w:val="00B050"/>
                <w:kern w:val="0"/>
                <w:sz w:val="24"/>
                <w:highlight w:val="none"/>
              </w:rPr>
              <w:t>月</w:t>
            </w:r>
            <w:r>
              <w:rPr>
                <w:rFonts w:hint="eastAsia"/>
                <w:color w:val="00B050"/>
                <w:kern w:val="0"/>
                <w:sz w:val="24"/>
                <w:highlight w:val="none"/>
                <w:lang w:val="en-US" w:eastAsia="zh-CN"/>
              </w:rPr>
              <w:t>31日</w:t>
            </w:r>
            <w:r>
              <w:rPr>
                <w:rFonts w:hint="eastAsia"/>
                <w:color w:val="00B050"/>
                <w:kern w:val="0"/>
                <w:sz w:val="24"/>
                <w:highlight w:val="none"/>
              </w:rPr>
              <w:t>取得曲靖市麒麟区发展和改革局的投资备案，项目代码：2410-530302-04-01-179633</w:t>
            </w:r>
            <w:r>
              <w:rPr>
                <w:rFonts w:hint="eastAsia"/>
                <w:color w:val="00B050"/>
                <w:kern w:val="0"/>
                <w:sz w:val="24"/>
                <w:highlight w:val="none"/>
                <w:lang w:eastAsia="zh-CN"/>
              </w:rPr>
              <w:t>，</w:t>
            </w:r>
            <w:r>
              <w:rPr>
                <w:rFonts w:hint="eastAsia"/>
                <w:color w:val="00B050"/>
                <w:sz w:val="24"/>
                <w:lang w:val="en-US" w:eastAsia="zh-CN"/>
              </w:rPr>
              <w:t>项目拟收集和贮存废旧电池及废矿物油规模为6000t/a（废矿物油3000t/a；废铅蓄电池1500t/a；废镉镍电池500t/a、废镍氢电池250t/a、废离子电池250t/a；废新能源动力电池500t/a），</w:t>
            </w:r>
            <w:r>
              <w:rPr>
                <w:rFonts w:hint="eastAsia"/>
                <w:color w:val="00B050"/>
                <w:sz w:val="24"/>
              </w:rPr>
              <w:t>项目不涉及危险废物的运输活动</w:t>
            </w:r>
            <w:r>
              <w:rPr>
                <w:rFonts w:hint="eastAsia"/>
                <w:color w:val="00B050"/>
                <w:sz w:val="24"/>
                <w:lang w:eastAsia="zh-CN"/>
              </w:rPr>
              <w:t>（</w:t>
            </w:r>
            <w:r>
              <w:rPr>
                <w:rFonts w:hint="eastAsia"/>
                <w:color w:val="00B050"/>
                <w:sz w:val="24"/>
                <w:lang w:val="en-US" w:eastAsia="zh-CN"/>
              </w:rPr>
              <w:t>项目危险废物运输委托</w:t>
            </w:r>
            <w:r>
              <w:rPr>
                <w:rFonts w:hint="eastAsia"/>
                <w:color w:val="00B050"/>
                <w:sz w:val="24"/>
                <w:lang w:eastAsia="zh-CN"/>
              </w:rPr>
              <w:t>曲靖市马龙区鹏泉运输服务有限公司</w:t>
            </w:r>
            <w:r>
              <w:rPr>
                <w:rFonts w:hint="eastAsia"/>
                <w:color w:val="00B050"/>
                <w:sz w:val="24"/>
                <w:lang w:val="en-US" w:eastAsia="zh-CN"/>
              </w:rPr>
              <w:t>进行运输</w:t>
            </w:r>
            <w:r>
              <w:rPr>
                <w:rFonts w:hint="eastAsia"/>
                <w:color w:val="00B050"/>
                <w:sz w:val="24"/>
                <w:lang w:eastAsia="zh-CN"/>
              </w:rPr>
              <w:t>）</w:t>
            </w:r>
            <w:r>
              <w:rPr>
                <w:rFonts w:hint="eastAsia"/>
                <w:color w:val="00B050"/>
                <w:sz w:val="24"/>
              </w:rPr>
              <w:t>，不涉及危险废物</w:t>
            </w:r>
            <w:r>
              <w:rPr>
                <w:rFonts w:hint="eastAsia"/>
                <w:color w:val="00B050"/>
                <w:sz w:val="24"/>
                <w:lang w:val="en-US" w:eastAsia="zh-CN"/>
              </w:rPr>
              <w:t>处置</w:t>
            </w:r>
            <w:r>
              <w:rPr>
                <w:rFonts w:hint="eastAsia"/>
                <w:color w:val="00B050"/>
                <w:sz w:val="24"/>
              </w:rPr>
              <w:t>及综合利用</w:t>
            </w:r>
            <w:r>
              <w:rPr>
                <w:rFonts w:hint="eastAsia"/>
                <w:color w:val="00B050"/>
                <w:sz w:val="24"/>
                <w:lang w:eastAsia="zh-CN"/>
              </w:rPr>
              <w:t>（</w:t>
            </w:r>
            <w:r>
              <w:rPr>
                <w:rFonts w:hint="eastAsia"/>
                <w:color w:val="00B050"/>
                <w:sz w:val="24"/>
                <w:lang w:val="en-US" w:eastAsia="zh-CN"/>
              </w:rPr>
              <w:t>项目危险废物处置委托云南大地丰源环保有限公司进行处置</w:t>
            </w:r>
            <w:r>
              <w:rPr>
                <w:rFonts w:hint="eastAsia"/>
                <w:color w:val="00B050"/>
                <w:sz w:val="24"/>
                <w:lang w:eastAsia="zh-CN"/>
              </w:rPr>
              <w:t>）。</w:t>
            </w:r>
          </w:p>
          <w:p w14:paraId="4A2F7E8D">
            <w:pPr>
              <w:pStyle w:val="38"/>
              <w:keepNext w:val="0"/>
              <w:keepLines w:val="0"/>
              <w:pageBreakBefore w:val="0"/>
              <w:widowControl w:val="0"/>
              <w:tabs>
                <w:tab w:val="left" w:pos="480"/>
              </w:tabs>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eastAsia="宋体" w:cs="宋体"/>
                <w:b w:val="0"/>
                <w:bCs/>
                <w:color w:val="000000" w:themeColor="text1"/>
                <w:kern w:val="0"/>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根据《中华人民共和国环境保护法》</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2015年1月1日起施行</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、《中华人民共和国环境影响评价法》</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2018</w:t>
            </w:r>
            <w:r>
              <w:rPr>
                <w:rFonts w:hint="eastAsia" w:ascii="宋体" w:hAnsi="宋体" w:eastAsia="宋体" w:cs="宋体"/>
                <w:b w:val="0"/>
                <w:bCs/>
                <w:color w:val="000000" w:themeColor="text1"/>
                <w:sz w:val="24"/>
                <w:szCs w:val="24"/>
                <w:lang w:val="en-US" w:eastAsia="zh-CN"/>
                <w14:textFill>
                  <w14:solidFill>
                    <w14:schemeClr w14:val="tx1"/>
                  </w14:solidFill>
                </w14:textFill>
              </w:rPr>
              <w:t>年</w:t>
            </w:r>
            <w:r>
              <w:rPr>
                <w:rFonts w:hint="eastAsia" w:ascii="宋体" w:hAnsi="宋体" w:eastAsia="宋体" w:cs="宋体"/>
                <w:b w:val="0"/>
                <w:bCs/>
                <w:color w:val="000000" w:themeColor="text1"/>
                <w:sz w:val="24"/>
                <w:szCs w:val="24"/>
                <w14:textFill>
                  <w14:solidFill>
                    <w14:schemeClr w14:val="tx1"/>
                  </w14:solidFill>
                </w14:textFill>
              </w:rPr>
              <w:t>12月29日修订并施行</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w:t>
            </w:r>
            <w:r>
              <w:rPr>
                <w:rFonts w:hint="eastAsia" w:ascii="宋体" w:hAnsi="宋体" w:eastAsia="宋体" w:cs="宋体"/>
                <w:b w:val="0"/>
                <w:bCs/>
                <w:color w:val="000000" w:themeColor="text1"/>
                <w:sz w:val="24"/>
                <w:szCs w:val="24"/>
                <w:lang w:eastAsia="zh-CN"/>
                <w14:textFill>
                  <w14:solidFill>
                    <w14:schemeClr w14:val="tx1"/>
                  </w14:solidFill>
                </w14:textFill>
              </w:rPr>
              <w:t>建设项目环境保护管理条例</w:t>
            </w:r>
            <w:r>
              <w:rPr>
                <w:rFonts w:hint="eastAsia" w:ascii="宋体" w:hAnsi="宋体" w:eastAsia="宋体" w:cs="宋体"/>
                <w:b w:val="0"/>
                <w:bCs/>
                <w:color w:val="000000" w:themeColor="text1"/>
                <w:sz w:val="24"/>
                <w:szCs w:val="24"/>
                <w14:textFill>
                  <w14:solidFill>
                    <w14:schemeClr w14:val="tx1"/>
                  </w14:solidFill>
                </w14:textFill>
              </w:rPr>
              <w:t>》</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2017年国务院令第682号</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的有关要求和规定，本项目应开展环境影响评价工</w:t>
            </w:r>
            <w:r>
              <w:rPr>
                <w:rFonts w:hint="eastAsia" w:ascii="宋体" w:hAnsi="宋体" w:eastAsia="宋体" w:cs="宋体"/>
                <w:b w:val="0"/>
                <w:bCs/>
                <w:color w:val="000000" w:themeColor="text1"/>
                <w:sz w:val="24"/>
                <w:szCs w:val="24"/>
                <w:highlight w:val="none"/>
                <w14:textFill>
                  <w14:solidFill>
                    <w14:schemeClr w14:val="tx1"/>
                  </w14:solidFill>
                </w14:textFill>
              </w:rPr>
              <w:t>作。根据《建设项目环境影响评价分类管理名录》（2021年版）的相关规定，本项目属于</w:t>
            </w:r>
            <w:r>
              <w:rPr>
                <w:rFonts w:hint="eastAsia" w:ascii="宋体" w:hAnsi="宋体" w:eastAsia="宋体" w:cs="宋体"/>
                <w:b w:val="0"/>
                <w:bCs/>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b w:val="0"/>
                <w:bCs/>
                <w:color w:val="000000" w:themeColor="text1"/>
                <w:sz w:val="24"/>
                <w:szCs w:val="24"/>
                <w:highlight w:val="none"/>
                <w14:textFill>
                  <w14:solidFill>
                    <w14:schemeClr w14:val="tx1"/>
                  </w14:solidFill>
                </w14:textFill>
              </w:rPr>
              <w:t>十七 、</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生态保护和环境治理业中10</w:t>
            </w:r>
            <w:r>
              <w:rPr>
                <w:rFonts w:hint="eastAsia" w:cs="宋体"/>
                <w:b w:val="0"/>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val="0"/>
                <w:bCs/>
                <w:color w:val="000000" w:themeColor="text1"/>
                <w:sz w:val="24"/>
                <w:szCs w:val="24"/>
                <w:highlight w:val="none"/>
                <w14:textFill>
                  <w14:solidFill>
                    <w14:schemeClr w14:val="tx1"/>
                  </w14:solidFill>
                </w14:textFill>
              </w:rPr>
              <w:t>危险废物（不含医疗废物）利用及处置</w:t>
            </w:r>
            <w:r>
              <w:rPr>
                <w:rFonts w:hint="eastAsia" w:cs="宋体"/>
                <w:b w:val="0"/>
                <w:bCs/>
                <w:color w:val="000000" w:themeColor="text1"/>
                <w:sz w:val="24"/>
                <w:szCs w:val="24"/>
                <w:highlight w:val="none"/>
                <w:lang w:val="en-US" w:eastAsia="zh-CN"/>
                <w14:textFill>
                  <w14:solidFill>
                    <w14:schemeClr w14:val="tx1"/>
                  </w14:solidFill>
                </w14:textFill>
              </w:rPr>
              <w:t>中</w:t>
            </w:r>
            <w:r>
              <w:rPr>
                <w:rFonts w:hint="eastAsia" w:cs="宋体"/>
                <w:b/>
                <w:bCs w:val="0"/>
                <w:color w:val="000000" w:themeColor="text1"/>
                <w:sz w:val="24"/>
                <w:szCs w:val="24"/>
                <w:highlight w:val="none"/>
                <w:lang w:val="en-US" w:eastAsia="zh-CN"/>
                <w14:textFill>
                  <w14:solidFill>
                    <w14:schemeClr w14:val="tx1"/>
                  </w14:solidFill>
                </w14:textFill>
              </w:rPr>
              <w:t>其他</w:t>
            </w:r>
            <w:r>
              <w:rPr>
                <w:rFonts w:hint="eastAsia" w:ascii="宋体" w:hAnsi="宋体" w:eastAsia="宋体" w:cs="宋体"/>
                <w:b w:val="0"/>
                <w:bCs/>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color w:val="000000" w:themeColor="text1"/>
                <w:sz w:val="24"/>
                <w:szCs w:val="24"/>
                <w:highlight w:val="none"/>
                <w14:textFill>
                  <w14:solidFill>
                    <w14:schemeClr w14:val="tx1"/>
                  </w14:solidFill>
                </w14:textFill>
              </w:rPr>
              <w:t>，</w:t>
            </w:r>
            <w:r>
              <w:rPr>
                <w:rFonts w:hint="eastAsia" w:ascii="宋体" w:hAnsi="宋体" w:eastAsia="宋体" w:cs="宋体"/>
                <w:b/>
                <w:bCs w:val="0"/>
                <w:color w:val="000000" w:themeColor="text1"/>
                <w:sz w:val="24"/>
                <w:szCs w:val="24"/>
                <w:highlight w:val="none"/>
                <w14:textFill>
                  <w14:solidFill>
                    <w14:schemeClr w14:val="tx1"/>
                  </w14:solidFill>
                </w14:textFill>
              </w:rPr>
              <w:t>因此本项目应编制环境影响报告表</w:t>
            </w:r>
            <w:r>
              <w:rPr>
                <w:rFonts w:hint="eastAsia" w:ascii="宋体" w:hAnsi="宋体" w:eastAsia="宋体" w:cs="宋体"/>
                <w:b w:val="0"/>
                <w:bCs/>
                <w:color w:val="000000" w:themeColor="text1"/>
                <w:sz w:val="24"/>
                <w:szCs w:val="24"/>
                <w:highlight w:val="none"/>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建设单位委托我单位承担本项目的环境影响报告表的编制工作，我单位在接到任务后，组织有关环评技术人员进行现场踏勘及资料收集工作。根据《建设项目环境影响报告表编制技术指南》（污染影响类）（试行）的有关规定，</w:t>
            </w:r>
            <w:r>
              <w:rPr>
                <w:rFonts w:hint="eastAsia" w:ascii="宋体" w:hAnsi="宋体" w:eastAsia="宋体" w:cs="宋体"/>
                <w:b w:val="0"/>
                <w:bCs/>
                <w:color w:val="000000" w:themeColor="text1"/>
                <w:sz w:val="24"/>
                <w:szCs w:val="24"/>
                <w:highlight w:val="none"/>
                <w14:textFill>
                  <w14:solidFill>
                    <w14:schemeClr w14:val="tx1"/>
                  </w14:solidFill>
                </w14:textFill>
              </w:rPr>
              <w:t>编制完成《</w:t>
            </w:r>
            <w:r>
              <w:rPr>
                <w:rFonts w:hint="eastAsia" w:ascii="宋体" w:hAnsi="宋体" w:eastAsia="宋体" w:cs="宋体"/>
                <w:b w:val="0"/>
                <w:bCs/>
                <w:color w:val="000000" w:themeColor="text1"/>
                <w:sz w:val="24"/>
                <w:szCs w:val="24"/>
                <w:highlight w:val="none"/>
                <w:lang w:eastAsia="zh-CN"/>
                <w14:textFill>
                  <w14:solidFill>
                    <w14:schemeClr w14:val="tx1"/>
                  </w14:solidFill>
                </w14:textFill>
              </w:rPr>
              <w:t>6000吨/年废旧电池及废矿物油集中收集、中转项目</w:t>
            </w:r>
            <w:r>
              <w:rPr>
                <w:rFonts w:hint="eastAsia" w:ascii="宋体" w:hAnsi="宋体" w:eastAsia="宋体" w:cs="宋体"/>
                <w:b w:val="0"/>
                <w:bCs/>
                <w:color w:val="000000" w:themeColor="text1"/>
                <w:sz w:val="24"/>
                <w:szCs w:val="24"/>
                <w:highlight w:val="none"/>
                <w14:textFill>
                  <w14:solidFill>
                    <w14:schemeClr w14:val="tx1"/>
                  </w14:solidFill>
                </w14:textFill>
              </w:rPr>
              <w:t>环境影响报告表》</w:t>
            </w:r>
            <w:r>
              <w:rPr>
                <w:rFonts w:hint="eastAsia" w:ascii="宋体" w:hAnsi="宋体" w:eastAsia="宋体" w:cs="宋体"/>
                <w:b w:val="0"/>
                <w:bCs/>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供建设单位提交环境保护行政主管部门审查、审批后，作为项目建设及环境管理的技术依据</w:t>
            </w:r>
            <w:r>
              <w:rPr>
                <w:rFonts w:hint="eastAsia" w:ascii="宋体" w:hAnsi="宋体" w:eastAsia="宋体" w:cs="宋体"/>
                <w:b w:val="0"/>
                <w:bCs/>
                <w:color w:val="000000" w:themeColor="text1"/>
                <w:sz w:val="24"/>
                <w:szCs w:val="24"/>
                <w:lang w:eastAsia="zh-CN"/>
                <w14:textFill>
                  <w14:solidFill>
                    <w14:schemeClr w14:val="tx1"/>
                  </w14:solidFill>
                </w14:textFill>
              </w:rPr>
              <w:t>。</w:t>
            </w:r>
          </w:p>
          <w:p w14:paraId="5D6817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cs="Times New Roman"/>
                <w:b/>
                <w:color w:val="000000" w:themeColor="text1"/>
                <w:kern w:val="0"/>
                <w:sz w:val="24"/>
                <w:szCs w:val="24"/>
                <w:lang w:val="en-US" w:eastAsia="zh-CN"/>
                <w14:textFill>
                  <w14:solidFill>
                    <w14:schemeClr w14:val="tx1"/>
                  </w14:solidFill>
                </w14:textFill>
              </w:rPr>
            </w:pPr>
            <w:r>
              <w:rPr>
                <w:rFonts w:hint="eastAsia" w:cs="Times New Roman"/>
                <w:b/>
                <w:color w:val="000000" w:themeColor="text1"/>
                <w:kern w:val="0"/>
                <w:sz w:val="24"/>
                <w:szCs w:val="24"/>
                <w:lang w:val="en-US" w:eastAsia="zh-CN"/>
                <w14:textFill>
                  <w14:solidFill>
                    <w14:schemeClr w14:val="tx1"/>
                  </w14:solidFill>
                </w14:textFill>
              </w:rPr>
              <w:t>2.1.2建设内容及规模</w:t>
            </w:r>
          </w:p>
          <w:p w14:paraId="303662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s="Times New Roman"/>
                <w:bCs/>
                <w:color w:val="000000" w:themeColor="text1"/>
                <w:kern w:val="0"/>
                <w:sz w:val="24"/>
                <w:lang w:val="en-US" w:eastAsia="zh-CN"/>
                <w14:textFill>
                  <w14:solidFill>
                    <w14:schemeClr w14:val="tx1"/>
                  </w14:solidFill>
                </w14:textFill>
              </w:rPr>
              <w:t>新建项目</w:t>
            </w:r>
            <w:r>
              <w:rPr>
                <w:rFonts w:hint="eastAsia" w:cs="Times New Roman"/>
                <w:bCs/>
                <w:color w:val="000000" w:themeColor="text1"/>
                <w:kern w:val="0"/>
                <w:sz w:val="24"/>
                <w:vertAlign w:val="baseline"/>
                <w:lang w:val="en-US" w:eastAsia="zh-CN"/>
                <w14:textFill>
                  <w14:solidFill>
                    <w14:schemeClr w14:val="tx1"/>
                  </w14:solidFill>
                </w14:textFill>
              </w:rPr>
              <w:t>拟租用</w:t>
            </w:r>
            <w:r>
              <w:rPr>
                <w:rFonts w:hint="eastAsia"/>
                <w:color w:val="000000" w:themeColor="text1"/>
                <w:sz w:val="24"/>
                <w:lang w:val="en-US" w:eastAsia="zh-CN"/>
                <w14:textFill>
                  <w14:solidFill>
                    <w14:schemeClr w14:val="tx1"/>
                  </w14:solidFill>
                </w14:textFill>
              </w:rPr>
              <w:t>曲靖市东五六供应链管理有限公司已建厂房进行改造建设，</w:t>
            </w:r>
            <w:r>
              <w:rPr>
                <w:rFonts w:hint="eastAsia" w:cs="Times New Roman"/>
                <w:bCs/>
                <w:color w:val="000000" w:themeColor="text1"/>
                <w:kern w:val="0"/>
                <w:sz w:val="24"/>
                <w:lang w:val="en-US" w:eastAsia="zh-CN"/>
                <w14:textFill>
                  <w14:solidFill>
                    <w14:schemeClr w14:val="tx1"/>
                  </w14:solidFill>
                </w14:textFill>
              </w:rPr>
              <w:t>总占地面积720m</w:t>
            </w:r>
            <w:r>
              <w:rPr>
                <w:rFonts w:hint="eastAsia" w:cs="Times New Roman"/>
                <w:bCs/>
                <w:color w:val="000000" w:themeColor="text1"/>
                <w:kern w:val="0"/>
                <w:sz w:val="24"/>
                <w:vertAlign w:val="superscript"/>
                <w:lang w:val="en-US" w:eastAsia="zh-CN"/>
                <w14:textFill>
                  <w14:solidFill>
                    <w14:schemeClr w14:val="tx1"/>
                  </w14:solidFill>
                </w14:textFill>
              </w:rPr>
              <w:t>2</w:t>
            </w:r>
            <w:r>
              <w:rPr>
                <w:rFonts w:hint="eastAsia" w:cs="Times New Roman"/>
                <w:bCs/>
                <w:color w:val="000000" w:themeColor="text1"/>
                <w:kern w:val="0"/>
                <w:sz w:val="24"/>
                <w:vertAlign w:val="baseline"/>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主要建设1座危险废物贮存库以及办公用房等辅助工程、环保工程等。</w:t>
            </w:r>
          </w:p>
          <w:p w14:paraId="1EEF8E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kern w:val="0"/>
                <w:sz w:val="24"/>
                <w14:textFill>
                  <w14:solidFill>
                    <w14:schemeClr w14:val="tx1"/>
                  </w14:solidFill>
                </w14:textFill>
              </w:rPr>
            </w:pPr>
            <w:r>
              <w:rPr>
                <w:rFonts w:hint="eastAsia" w:cs="Times New Roman"/>
                <w:bCs/>
                <w:color w:val="000000" w:themeColor="text1"/>
                <w:kern w:val="0"/>
                <w:sz w:val="24"/>
                <w:lang w:val="en-US" w:eastAsia="zh-CN"/>
                <w14:textFill>
                  <w14:solidFill>
                    <w14:schemeClr w14:val="tx1"/>
                  </w14:solidFill>
                </w14:textFill>
              </w:rPr>
              <w:t>项目</w:t>
            </w:r>
            <w:r>
              <w:rPr>
                <w:rFonts w:hint="default" w:ascii="Times New Roman" w:hAnsi="Times New Roman" w:cs="Times New Roman"/>
                <w:bCs/>
                <w:color w:val="000000" w:themeColor="text1"/>
                <w:kern w:val="0"/>
                <w:sz w:val="24"/>
                <w14:textFill>
                  <w14:solidFill>
                    <w14:schemeClr w14:val="tx1"/>
                  </w14:solidFill>
                </w14:textFill>
              </w:rPr>
              <w:t>建设内容及功能见表2</w:t>
            </w:r>
            <w:r>
              <w:rPr>
                <w:rFonts w:hint="eastAsia" w:cs="Times New Roman"/>
                <w:bCs/>
                <w:color w:val="000000" w:themeColor="text1"/>
                <w:kern w:val="0"/>
                <w:sz w:val="24"/>
                <w:lang w:val="en-US" w:eastAsia="zh-CN"/>
                <w14:textFill>
                  <w14:solidFill>
                    <w14:schemeClr w14:val="tx1"/>
                  </w14:solidFill>
                </w14:textFill>
              </w:rPr>
              <w:t>.1</w:t>
            </w:r>
            <w:r>
              <w:rPr>
                <w:rFonts w:hint="default" w:ascii="Times New Roman" w:hAnsi="Times New Roman" w:cs="Times New Roman"/>
                <w:bCs/>
                <w:color w:val="000000" w:themeColor="text1"/>
                <w:kern w:val="0"/>
                <w:sz w:val="24"/>
                <w14:textFill>
                  <w14:solidFill>
                    <w14:schemeClr w14:val="tx1"/>
                  </w14:solidFill>
                </w14:textFill>
              </w:rPr>
              <w:t>-1</w:t>
            </w:r>
            <w:r>
              <w:rPr>
                <w:rFonts w:hint="eastAsia" w:cs="Times New Roman"/>
                <w:bCs/>
                <w:color w:val="000000" w:themeColor="text1"/>
                <w:kern w:val="0"/>
                <w:sz w:val="24"/>
                <w:lang w:val="en-US" w:eastAsia="zh-CN"/>
                <w14:textFill>
                  <w14:solidFill>
                    <w14:schemeClr w14:val="tx1"/>
                  </w14:solidFill>
                </w14:textFill>
              </w:rPr>
              <w:t>所示</w:t>
            </w:r>
            <w:r>
              <w:rPr>
                <w:rFonts w:hint="default" w:ascii="Times New Roman" w:hAnsi="Times New Roman" w:cs="Times New Roman"/>
                <w:bCs/>
                <w:color w:val="000000" w:themeColor="text1"/>
                <w:kern w:val="0"/>
                <w:sz w:val="24"/>
                <w14:textFill>
                  <w14:solidFill>
                    <w14:schemeClr w14:val="tx1"/>
                  </w14:solidFill>
                </w14:textFill>
              </w:rPr>
              <w:t>。</w:t>
            </w:r>
          </w:p>
          <w:p w14:paraId="0160B881">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14:textFill>
                  <w14:solidFill>
                    <w14:schemeClr w14:val="tx1"/>
                  </w14:solidFill>
                </w14:textFill>
              </w:rPr>
            </w:pPr>
            <w:r>
              <w:rPr>
                <w:rFonts w:hint="default" w:ascii="Times New Roman" w:hAnsi="Times New Roman" w:eastAsia="宋体" w:cs="Times New Roman"/>
                <w:b/>
                <w:bCs w:val="0"/>
                <w:color w:val="000000" w:themeColor="text1"/>
                <w:sz w:val="21"/>
                <w14:textFill>
                  <w14:solidFill>
                    <w14:schemeClr w14:val="tx1"/>
                  </w14:solidFill>
                </w14:textFill>
              </w:rPr>
              <w:t>表2</w:t>
            </w:r>
            <w:r>
              <w:rPr>
                <w:rFonts w:hint="eastAsia" w:cs="Times New Roman"/>
                <w:b/>
                <w:bCs w:val="0"/>
                <w:color w:val="000000" w:themeColor="text1"/>
                <w:sz w:val="21"/>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1"/>
                <w14:textFill>
                  <w14:solidFill>
                    <w14:schemeClr w14:val="tx1"/>
                  </w14:solidFill>
                </w14:textFill>
              </w:rPr>
              <w:t>-</w:t>
            </w:r>
            <w:r>
              <w:rPr>
                <w:rFonts w:hint="default" w:ascii="Times New Roman" w:hAnsi="Times New Roman" w:eastAsia="宋体" w:cs="Times New Roman"/>
                <w:b/>
                <w:bCs w:val="0"/>
                <w:color w:val="000000" w:themeColor="text1"/>
                <w:sz w:val="21"/>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1"/>
                <w14:textFill>
                  <w14:solidFill>
                    <w14:schemeClr w14:val="tx1"/>
                  </w14:solidFill>
                </w14:textFill>
              </w:rPr>
              <w:t xml:space="preserve">  项目建设内容一览表</w:t>
            </w:r>
          </w:p>
          <w:tbl>
            <w:tblPr>
              <w:tblStyle w:val="26"/>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76"/>
              <w:gridCol w:w="887"/>
              <w:gridCol w:w="548"/>
              <w:gridCol w:w="4523"/>
              <w:gridCol w:w="725"/>
            </w:tblGrid>
            <w:tr w14:paraId="186E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noWrap w:val="0"/>
                  <w:vAlign w:val="center"/>
                </w:tcPr>
                <w:p w14:paraId="0B96779D">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工程类别</w:t>
                  </w:r>
                </w:p>
              </w:tc>
              <w:tc>
                <w:tcPr>
                  <w:tcW w:w="476" w:type="pct"/>
                  <w:noWrap w:val="0"/>
                  <w:vAlign w:val="center"/>
                </w:tcPr>
                <w:p w14:paraId="35FD935B">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工程</w:t>
                  </w:r>
                  <w:r>
                    <w:rPr>
                      <w:rFonts w:hint="eastAsia"/>
                      <w:b/>
                      <w:bCs/>
                      <w:color w:val="000000" w:themeColor="text1"/>
                      <w:szCs w:val="21"/>
                      <w14:textFill>
                        <w14:solidFill>
                          <w14:schemeClr w14:val="tx1"/>
                        </w14:solidFill>
                      </w14:textFill>
                    </w:rPr>
                    <w:t>名称</w:t>
                  </w:r>
                </w:p>
              </w:tc>
              <w:tc>
                <w:tcPr>
                  <w:tcW w:w="3656" w:type="pct"/>
                  <w:gridSpan w:val="3"/>
                  <w:noWrap w:val="0"/>
                  <w:vAlign w:val="center"/>
                </w:tcPr>
                <w:p w14:paraId="1375A504">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建设内容</w:t>
                  </w:r>
                </w:p>
              </w:tc>
              <w:tc>
                <w:tcPr>
                  <w:tcW w:w="444" w:type="pct"/>
                  <w:noWrap w:val="0"/>
                  <w:vAlign w:val="center"/>
                </w:tcPr>
                <w:p w14:paraId="3EA3B66C">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备注</w:t>
                  </w:r>
                </w:p>
              </w:tc>
            </w:tr>
            <w:tr w14:paraId="7831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restart"/>
                  <w:noWrap w:val="0"/>
                  <w:vAlign w:val="center"/>
                </w:tcPr>
                <w:p w14:paraId="53791F95">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主体工程</w:t>
                  </w:r>
                </w:p>
              </w:tc>
              <w:tc>
                <w:tcPr>
                  <w:tcW w:w="476" w:type="pct"/>
                  <w:vMerge w:val="restart"/>
                  <w:noWrap w:val="0"/>
                  <w:vAlign w:val="center"/>
                </w:tcPr>
                <w:p w14:paraId="786346DD">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危险废物贮存库</w:t>
                  </w:r>
                </w:p>
              </w:tc>
              <w:tc>
                <w:tcPr>
                  <w:tcW w:w="3656" w:type="pct"/>
                  <w:gridSpan w:val="3"/>
                  <w:noWrap w:val="0"/>
                  <w:vAlign w:val="center"/>
                </w:tcPr>
                <w:p w14:paraId="345781AB">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color w:val="000000" w:themeColor="text1"/>
                      <w:szCs w:val="21"/>
                      <w:vertAlign w:val="baseline"/>
                      <w:lang w:val="en-US" w:eastAsia="zh-CN"/>
                      <w14:textFill>
                        <w14:solidFill>
                          <w14:schemeClr w14:val="tx1"/>
                        </w14:solidFill>
                      </w14:textFill>
                    </w:rPr>
                  </w:pPr>
                  <w:r>
                    <w:rPr>
                      <w:rFonts w:hint="eastAsia"/>
                      <w:color w:val="00B050"/>
                      <w:szCs w:val="21"/>
                      <w:lang w:val="en-US" w:eastAsia="zh-CN"/>
                    </w:rPr>
                    <w:t>项目危险废物贮存库占地面积670m</w:t>
                  </w:r>
                  <w:r>
                    <w:rPr>
                      <w:rFonts w:hint="eastAsia"/>
                      <w:color w:val="00B050"/>
                      <w:szCs w:val="21"/>
                      <w:vertAlign w:val="superscript"/>
                      <w:lang w:val="en-US" w:eastAsia="zh-CN"/>
                    </w:rPr>
                    <w:t>2</w:t>
                  </w:r>
                  <w:r>
                    <w:rPr>
                      <w:rFonts w:hint="eastAsia"/>
                      <w:color w:val="00B050"/>
                      <w:szCs w:val="21"/>
                      <w:vertAlign w:val="baseline"/>
                      <w:lang w:val="en-US" w:eastAsia="zh-CN"/>
                    </w:rPr>
                    <w:t>，建设高度10m。</w:t>
                  </w:r>
                  <w:r>
                    <w:rPr>
                      <w:rFonts w:hint="default" w:ascii="Times New Roman" w:hAnsi="Times New Roman" w:cs="Times New Roman"/>
                      <w:b w:val="0"/>
                      <w:bCs w:val="0"/>
                      <w:snapToGrid/>
                      <w:color w:val="00B050"/>
                      <w:spacing w:val="0"/>
                      <w:w w:val="100"/>
                      <w:position w:val="0"/>
                      <w:sz w:val="21"/>
                      <w:szCs w:val="21"/>
                    </w:rPr>
                    <w:t>单层建筑，</w:t>
                  </w:r>
                  <w:r>
                    <w:rPr>
                      <w:rFonts w:hint="eastAsia" w:cs="Times New Roman"/>
                      <w:b w:val="0"/>
                      <w:bCs w:val="0"/>
                      <w:snapToGrid/>
                      <w:color w:val="00B050"/>
                      <w:spacing w:val="0"/>
                      <w:w w:val="100"/>
                      <w:position w:val="0"/>
                      <w:sz w:val="21"/>
                      <w:szCs w:val="21"/>
                      <w:lang w:val="en-US" w:eastAsia="zh-CN"/>
                    </w:rPr>
                    <w:t>采用</w:t>
                  </w:r>
                  <w:r>
                    <w:rPr>
                      <w:rFonts w:hint="default" w:ascii="Times New Roman" w:hAnsi="Times New Roman" w:cs="Times New Roman"/>
                      <w:b w:val="0"/>
                      <w:bCs w:val="0"/>
                      <w:snapToGrid/>
                      <w:color w:val="00B050"/>
                      <w:spacing w:val="0"/>
                      <w:w w:val="100"/>
                      <w:position w:val="0"/>
                      <w:sz w:val="21"/>
                      <w:szCs w:val="21"/>
                    </w:rPr>
                    <w:t>混凝土结构</w:t>
                  </w:r>
                  <w:r>
                    <w:rPr>
                      <w:rFonts w:hint="default" w:ascii="Times New Roman" w:hAnsi="Times New Roman" w:eastAsia="Times New Roman" w:cs="Times New Roman"/>
                      <w:b w:val="0"/>
                      <w:bCs w:val="0"/>
                      <w:snapToGrid/>
                      <w:color w:val="00B050"/>
                      <w:spacing w:val="0"/>
                      <w:w w:val="100"/>
                      <w:position w:val="0"/>
                      <w:sz w:val="21"/>
                      <w:szCs w:val="21"/>
                    </w:rPr>
                    <w:t>+</w:t>
                  </w:r>
                  <w:r>
                    <w:rPr>
                      <w:rFonts w:hint="default" w:ascii="Times New Roman" w:hAnsi="Times New Roman" w:cs="Times New Roman"/>
                      <w:b w:val="0"/>
                      <w:bCs w:val="0"/>
                      <w:snapToGrid/>
                      <w:color w:val="00B050"/>
                      <w:spacing w:val="0"/>
                      <w:w w:val="100"/>
                      <w:position w:val="0"/>
                      <w:sz w:val="21"/>
                      <w:szCs w:val="21"/>
                    </w:rPr>
                    <w:t>彩钢瓦顶</w:t>
                  </w:r>
                  <w:r>
                    <w:rPr>
                      <w:rFonts w:hint="eastAsia" w:cs="Times New Roman"/>
                      <w:b w:val="0"/>
                      <w:bCs w:val="0"/>
                      <w:snapToGrid/>
                      <w:color w:val="00B050"/>
                      <w:spacing w:val="0"/>
                      <w:w w:val="100"/>
                      <w:position w:val="0"/>
                      <w:sz w:val="21"/>
                      <w:szCs w:val="21"/>
                      <w:lang w:val="en-US" w:eastAsia="zh-CN"/>
                    </w:rPr>
                    <w:t>结构，</w:t>
                  </w:r>
                  <w:r>
                    <w:rPr>
                      <w:rFonts w:hint="eastAsia"/>
                      <w:color w:val="00B050"/>
                      <w:szCs w:val="21"/>
                      <w:vertAlign w:val="baseline"/>
                      <w:lang w:val="en-US" w:eastAsia="zh-CN"/>
                    </w:rPr>
                    <w:t>内部划分4个分区：废矿物油罐区、废矿物油装卸区、其他废物贮存区、其他废物装卸区</w:t>
                  </w:r>
                  <w:r>
                    <w:rPr>
                      <w:rFonts w:hint="eastAsia"/>
                      <w:color w:val="FF0000"/>
                      <w:szCs w:val="21"/>
                      <w:vertAlign w:val="baseline"/>
                      <w:lang w:val="en-US" w:eastAsia="zh-CN"/>
                    </w:rPr>
                    <w:t>。</w:t>
                  </w:r>
                </w:p>
              </w:tc>
              <w:tc>
                <w:tcPr>
                  <w:tcW w:w="444" w:type="pct"/>
                  <w:noWrap w:val="0"/>
                  <w:vAlign w:val="center"/>
                </w:tcPr>
                <w:p w14:paraId="0001DE04">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设计提出</w:t>
                  </w:r>
                </w:p>
              </w:tc>
            </w:tr>
            <w:tr w14:paraId="6E8A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27DE169B">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76F4EFC6">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restart"/>
                  <w:noWrap w:val="0"/>
                  <w:vAlign w:val="center"/>
                </w:tcPr>
                <w:p w14:paraId="373689DD">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其中</w:t>
                  </w:r>
                </w:p>
              </w:tc>
              <w:tc>
                <w:tcPr>
                  <w:tcW w:w="3112" w:type="pct"/>
                  <w:gridSpan w:val="2"/>
                  <w:noWrap w:val="0"/>
                  <w:vAlign w:val="center"/>
                </w:tcPr>
                <w:p w14:paraId="0B22838A">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snapToGrid w:val="0"/>
                      <w:color w:val="000000" w:themeColor="text1"/>
                      <w:kern w:val="0"/>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废矿物油罐区：位于库内东北侧，建筑面积90m</w:t>
                  </w:r>
                  <w:r>
                    <w:rPr>
                      <w:rFonts w:hint="eastAsia"/>
                      <w:color w:val="000000" w:themeColor="text1"/>
                      <w:szCs w:val="21"/>
                      <w:vertAlign w:val="superscript"/>
                      <w:lang w:val="en-US" w:eastAsia="zh-CN"/>
                      <w14:textFill>
                        <w14:solidFill>
                          <w14:schemeClr w14:val="tx1"/>
                        </w14:solidFill>
                      </w14:textFill>
                    </w:rPr>
                    <w:t>2</w:t>
                  </w:r>
                  <w:r>
                    <w:rPr>
                      <w:rFonts w:hint="eastAsia"/>
                      <w:color w:val="000000" w:themeColor="text1"/>
                      <w:szCs w:val="21"/>
                      <w:vertAlign w:val="baseline"/>
                      <w:lang w:val="en-US" w:eastAsia="zh-CN"/>
                      <w14:textFill>
                        <w14:solidFill>
                          <w14:schemeClr w14:val="tx1"/>
                        </w14:solidFill>
                      </w14:textFill>
                    </w:rPr>
                    <w:t>，用于贮存</w:t>
                  </w:r>
                  <w:r>
                    <w:rPr>
                      <w:rFonts w:hint="eastAsia"/>
                      <w:snapToGrid w:val="0"/>
                      <w:color w:val="000000" w:themeColor="text1"/>
                      <w:kern w:val="0"/>
                      <w14:textFill>
                        <w14:solidFill>
                          <w14:schemeClr w14:val="tx1"/>
                        </w14:solidFill>
                      </w14:textFill>
                    </w:rPr>
                    <w:t>H</w:t>
                  </w:r>
                  <w:r>
                    <w:rPr>
                      <w:snapToGrid w:val="0"/>
                      <w:color w:val="000000" w:themeColor="text1"/>
                      <w:kern w:val="0"/>
                      <w14:textFill>
                        <w14:solidFill>
                          <w14:schemeClr w14:val="tx1"/>
                        </w14:solidFill>
                      </w14:textFill>
                    </w:rPr>
                    <w:t>W08</w:t>
                  </w:r>
                  <w:r>
                    <w:rPr>
                      <w:rFonts w:hint="eastAsia"/>
                      <w:snapToGrid w:val="0"/>
                      <w:color w:val="000000" w:themeColor="text1"/>
                      <w:kern w:val="0"/>
                      <w14:textFill>
                        <w14:solidFill>
                          <w14:schemeClr w14:val="tx1"/>
                        </w14:solidFill>
                      </w14:textFill>
                    </w:rPr>
                    <w:t>（液态、半固态）类危险废物</w:t>
                  </w:r>
                  <w:r>
                    <w:rPr>
                      <w:rFonts w:hint="eastAsia"/>
                      <w:snapToGrid w:val="0"/>
                      <w:color w:val="000000" w:themeColor="text1"/>
                      <w:kern w:val="0"/>
                      <w:lang w:eastAsia="zh-CN"/>
                      <w14:textFill>
                        <w14:solidFill>
                          <w14:schemeClr w14:val="tx1"/>
                        </w14:solidFill>
                      </w14:textFill>
                    </w:rPr>
                    <w:t>。</w:t>
                  </w:r>
                  <w:r>
                    <w:rPr>
                      <w:rFonts w:hint="eastAsia"/>
                      <w:snapToGrid w:val="0"/>
                      <w:color w:val="000000" w:themeColor="text1"/>
                      <w:kern w:val="0"/>
                      <w:lang w:val="en-US" w:eastAsia="zh-CN"/>
                      <w14:textFill>
                        <w14:solidFill>
                          <w14:schemeClr w14:val="tx1"/>
                        </w14:solidFill>
                      </w14:textFill>
                    </w:rPr>
                    <w:t>同时安装视频监控系统。</w:t>
                  </w:r>
                </w:p>
                <w:p w14:paraId="47A9A240">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主要建设5座废矿物油储罐，其中备用、事故应急储罐1座</w:t>
                  </w:r>
                  <w:r>
                    <w:rPr>
                      <w:rFonts w:hint="eastAsia" w:eastAsia="宋体"/>
                      <w:color w:val="000000" w:themeColor="text1"/>
                      <w:szCs w:val="21"/>
                      <w:vertAlign w:val="baseline"/>
                      <w:lang w:val="en-US" w:eastAsia="zh-CN"/>
                      <w14:textFill>
                        <w14:solidFill>
                          <w14:schemeClr w14:val="tx1"/>
                        </w14:solidFill>
                      </w14:textFill>
                    </w:rPr>
                    <w:t>。储罐单罐规格为φ1.8m×4m，</w:t>
                  </w:r>
                  <w:r>
                    <w:rPr>
                      <w:rFonts w:hint="eastAsia"/>
                      <w:color w:val="000000" w:themeColor="text1"/>
                      <w:szCs w:val="21"/>
                      <w:vertAlign w:val="baseline"/>
                      <w:lang w:val="en-US" w:eastAsia="zh-CN"/>
                      <w14:textFill>
                        <w14:solidFill>
                          <w14:schemeClr w14:val="tx1"/>
                        </w14:solidFill>
                      </w14:textFill>
                    </w:rPr>
                    <w:t>每座储罐容积为10m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vertAlign w:val="baseline"/>
                      <w:lang w:val="en-US" w:eastAsia="zh-CN"/>
                      <w14:textFill>
                        <w14:solidFill>
                          <w14:schemeClr w14:val="tx1"/>
                        </w14:solidFill>
                      </w14:textFill>
                    </w:rPr>
                    <w:t>，有效容积8m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vertAlign w:val="baseline"/>
                      <w:lang w:val="en-US" w:eastAsia="zh-CN"/>
                      <w14:textFill>
                        <w14:solidFill>
                          <w14:schemeClr w14:val="tx1"/>
                        </w14:solidFill>
                      </w14:textFill>
                    </w:rPr>
                    <w:t>。</w:t>
                  </w:r>
                </w:p>
              </w:tc>
              <w:tc>
                <w:tcPr>
                  <w:tcW w:w="444" w:type="pct"/>
                  <w:noWrap w:val="0"/>
                  <w:vAlign w:val="center"/>
                </w:tcPr>
                <w:p w14:paraId="0B9151F5">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设计提出</w:t>
                  </w:r>
                </w:p>
              </w:tc>
            </w:tr>
            <w:tr w14:paraId="066A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continue"/>
                  <w:noWrap w:val="0"/>
                  <w:vAlign w:val="center"/>
                </w:tcPr>
                <w:p w14:paraId="7940BCFD">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016EFB29">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1BBE885D">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112" w:type="pct"/>
                  <w:gridSpan w:val="2"/>
                  <w:noWrap w:val="0"/>
                  <w:vAlign w:val="center"/>
                </w:tcPr>
                <w:p w14:paraId="1F48E450">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废矿物油装卸区：位于废矿物油罐区南侧，占地面积70m</w:t>
                  </w:r>
                  <w:r>
                    <w:rPr>
                      <w:rFonts w:hint="eastAsia"/>
                      <w:color w:val="000000" w:themeColor="text1"/>
                      <w:szCs w:val="21"/>
                      <w:vertAlign w:val="superscript"/>
                      <w:lang w:val="en-US" w:eastAsia="zh-CN"/>
                      <w14:textFill>
                        <w14:solidFill>
                          <w14:schemeClr w14:val="tx1"/>
                        </w14:solidFill>
                      </w14:textFill>
                    </w:rPr>
                    <w:t>2</w:t>
                  </w:r>
                  <w:r>
                    <w:rPr>
                      <w:rFonts w:hint="eastAsia"/>
                      <w:color w:val="000000" w:themeColor="text1"/>
                      <w:szCs w:val="21"/>
                      <w:vertAlign w:val="baseline"/>
                      <w:lang w:val="en-US" w:eastAsia="zh-CN"/>
                      <w14:textFill>
                        <w14:solidFill>
                          <w14:schemeClr w14:val="tx1"/>
                        </w14:solidFill>
                      </w14:textFill>
                    </w:rPr>
                    <w:t>，用于车辆停靠装卸，设置装卸管线、泵机等设施。</w:t>
                  </w:r>
                  <w:r>
                    <w:rPr>
                      <w:rFonts w:hint="eastAsia"/>
                      <w:snapToGrid w:val="0"/>
                      <w:color w:val="000000" w:themeColor="text1"/>
                      <w:kern w:val="0"/>
                      <w:lang w:val="en-US" w:eastAsia="zh-CN"/>
                      <w14:textFill>
                        <w14:solidFill>
                          <w14:schemeClr w14:val="tx1"/>
                        </w14:solidFill>
                      </w14:textFill>
                    </w:rPr>
                    <w:t>同时安装视频监控系统。</w:t>
                  </w:r>
                </w:p>
              </w:tc>
              <w:tc>
                <w:tcPr>
                  <w:tcW w:w="444" w:type="pct"/>
                  <w:noWrap w:val="0"/>
                  <w:vAlign w:val="center"/>
                </w:tcPr>
                <w:p w14:paraId="43D3E252">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设计提出</w:t>
                  </w:r>
                </w:p>
              </w:tc>
            </w:tr>
            <w:tr w14:paraId="7EE0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1956B738">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7BF59E7A">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438AC48C">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112" w:type="pct"/>
                  <w:gridSpan w:val="2"/>
                  <w:noWrap w:val="0"/>
                  <w:vAlign w:val="center"/>
                </w:tcPr>
                <w:p w14:paraId="255EAB2C">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eastAsia"/>
                      <w:color w:val="00B050"/>
                      <w:szCs w:val="21"/>
                      <w:lang w:val="en-US" w:eastAsia="zh-CN"/>
                    </w:rPr>
                  </w:pPr>
                  <w:r>
                    <w:rPr>
                      <w:rFonts w:hint="eastAsia"/>
                      <w:color w:val="00B050"/>
                      <w:szCs w:val="21"/>
                      <w:vertAlign w:val="baseline"/>
                      <w:lang w:val="en-US" w:eastAsia="zh-CN"/>
                    </w:rPr>
                    <w:t>废旧电池贮存区：</w:t>
                  </w:r>
                  <w:r>
                    <w:rPr>
                      <w:rFonts w:hint="eastAsia"/>
                      <w:color w:val="00B050"/>
                      <w:szCs w:val="21"/>
                      <w:lang w:val="en-US" w:eastAsia="zh-CN"/>
                    </w:rPr>
                    <w:t>位于库内西北部，建筑面积510m</w:t>
                  </w:r>
                  <w:r>
                    <w:rPr>
                      <w:rFonts w:hint="eastAsia"/>
                      <w:color w:val="00B050"/>
                      <w:szCs w:val="21"/>
                      <w:vertAlign w:val="superscript"/>
                      <w:lang w:val="en-US" w:eastAsia="zh-CN"/>
                    </w:rPr>
                    <w:t>2</w:t>
                  </w:r>
                  <w:r>
                    <w:rPr>
                      <w:rFonts w:hint="eastAsia"/>
                      <w:color w:val="00B050"/>
                      <w:szCs w:val="21"/>
                      <w:vertAlign w:val="baseline"/>
                      <w:lang w:val="en-US" w:eastAsia="zh-CN"/>
                    </w:rPr>
                    <w:t>，内部采用隔墙分区，共划分7个废旧电池贮存区和1个废旧电池装卸区。</w:t>
                  </w:r>
                  <w:r>
                    <w:rPr>
                      <w:rFonts w:hint="eastAsia"/>
                      <w:snapToGrid w:val="0"/>
                      <w:color w:val="00B050"/>
                      <w:kern w:val="0"/>
                      <w:lang w:val="en-US" w:eastAsia="zh-CN"/>
                    </w:rPr>
                    <w:t>同时安装视频监控系统。</w:t>
                  </w:r>
                </w:p>
              </w:tc>
              <w:tc>
                <w:tcPr>
                  <w:tcW w:w="444" w:type="pct"/>
                  <w:noWrap w:val="0"/>
                  <w:vAlign w:val="center"/>
                </w:tcPr>
                <w:p w14:paraId="597C137B">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vertAlign w:val="baseline"/>
                      <w:lang w:val="en-US" w:eastAsia="zh-CN"/>
                    </w:rPr>
                  </w:pPr>
                  <w:r>
                    <w:rPr>
                      <w:rFonts w:hint="eastAsia"/>
                      <w:color w:val="00B050"/>
                      <w:szCs w:val="21"/>
                      <w:vertAlign w:val="baseline"/>
                      <w:lang w:val="en-US" w:eastAsia="zh-CN"/>
                    </w:rPr>
                    <w:t>设计提出</w:t>
                  </w:r>
                </w:p>
              </w:tc>
            </w:tr>
            <w:tr w14:paraId="3746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653636E5">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6E5E2CD3">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77C1E986">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36" w:type="pct"/>
                  <w:vMerge w:val="restart"/>
                  <w:noWrap w:val="0"/>
                  <w:vAlign w:val="center"/>
                </w:tcPr>
                <w:p w14:paraId="13BD0241">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default"/>
                      <w:color w:val="00B050"/>
                      <w:szCs w:val="21"/>
                      <w:lang w:val="en-US" w:eastAsia="zh-CN"/>
                    </w:rPr>
                  </w:pPr>
                  <w:r>
                    <w:rPr>
                      <w:rFonts w:hint="eastAsia"/>
                      <w:color w:val="00B050"/>
                      <w:szCs w:val="21"/>
                      <w:lang w:val="en-US" w:eastAsia="zh-CN"/>
                    </w:rPr>
                    <w:t>其中</w:t>
                  </w:r>
                </w:p>
              </w:tc>
              <w:tc>
                <w:tcPr>
                  <w:tcW w:w="2775" w:type="pct"/>
                  <w:noWrap w:val="0"/>
                  <w:vAlign w:val="center"/>
                </w:tcPr>
                <w:p w14:paraId="2D051DF9">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color w:val="00B050"/>
                      <w:szCs w:val="21"/>
                      <w:vertAlign w:val="baseline"/>
                      <w:lang w:val="en-US" w:eastAsia="zh-CN"/>
                    </w:rPr>
                  </w:pPr>
                  <w:r>
                    <w:rPr>
                      <w:rFonts w:hint="eastAsia"/>
                      <w:color w:val="00B050"/>
                      <w:szCs w:val="21"/>
                      <w:lang w:val="en-US" w:eastAsia="zh-CN"/>
                    </w:rPr>
                    <w:t>1#贮存区：建筑面积20m</w:t>
                  </w:r>
                  <w:r>
                    <w:rPr>
                      <w:rFonts w:hint="eastAsia"/>
                      <w:color w:val="00B050"/>
                      <w:szCs w:val="21"/>
                      <w:vertAlign w:val="superscript"/>
                      <w:lang w:val="en-US" w:eastAsia="zh-CN"/>
                    </w:rPr>
                    <w:t>2</w:t>
                  </w:r>
                  <w:r>
                    <w:rPr>
                      <w:rFonts w:hint="eastAsia"/>
                      <w:color w:val="00B050"/>
                      <w:szCs w:val="21"/>
                      <w:vertAlign w:val="baseline"/>
                      <w:lang w:val="en-US" w:eastAsia="zh-CN"/>
                    </w:rPr>
                    <w:t>，为废铅蓄电池</w:t>
                  </w:r>
                  <w:r>
                    <w:rPr>
                      <w:rFonts w:hint="eastAsia"/>
                      <w:snapToGrid w:val="0"/>
                      <w:color w:val="00B050"/>
                      <w:kern w:val="0"/>
                    </w:rPr>
                    <w:t>（</w:t>
                  </w:r>
                  <w:r>
                    <w:rPr>
                      <w:rFonts w:hint="eastAsia"/>
                      <w:color w:val="00B050"/>
                      <w:szCs w:val="21"/>
                      <w:vertAlign w:val="baseline"/>
                      <w:lang w:val="en-US" w:eastAsia="zh-CN"/>
                    </w:rPr>
                    <w:t>HW—31含铅废物，废物代码：</w:t>
                  </w:r>
                  <w:r>
                    <w:rPr>
                      <w:rFonts w:hint="eastAsia"/>
                      <w:snapToGrid w:val="0"/>
                      <w:color w:val="00B050"/>
                      <w:kern w:val="0"/>
                    </w:rPr>
                    <w:t>9</w:t>
                  </w:r>
                  <w:r>
                    <w:rPr>
                      <w:snapToGrid w:val="0"/>
                      <w:color w:val="00B050"/>
                      <w:kern w:val="0"/>
                    </w:rPr>
                    <w:t>00-052-31</w:t>
                  </w:r>
                  <w:r>
                    <w:rPr>
                      <w:rFonts w:hint="eastAsia"/>
                      <w:snapToGrid w:val="0"/>
                      <w:color w:val="00B050"/>
                      <w:kern w:val="0"/>
                    </w:rPr>
                    <w:t>）</w:t>
                  </w:r>
                  <w:r>
                    <w:rPr>
                      <w:rFonts w:hint="eastAsia"/>
                      <w:color w:val="00B050"/>
                      <w:szCs w:val="21"/>
                      <w:vertAlign w:val="baseline"/>
                      <w:lang w:val="en-US" w:eastAsia="zh-CN"/>
                    </w:rPr>
                    <w:t>贮存区。</w:t>
                  </w:r>
                  <w:r>
                    <w:rPr>
                      <w:rFonts w:hint="eastAsia" w:ascii="Times New Roman" w:hAnsi="Times New Roman" w:eastAsia="宋体" w:cs="Times New Roman"/>
                      <w:color w:val="00B050"/>
                      <w:szCs w:val="21"/>
                      <w:lang w:val="en-US" w:eastAsia="zh-CN"/>
                    </w:rPr>
                    <w:t>属于危险废物；</w:t>
                  </w:r>
                  <w:r>
                    <w:rPr>
                      <w:rFonts w:hint="eastAsia"/>
                      <w:color w:val="00B050"/>
                      <w:szCs w:val="21"/>
                      <w:vertAlign w:val="baseline"/>
                      <w:lang w:val="en-US" w:eastAsia="zh-CN"/>
                    </w:rPr>
                    <w:t>地面设置导流沟连接废液收集池。</w:t>
                  </w:r>
                </w:p>
              </w:tc>
              <w:tc>
                <w:tcPr>
                  <w:tcW w:w="444" w:type="pct"/>
                  <w:noWrap w:val="0"/>
                  <w:vAlign w:val="center"/>
                </w:tcPr>
                <w:p w14:paraId="0B0C8B6A">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630E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2E6EC64F">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05A5565F">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30DBD747">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36" w:type="pct"/>
                  <w:vMerge w:val="continue"/>
                  <w:noWrap w:val="0"/>
                  <w:vAlign w:val="center"/>
                </w:tcPr>
                <w:p w14:paraId="3908D099">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B050"/>
                      <w:szCs w:val="21"/>
                      <w:lang w:val="en-US" w:eastAsia="zh-CN"/>
                    </w:rPr>
                  </w:pPr>
                </w:p>
              </w:tc>
              <w:tc>
                <w:tcPr>
                  <w:tcW w:w="2775" w:type="pct"/>
                  <w:noWrap w:val="0"/>
                  <w:vAlign w:val="center"/>
                </w:tcPr>
                <w:p w14:paraId="6EB87DFA">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eastAsia" w:eastAsia="宋体"/>
                      <w:color w:val="00B050"/>
                      <w:szCs w:val="21"/>
                      <w:vertAlign w:val="baseline"/>
                      <w:lang w:val="en-US" w:eastAsia="zh-CN"/>
                    </w:rPr>
                  </w:pPr>
                  <w:r>
                    <w:rPr>
                      <w:rFonts w:hint="eastAsia"/>
                      <w:color w:val="00B050"/>
                      <w:szCs w:val="21"/>
                      <w:lang w:val="en-US" w:eastAsia="zh-CN"/>
                    </w:rPr>
                    <w:t>2#贮存区：建筑面积20m</w:t>
                  </w:r>
                  <w:r>
                    <w:rPr>
                      <w:rFonts w:hint="eastAsia"/>
                      <w:color w:val="00B050"/>
                      <w:szCs w:val="21"/>
                      <w:vertAlign w:val="superscript"/>
                      <w:lang w:val="en-US" w:eastAsia="zh-CN"/>
                    </w:rPr>
                    <w:t>2</w:t>
                  </w:r>
                  <w:r>
                    <w:rPr>
                      <w:rFonts w:hint="eastAsia"/>
                      <w:color w:val="00B050"/>
                      <w:szCs w:val="21"/>
                      <w:vertAlign w:val="baseline"/>
                      <w:lang w:val="en-US" w:eastAsia="zh-CN"/>
                    </w:rPr>
                    <w:t>，为废铅蓄电池</w:t>
                  </w:r>
                  <w:r>
                    <w:rPr>
                      <w:rFonts w:hint="eastAsia"/>
                      <w:snapToGrid w:val="0"/>
                      <w:color w:val="00B050"/>
                      <w:kern w:val="0"/>
                    </w:rPr>
                    <w:t>（</w:t>
                  </w:r>
                  <w:r>
                    <w:rPr>
                      <w:rFonts w:hint="eastAsia"/>
                      <w:color w:val="00B050"/>
                      <w:szCs w:val="21"/>
                      <w:vertAlign w:val="baseline"/>
                      <w:lang w:val="en-US" w:eastAsia="zh-CN"/>
                    </w:rPr>
                    <w:t>HW31—含铅废物，废物代码：</w:t>
                  </w:r>
                  <w:r>
                    <w:rPr>
                      <w:rFonts w:hint="eastAsia"/>
                      <w:snapToGrid w:val="0"/>
                      <w:color w:val="00B050"/>
                      <w:kern w:val="0"/>
                    </w:rPr>
                    <w:t>9</w:t>
                  </w:r>
                  <w:r>
                    <w:rPr>
                      <w:snapToGrid w:val="0"/>
                      <w:color w:val="00B050"/>
                      <w:kern w:val="0"/>
                    </w:rPr>
                    <w:t>00-052-31</w:t>
                  </w:r>
                  <w:r>
                    <w:rPr>
                      <w:rFonts w:hint="eastAsia"/>
                      <w:snapToGrid w:val="0"/>
                      <w:color w:val="00B050"/>
                      <w:kern w:val="0"/>
                    </w:rPr>
                    <w:t>）</w:t>
                  </w:r>
                  <w:r>
                    <w:rPr>
                      <w:rFonts w:hint="eastAsia"/>
                      <w:color w:val="00B050"/>
                      <w:szCs w:val="21"/>
                      <w:vertAlign w:val="baseline"/>
                      <w:lang w:val="en-US" w:eastAsia="zh-CN"/>
                    </w:rPr>
                    <w:t>贮存区。</w:t>
                  </w:r>
                  <w:r>
                    <w:rPr>
                      <w:rFonts w:hint="eastAsia" w:ascii="Times New Roman" w:hAnsi="Times New Roman" w:eastAsia="宋体" w:cs="Times New Roman"/>
                      <w:color w:val="00B050"/>
                      <w:szCs w:val="21"/>
                      <w:lang w:val="en-US" w:eastAsia="zh-CN"/>
                    </w:rPr>
                    <w:t>属于危险废物；</w:t>
                  </w:r>
                  <w:r>
                    <w:rPr>
                      <w:rFonts w:hint="eastAsia"/>
                      <w:color w:val="00B050"/>
                      <w:szCs w:val="21"/>
                      <w:vertAlign w:val="baseline"/>
                      <w:lang w:val="en-US" w:eastAsia="zh-CN"/>
                    </w:rPr>
                    <w:t>地面设置导流沟连接废液收集池。</w:t>
                  </w:r>
                </w:p>
              </w:tc>
              <w:tc>
                <w:tcPr>
                  <w:tcW w:w="444" w:type="pct"/>
                  <w:noWrap w:val="0"/>
                  <w:vAlign w:val="center"/>
                </w:tcPr>
                <w:p w14:paraId="7C61D6B1">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113F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0D960776">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0D2BEA18">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59F8A6C6">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36" w:type="pct"/>
                  <w:vMerge w:val="continue"/>
                  <w:noWrap w:val="0"/>
                  <w:vAlign w:val="center"/>
                </w:tcPr>
                <w:p w14:paraId="3ABFBA47">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B050"/>
                      <w:szCs w:val="21"/>
                      <w:lang w:val="en-US" w:eastAsia="zh-CN"/>
                    </w:rPr>
                  </w:pPr>
                </w:p>
              </w:tc>
              <w:tc>
                <w:tcPr>
                  <w:tcW w:w="2775" w:type="pct"/>
                  <w:noWrap w:val="0"/>
                  <w:vAlign w:val="center"/>
                </w:tcPr>
                <w:p w14:paraId="01574596">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eastAsia"/>
                      <w:color w:val="00B050"/>
                      <w:szCs w:val="21"/>
                      <w:lang w:val="en-US" w:eastAsia="zh-CN"/>
                    </w:rPr>
                  </w:pPr>
                  <w:r>
                    <w:rPr>
                      <w:rFonts w:hint="eastAsia"/>
                      <w:color w:val="00B050"/>
                      <w:szCs w:val="21"/>
                      <w:lang w:val="en-US" w:eastAsia="zh-CN"/>
                    </w:rPr>
                    <w:t>3#贮存区：建筑面积20m</w:t>
                  </w:r>
                  <w:r>
                    <w:rPr>
                      <w:rFonts w:hint="eastAsia"/>
                      <w:color w:val="00B050"/>
                      <w:szCs w:val="21"/>
                      <w:vertAlign w:val="superscript"/>
                      <w:lang w:val="en-US" w:eastAsia="zh-CN"/>
                    </w:rPr>
                    <w:t>2</w:t>
                  </w:r>
                  <w:r>
                    <w:rPr>
                      <w:rFonts w:hint="eastAsia"/>
                      <w:color w:val="00B050"/>
                      <w:szCs w:val="21"/>
                      <w:vertAlign w:val="baseline"/>
                      <w:lang w:val="en-US" w:eastAsia="zh-CN"/>
                    </w:rPr>
                    <w:t>，为废铅蓄电池</w:t>
                  </w:r>
                  <w:r>
                    <w:rPr>
                      <w:rFonts w:hint="eastAsia"/>
                      <w:snapToGrid w:val="0"/>
                      <w:color w:val="00B050"/>
                      <w:kern w:val="0"/>
                    </w:rPr>
                    <w:t>（</w:t>
                  </w:r>
                  <w:r>
                    <w:rPr>
                      <w:rFonts w:hint="eastAsia"/>
                      <w:color w:val="00B050"/>
                      <w:szCs w:val="21"/>
                      <w:vertAlign w:val="baseline"/>
                      <w:lang w:val="en-US" w:eastAsia="zh-CN"/>
                    </w:rPr>
                    <w:t>HW31—含铅废物，废物代码：</w:t>
                  </w:r>
                  <w:r>
                    <w:rPr>
                      <w:rFonts w:hint="eastAsia"/>
                      <w:snapToGrid w:val="0"/>
                      <w:color w:val="00B050"/>
                      <w:kern w:val="0"/>
                    </w:rPr>
                    <w:t>9</w:t>
                  </w:r>
                  <w:r>
                    <w:rPr>
                      <w:snapToGrid w:val="0"/>
                      <w:color w:val="00B050"/>
                      <w:kern w:val="0"/>
                    </w:rPr>
                    <w:t>00-052-31</w:t>
                  </w:r>
                  <w:r>
                    <w:rPr>
                      <w:rFonts w:hint="eastAsia"/>
                      <w:snapToGrid w:val="0"/>
                      <w:color w:val="00B050"/>
                      <w:kern w:val="0"/>
                    </w:rPr>
                    <w:t>）</w:t>
                  </w:r>
                  <w:r>
                    <w:rPr>
                      <w:rFonts w:hint="eastAsia"/>
                      <w:color w:val="00B050"/>
                      <w:szCs w:val="21"/>
                      <w:vertAlign w:val="baseline"/>
                      <w:lang w:val="en-US" w:eastAsia="zh-CN"/>
                    </w:rPr>
                    <w:t>贮存区。</w:t>
                  </w:r>
                  <w:r>
                    <w:rPr>
                      <w:rFonts w:hint="eastAsia" w:ascii="Times New Roman" w:hAnsi="Times New Roman" w:eastAsia="宋体" w:cs="Times New Roman"/>
                      <w:color w:val="00B050"/>
                      <w:szCs w:val="21"/>
                      <w:lang w:val="en-US" w:eastAsia="zh-CN"/>
                    </w:rPr>
                    <w:t>属于危险废物；</w:t>
                  </w:r>
                  <w:r>
                    <w:rPr>
                      <w:rFonts w:hint="eastAsia"/>
                      <w:color w:val="00B050"/>
                      <w:szCs w:val="21"/>
                      <w:vertAlign w:val="baseline"/>
                      <w:lang w:val="en-US" w:eastAsia="zh-CN"/>
                    </w:rPr>
                    <w:t>地面设置导流沟连接废液收集池。</w:t>
                  </w:r>
                </w:p>
              </w:tc>
              <w:tc>
                <w:tcPr>
                  <w:tcW w:w="444" w:type="pct"/>
                  <w:noWrap w:val="0"/>
                  <w:vAlign w:val="center"/>
                </w:tcPr>
                <w:p w14:paraId="7CE93776">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03E3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6EA8AAE1">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7B396C27">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157027D4">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36" w:type="pct"/>
                  <w:vMerge w:val="continue"/>
                  <w:noWrap w:val="0"/>
                  <w:vAlign w:val="center"/>
                </w:tcPr>
                <w:p w14:paraId="3E04474E">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B050"/>
                      <w:szCs w:val="21"/>
                      <w:lang w:val="en-US" w:eastAsia="zh-CN"/>
                    </w:rPr>
                  </w:pPr>
                </w:p>
              </w:tc>
              <w:tc>
                <w:tcPr>
                  <w:tcW w:w="2775" w:type="pct"/>
                  <w:noWrap w:val="0"/>
                  <w:vAlign w:val="center"/>
                </w:tcPr>
                <w:p w14:paraId="4772CE7B">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eastAsia="宋体"/>
                      <w:color w:val="00B050"/>
                      <w:szCs w:val="21"/>
                      <w:vertAlign w:val="baseline"/>
                      <w:lang w:val="en-US" w:eastAsia="zh-CN"/>
                    </w:rPr>
                  </w:pPr>
                  <w:r>
                    <w:rPr>
                      <w:rFonts w:hint="eastAsia"/>
                      <w:color w:val="00B050"/>
                      <w:szCs w:val="21"/>
                      <w:lang w:val="en-US" w:eastAsia="zh-CN"/>
                    </w:rPr>
                    <w:t>4#贮存区：建筑面积20m</w:t>
                  </w:r>
                  <w:r>
                    <w:rPr>
                      <w:rFonts w:hint="eastAsia"/>
                      <w:color w:val="00B050"/>
                      <w:szCs w:val="21"/>
                      <w:vertAlign w:val="superscript"/>
                      <w:lang w:val="en-US" w:eastAsia="zh-CN"/>
                    </w:rPr>
                    <w:t>2</w:t>
                  </w:r>
                  <w:r>
                    <w:rPr>
                      <w:rFonts w:hint="eastAsia"/>
                      <w:color w:val="00B050"/>
                      <w:szCs w:val="21"/>
                      <w:vertAlign w:val="baseline"/>
                      <w:lang w:val="en-US" w:eastAsia="zh-CN"/>
                    </w:rPr>
                    <w:t>，</w:t>
                  </w:r>
                  <w:r>
                    <w:rPr>
                      <w:rFonts w:hint="eastAsia" w:ascii="Times New Roman" w:hAnsi="Times New Roman" w:eastAsia="宋体" w:cs="Times New Roman"/>
                      <w:color w:val="00B050"/>
                      <w:szCs w:val="21"/>
                      <w:lang w:val="en-US" w:eastAsia="zh-CN"/>
                    </w:rPr>
                    <w:t>用于贮存废镉镍电池</w:t>
                  </w:r>
                  <w:r>
                    <w:rPr>
                      <w:rFonts w:hint="eastAsia"/>
                      <w:snapToGrid w:val="0"/>
                      <w:color w:val="00B050"/>
                      <w:kern w:val="0"/>
                    </w:rPr>
                    <w:t>（</w:t>
                  </w:r>
                  <w:r>
                    <w:rPr>
                      <w:rFonts w:hint="eastAsia"/>
                      <w:color w:val="00B050"/>
                      <w:szCs w:val="21"/>
                      <w:vertAlign w:val="baseline"/>
                      <w:lang w:val="en-US" w:eastAsia="zh-CN"/>
                    </w:rPr>
                    <w:t>HW49—其他废物，废物代码：</w:t>
                  </w:r>
                  <w:r>
                    <w:rPr>
                      <w:rFonts w:hint="eastAsia"/>
                      <w:snapToGrid w:val="0"/>
                      <w:color w:val="00B050"/>
                      <w:kern w:val="0"/>
                    </w:rPr>
                    <w:t>900-044-49）</w:t>
                  </w:r>
                  <w:r>
                    <w:rPr>
                      <w:rFonts w:hint="eastAsia" w:ascii="Times New Roman" w:hAnsi="Times New Roman" w:eastAsia="宋体" w:cs="Times New Roman"/>
                      <w:color w:val="00B050"/>
                      <w:szCs w:val="21"/>
                      <w:lang w:val="en-US" w:eastAsia="zh-CN"/>
                    </w:rPr>
                    <w:t>。属于危险废物；地面设置导流沟连接</w:t>
                  </w:r>
                  <w:r>
                    <w:rPr>
                      <w:rFonts w:hint="eastAsia"/>
                      <w:color w:val="00B050"/>
                      <w:szCs w:val="21"/>
                      <w:vertAlign w:val="baseline"/>
                      <w:lang w:val="en-US" w:eastAsia="zh-CN"/>
                    </w:rPr>
                    <w:t>废液收集池</w:t>
                  </w:r>
                  <w:r>
                    <w:rPr>
                      <w:rFonts w:hint="eastAsia" w:ascii="Times New Roman" w:hAnsi="Times New Roman" w:eastAsia="宋体" w:cs="Times New Roman"/>
                      <w:color w:val="00B050"/>
                      <w:szCs w:val="21"/>
                      <w:lang w:val="en-US" w:eastAsia="zh-CN"/>
                    </w:rPr>
                    <w:t>。</w:t>
                  </w:r>
                </w:p>
              </w:tc>
              <w:tc>
                <w:tcPr>
                  <w:tcW w:w="444" w:type="pct"/>
                  <w:noWrap w:val="0"/>
                  <w:vAlign w:val="center"/>
                </w:tcPr>
                <w:p w14:paraId="63FA6ACE">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50C5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4E972EDE">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5C5A1D30">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1C4722B3">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36" w:type="pct"/>
                  <w:vMerge w:val="continue"/>
                  <w:noWrap w:val="0"/>
                  <w:vAlign w:val="center"/>
                </w:tcPr>
                <w:p w14:paraId="1C22DCF8">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B050"/>
                      <w:szCs w:val="21"/>
                      <w:lang w:val="en-US" w:eastAsia="zh-CN"/>
                    </w:rPr>
                  </w:pPr>
                </w:p>
              </w:tc>
              <w:tc>
                <w:tcPr>
                  <w:tcW w:w="2775" w:type="pct"/>
                  <w:noWrap w:val="0"/>
                  <w:vAlign w:val="center"/>
                </w:tcPr>
                <w:p w14:paraId="3CC1675E">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eastAsia"/>
                      <w:color w:val="00B050"/>
                      <w:szCs w:val="21"/>
                      <w:lang w:val="en-US" w:eastAsia="zh-CN"/>
                    </w:rPr>
                  </w:pPr>
                  <w:r>
                    <w:rPr>
                      <w:rFonts w:hint="eastAsia"/>
                      <w:color w:val="00B050"/>
                      <w:szCs w:val="21"/>
                      <w:lang w:val="en-US" w:eastAsia="zh-CN"/>
                    </w:rPr>
                    <w:t>5#贮存区：建筑面积20m</w:t>
                  </w:r>
                  <w:r>
                    <w:rPr>
                      <w:rFonts w:hint="eastAsia"/>
                      <w:color w:val="00B050"/>
                      <w:szCs w:val="21"/>
                      <w:vertAlign w:val="superscript"/>
                      <w:lang w:val="en-US" w:eastAsia="zh-CN"/>
                    </w:rPr>
                    <w:t>2</w:t>
                  </w:r>
                  <w:r>
                    <w:rPr>
                      <w:rFonts w:hint="eastAsia"/>
                      <w:color w:val="00B050"/>
                      <w:szCs w:val="21"/>
                      <w:vertAlign w:val="baseline"/>
                      <w:lang w:val="en-US" w:eastAsia="zh-CN"/>
                    </w:rPr>
                    <w:t>，用于贮存</w:t>
                  </w:r>
                  <w:r>
                    <w:rPr>
                      <w:rFonts w:hint="eastAsia" w:ascii="Times New Roman" w:hAnsi="Times New Roman" w:eastAsia="宋体" w:cs="Times New Roman"/>
                      <w:color w:val="00B050"/>
                      <w:kern w:val="0"/>
                      <w:szCs w:val="21"/>
                    </w:rPr>
                    <w:t>废镍氢电池</w:t>
                  </w:r>
                  <w:r>
                    <w:rPr>
                      <w:rFonts w:hint="eastAsia" w:cs="Times New Roman"/>
                      <w:color w:val="00B050"/>
                      <w:kern w:val="0"/>
                      <w:szCs w:val="21"/>
                      <w:lang w:eastAsia="zh-CN"/>
                    </w:rPr>
                    <w:t>（</w:t>
                  </w:r>
                  <w:r>
                    <w:rPr>
                      <w:rFonts w:hint="eastAsia"/>
                      <w:color w:val="00B050"/>
                      <w:szCs w:val="21"/>
                      <w:vertAlign w:val="baseline"/>
                      <w:lang w:val="en-US" w:eastAsia="zh-CN"/>
                    </w:rPr>
                    <w:t>SW62—可回收物，废物代码：</w:t>
                  </w:r>
                  <w:r>
                    <w:rPr>
                      <w:rFonts w:hint="eastAsia"/>
                      <w:snapToGrid w:val="0"/>
                      <w:color w:val="00B050"/>
                      <w:kern w:val="0"/>
                    </w:rPr>
                    <w:t>900-007-S62</w:t>
                  </w:r>
                  <w:r>
                    <w:rPr>
                      <w:rFonts w:hint="eastAsia" w:cs="Times New Roman"/>
                      <w:color w:val="00B050"/>
                      <w:kern w:val="0"/>
                      <w:szCs w:val="21"/>
                      <w:lang w:eastAsia="zh-CN"/>
                    </w:rPr>
                    <w:t>）</w:t>
                  </w:r>
                  <w:r>
                    <w:rPr>
                      <w:rFonts w:hint="eastAsia" w:cs="Times New Roman"/>
                      <w:color w:val="00B050"/>
                      <w:kern w:val="0"/>
                      <w:szCs w:val="21"/>
                      <w:lang w:val="en-US" w:eastAsia="zh-CN"/>
                    </w:rPr>
                    <w:t>属于一般固体废物。</w:t>
                  </w:r>
                  <w:r>
                    <w:rPr>
                      <w:rFonts w:hint="eastAsia"/>
                      <w:color w:val="00B050"/>
                      <w:szCs w:val="21"/>
                      <w:vertAlign w:val="baseline"/>
                      <w:lang w:val="en-US" w:eastAsia="zh-CN"/>
                    </w:rPr>
                    <w:t>地面设置导流沟连接废液收集池。</w:t>
                  </w:r>
                </w:p>
              </w:tc>
              <w:tc>
                <w:tcPr>
                  <w:tcW w:w="444" w:type="pct"/>
                  <w:noWrap w:val="0"/>
                  <w:vAlign w:val="center"/>
                </w:tcPr>
                <w:p w14:paraId="536F463E">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0FEC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7372B317">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56C1CF48">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0D8A5229">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36" w:type="pct"/>
                  <w:vMerge w:val="continue"/>
                  <w:noWrap w:val="0"/>
                  <w:vAlign w:val="center"/>
                </w:tcPr>
                <w:p w14:paraId="01B15668">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B050"/>
                      <w:szCs w:val="21"/>
                      <w:lang w:val="en-US" w:eastAsia="zh-CN"/>
                    </w:rPr>
                  </w:pPr>
                </w:p>
              </w:tc>
              <w:tc>
                <w:tcPr>
                  <w:tcW w:w="2775" w:type="pct"/>
                  <w:noWrap w:val="0"/>
                  <w:vAlign w:val="center"/>
                </w:tcPr>
                <w:p w14:paraId="1C5025A9">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color w:val="00B050"/>
                      <w:szCs w:val="21"/>
                      <w:lang w:val="en-US" w:eastAsia="zh-CN"/>
                    </w:rPr>
                  </w:pPr>
                  <w:r>
                    <w:rPr>
                      <w:rFonts w:hint="eastAsia"/>
                      <w:color w:val="00B050"/>
                      <w:szCs w:val="21"/>
                      <w:highlight w:val="none"/>
                      <w:lang w:val="en-US" w:eastAsia="zh-CN"/>
                    </w:rPr>
                    <w:t>6#贮存区：建筑面积20m</w:t>
                  </w:r>
                  <w:r>
                    <w:rPr>
                      <w:rFonts w:hint="eastAsia"/>
                      <w:color w:val="00B050"/>
                      <w:szCs w:val="21"/>
                      <w:highlight w:val="none"/>
                      <w:vertAlign w:val="superscript"/>
                      <w:lang w:val="en-US" w:eastAsia="zh-CN"/>
                    </w:rPr>
                    <w:t>2</w:t>
                  </w:r>
                  <w:r>
                    <w:rPr>
                      <w:rFonts w:hint="eastAsia"/>
                      <w:color w:val="00B050"/>
                      <w:szCs w:val="21"/>
                      <w:highlight w:val="none"/>
                      <w:vertAlign w:val="baseline"/>
                      <w:lang w:val="en-US" w:eastAsia="zh-CN"/>
                    </w:rPr>
                    <w:t>，用于贮存</w:t>
                  </w:r>
                  <w:r>
                    <w:rPr>
                      <w:rFonts w:hint="eastAsia" w:ascii="Times New Roman" w:hAnsi="Times New Roman" w:eastAsia="宋体" w:cs="Times New Roman"/>
                      <w:color w:val="00B050"/>
                      <w:kern w:val="0"/>
                      <w:szCs w:val="21"/>
                      <w:highlight w:val="none"/>
                    </w:rPr>
                    <w:t>废离子电池</w:t>
                  </w:r>
                  <w:r>
                    <w:rPr>
                      <w:rFonts w:hint="eastAsia" w:cs="Times New Roman"/>
                      <w:color w:val="00B050"/>
                      <w:kern w:val="0"/>
                      <w:szCs w:val="21"/>
                      <w:highlight w:val="none"/>
                      <w:lang w:eastAsia="zh-CN"/>
                    </w:rPr>
                    <w:t>（</w:t>
                  </w:r>
                  <w:r>
                    <w:rPr>
                      <w:rFonts w:hint="eastAsia"/>
                      <w:color w:val="00B050"/>
                      <w:szCs w:val="21"/>
                      <w:highlight w:val="none"/>
                      <w:vertAlign w:val="baseline"/>
                      <w:lang w:val="en-US" w:eastAsia="zh-CN"/>
                    </w:rPr>
                    <w:t>SW62—可回收物，废物代码：</w:t>
                  </w:r>
                  <w:r>
                    <w:rPr>
                      <w:rFonts w:hint="eastAsia"/>
                      <w:snapToGrid w:val="0"/>
                      <w:color w:val="00B050"/>
                      <w:kern w:val="0"/>
                      <w:highlight w:val="none"/>
                    </w:rPr>
                    <w:t>900-007-S62</w:t>
                  </w:r>
                  <w:r>
                    <w:rPr>
                      <w:rFonts w:hint="eastAsia" w:cs="Times New Roman"/>
                      <w:color w:val="00B050"/>
                      <w:kern w:val="0"/>
                      <w:szCs w:val="21"/>
                      <w:highlight w:val="none"/>
                      <w:lang w:eastAsia="zh-CN"/>
                    </w:rPr>
                    <w:t>）</w:t>
                  </w:r>
                  <w:r>
                    <w:rPr>
                      <w:rFonts w:hint="eastAsia" w:cs="Times New Roman"/>
                      <w:color w:val="00B050"/>
                      <w:kern w:val="0"/>
                      <w:szCs w:val="21"/>
                      <w:highlight w:val="none"/>
                      <w:lang w:val="en-US" w:eastAsia="zh-CN"/>
                    </w:rPr>
                    <w:t>属于一般固体废物，</w:t>
                  </w:r>
                  <w:r>
                    <w:rPr>
                      <w:rFonts w:hint="eastAsia"/>
                      <w:color w:val="00B050"/>
                      <w:szCs w:val="21"/>
                      <w:highlight w:val="none"/>
                      <w:vertAlign w:val="baseline"/>
                      <w:lang w:val="en-US" w:eastAsia="zh-CN"/>
                    </w:rPr>
                    <w:t>地面设置导流沟连接</w:t>
                  </w:r>
                  <w:r>
                    <w:rPr>
                      <w:rFonts w:hint="eastAsia"/>
                      <w:color w:val="00B050"/>
                      <w:szCs w:val="21"/>
                      <w:vertAlign w:val="baseline"/>
                      <w:lang w:val="en-US" w:eastAsia="zh-CN"/>
                    </w:rPr>
                    <w:t>废液收集池</w:t>
                  </w:r>
                  <w:r>
                    <w:rPr>
                      <w:rFonts w:hint="eastAsia"/>
                      <w:color w:val="00B050"/>
                      <w:szCs w:val="21"/>
                      <w:highlight w:val="none"/>
                      <w:vertAlign w:val="baseline"/>
                      <w:lang w:val="en-US" w:eastAsia="zh-CN"/>
                    </w:rPr>
                    <w:t>。</w:t>
                  </w:r>
                </w:p>
              </w:tc>
              <w:tc>
                <w:tcPr>
                  <w:tcW w:w="444" w:type="pct"/>
                  <w:noWrap w:val="0"/>
                  <w:vAlign w:val="center"/>
                </w:tcPr>
                <w:p w14:paraId="74BAB8FC">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2CA8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57C748BD">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05DD43FD">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743A66C8">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36" w:type="pct"/>
                  <w:vMerge w:val="continue"/>
                  <w:noWrap w:val="0"/>
                  <w:vAlign w:val="center"/>
                </w:tcPr>
                <w:p w14:paraId="48F289F2">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B050"/>
                      <w:szCs w:val="21"/>
                      <w:lang w:val="en-US" w:eastAsia="zh-CN"/>
                    </w:rPr>
                  </w:pPr>
                </w:p>
              </w:tc>
              <w:tc>
                <w:tcPr>
                  <w:tcW w:w="2775" w:type="pct"/>
                  <w:noWrap w:val="0"/>
                  <w:vAlign w:val="center"/>
                </w:tcPr>
                <w:p w14:paraId="561970B2">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color w:val="00B050"/>
                      <w:szCs w:val="21"/>
                      <w:lang w:val="en-US" w:eastAsia="zh-CN"/>
                    </w:rPr>
                  </w:pPr>
                  <w:r>
                    <w:rPr>
                      <w:rFonts w:hint="eastAsia"/>
                      <w:color w:val="00B050"/>
                      <w:szCs w:val="21"/>
                      <w:lang w:val="en-US" w:eastAsia="zh-CN"/>
                    </w:rPr>
                    <w:t>7#贮存区：建筑面积20m</w:t>
                  </w:r>
                  <w:r>
                    <w:rPr>
                      <w:rFonts w:hint="eastAsia"/>
                      <w:color w:val="00B050"/>
                      <w:szCs w:val="21"/>
                      <w:vertAlign w:val="superscript"/>
                      <w:lang w:val="en-US" w:eastAsia="zh-CN"/>
                    </w:rPr>
                    <w:t>2</w:t>
                  </w:r>
                  <w:r>
                    <w:rPr>
                      <w:rFonts w:hint="eastAsia"/>
                      <w:color w:val="00B050"/>
                      <w:szCs w:val="21"/>
                      <w:vertAlign w:val="baseline"/>
                      <w:lang w:val="en-US" w:eastAsia="zh-CN"/>
                    </w:rPr>
                    <w:t>，用于贮存</w:t>
                  </w:r>
                  <w:r>
                    <w:rPr>
                      <w:rFonts w:hint="eastAsia" w:ascii="Times New Roman" w:hAnsi="Times New Roman" w:eastAsia="宋体" w:cs="Times New Roman"/>
                      <w:color w:val="00B050"/>
                      <w:kern w:val="0"/>
                      <w:szCs w:val="21"/>
                    </w:rPr>
                    <w:t>废新能源动力电池</w:t>
                  </w:r>
                  <w:r>
                    <w:rPr>
                      <w:rFonts w:hint="eastAsia"/>
                      <w:snapToGrid w:val="0"/>
                      <w:color w:val="00B050"/>
                      <w:kern w:val="0"/>
                    </w:rPr>
                    <w:t>（</w:t>
                  </w:r>
                  <w:r>
                    <w:rPr>
                      <w:rFonts w:hint="eastAsia"/>
                      <w:color w:val="00B050"/>
                      <w:szCs w:val="21"/>
                      <w:vertAlign w:val="baseline"/>
                      <w:lang w:val="en-US" w:eastAsia="zh-CN"/>
                    </w:rPr>
                    <w:t>SW63—大件垃圾，废物代码：</w:t>
                  </w:r>
                  <w:r>
                    <w:rPr>
                      <w:rFonts w:hint="eastAsia"/>
                      <w:snapToGrid w:val="0"/>
                      <w:color w:val="00B050"/>
                      <w:kern w:val="0"/>
                    </w:rPr>
                    <w:t>900-003-S63）</w:t>
                  </w:r>
                  <w:r>
                    <w:rPr>
                      <w:rFonts w:hint="eastAsia" w:cs="Times New Roman"/>
                      <w:color w:val="00B050"/>
                      <w:kern w:val="0"/>
                      <w:szCs w:val="21"/>
                      <w:lang w:val="en-US" w:eastAsia="zh-CN"/>
                    </w:rPr>
                    <w:t>。</w:t>
                  </w:r>
                  <w:r>
                    <w:rPr>
                      <w:rFonts w:hint="eastAsia"/>
                      <w:color w:val="00B050"/>
                      <w:szCs w:val="21"/>
                      <w:vertAlign w:val="baseline"/>
                      <w:lang w:val="en-US" w:eastAsia="zh-CN"/>
                    </w:rPr>
                    <w:t>地面设置导流沟连接废液收集池。</w:t>
                  </w:r>
                </w:p>
              </w:tc>
              <w:tc>
                <w:tcPr>
                  <w:tcW w:w="444" w:type="pct"/>
                  <w:noWrap w:val="0"/>
                  <w:vAlign w:val="center"/>
                </w:tcPr>
                <w:p w14:paraId="36C294E9">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5893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11753F92">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7043A805">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vMerge w:val="continue"/>
                  <w:noWrap w:val="0"/>
                  <w:vAlign w:val="center"/>
                </w:tcPr>
                <w:p w14:paraId="19765140">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336" w:type="pct"/>
                  <w:vMerge w:val="continue"/>
                  <w:noWrap w:val="0"/>
                  <w:vAlign w:val="center"/>
                </w:tcPr>
                <w:p w14:paraId="5D2EBA67">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00B050"/>
                      <w:szCs w:val="21"/>
                      <w:lang w:val="en-US" w:eastAsia="zh-CN"/>
                    </w:rPr>
                  </w:pPr>
                </w:p>
              </w:tc>
              <w:tc>
                <w:tcPr>
                  <w:tcW w:w="2775" w:type="pct"/>
                  <w:noWrap w:val="0"/>
                  <w:vAlign w:val="center"/>
                </w:tcPr>
                <w:p w14:paraId="7C02D108">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eastAsia"/>
                      <w:color w:val="00B050"/>
                      <w:szCs w:val="21"/>
                      <w:lang w:val="en-US" w:eastAsia="zh-CN"/>
                    </w:rPr>
                  </w:pPr>
                  <w:r>
                    <w:rPr>
                      <w:rFonts w:hint="eastAsia"/>
                      <w:color w:val="00B050"/>
                      <w:szCs w:val="21"/>
                      <w:lang w:val="en-US" w:eastAsia="zh-CN"/>
                    </w:rPr>
                    <w:t>废电池装卸区：位于废矿物油装卸区南侧，占地面积370m</w:t>
                  </w:r>
                  <w:r>
                    <w:rPr>
                      <w:rFonts w:hint="eastAsia"/>
                      <w:color w:val="00B050"/>
                      <w:szCs w:val="21"/>
                      <w:vertAlign w:val="superscript"/>
                      <w:lang w:val="en-US" w:eastAsia="zh-CN"/>
                    </w:rPr>
                    <w:t>2</w:t>
                  </w:r>
                  <w:r>
                    <w:rPr>
                      <w:rFonts w:hint="eastAsia"/>
                      <w:color w:val="00B050"/>
                      <w:szCs w:val="21"/>
                      <w:vertAlign w:val="baseline"/>
                      <w:lang w:val="en-US" w:eastAsia="zh-CN"/>
                    </w:rPr>
                    <w:t>，用于车辆停靠装卸。</w:t>
                  </w:r>
                  <w:r>
                    <w:rPr>
                      <w:rFonts w:hint="eastAsia"/>
                      <w:snapToGrid w:val="0"/>
                      <w:color w:val="00B050"/>
                      <w:kern w:val="0"/>
                      <w:lang w:val="en-US" w:eastAsia="zh-CN"/>
                    </w:rPr>
                    <w:t>同时安装视频监控系统。</w:t>
                  </w:r>
                </w:p>
              </w:tc>
              <w:tc>
                <w:tcPr>
                  <w:tcW w:w="444" w:type="pct"/>
                  <w:noWrap w:val="0"/>
                  <w:vAlign w:val="center"/>
                </w:tcPr>
                <w:p w14:paraId="14F39872">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563A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restart"/>
                  <w:noWrap w:val="0"/>
                  <w:vAlign w:val="center"/>
                </w:tcPr>
                <w:p w14:paraId="56275528">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辅助工程</w:t>
                  </w:r>
                </w:p>
              </w:tc>
              <w:tc>
                <w:tcPr>
                  <w:tcW w:w="476" w:type="pct"/>
                  <w:noWrap w:val="0"/>
                  <w:vAlign w:val="center"/>
                </w:tcPr>
                <w:p w14:paraId="58365838">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eastAsia="宋体"/>
                      <w:color w:val="00B050"/>
                      <w:szCs w:val="21"/>
                      <w:lang w:val="en-US" w:eastAsia="zh-CN"/>
                    </w:rPr>
                  </w:pPr>
                  <w:r>
                    <w:rPr>
                      <w:rFonts w:hint="eastAsia"/>
                      <w:color w:val="00B050"/>
                      <w:szCs w:val="21"/>
                      <w:lang w:val="en-US" w:eastAsia="zh-CN"/>
                    </w:rPr>
                    <w:t>生活办公区</w:t>
                  </w:r>
                </w:p>
              </w:tc>
              <w:tc>
                <w:tcPr>
                  <w:tcW w:w="3656" w:type="pct"/>
                  <w:gridSpan w:val="3"/>
                  <w:noWrap w:val="0"/>
                  <w:vAlign w:val="center"/>
                </w:tcPr>
                <w:p w14:paraId="307BA6CA">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eastAsia="宋体"/>
                      <w:color w:val="00B050"/>
                      <w:szCs w:val="21"/>
                      <w:vertAlign w:val="baseline"/>
                      <w:lang w:val="en-US" w:eastAsia="zh-CN"/>
                    </w:rPr>
                  </w:pPr>
                  <w:r>
                    <w:rPr>
                      <w:rFonts w:hint="eastAsia"/>
                      <w:color w:val="00B050"/>
                      <w:szCs w:val="21"/>
                      <w:vertAlign w:val="baseline"/>
                      <w:lang w:val="en-US" w:eastAsia="zh-CN"/>
                    </w:rPr>
                    <w:t>位于项目区西南侧，占地面积50m</w:t>
                  </w:r>
                  <w:r>
                    <w:rPr>
                      <w:rFonts w:hint="eastAsia"/>
                      <w:color w:val="00B050"/>
                      <w:szCs w:val="21"/>
                      <w:vertAlign w:val="superscript"/>
                      <w:lang w:val="en-US" w:eastAsia="zh-CN"/>
                    </w:rPr>
                    <w:t>2</w:t>
                  </w:r>
                  <w:r>
                    <w:rPr>
                      <w:rFonts w:hint="eastAsia"/>
                      <w:color w:val="00B050"/>
                      <w:szCs w:val="21"/>
                      <w:vertAlign w:val="baseline"/>
                      <w:lang w:val="en-US" w:eastAsia="zh-CN"/>
                    </w:rPr>
                    <w:t>，设有办公区及值班宿舍。</w:t>
                  </w:r>
                </w:p>
              </w:tc>
              <w:tc>
                <w:tcPr>
                  <w:tcW w:w="444" w:type="pct"/>
                  <w:noWrap w:val="0"/>
                  <w:vAlign w:val="center"/>
                </w:tcPr>
                <w:p w14:paraId="6B2EB4E6">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color w:val="00B050"/>
                      <w:szCs w:val="21"/>
                      <w:vertAlign w:val="baseline"/>
                      <w:lang w:val="en-US" w:eastAsia="zh-CN"/>
                    </w:rPr>
                  </w:pPr>
                  <w:r>
                    <w:rPr>
                      <w:rFonts w:hint="eastAsia"/>
                      <w:color w:val="00B050"/>
                      <w:szCs w:val="21"/>
                      <w:vertAlign w:val="baseline"/>
                      <w:lang w:val="en-US" w:eastAsia="zh-CN"/>
                    </w:rPr>
                    <w:t>设计提出</w:t>
                  </w:r>
                </w:p>
              </w:tc>
            </w:tr>
            <w:tr w14:paraId="30C7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1E446C25">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noWrap w:val="0"/>
                  <w:vAlign w:val="center"/>
                </w:tcPr>
                <w:p w14:paraId="5C9BB8D3">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color w:val="00B050"/>
                      <w:szCs w:val="21"/>
                      <w:lang w:val="en-US" w:eastAsia="zh-CN"/>
                    </w:rPr>
                  </w:pPr>
                  <w:r>
                    <w:rPr>
                      <w:rFonts w:hint="eastAsia"/>
                      <w:color w:val="00B050"/>
                      <w:szCs w:val="21"/>
                      <w:lang w:val="en-US" w:eastAsia="zh-CN"/>
                    </w:rPr>
                    <w:t>地磅</w:t>
                  </w:r>
                </w:p>
              </w:tc>
              <w:tc>
                <w:tcPr>
                  <w:tcW w:w="3656" w:type="pct"/>
                  <w:gridSpan w:val="3"/>
                  <w:noWrap w:val="0"/>
                  <w:vAlign w:val="center"/>
                </w:tcPr>
                <w:p w14:paraId="3A52EB78">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eastAsia="宋体"/>
                      <w:color w:val="00B050"/>
                      <w:szCs w:val="21"/>
                      <w:vertAlign w:val="baseline"/>
                      <w:lang w:val="en-US" w:eastAsia="zh-CN"/>
                    </w:rPr>
                  </w:pPr>
                  <w:r>
                    <w:rPr>
                      <w:rFonts w:hint="eastAsia"/>
                      <w:color w:val="00B050"/>
                      <w:szCs w:val="21"/>
                      <w:vertAlign w:val="baseline"/>
                      <w:lang w:val="en-US" w:eastAsia="zh-CN"/>
                    </w:rPr>
                    <w:t>位于项目区入口处，设有地磅称重设施。</w:t>
                  </w:r>
                </w:p>
              </w:tc>
              <w:tc>
                <w:tcPr>
                  <w:tcW w:w="444" w:type="pct"/>
                  <w:noWrap w:val="0"/>
                  <w:vAlign w:val="center"/>
                </w:tcPr>
                <w:p w14:paraId="6C5233C2">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B050"/>
                      <w:szCs w:val="21"/>
                      <w:vertAlign w:val="baseline"/>
                      <w:lang w:val="en-US" w:eastAsia="zh-CN"/>
                    </w:rPr>
                  </w:pPr>
                  <w:r>
                    <w:rPr>
                      <w:rFonts w:hint="eastAsia"/>
                      <w:color w:val="00B050"/>
                      <w:szCs w:val="21"/>
                      <w:vertAlign w:val="baseline"/>
                      <w:lang w:val="en-US" w:eastAsia="zh-CN"/>
                    </w:rPr>
                    <w:t>设计提出</w:t>
                  </w:r>
                </w:p>
              </w:tc>
            </w:tr>
            <w:tr w14:paraId="5D17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22" w:type="pct"/>
                  <w:vMerge w:val="restart"/>
                  <w:noWrap w:val="0"/>
                  <w:vAlign w:val="center"/>
                </w:tcPr>
                <w:p w14:paraId="618867E3">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公用工程</w:t>
                  </w:r>
                </w:p>
              </w:tc>
              <w:tc>
                <w:tcPr>
                  <w:tcW w:w="476" w:type="pct"/>
                  <w:noWrap w:val="0"/>
                  <w:vAlign w:val="center"/>
                </w:tcPr>
                <w:p w14:paraId="4A49B6C7">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B050"/>
                      <w:szCs w:val="21"/>
                    </w:rPr>
                  </w:pPr>
                  <w:r>
                    <w:rPr>
                      <w:rFonts w:hint="eastAsia"/>
                      <w:color w:val="00B050"/>
                      <w:szCs w:val="21"/>
                      <w:lang w:val="en-US" w:eastAsia="zh-CN"/>
                    </w:rPr>
                    <w:t>供水</w:t>
                  </w:r>
                </w:p>
              </w:tc>
              <w:tc>
                <w:tcPr>
                  <w:tcW w:w="3656" w:type="pct"/>
                  <w:gridSpan w:val="3"/>
                  <w:noWrap w:val="0"/>
                  <w:vAlign w:val="center"/>
                </w:tcPr>
                <w:p w14:paraId="70E2143F">
                  <w:pPr>
                    <w:keepNext w:val="0"/>
                    <w:keepLines w:val="0"/>
                    <w:pageBreakBefore w:val="0"/>
                    <w:widowControl w:val="0"/>
                    <w:tabs>
                      <w:tab w:val="left" w:pos="2478"/>
                    </w:tabs>
                    <w:kinsoku/>
                    <w:wordWrap/>
                    <w:overflowPunct/>
                    <w:topLinePunct w:val="0"/>
                    <w:bidi w:val="0"/>
                    <w:adjustRightInd/>
                    <w:snapToGrid/>
                    <w:ind w:firstLine="0" w:firstLineChars="0"/>
                    <w:jc w:val="both"/>
                    <w:textAlignment w:val="auto"/>
                    <w:rPr>
                      <w:rFonts w:hint="default"/>
                      <w:color w:val="00B050"/>
                      <w:szCs w:val="21"/>
                      <w:lang w:val="en-US" w:eastAsia="zh-CN"/>
                    </w:rPr>
                  </w:pPr>
                  <w:r>
                    <w:rPr>
                      <w:rFonts w:hint="eastAsia"/>
                      <w:color w:val="00B050"/>
                      <w:szCs w:val="21"/>
                      <w:lang w:val="en-US" w:eastAsia="zh-CN"/>
                    </w:rPr>
                    <w:t>依托曲靖市东五六供应链管理有限公司已建自来水管网供水设施。</w:t>
                  </w:r>
                </w:p>
              </w:tc>
              <w:tc>
                <w:tcPr>
                  <w:tcW w:w="444" w:type="pct"/>
                  <w:noWrap w:val="0"/>
                  <w:vAlign w:val="center"/>
                </w:tcPr>
                <w:p w14:paraId="08F748A3">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285F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422" w:type="pct"/>
                  <w:vMerge w:val="continue"/>
                  <w:noWrap w:val="0"/>
                  <w:vAlign w:val="center"/>
                </w:tcPr>
                <w:p w14:paraId="5BC11763">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noWrap w:val="0"/>
                  <w:vAlign w:val="center"/>
                </w:tcPr>
                <w:p w14:paraId="24DF4799">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排水</w:t>
                  </w:r>
                </w:p>
              </w:tc>
              <w:tc>
                <w:tcPr>
                  <w:tcW w:w="3656" w:type="pct"/>
                  <w:gridSpan w:val="3"/>
                  <w:noWrap w:val="0"/>
                  <w:vAlign w:val="center"/>
                </w:tcPr>
                <w:p w14:paraId="41A6EAB2">
                  <w:pPr>
                    <w:keepNext w:val="0"/>
                    <w:keepLines w:val="0"/>
                    <w:pageBreakBefore w:val="0"/>
                    <w:widowControl w:val="0"/>
                    <w:tabs>
                      <w:tab w:val="left" w:pos="2478"/>
                    </w:tabs>
                    <w:kinsoku/>
                    <w:wordWrap/>
                    <w:overflowPunct/>
                    <w:topLinePunct w:val="0"/>
                    <w:bidi w:val="0"/>
                    <w:adjustRightInd/>
                    <w:snapToGrid/>
                    <w:ind w:firstLine="0" w:firstLineChars="0"/>
                    <w:jc w:val="both"/>
                    <w:textAlignment w:val="auto"/>
                    <w:rPr>
                      <w:rFonts w:hint="default"/>
                      <w:color w:val="000000" w:themeColor="text1"/>
                      <w:lang w:val="en-US" w:eastAsia="zh-CN"/>
                      <w14:textFill>
                        <w14:solidFill>
                          <w14:schemeClr w14:val="tx1"/>
                        </w14:solidFill>
                      </w14:textFill>
                    </w:rPr>
                  </w:pPr>
                  <w:r>
                    <w:rPr>
                      <w:rFonts w:hint="eastAsia"/>
                      <w:b w:val="0"/>
                      <w:bCs w:val="0"/>
                      <w:snapToGrid/>
                      <w:color w:val="00B050"/>
                      <w:kern w:val="0"/>
                      <w:sz w:val="21"/>
                      <w:szCs w:val="21"/>
                    </w:rPr>
                    <w:t>项目采取雨污分流，项目产生碱洗废水经0.5m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收集桶收集后委托碱洗废水处置单位进行清运处置；生活污水依托曲靖市东五六供应链管理有限公司已建化粪池（容积：10m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）收集后委托麒麟区环卫部门清掏处理，不外排</w:t>
                  </w:r>
                </w:p>
              </w:tc>
              <w:tc>
                <w:tcPr>
                  <w:tcW w:w="444" w:type="pct"/>
                  <w:noWrap w:val="0"/>
                  <w:vAlign w:val="center"/>
                </w:tcPr>
                <w:p w14:paraId="6EA0AECE">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设计提出</w:t>
                  </w:r>
                </w:p>
              </w:tc>
            </w:tr>
            <w:tr w14:paraId="6715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422" w:type="pct"/>
                  <w:vMerge w:val="continue"/>
                  <w:noWrap w:val="0"/>
                  <w:vAlign w:val="center"/>
                </w:tcPr>
                <w:p w14:paraId="13738051">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noWrap w:val="0"/>
                  <w:vAlign w:val="center"/>
                </w:tcPr>
                <w:p w14:paraId="72DF890B">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雨水导排</w:t>
                  </w:r>
                </w:p>
              </w:tc>
              <w:tc>
                <w:tcPr>
                  <w:tcW w:w="3656" w:type="pct"/>
                  <w:gridSpan w:val="3"/>
                  <w:noWrap w:val="0"/>
                  <w:vAlign w:val="center"/>
                </w:tcPr>
                <w:p w14:paraId="4E9475F5">
                  <w:pPr>
                    <w:keepNext w:val="0"/>
                    <w:keepLines w:val="0"/>
                    <w:pageBreakBefore w:val="0"/>
                    <w:widowControl w:val="0"/>
                    <w:tabs>
                      <w:tab w:val="left" w:pos="2478"/>
                    </w:tabs>
                    <w:kinsoku/>
                    <w:wordWrap/>
                    <w:overflowPunct/>
                    <w:topLinePunct w:val="0"/>
                    <w:bidi w:val="0"/>
                    <w:adjustRightInd/>
                    <w:snapToGrid/>
                    <w:ind w:firstLine="0" w:firstLineChars="0"/>
                    <w:jc w:val="both"/>
                    <w:textAlignment w:val="auto"/>
                    <w:rPr>
                      <w:rFonts w:hint="default"/>
                      <w:color w:val="00B050"/>
                      <w:szCs w:val="21"/>
                      <w:highlight w:val="none"/>
                      <w:lang w:val="en-US" w:eastAsia="zh-CN"/>
                    </w:rPr>
                  </w:pPr>
                  <w:r>
                    <w:rPr>
                      <w:rFonts w:hint="eastAsia"/>
                      <w:color w:val="00B050"/>
                      <w:szCs w:val="21"/>
                      <w:highlight w:val="none"/>
                      <w:lang w:val="en-US" w:eastAsia="zh-CN"/>
                    </w:rPr>
                    <w:t>项目屋顶设置雨水导流沟槽，屋面雨水经导流沟槽引至曲靖市东物流供应链管理有限公司雨水管网收集后就近排入周边沟渠，项目所在区域雨水最终进入南盘江。</w:t>
                  </w:r>
                </w:p>
              </w:tc>
              <w:tc>
                <w:tcPr>
                  <w:tcW w:w="444" w:type="pct"/>
                  <w:noWrap w:val="0"/>
                  <w:vAlign w:val="center"/>
                </w:tcPr>
                <w:p w14:paraId="6E281592">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B050"/>
                      <w:szCs w:val="21"/>
                      <w:lang w:val="en-US" w:eastAsia="zh-CN"/>
                    </w:rPr>
                  </w:pPr>
                  <w:r>
                    <w:rPr>
                      <w:rFonts w:hint="eastAsia"/>
                      <w:color w:val="00B050"/>
                      <w:szCs w:val="21"/>
                      <w:vertAlign w:val="baseline"/>
                      <w:lang w:val="en-US" w:eastAsia="zh-CN"/>
                    </w:rPr>
                    <w:t>设计提出</w:t>
                  </w:r>
                </w:p>
              </w:tc>
            </w:tr>
            <w:tr w14:paraId="16A6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3ABA82F3">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noWrap w:val="0"/>
                  <w:vAlign w:val="center"/>
                </w:tcPr>
                <w:p w14:paraId="0EC0A18A">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供电</w:t>
                  </w:r>
                </w:p>
              </w:tc>
              <w:tc>
                <w:tcPr>
                  <w:tcW w:w="3656" w:type="pct"/>
                  <w:gridSpan w:val="3"/>
                  <w:noWrap w:val="0"/>
                  <w:vAlign w:val="center"/>
                </w:tcPr>
                <w:p w14:paraId="1240BA1E">
                  <w:pPr>
                    <w:keepNext w:val="0"/>
                    <w:keepLines w:val="0"/>
                    <w:pageBreakBefore w:val="0"/>
                    <w:widowControl w:val="0"/>
                    <w:tabs>
                      <w:tab w:val="left" w:pos="2478"/>
                    </w:tabs>
                    <w:kinsoku/>
                    <w:wordWrap/>
                    <w:overflowPunct/>
                    <w:topLinePunct w:val="0"/>
                    <w:bidi w:val="0"/>
                    <w:adjustRightInd/>
                    <w:snapToGrid/>
                    <w:ind w:firstLine="0" w:firstLineChars="0"/>
                    <w:jc w:val="both"/>
                    <w:textAlignment w:val="auto"/>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依托曲靖市东五六供应链管理有限公司现有配电室供电。</w:t>
                  </w:r>
                </w:p>
              </w:tc>
              <w:tc>
                <w:tcPr>
                  <w:tcW w:w="444" w:type="pct"/>
                  <w:noWrap w:val="0"/>
                  <w:vAlign w:val="center"/>
                </w:tcPr>
                <w:p w14:paraId="25ACC36A">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设计提出</w:t>
                  </w:r>
                </w:p>
              </w:tc>
            </w:tr>
            <w:tr w14:paraId="353C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422" w:type="pct"/>
                  <w:vMerge w:val="restart"/>
                  <w:noWrap w:val="0"/>
                  <w:vAlign w:val="center"/>
                </w:tcPr>
                <w:p w14:paraId="4C4AE6C5">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环保工程</w:t>
                  </w:r>
                </w:p>
              </w:tc>
              <w:tc>
                <w:tcPr>
                  <w:tcW w:w="476" w:type="pct"/>
                  <w:vMerge w:val="restart"/>
                  <w:noWrap w:val="0"/>
                  <w:vAlign w:val="center"/>
                </w:tcPr>
                <w:p w14:paraId="08DA0006">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废气处理</w:t>
                  </w:r>
                </w:p>
              </w:tc>
              <w:tc>
                <w:tcPr>
                  <w:tcW w:w="544" w:type="pct"/>
                  <w:noWrap w:val="0"/>
                  <w:vAlign w:val="center"/>
                </w:tcPr>
                <w:p w14:paraId="01184D16">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eastAsia="宋体"/>
                      <w:color w:val="00B050"/>
                      <w:szCs w:val="21"/>
                      <w:lang w:val="en-US" w:eastAsia="zh-CN"/>
                    </w:rPr>
                  </w:pPr>
                  <w:r>
                    <w:rPr>
                      <w:rFonts w:hint="eastAsia"/>
                      <w:color w:val="00B050"/>
                      <w:szCs w:val="21"/>
                      <w:lang w:val="en-US" w:eastAsia="zh-CN"/>
                    </w:rPr>
                    <w:t>储罐呼吸废气</w:t>
                  </w:r>
                </w:p>
              </w:tc>
              <w:tc>
                <w:tcPr>
                  <w:tcW w:w="3112" w:type="pct"/>
                  <w:gridSpan w:val="2"/>
                  <w:vMerge w:val="restart"/>
                  <w:noWrap w:val="0"/>
                  <w:vAlign w:val="center"/>
                </w:tcPr>
                <w:p w14:paraId="5461D3B3">
                  <w:pPr>
                    <w:rPr>
                      <w:rFonts w:hint="default"/>
                      <w:color w:val="00B050"/>
                      <w:szCs w:val="21"/>
                      <w:lang w:val="en-US" w:eastAsia="zh-CN"/>
                    </w:rPr>
                  </w:pP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呼吸废气经收集后</w:t>
                  </w:r>
                  <w:r>
                    <w:rPr>
                      <w:rFonts w:hint="eastAsia" w:cs="Times New Roman"/>
                      <w:color w:val="FF0000"/>
                      <w:sz w:val="21"/>
                      <w:szCs w:val="21"/>
                      <w:lang w:val="en-US" w:eastAsia="zh-CN" w:bidi="ar-SA"/>
                    </w:rPr>
                    <w:t>通过引风机</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color w:val="FF0000"/>
                      <w:sz w:val="21"/>
                      <w:szCs w:val="21"/>
                      <w:lang w:val="en-US" w:eastAsia="zh-CN" w:bidi="ar-SA"/>
                    </w:rPr>
                    <w:t>引至</w:t>
                  </w:r>
                  <w:r>
                    <w:rPr>
                      <w:rFonts w:hint="eastAsia" w:cs="Times New Roman"/>
                      <w:color w:val="FF0000"/>
                      <w:sz w:val="21"/>
                      <w:szCs w:val="21"/>
                      <w:lang w:val="en-US" w:eastAsia="zh-CN" w:bidi="ar-SA"/>
                    </w:rPr>
                    <w:t>1套活性炭吸附装置</w:t>
                  </w:r>
                  <w:r>
                    <w:rPr>
                      <w:rFonts w:hint="eastAsia" w:ascii="Times New Roman" w:hAnsi="Times New Roman" w:eastAsia="宋体" w:cs="Times New Roman"/>
                      <w:color w:val="FF0000"/>
                      <w:sz w:val="21"/>
                      <w:szCs w:val="21"/>
                      <w:lang w:val="en-US" w:eastAsia="zh-CN" w:bidi="ar-SA"/>
                    </w:rPr>
                    <w:t>处理；</w:t>
                  </w:r>
                  <w:r>
                    <w:rPr>
                      <w:rFonts w:hint="eastAsia"/>
                      <w:b w:val="0"/>
                      <w:bCs w:val="0"/>
                      <w:color w:val="FF0000"/>
                      <w:sz w:val="21"/>
                      <w:szCs w:val="21"/>
                      <w:lang w:val="en-US" w:eastAsia="zh-CN"/>
                    </w:rPr>
                    <w:t>废铅蓄电池破损泄漏产生的酸性废气由集气罩收集后</w:t>
                  </w:r>
                  <w:r>
                    <w:rPr>
                      <w:rFonts w:hint="eastAsia" w:cs="Times New Roman"/>
                      <w:b w:val="0"/>
                      <w:bCs w:val="0"/>
                      <w:color w:val="FF0000"/>
                      <w:sz w:val="21"/>
                      <w:szCs w:val="21"/>
                      <w:lang w:val="en-US" w:eastAsia="zh-CN" w:bidi="ar-SA"/>
                    </w:rPr>
                    <w:t>通过引风机（</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引至</w:t>
                  </w:r>
                  <w:r>
                    <w:rPr>
                      <w:rFonts w:hint="eastAsia"/>
                      <w:b w:val="0"/>
                      <w:bCs w:val="0"/>
                      <w:color w:val="FF0000"/>
                      <w:sz w:val="21"/>
                      <w:szCs w:val="21"/>
                      <w:lang w:val="en-US" w:eastAsia="zh-CN"/>
                    </w:rPr>
                    <w:t>1座碱洗塔处理；</w:t>
                  </w: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w:t>
                  </w:r>
                  <w:r>
                    <w:rPr>
                      <w:rFonts w:hint="eastAsia"/>
                      <w:b w:val="0"/>
                      <w:bCs w:val="0"/>
                      <w:color w:val="FF0000"/>
                      <w:sz w:val="21"/>
                      <w:szCs w:val="21"/>
                      <w:lang w:val="en-US" w:eastAsia="zh-CN"/>
                    </w:rPr>
                    <w:t>和酸性废气经处理后合并通过一根15m高排气筒（编号：DA001）排放。</w:t>
                  </w:r>
                </w:p>
              </w:tc>
              <w:tc>
                <w:tcPr>
                  <w:tcW w:w="444" w:type="pct"/>
                  <w:noWrap w:val="0"/>
                  <w:vAlign w:val="center"/>
                </w:tcPr>
                <w:p w14:paraId="0DEFAA73">
                  <w:pPr>
                    <w:keepNext w:val="0"/>
                    <w:keepLines w:val="0"/>
                    <w:pageBreakBefore w:val="0"/>
                    <w:widowControl w:val="0"/>
                    <w:tabs>
                      <w:tab w:val="left" w:pos="2478"/>
                    </w:tabs>
                    <w:kinsoku/>
                    <w:wordWrap/>
                    <w:overflowPunct/>
                    <w:topLinePunct w:val="0"/>
                    <w:autoSpaceDE/>
                    <w:autoSpaceDN/>
                    <w:bidi w:val="0"/>
                    <w:adjustRightInd/>
                    <w:snapToGrid/>
                    <w:ind w:firstLine="0" w:firstLineChars="0"/>
                    <w:jc w:val="center"/>
                    <w:textAlignment w:val="auto"/>
                    <w:rPr>
                      <w:rFonts w:hint="default"/>
                      <w:color w:val="00B050"/>
                      <w:szCs w:val="21"/>
                      <w:lang w:val="en-US" w:eastAsia="zh-CN"/>
                    </w:rPr>
                  </w:pPr>
                  <w:r>
                    <w:rPr>
                      <w:rFonts w:hint="eastAsia"/>
                      <w:color w:val="00B050"/>
                      <w:szCs w:val="21"/>
                      <w:lang w:val="en-US" w:eastAsia="zh-CN"/>
                    </w:rPr>
                    <w:t>环评提出</w:t>
                  </w:r>
                </w:p>
              </w:tc>
            </w:tr>
            <w:tr w14:paraId="1735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6BE5BACB">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13A9CE60">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noWrap w:val="0"/>
                  <w:vAlign w:val="center"/>
                </w:tcPr>
                <w:p w14:paraId="10C92E4D">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color w:val="00B050"/>
                      <w:szCs w:val="21"/>
                      <w:lang w:val="en-US" w:eastAsia="zh-CN"/>
                    </w:rPr>
                  </w:pPr>
                  <w:r>
                    <w:rPr>
                      <w:rFonts w:hint="eastAsia"/>
                      <w:color w:val="00B050"/>
                      <w:szCs w:val="21"/>
                      <w:lang w:val="en-US" w:eastAsia="zh-CN"/>
                    </w:rPr>
                    <w:t>废铅蓄电池贮存废气</w:t>
                  </w:r>
                </w:p>
              </w:tc>
              <w:tc>
                <w:tcPr>
                  <w:tcW w:w="3112" w:type="pct"/>
                  <w:gridSpan w:val="2"/>
                  <w:vMerge w:val="continue"/>
                  <w:noWrap w:val="0"/>
                  <w:vAlign w:val="center"/>
                </w:tcPr>
                <w:p w14:paraId="35F0A853">
                  <w:pPr>
                    <w:keepNext w:val="0"/>
                    <w:keepLines w:val="0"/>
                    <w:pageBreakBefore w:val="0"/>
                    <w:widowControl w:val="0"/>
                    <w:tabs>
                      <w:tab w:val="left" w:pos="2478"/>
                    </w:tabs>
                    <w:kinsoku/>
                    <w:wordWrap/>
                    <w:overflowPunct/>
                    <w:topLinePunct w:val="0"/>
                    <w:autoSpaceDE/>
                    <w:autoSpaceDN/>
                    <w:bidi w:val="0"/>
                    <w:adjustRightInd/>
                    <w:snapToGrid/>
                    <w:ind w:firstLine="0" w:firstLineChars="0"/>
                    <w:jc w:val="both"/>
                    <w:textAlignment w:val="auto"/>
                    <w:rPr>
                      <w:rFonts w:hint="default"/>
                      <w:lang w:val="en-US" w:eastAsia="zh-CN"/>
                    </w:rPr>
                  </w:pPr>
                </w:p>
              </w:tc>
              <w:tc>
                <w:tcPr>
                  <w:tcW w:w="444" w:type="pct"/>
                  <w:noWrap w:val="0"/>
                  <w:vAlign w:val="center"/>
                </w:tcPr>
                <w:p w14:paraId="0B9C1AF1">
                  <w:pPr>
                    <w:keepNext w:val="0"/>
                    <w:keepLines w:val="0"/>
                    <w:pageBreakBefore w:val="0"/>
                    <w:widowControl w:val="0"/>
                    <w:tabs>
                      <w:tab w:val="left" w:pos="2478"/>
                    </w:tabs>
                    <w:kinsoku/>
                    <w:wordWrap/>
                    <w:overflowPunct/>
                    <w:topLinePunct w:val="0"/>
                    <w:autoSpaceDE/>
                    <w:autoSpaceDN/>
                    <w:bidi w:val="0"/>
                    <w:adjustRightInd/>
                    <w:snapToGrid/>
                    <w:ind w:firstLine="0" w:firstLineChars="0"/>
                    <w:jc w:val="center"/>
                    <w:textAlignment w:val="auto"/>
                    <w:rPr>
                      <w:rFonts w:hint="eastAsia"/>
                      <w:color w:val="00B050"/>
                      <w:szCs w:val="21"/>
                      <w:lang w:val="en-US" w:eastAsia="zh-CN"/>
                    </w:rPr>
                  </w:pPr>
                  <w:r>
                    <w:rPr>
                      <w:rFonts w:hint="eastAsia"/>
                      <w:color w:val="00B050"/>
                      <w:szCs w:val="21"/>
                      <w:lang w:val="en-US" w:eastAsia="zh-CN"/>
                    </w:rPr>
                    <w:t>环评提出</w:t>
                  </w:r>
                </w:p>
              </w:tc>
            </w:tr>
            <w:tr w14:paraId="4E5D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7D55D238">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restart"/>
                  <w:noWrap w:val="0"/>
                  <w:vAlign w:val="center"/>
                </w:tcPr>
                <w:p w14:paraId="6F626F39">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废水治理</w:t>
                  </w:r>
                </w:p>
              </w:tc>
              <w:tc>
                <w:tcPr>
                  <w:tcW w:w="544" w:type="pct"/>
                  <w:noWrap w:val="0"/>
                  <w:vAlign w:val="center"/>
                </w:tcPr>
                <w:p w14:paraId="4644A5CD">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color w:val="00B050"/>
                      <w:szCs w:val="21"/>
                      <w:lang w:val="en-US" w:eastAsia="zh-CN"/>
                    </w:rPr>
                  </w:pPr>
                  <w:r>
                    <w:rPr>
                      <w:rFonts w:hint="eastAsia"/>
                      <w:color w:val="00B050"/>
                      <w:szCs w:val="21"/>
                      <w:lang w:val="en-US" w:eastAsia="zh-CN"/>
                    </w:rPr>
                    <w:t>生活污水</w:t>
                  </w:r>
                </w:p>
              </w:tc>
              <w:tc>
                <w:tcPr>
                  <w:tcW w:w="3112" w:type="pct"/>
                  <w:gridSpan w:val="2"/>
                  <w:noWrap w:val="0"/>
                  <w:vAlign w:val="center"/>
                </w:tcPr>
                <w:p w14:paraId="2BC97E0E">
                  <w:pPr>
                    <w:keepNext w:val="0"/>
                    <w:keepLines w:val="0"/>
                    <w:pageBreakBefore w:val="0"/>
                    <w:widowControl w:val="0"/>
                    <w:tabs>
                      <w:tab w:val="left" w:pos="2478"/>
                    </w:tabs>
                    <w:kinsoku/>
                    <w:wordWrap/>
                    <w:overflowPunct/>
                    <w:topLinePunct w:val="0"/>
                    <w:bidi w:val="0"/>
                    <w:adjustRightInd/>
                    <w:snapToGrid/>
                    <w:ind w:firstLine="0" w:firstLineChars="0"/>
                    <w:jc w:val="both"/>
                    <w:textAlignment w:val="auto"/>
                    <w:rPr>
                      <w:rFonts w:hint="default"/>
                      <w:color w:val="00B050"/>
                      <w:kern w:val="2"/>
                      <w:sz w:val="21"/>
                      <w:szCs w:val="21"/>
                      <w:vertAlign w:val="baseline"/>
                      <w:lang w:val="en-US" w:eastAsia="zh-CN" w:bidi="ar-SA"/>
                    </w:rPr>
                  </w:pPr>
                  <w:r>
                    <w:rPr>
                      <w:rFonts w:hint="eastAsia"/>
                      <w:color w:val="00B050"/>
                      <w:kern w:val="21"/>
                      <w:sz w:val="21"/>
                      <w:szCs w:val="21"/>
                      <w:lang w:val="en-US" w:eastAsia="zh-CN"/>
                    </w:rPr>
                    <w:t>依托</w:t>
                  </w:r>
                  <w:r>
                    <w:rPr>
                      <w:rFonts w:hint="eastAsia"/>
                      <w:color w:val="00B050"/>
                      <w:sz w:val="21"/>
                      <w:szCs w:val="21"/>
                      <w:lang w:val="en-US" w:eastAsia="zh-CN"/>
                    </w:rPr>
                    <w:t>曲靖市东五六供应链管理有限公司</w:t>
                  </w:r>
                  <w:r>
                    <w:rPr>
                      <w:rFonts w:hint="eastAsia"/>
                      <w:color w:val="00B050"/>
                      <w:kern w:val="21"/>
                      <w:sz w:val="21"/>
                      <w:szCs w:val="21"/>
                      <w:lang w:val="en-US" w:eastAsia="zh-CN"/>
                    </w:rPr>
                    <w:t>已建1个化粪池（容积：10m</w:t>
                  </w:r>
                  <w:r>
                    <w:rPr>
                      <w:rFonts w:hint="eastAsia"/>
                      <w:color w:val="00B050"/>
                      <w:kern w:val="21"/>
                      <w:sz w:val="21"/>
                      <w:szCs w:val="21"/>
                      <w:vertAlign w:val="superscript"/>
                      <w:lang w:val="en-US" w:eastAsia="zh-CN"/>
                    </w:rPr>
                    <w:t>3</w:t>
                  </w:r>
                  <w:r>
                    <w:rPr>
                      <w:rFonts w:hint="eastAsia"/>
                      <w:color w:val="00B050"/>
                      <w:kern w:val="21"/>
                      <w:sz w:val="21"/>
                      <w:szCs w:val="21"/>
                      <w:lang w:val="en-US" w:eastAsia="zh-CN"/>
                    </w:rPr>
                    <w:t>）收集</w:t>
                  </w:r>
                  <w:r>
                    <w:rPr>
                      <w:rFonts w:hint="eastAsia" w:ascii="Times New Roman" w:hAnsi="Times New Roman" w:cs="Times New Roman"/>
                      <w:color w:val="00B050"/>
                      <w:sz w:val="21"/>
                      <w:szCs w:val="21"/>
                      <w:vertAlign w:val="baseline"/>
                      <w:lang w:val="en-US" w:eastAsia="zh-CN"/>
                    </w:rPr>
                    <w:t>后委托</w:t>
                  </w:r>
                  <w:r>
                    <w:rPr>
                      <w:rFonts w:hint="eastAsia" w:ascii="Times New Roman" w:hAnsi="Times New Roman" w:eastAsia="宋体" w:cs="Times New Roman"/>
                      <w:bCs/>
                      <w:color w:val="00B050"/>
                      <w:spacing w:val="-10"/>
                      <w:sz w:val="21"/>
                      <w:szCs w:val="21"/>
                      <w:highlight w:val="none"/>
                      <w:lang w:val="en-US" w:eastAsia="zh-CN"/>
                    </w:rPr>
                    <w:t>麒麟区</w:t>
                  </w:r>
                  <w:r>
                    <w:rPr>
                      <w:rFonts w:hint="default" w:ascii="Times New Roman" w:hAnsi="Times New Roman" w:eastAsia="宋体" w:cs="Times New Roman"/>
                      <w:bCs/>
                      <w:color w:val="00B050"/>
                      <w:spacing w:val="-10"/>
                      <w:sz w:val="21"/>
                      <w:szCs w:val="21"/>
                      <w:highlight w:val="none"/>
                    </w:rPr>
                    <w:t>环卫部门</w:t>
                  </w:r>
                  <w:r>
                    <w:rPr>
                      <w:rFonts w:hint="eastAsia" w:ascii="Times New Roman" w:hAnsi="Times New Roman" w:cs="Times New Roman"/>
                      <w:color w:val="00B050"/>
                      <w:sz w:val="21"/>
                      <w:szCs w:val="21"/>
                      <w:vertAlign w:val="baseline"/>
                      <w:lang w:val="en-US" w:eastAsia="zh-CN"/>
                    </w:rPr>
                    <w:t>清掏处理</w:t>
                  </w:r>
                  <w:r>
                    <w:rPr>
                      <w:rFonts w:hint="eastAsia"/>
                      <w:color w:val="00B050"/>
                      <w:kern w:val="21"/>
                      <w:sz w:val="21"/>
                      <w:szCs w:val="21"/>
                      <w:lang w:val="en-US" w:eastAsia="zh-CN"/>
                    </w:rPr>
                    <w:t>，不外排。</w:t>
                  </w:r>
                </w:p>
              </w:tc>
              <w:tc>
                <w:tcPr>
                  <w:tcW w:w="444" w:type="pct"/>
                  <w:noWrap w:val="0"/>
                  <w:vAlign w:val="center"/>
                </w:tcPr>
                <w:p w14:paraId="2D5175E6">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B050"/>
                      <w:kern w:val="2"/>
                      <w:sz w:val="21"/>
                      <w:szCs w:val="21"/>
                      <w:lang w:val="en-US" w:eastAsia="zh-CN" w:bidi="ar-SA"/>
                    </w:rPr>
                  </w:pPr>
                  <w:r>
                    <w:rPr>
                      <w:rFonts w:hint="eastAsia"/>
                      <w:color w:val="00B050"/>
                      <w:sz w:val="21"/>
                      <w:szCs w:val="21"/>
                      <w:lang w:val="en-US" w:eastAsia="zh-CN"/>
                    </w:rPr>
                    <w:t>环评提出</w:t>
                  </w:r>
                </w:p>
              </w:tc>
            </w:tr>
            <w:tr w14:paraId="187E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6D9D7530">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0EF31C45">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noWrap w:val="0"/>
                  <w:vAlign w:val="center"/>
                </w:tcPr>
                <w:p w14:paraId="2585D925">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color w:val="00B050"/>
                      <w:szCs w:val="21"/>
                      <w:lang w:val="en-US" w:eastAsia="zh-CN"/>
                    </w:rPr>
                  </w:pPr>
                  <w:r>
                    <w:rPr>
                      <w:rFonts w:hint="eastAsia"/>
                      <w:b w:val="0"/>
                      <w:bCs w:val="0"/>
                      <w:snapToGrid/>
                      <w:color w:val="00B050"/>
                      <w:kern w:val="0"/>
                      <w:sz w:val="21"/>
                      <w:szCs w:val="21"/>
                    </w:rPr>
                    <w:t>碱洗废水</w:t>
                  </w:r>
                </w:p>
              </w:tc>
              <w:tc>
                <w:tcPr>
                  <w:tcW w:w="3112" w:type="pct"/>
                  <w:gridSpan w:val="2"/>
                  <w:noWrap w:val="0"/>
                  <w:vAlign w:val="center"/>
                </w:tcPr>
                <w:p w14:paraId="08ED72CF">
                  <w:pPr>
                    <w:keepNext w:val="0"/>
                    <w:keepLines w:val="0"/>
                    <w:pageBreakBefore w:val="0"/>
                    <w:widowControl w:val="0"/>
                    <w:tabs>
                      <w:tab w:val="left" w:pos="2478"/>
                    </w:tabs>
                    <w:kinsoku/>
                    <w:wordWrap/>
                    <w:overflowPunct/>
                    <w:topLinePunct w:val="0"/>
                    <w:bidi w:val="0"/>
                    <w:adjustRightInd/>
                    <w:snapToGrid/>
                    <w:ind w:firstLine="0" w:firstLineChars="0"/>
                    <w:jc w:val="both"/>
                    <w:textAlignment w:val="auto"/>
                    <w:rPr>
                      <w:rFonts w:hint="eastAsia"/>
                      <w:color w:val="00B050"/>
                      <w:kern w:val="21"/>
                      <w:sz w:val="21"/>
                      <w:szCs w:val="21"/>
                      <w:lang w:val="en-US" w:eastAsia="zh-CN"/>
                    </w:rPr>
                  </w:pPr>
                  <w:r>
                    <w:rPr>
                      <w:rFonts w:hint="eastAsia"/>
                      <w:b w:val="0"/>
                      <w:bCs w:val="0"/>
                      <w:snapToGrid/>
                      <w:color w:val="00B050"/>
                      <w:kern w:val="0"/>
                      <w:sz w:val="21"/>
                      <w:szCs w:val="21"/>
                    </w:rPr>
                    <w:t>项目产生碱洗废水经0.5m</w:t>
                  </w:r>
                  <w:r>
                    <w:rPr>
                      <w:rFonts w:hint="eastAsia"/>
                      <w:b w:val="0"/>
                      <w:bCs w:val="0"/>
                      <w:snapToGrid/>
                      <w:color w:val="00B050"/>
                      <w:kern w:val="0"/>
                      <w:sz w:val="21"/>
                      <w:szCs w:val="21"/>
                      <w:vertAlign w:val="superscript"/>
                    </w:rPr>
                    <w:t>3</w:t>
                  </w:r>
                  <w:r>
                    <w:rPr>
                      <w:rFonts w:hint="eastAsia"/>
                      <w:b w:val="0"/>
                      <w:bCs w:val="0"/>
                      <w:snapToGrid/>
                      <w:color w:val="00B050"/>
                      <w:kern w:val="0"/>
                      <w:sz w:val="21"/>
                      <w:szCs w:val="21"/>
                    </w:rPr>
                    <w:t>收集桶收集后委托碱洗废水处置单位进行清运处置</w:t>
                  </w:r>
                </w:p>
              </w:tc>
              <w:tc>
                <w:tcPr>
                  <w:tcW w:w="444" w:type="pct"/>
                  <w:noWrap w:val="0"/>
                  <w:vAlign w:val="center"/>
                </w:tcPr>
                <w:p w14:paraId="5B6FF290">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B050"/>
                      <w:sz w:val="21"/>
                      <w:szCs w:val="21"/>
                      <w:lang w:val="en-US" w:eastAsia="zh-CN"/>
                    </w:rPr>
                  </w:pPr>
                  <w:r>
                    <w:rPr>
                      <w:rFonts w:hint="eastAsia"/>
                      <w:color w:val="00B050"/>
                      <w:sz w:val="21"/>
                      <w:szCs w:val="21"/>
                      <w:lang w:val="en-US" w:eastAsia="zh-CN"/>
                    </w:rPr>
                    <w:t>环评提出</w:t>
                  </w:r>
                </w:p>
              </w:tc>
            </w:tr>
            <w:tr w14:paraId="3AFF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4092829A">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restart"/>
                  <w:noWrap w:val="0"/>
                  <w:vAlign w:val="center"/>
                </w:tcPr>
                <w:p w14:paraId="45343ED4">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固废</w:t>
                  </w:r>
                </w:p>
              </w:tc>
              <w:tc>
                <w:tcPr>
                  <w:tcW w:w="544" w:type="pct"/>
                  <w:noWrap w:val="0"/>
                  <w:vAlign w:val="center"/>
                </w:tcPr>
                <w:p w14:paraId="1DB941C0">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垃圾桶</w:t>
                  </w:r>
                </w:p>
              </w:tc>
              <w:tc>
                <w:tcPr>
                  <w:tcW w:w="3112" w:type="pct"/>
                  <w:gridSpan w:val="2"/>
                  <w:noWrap w:val="0"/>
                  <w:vAlign w:val="center"/>
                </w:tcPr>
                <w:p w14:paraId="0B633219">
                  <w:pPr>
                    <w:keepNext w:val="0"/>
                    <w:keepLines w:val="0"/>
                    <w:pageBreakBefore w:val="0"/>
                    <w:widowControl w:val="0"/>
                    <w:tabs>
                      <w:tab w:val="left" w:pos="2478"/>
                    </w:tabs>
                    <w:kinsoku/>
                    <w:wordWrap/>
                    <w:overflowPunct/>
                    <w:topLinePunct w:val="0"/>
                    <w:bidi w:val="0"/>
                    <w:adjustRightInd/>
                    <w:snapToGrid/>
                    <w:ind w:firstLine="0" w:firstLineChars="0"/>
                    <w:jc w:val="both"/>
                    <w:textAlignment w:val="auto"/>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厂区内分散布置垃圾收集桶，生活垃圾经收集后委托环卫部门清运处置。</w:t>
                  </w:r>
                </w:p>
              </w:tc>
              <w:tc>
                <w:tcPr>
                  <w:tcW w:w="444" w:type="pct"/>
                  <w:noWrap w:val="0"/>
                  <w:vAlign w:val="center"/>
                </w:tcPr>
                <w:p w14:paraId="7C9C87C0">
                  <w:pPr>
                    <w:keepNext w:val="0"/>
                    <w:keepLines w:val="0"/>
                    <w:pageBreakBefore w:val="0"/>
                    <w:widowControl w:val="0"/>
                    <w:tabs>
                      <w:tab w:val="left" w:pos="2478"/>
                    </w:tabs>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环评提出</w:t>
                  </w:r>
                </w:p>
              </w:tc>
            </w:tr>
            <w:tr w14:paraId="6063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650D0F35">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667E2B2E">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noWrap w:val="0"/>
                  <w:vAlign w:val="center"/>
                </w:tcPr>
                <w:p w14:paraId="5A951051">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危险废物</w:t>
                  </w:r>
                </w:p>
              </w:tc>
              <w:tc>
                <w:tcPr>
                  <w:tcW w:w="3112" w:type="pct"/>
                  <w:gridSpan w:val="2"/>
                  <w:noWrap w:val="0"/>
                  <w:vAlign w:val="center"/>
                </w:tcPr>
                <w:p w14:paraId="430224C2">
                  <w:pPr>
                    <w:keepNext w:val="0"/>
                    <w:keepLines w:val="0"/>
                    <w:pageBreakBefore w:val="0"/>
                    <w:widowControl w:val="0"/>
                    <w:tabs>
                      <w:tab w:val="left" w:pos="2478"/>
                    </w:tabs>
                    <w:kinsoku/>
                    <w:wordWrap/>
                    <w:overflowPunct/>
                    <w:topLinePunct w:val="0"/>
                    <w:bidi w:val="0"/>
                    <w:adjustRightInd/>
                    <w:snapToGrid/>
                    <w:ind w:firstLine="0" w:firstLineChars="0"/>
                    <w:jc w:val="both"/>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由贮存库分类收集后委托相应资质单位处置。</w:t>
                  </w:r>
                </w:p>
              </w:tc>
              <w:tc>
                <w:tcPr>
                  <w:tcW w:w="444" w:type="pct"/>
                  <w:noWrap w:val="0"/>
                  <w:vAlign w:val="center"/>
                </w:tcPr>
                <w:p w14:paraId="429CF6F6">
                  <w:pPr>
                    <w:keepNext w:val="0"/>
                    <w:keepLines w:val="0"/>
                    <w:pageBreakBefore w:val="0"/>
                    <w:widowControl w:val="0"/>
                    <w:tabs>
                      <w:tab w:val="left" w:pos="2478"/>
                    </w:tabs>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环评提出</w:t>
                  </w:r>
                </w:p>
              </w:tc>
            </w:tr>
            <w:tr w14:paraId="7D02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3E191DDD">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restart"/>
                  <w:noWrap w:val="0"/>
                  <w:vAlign w:val="center"/>
                </w:tcPr>
                <w:p w14:paraId="6CB6EC15">
                  <w:pPr>
                    <w:keepNext w:val="0"/>
                    <w:keepLines w:val="0"/>
                    <w:pageBreakBefore w:val="0"/>
                    <w:widowControl w:val="0"/>
                    <w:tabs>
                      <w:tab w:val="left" w:pos="2478"/>
                    </w:tabs>
                    <w:kinsoku/>
                    <w:wordWrap/>
                    <w:overflowPunct/>
                    <w:topLinePunct w:val="0"/>
                    <w:bidi w:val="0"/>
                    <w:adjustRightInd/>
                    <w:snapToGrid/>
                    <w:spacing w:line="240" w:lineRule="auto"/>
                    <w:ind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分区防渗</w:t>
                  </w:r>
                </w:p>
              </w:tc>
              <w:tc>
                <w:tcPr>
                  <w:tcW w:w="544" w:type="pct"/>
                  <w:noWrap w:val="0"/>
                  <w:vAlign w:val="center"/>
                </w:tcPr>
                <w:p w14:paraId="211A53CB">
                  <w:pPr>
                    <w:pStyle w:val="44"/>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color w:val="00B050"/>
                      <w:szCs w:val="21"/>
                      <w:lang w:val="en-US" w:eastAsia="zh-CN"/>
                    </w:rPr>
                  </w:pPr>
                  <w:r>
                    <w:rPr>
                      <w:rFonts w:hint="eastAsia"/>
                      <w:color w:val="00B050"/>
                      <w:sz w:val="21"/>
                      <w:lang w:val="en-US" w:eastAsia="zh-CN"/>
                    </w:rPr>
                    <w:t>重点防渗</w:t>
                  </w:r>
                </w:p>
              </w:tc>
              <w:tc>
                <w:tcPr>
                  <w:tcW w:w="3112" w:type="pct"/>
                  <w:gridSpan w:val="2"/>
                  <w:noWrap w:val="0"/>
                  <w:vAlign w:val="center"/>
                </w:tcPr>
                <w:p w14:paraId="0BE559C7">
                  <w:pPr>
                    <w:pStyle w:val="4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eastAsia"/>
                      <w:color w:val="00B050"/>
                      <w:sz w:val="21"/>
                      <w:lang w:val="en-US" w:eastAsia="zh-CN"/>
                    </w:rPr>
                  </w:pPr>
                  <w:r>
                    <w:rPr>
                      <w:rFonts w:hint="eastAsia"/>
                      <w:color w:val="FF0000"/>
                      <w:sz w:val="21"/>
                      <w:szCs w:val="21"/>
                      <w:lang w:val="en-US" w:eastAsia="zh-CN"/>
                    </w:rPr>
                    <w:t>废矿物油罐区</w:t>
                  </w:r>
                  <w:r>
                    <w:rPr>
                      <w:rFonts w:hint="eastAsia" w:eastAsiaTheme="majorEastAsia"/>
                      <w:color w:val="FF0000"/>
                      <w:sz w:val="21"/>
                      <w:szCs w:val="21"/>
                      <w:lang w:val="en-US" w:eastAsia="zh-CN"/>
                    </w:rPr>
                    <w:t>、</w:t>
                  </w:r>
                  <w:r>
                    <w:rPr>
                      <w:rFonts w:hint="eastAsia"/>
                      <w:color w:val="FF0000"/>
                      <w:sz w:val="21"/>
                      <w:szCs w:val="21"/>
                      <w:lang w:val="en-US" w:eastAsia="zh-CN"/>
                    </w:rPr>
                    <w:t>废矿物油装卸区、</w:t>
                  </w:r>
                  <w:r>
                    <w:rPr>
                      <w:rFonts w:hint="eastAsia"/>
                      <w:color w:val="FF0000"/>
                      <w:sz w:val="21"/>
                      <w:szCs w:val="21"/>
                      <w:vertAlign w:val="baseline"/>
                      <w:lang w:val="en-US" w:eastAsia="zh-CN"/>
                    </w:rPr>
                    <w:t>废旧电池贮存区</w:t>
                  </w:r>
                  <w:r>
                    <w:rPr>
                      <w:rFonts w:hint="eastAsia" w:eastAsiaTheme="majorEastAsia"/>
                      <w:color w:val="FF0000"/>
                      <w:sz w:val="21"/>
                      <w:szCs w:val="21"/>
                      <w:lang w:val="en-US" w:eastAsia="zh-CN"/>
                    </w:rPr>
                    <w:t>（包括库内废液收集池）、</w:t>
                  </w:r>
                  <w:r>
                    <w:rPr>
                      <w:rFonts w:hint="eastAsia"/>
                      <w:color w:val="FF0000"/>
                      <w:sz w:val="21"/>
                      <w:szCs w:val="21"/>
                      <w:lang w:val="en-US" w:eastAsia="zh-CN"/>
                    </w:rPr>
                    <w:t>废旧电池装卸区、</w:t>
                  </w:r>
                  <w:r>
                    <w:rPr>
                      <w:rFonts w:hint="eastAsia" w:eastAsiaTheme="majorEastAsia"/>
                      <w:color w:val="FF0000"/>
                      <w:sz w:val="21"/>
                      <w:szCs w:val="21"/>
                      <w:lang w:val="en-US" w:eastAsia="zh-CN"/>
                    </w:rPr>
                    <w:t>消防事故池等</w:t>
                  </w:r>
                  <w:r>
                    <w:rPr>
                      <w:rFonts w:hint="eastAsia"/>
                      <w:color w:val="00B050"/>
                      <w:sz w:val="21"/>
                      <w:lang w:val="en-US" w:eastAsia="zh-CN"/>
                    </w:rPr>
                    <w:t>为重点防渗区，等效黏土防渗层Mb≥6.0m，渗透系数</w:t>
                  </w:r>
                  <w:r>
                    <w:rPr>
                      <w:rFonts w:hint="eastAsia"/>
                      <w:color w:val="00B050"/>
                      <w:sz w:val="21"/>
                      <w:vertAlign w:val="baseline"/>
                      <w:lang w:val="en-US" w:eastAsia="zh-CN"/>
                    </w:rPr>
                    <w:t>≤10</w:t>
                  </w:r>
                  <w:r>
                    <w:rPr>
                      <w:rFonts w:hint="eastAsia"/>
                      <w:color w:val="00B050"/>
                      <w:sz w:val="21"/>
                      <w:vertAlign w:val="superscript"/>
                      <w:lang w:val="en-US" w:eastAsia="zh-CN"/>
                    </w:rPr>
                    <w:t>-10</w:t>
                  </w:r>
                  <w:r>
                    <w:rPr>
                      <w:rFonts w:hint="eastAsia"/>
                      <w:color w:val="00B050"/>
                      <w:sz w:val="21"/>
                      <w:vertAlign w:val="baseline"/>
                      <w:lang w:val="en-US" w:eastAsia="zh-CN"/>
                    </w:rPr>
                    <w:t>cm/s。</w:t>
                  </w:r>
                </w:p>
              </w:tc>
              <w:tc>
                <w:tcPr>
                  <w:tcW w:w="444" w:type="pct"/>
                  <w:noWrap w:val="0"/>
                  <w:vAlign w:val="center"/>
                </w:tcPr>
                <w:p w14:paraId="27B25BDC">
                  <w:pPr>
                    <w:keepNext w:val="0"/>
                    <w:keepLines w:val="0"/>
                    <w:pageBreakBefore w:val="0"/>
                    <w:widowControl w:val="0"/>
                    <w:tabs>
                      <w:tab w:val="left" w:pos="2478"/>
                    </w:tabs>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环评提出</w:t>
                  </w:r>
                </w:p>
              </w:tc>
            </w:tr>
            <w:tr w14:paraId="3238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201B500C">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066310CC">
                  <w:pPr>
                    <w:keepNext w:val="0"/>
                    <w:keepLines w:val="0"/>
                    <w:pageBreakBefore w:val="0"/>
                    <w:widowControl w:val="0"/>
                    <w:tabs>
                      <w:tab w:val="left" w:pos="2478"/>
                    </w:tabs>
                    <w:kinsoku/>
                    <w:wordWrap/>
                    <w:overflowPunct/>
                    <w:topLinePunct w:val="0"/>
                    <w:bidi w:val="0"/>
                    <w:adjustRightInd/>
                    <w:snapToGrid/>
                    <w:spacing w:line="240" w:lineRule="auto"/>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noWrap w:val="0"/>
                  <w:vAlign w:val="center"/>
                </w:tcPr>
                <w:p w14:paraId="74FDA10C">
                  <w:pPr>
                    <w:pStyle w:val="44"/>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heme="minorBidi"/>
                      <w:b w:val="0"/>
                      <w:color w:val="00B050"/>
                      <w:kern w:val="0"/>
                      <w:sz w:val="21"/>
                      <w:szCs w:val="21"/>
                      <w:lang w:val="en-US" w:eastAsia="zh-CN" w:bidi="ar-SA"/>
                    </w:rPr>
                  </w:pPr>
                  <w:r>
                    <w:rPr>
                      <w:rFonts w:hint="eastAsia"/>
                      <w:color w:val="00B050"/>
                      <w:sz w:val="21"/>
                      <w:lang w:val="en-US" w:eastAsia="zh-CN"/>
                    </w:rPr>
                    <w:t>简单防渗</w:t>
                  </w:r>
                </w:p>
              </w:tc>
              <w:tc>
                <w:tcPr>
                  <w:tcW w:w="3112" w:type="pct"/>
                  <w:gridSpan w:val="2"/>
                  <w:noWrap w:val="0"/>
                  <w:vAlign w:val="center"/>
                </w:tcPr>
                <w:p w14:paraId="3C8B791F">
                  <w:pPr>
                    <w:pStyle w:val="4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eastAsia" w:ascii="Times New Roman" w:hAnsi="Times New Roman" w:eastAsia="宋体" w:cstheme="minorBidi"/>
                      <w:b w:val="0"/>
                      <w:color w:val="00B050"/>
                      <w:kern w:val="0"/>
                      <w:sz w:val="21"/>
                      <w:szCs w:val="21"/>
                      <w:lang w:val="en-US" w:eastAsia="zh-CN" w:bidi="ar-SA"/>
                    </w:rPr>
                  </w:pPr>
                  <w:r>
                    <w:rPr>
                      <w:rFonts w:hint="eastAsia"/>
                      <w:color w:val="00B050"/>
                      <w:sz w:val="21"/>
                      <w:lang w:val="en-US" w:eastAsia="zh-CN"/>
                    </w:rPr>
                    <w:t>除重点防渗区以外的区域采取简单防渗。</w:t>
                  </w:r>
                </w:p>
              </w:tc>
              <w:tc>
                <w:tcPr>
                  <w:tcW w:w="444" w:type="pct"/>
                  <w:noWrap w:val="0"/>
                  <w:vAlign w:val="center"/>
                </w:tcPr>
                <w:p w14:paraId="6BCFAF03">
                  <w:pPr>
                    <w:keepNext w:val="0"/>
                    <w:keepLines w:val="0"/>
                    <w:pageBreakBefore w:val="0"/>
                    <w:widowControl w:val="0"/>
                    <w:tabs>
                      <w:tab w:val="left" w:pos="2478"/>
                    </w:tabs>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环评提出</w:t>
                  </w:r>
                </w:p>
              </w:tc>
            </w:tr>
            <w:tr w14:paraId="542C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7D392011">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restart"/>
                  <w:noWrap w:val="0"/>
                  <w:vAlign w:val="center"/>
                </w:tcPr>
                <w:p w14:paraId="3E592E9A">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环境风险</w:t>
                  </w:r>
                </w:p>
              </w:tc>
              <w:tc>
                <w:tcPr>
                  <w:tcW w:w="544" w:type="pct"/>
                  <w:noWrap w:val="0"/>
                  <w:vAlign w:val="center"/>
                </w:tcPr>
                <w:p w14:paraId="6ADD2556">
                  <w:pPr>
                    <w:keepNext w:val="0"/>
                    <w:keepLines w:val="0"/>
                    <w:pageBreakBefore w:val="0"/>
                    <w:widowControl w:val="0"/>
                    <w:kinsoku/>
                    <w:wordWrap/>
                    <w:overflowPunct/>
                    <w:topLinePunct w:val="0"/>
                    <w:bidi w:val="0"/>
                    <w:adjustRightInd/>
                    <w:snapToGrid/>
                    <w:ind w:firstLine="0" w:firstLineChars="0"/>
                    <w:jc w:val="center"/>
                    <w:textAlignment w:val="auto"/>
                    <w:rPr>
                      <w:rFonts w:hint="eastAsia" w:eastAsia="宋体"/>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围堰</w:t>
                  </w:r>
                </w:p>
              </w:tc>
              <w:tc>
                <w:tcPr>
                  <w:tcW w:w="3112" w:type="pct"/>
                  <w:gridSpan w:val="2"/>
                  <w:noWrap w:val="0"/>
                  <w:vAlign w:val="center"/>
                </w:tcPr>
                <w:p w14:paraId="647BCD55">
                  <w:pPr>
                    <w:keepNext w:val="0"/>
                    <w:keepLines w:val="0"/>
                    <w:pageBreakBefore w:val="0"/>
                    <w:widowControl w:val="0"/>
                    <w:kinsoku/>
                    <w:wordWrap/>
                    <w:overflowPunct/>
                    <w:topLinePunct w:val="0"/>
                    <w:bidi w:val="0"/>
                    <w:adjustRightInd/>
                    <w:snapToGrid/>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灌区</w:t>
                  </w:r>
                  <w:r>
                    <w:rPr>
                      <w:rFonts w:hint="eastAsia" w:ascii="Times New Roman"/>
                      <w:color w:val="000000" w:themeColor="text1"/>
                      <w:sz w:val="21"/>
                      <w:szCs w:val="21"/>
                      <w14:textFill>
                        <w14:solidFill>
                          <w14:schemeClr w14:val="tx1"/>
                        </w14:solidFill>
                      </w14:textFill>
                    </w:rPr>
                    <w:t>设置</w:t>
                  </w:r>
                  <w:r>
                    <w:rPr>
                      <w:rFonts w:hint="eastAsia"/>
                      <w:color w:val="000000" w:themeColor="text1"/>
                      <w:sz w:val="21"/>
                      <w:szCs w:val="21"/>
                      <w:lang w:val="en-US" w:eastAsia="zh-CN"/>
                      <w14:textFill>
                        <w14:solidFill>
                          <w14:schemeClr w14:val="tx1"/>
                        </w14:solidFill>
                      </w14:textFill>
                    </w:rPr>
                    <w:t>15m</w:t>
                  </w:r>
                  <w:r>
                    <w:rPr>
                      <w:rFonts w:hint="eastAsia" w:ascii="Times New Roman"/>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6m</w:t>
                  </w:r>
                  <w:r>
                    <w:rPr>
                      <w:rFonts w:hint="eastAsia" w:ascii="Times New Roman"/>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1.2</w:t>
                  </w:r>
                  <w:r>
                    <w:rPr>
                      <w:rFonts w:hint="eastAsia" w:ascii="Times New Roman"/>
                      <w:color w:val="000000" w:themeColor="text1"/>
                      <w:sz w:val="21"/>
                      <w:szCs w:val="21"/>
                      <w14:textFill>
                        <w14:solidFill>
                          <w14:schemeClr w14:val="tx1"/>
                        </w14:solidFill>
                      </w14:textFill>
                    </w:rPr>
                    <w:t>m的围堰</w:t>
                  </w:r>
                  <w:r>
                    <w:rPr>
                      <w:rFonts w:hint="eastAsia"/>
                      <w:color w:val="000000" w:themeColor="text1"/>
                      <w:sz w:val="21"/>
                      <w:szCs w:val="21"/>
                      <w:lang w:val="en-US" w:eastAsia="zh-CN"/>
                      <w14:textFill>
                        <w14:solidFill>
                          <w14:schemeClr w14:val="tx1"/>
                        </w14:solidFill>
                      </w14:textFill>
                    </w:rPr>
                    <w:t>1座，有效容积108m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w:t>
                  </w:r>
                </w:p>
                <w:p w14:paraId="53ECC548">
                  <w:pPr>
                    <w:keepNext w:val="0"/>
                    <w:keepLines w:val="0"/>
                    <w:pageBreakBefore w:val="0"/>
                    <w:widowControl w:val="0"/>
                    <w:kinsoku/>
                    <w:wordWrap/>
                    <w:overflowPunct/>
                    <w:topLinePunct w:val="0"/>
                    <w:bidi w:val="0"/>
                    <w:adjustRightInd/>
                    <w:snapToGrid/>
                    <w:ind w:firstLine="0" w:firstLineChars="0"/>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矿物油装卸区设置11.67m×6m×0.15m围堰1座，有效容积10.5m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w:t>
                  </w:r>
                </w:p>
              </w:tc>
              <w:tc>
                <w:tcPr>
                  <w:tcW w:w="444" w:type="pct"/>
                  <w:noWrap w:val="0"/>
                  <w:vAlign w:val="center"/>
                </w:tcPr>
                <w:p w14:paraId="7F7F9B46">
                  <w:pPr>
                    <w:keepNext w:val="0"/>
                    <w:keepLines w:val="0"/>
                    <w:pageBreakBefore w:val="0"/>
                    <w:widowControl w:val="0"/>
                    <w:kinsoku/>
                    <w:wordWrap/>
                    <w:overflowPunct/>
                    <w:topLinePunct w:val="0"/>
                    <w:bidi w:val="0"/>
                    <w:adjustRightInd/>
                    <w:snapToGrid/>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环评提出</w:t>
                  </w:r>
                </w:p>
              </w:tc>
            </w:tr>
            <w:tr w14:paraId="6ECD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30EAEBCF">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7E15453E">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noWrap w:val="0"/>
                  <w:vAlign w:val="center"/>
                </w:tcPr>
                <w:p w14:paraId="5614FFF0">
                  <w:pPr>
                    <w:keepNext w:val="0"/>
                    <w:keepLines w:val="0"/>
                    <w:pageBreakBefore w:val="0"/>
                    <w:widowControl w:val="0"/>
                    <w:kinsoku/>
                    <w:wordWrap/>
                    <w:overflowPunct/>
                    <w:topLinePunct w:val="0"/>
                    <w:bidi w:val="0"/>
                    <w:adjustRightInd/>
                    <w:snapToGrid/>
                    <w:ind w:firstLine="0" w:firstLineChars="0"/>
                    <w:jc w:val="center"/>
                    <w:textAlignment w:val="auto"/>
                    <w:rPr>
                      <w:rFonts w:hint="default"/>
                      <w:color w:val="FF0000"/>
                      <w:sz w:val="21"/>
                      <w:szCs w:val="21"/>
                      <w:lang w:val="en-US" w:eastAsia="zh-CN"/>
                    </w:rPr>
                  </w:pPr>
                  <w:r>
                    <w:rPr>
                      <w:rFonts w:hint="eastAsia"/>
                      <w:color w:val="FF0000"/>
                      <w:sz w:val="21"/>
                      <w:szCs w:val="21"/>
                      <w:lang w:val="en-US" w:eastAsia="zh-CN"/>
                    </w:rPr>
                    <w:t>废液收集池</w:t>
                  </w:r>
                </w:p>
              </w:tc>
              <w:tc>
                <w:tcPr>
                  <w:tcW w:w="3112" w:type="pct"/>
                  <w:gridSpan w:val="2"/>
                  <w:noWrap w:val="0"/>
                  <w:vAlign w:val="center"/>
                </w:tcPr>
                <w:p w14:paraId="54FE1757">
                  <w:pPr>
                    <w:keepNext w:val="0"/>
                    <w:keepLines w:val="0"/>
                    <w:pageBreakBefore w:val="0"/>
                    <w:widowControl w:val="0"/>
                    <w:kinsoku/>
                    <w:wordWrap/>
                    <w:overflowPunct/>
                    <w:topLinePunct w:val="0"/>
                    <w:bidi w:val="0"/>
                    <w:adjustRightInd/>
                    <w:snapToGrid/>
                    <w:ind w:firstLine="0" w:firstLineChars="0"/>
                    <w:textAlignment w:val="auto"/>
                    <w:rPr>
                      <w:rFonts w:hint="default" w:ascii="Times New Roman" w:eastAsia="宋体"/>
                      <w:color w:val="FF0000"/>
                      <w:sz w:val="21"/>
                      <w:szCs w:val="21"/>
                      <w:vertAlign w:val="baseline"/>
                      <w:lang w:val="en-US" w:eastAsia="zh-CN"/>
                    </w:rPr>
                  </w:pPr>
                  <w:r>
                    <w:rPr>
                      <w:rFonts w:hint="eastAsia"/>
                      <w:color w:val="FF0000"/>
                      <w:sz w:val="21"/>
                      <w:szCs w:val="21"/>
                      <w:lang w:val="en-US" w:eastAsia="zh-CN"/>
                    </w:rPr>
                    <w:t>其他废物贮存内各贮存分区内分别建设1座0.1m</w:t>
                  </w:r>
                  <w:r>
                    <w:rPr>
                      <w:rFonts w:hint="eastAsia"/>
                      <w:color w:val="FF0000"/>
                      <w:sz w:val="21"/>
                      <w:szCs w:val="21"/>
                      <w:vertAlign w:val="superscript"/>
                      <w:lang w:val="en-US" w:eastAsia="zh-CN"/>
                    </w:rPr>
                    <w:t>3</w:t>
                  </w:r>
                  <w:r>
                    <w:rPr>
                      <w:rFonts w:hint="eastAsia"/>
                      <w:color w:val="FF0000"/>
                      <w:sz w:val="21"/>
                      <w:szCs w:val="21"/>
                      <w:vertAlign w:val="baseline"/>
                      <w:lang w:val="en-US" w:eastAsia="zh-CN"/>
                    </w:rPr>
                    <w:t>的废液收集池，共计7座。</w:t>
                  </w:r>
                </w:p>
              </w:tc>
              <w:tc>
                <w:tcPr>
                  <w:tcW w:w="444" w:type="pct"/>
                  <w:noWrap w:val="0"/>
                  <w:vAlign w:val="center"/>
                </w:tcPr>
                <w:p w14:paraId="4EF78647">
                  <w:pPr>
                    <w:keepNext w:val="0"/>
                    <w:keepLines w:val="0"/>
                    <w:pageBreakBefore w:val="0"/>
                    <w:widowControl w:val="0"/>
                    <w:kinsoku/>
                    <w:wordWrap/>
                    <w:overflowPunct/>
                    <w:topLinePunct w:val="0"/>
                    <w:bidi w:val="0"/>
                    <w:adjustRightInd/>
                    <w:snapToGrid/>
                    <w:ind w:firstLine="0" w:firstLineChars="0"/>
                    <w:jc w:val="center"/>
                    <w:textAlignment w:val="auto"/>
                    <w:rPr>
                      <w:rFonts w:hint="eastAsia"/>
                      <w:color w:val="FF0000"/>
                      <w:sz w:val="21"/>
                      <w:szCs w:val="21"/>
                      <w:lang w:val="en-US" w:eastAsia="zh-CN"/>
                    </w:rPr>
                  </w:pPr>
                  <w:r>
                    <w:rPr>
                      <w:rFonts w:hint="eastAsia"/>
                      <w:color w:val="FF0000"/>
                      <w:sz w:val="21"/>
                      <w:szCs w:val="21"/>
                      <w:lang w:val="en-US" w:eastAsia="zh-CN"/>
                    </w:rPr>
                    <w:t>环评提出</w:t>
                  </w:r>
                </w:p>
              </w:tc>
            </w:tr>
            <w:tr w14:paraId="271A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48F95E10">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578312AC">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noWrap w:val="0"/>
                  <w:vAlign w:val="center"/>
                </w:tcPr>
                <w:p w14:paraId="106871AD">
                  <w:pPr>
                    <w:keepNext w:val="0"/>
                    <w:keepLines w:val="0"/>
                    <w:pageBreakBefore w:val="0"/>
                    <w:widowControl w:val="0"/>
                    <w:kinsoku/>
                    <w:wordWrap/>
                    <w:overflowPunct/>
                    <w:topLinePunct w:val="0"/>
                    <w:bidi w:val="0"/>
                    <w:adjustRightInd/>
                    <w:snapToGrid/>
                    <w:ind w:firstLine="0" w:firstLineChars="0"/>
                    <w:jc w:val="center"/>
                    <w:textAlignment w:val="auto"/>
                    <w:rPr>
                      <w:rFonts w:hint="default"/>
                      <w:color w:val="00B050"/>
                      <w:sz w:val="21"/>
                      <w:szCs w:val="21"/>
                      <w:lang w:val="en-US" w:eastAsia="zh-CN"/>
                    </w:rPr>
                  </w:pPr>
                  <w:r>
                    <w:rPr>
                      <w:rFonts w:hint="eastAsia"/>
                      <w:color w:val="00B050"/>
                      <w:sz w:val="21"/>
                      <w:szCs w:val="21"/>
                      <w:lang w:val="en-US" w:eastAsia="zh-CN"/>
                    </w:rPr>
                    <w:t>导流沟</w:t>
                  </w:r>
                </w:p>
              </w:tc>
              <w:tc>
                <w:tcPr>
                  <w:tcW w:w="3112" w:type="pct"/>
                  <w:gridSpan w:val="2"/>
                  <w:noWrap w:val="0"/>
                  <w:vAlign w:val="center"/>
                </w:tcPr>
                <w:p w14:paraId="6E11B160">
                  <w:pPr>
                    <w:keepNext w:val="0"/>
                    <w:keepLines w:val="0"/>
                    <w:pageBreakBefore w:val="0"/>
                    <w:widowControl w:val="0"/>
                    <w:kinsoku/>
                    <w:wordWrap/>
                    <w:overflowPunct/>
                    <w:topLinePunct w:val="0"/>
                    <w:bidi w:val="0"/>
                    <w:adjustRightInd/>
                    <w:snapToGrid/>
                    <w:ind w:firstLine="0" w:firstLineChars="0"/>
                    <w:textAlignment w:val="auto"/>
                    <w:rPr>
                      <w:rFonts w:hint="default"/>
                      <w:color w:val="00B050"/>
                      <w:sz w:val="21"/>
                      <w:szCs w:val="21"/>
                      <w:lang w:val="en-US" w:eastAsia="zh-CN"/>
                    </w:rPr>
                  </w:pPr>
                  <w:r>
                    <w:rPr>
                      <w:rFonts w:hint="eastAsia"/>
                      <w:color w:val="00B050"/>
                      <w:sz w:val="21"/>
                      <w:szCs w:val="21"/>
                      <w:lang w:val="en-US" w:eastAsia="zh-CN"/>
                    </w:rPr>
                    <w:t>各贮存分区内建设环状导流沟，末端连接废液收集池。</w:t>
                  </w:r>
                </w:p>
              </w:tc>
              <w:tc>
                <w:tcPr>
                  <w:tcW w:w="444" w:type="pct"/>
                  <w:noWrap w:val="0"/>
                  <w:vAlign w:val="center"/>
                </w:tcPr>
                <w:p w14:paraId="2A19EFD2">
                  <w:pPr>
                    <w:keepNext w:val="0"/>
                    <w:keepLines w:val="0"/>
                    <w:pageBreakBefore w:val="0"/>
                    <w:widowControl w:val="0"/>
                    <w:kinsoku/>
                    <w:wordWrap/>
                    <w:overflowPunct/>
                    <w:topLinePunct w:val="0"/>
                    <w:bidi w:val="0"/>
                    <w:adjustRightInd/>
                    <w:snapToGrid/>
                    <w:ind w:firstLine="0" w:firstLineChars="0"/>
                    <w:jc w:val="center"/>
                    <w:textAlignment w:val="auto"/>
                    <w:rPr>
                      <w:rFonts w:hint="eastAsia"/>
                      <w:color w:val="00B050"/>
                      <w:sz w:val="21"/>
                      <w:szCs w:val="21"/>
                      <w:lang w:val="en-US" w:eastAsia="zh-CN"/>
                    </w:rPr>
                  </w:pPr>
                  <w:r>
                    <w:rPr>
                      <w:rFonts w:hint="eastAsia"/>
                      <w:color w:val="00B050"/>
                      <w:sz w:val="21"/>
                      <w:szCs w:val="21"/>
                      <w:lang w:val="en-US" w:eastAsia="zh-CN"/>
                    </w:rPr>
                    <w:t>环评提出</w:t>
                  </w:r>
                </w:p>
              </w:tc>
            </w:tr>
            <w:tr w14:paraId="4EBC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7620FE41">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5CF4E21A">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noWrap w:val="0"/>
                  <w:vAlign w:val="center"/>
                </w:tcPr>
                <w:p w14:paraId="1F1B5ECD">
                  <w:pPr>
                    <w:keepNext w:val="0"/>
                    <w:keepLines w:val="0"/>
                    <w:pageBreakBefore w:val="0"/>
                    <w:widowControl w:val="0"/>
                    <w:kinsoku/>
                    <w:wordWrap/>
                    <w:overflowPunct/>
                    <w:topLinePunct w:val="0"/>
                    <w:bidi w:val="0"/>
                    <w:adjustRightInd/>
                    <w:snapToGrid/>
                    <w:ind w:firstLine="0" w:firstLineChars="0"/>
                    <w:jc w:val="center"/>
                    <w:textAlignment w:val="auto"/>
                    <w:rPr>
                      <w:rFonts w:hint="default"/>
                      <w:color w:val="00B050"/>
                      <w:sz w:val="21"/>
                      <w:szCs w:val="21"/>
                      <w:lang w:val="en-US" w:eastAsia="zh-CN"/>
                    </w:rPr>
                  </w:pPr>
                  <w:r>
                    <w:rPr>
                      <w:rFonts w:hint="eastAsia"/>
                      <w:color w:val="00B050"/>
                      <w:sz w:val="21"/>
                      <w:szCs w:val="21"/>
                      <w:lang w:val="en-US" w:eastAsia="zh-CN"/>
                    </w:rPr>
                    <w:t>消防事故池</w:t>
                  </w:r>
                </w:p>
              </w:tc>
              <w:tc>
                <w:tcPr>
                  <w:tcW w:w="3112" w:type="pct"/>
                  <w:gridSpan w:val="2"/>
                  <w:noWrap w:val="0"/>
                  <w:vAlign w:val="center"/>
                </w:tcPr>
                <w:p w14:paraId="34581193">
                  <w:pPr>
                    <w:keepNext w:val="0"/>
                    <w:keepLines w:val="0"/>
                    <w:pageBreakBefore w:val="0"/>
                    <w:widowControl w:val="0"/>
                    <w:kinsoku/>
                    <w:wordWrap/>
                    <w:overflowPunct/>
                    <w:topLinePunct w:val="0"/>
                    <w:bidi w:val="0"/>
                    <w:adjustRightInd/>
                    <w:snapToGrid/>
                    <w:ind w:firstLine="0" w:firstLineChars="0"/>
                    <w:textAlignment w:val="auto"/>
                    <w:rPr>
                      <w:rFonts w:hint="default"/>
                      <w:color w:val="00B050"/>
                      <w:sz w:val="21"/>
                      <w:szCs w:val="21"/>
                      <w:vertAlign w:val="baseline"/>
                      <w:lang w:val="en-US" w:eastAsia="zh-CN"/>
                    </w:rPr>
                  </w:pPr>
                  <w:r>
                    <w:rPr>
                      <w:rFonts w:hint="eastAsia"/>
                      <w:color w:val="00B050"/>
                      <w:sz w:val="21"/>
                      <w:szCs w:val="21"/>
                      <w:lang w:val="en-US" w:eastAsia="zh-CN"/>
                    </w:rPr>
                    <w:t>项目区北侧建设4座总容积不小于30m</w:t>
                  </w:r>
                  <w:r>
                    <w:rPr>
                      <w:rFonts w:hint="eastAsia"/>
                      <w:color w:val="00B050"/>
                      <w:sz w:val="21"/>
                      <w:szCs w:val="21"/>
                      <w:vertAlign w:val="superscript"/>
                      <w:lang w:val="en-US" w:eastAsia="zh-CN"/>
                    </w:rPr>
                    <w:t>3</w:t>
                  </w:r>
                  <w:r>
                    <w:rPr>
                      <w:rFonts w:hint="eastAsia"/>
                      <w:color w:val="00B050"/>
                      <w:sz w:val="21"/>
                      <w:szCs w:val="21"/>
                      <w:vertAlign w:val="baseline"/>
                      <w:lang w:val="en-US" w:eastAsia="zh-CN"/>
                    </w:rPr>
                    <w:t>消防事故池用于收集消防废水。</w:t>
                  </w:r>
                </w:p>
              </w:tc>
              <w:tc>
                <w:tcPr>
                  <w:tcW w:w="444" w:type="pct"/>
                  <w:noWrap w:val="0"/>
                  <w:vAlign w:val="center"/>
                </w:tcPr>
                <w:p w14:paraId="5A5B053B">
                  <w:pPr>
                    <w:keepNext w:val="0"/>
                    <w:keepLines w:val="0"/>
                    <w:pageBreakBefore w:val="0"/>
                    <w:widowControl w:val="0"/>
                    <w:kinsoku/>
                    <w:wordWrap/>
                    <w:overflowPunct/>
                    <w:topLinePunct w:val="0"/>
                    <w:bidi w:val="0"/>
                    <w:adjustRightInd/>
                    <w:snapToGrid/>
                    <w:ind w:firstLine="0" w:firstLineChars="0"/>
                    <w:jc w:val="center"/>
                    <w:textAlignment w:val="auto"/>
                    <w:rPr>
                      <w:rFonts w:hint="eastAsia"/>
                      <w:color w:val="00B050"/>
                      <w:sz w:val="21"/>
                      <w:szCs w:val="21"/>
                      <w:lang w:val="en-US" w:eastAsia="zh-CN"/>
                    </w:rPr>
                  </w:pPr>
                  <w:r>
                    <w:rPr>
                      <w:rFonts w:hint="eastAsia"/>
                      <w:color w:val="00B050"/>
                      <w:sz w:val="21"/>
                      <w:szCs w:val="21"/>
                      <w:lang w:val="en-US" w:eastAsia="zh-CN"/>
                    </w:rPr>
                    <w:t>环评提出</w:t>
                  </w:r>
                </w:p>
              </w:tc>
            </w:tr>
            <w:tr w14:paraId="1693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6F3F8872">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4CCDDB0D">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noWrap w:val="0"/>
                  <w:vAlign w:val="center"/>
                </w:tcPr>
                <w:p w14:paraId="7C1FA7FB">
                  <w:pPr>
                    <w:keepNext w:val="0"/>
                    <w:keepLines w:val="0"/>
                    <w:pageBreakBefore w:val="0"/>
                    <w:widowControl w:val="0"/>
                    <w:kinsoku/>
                    <w:wordWrap/>
                    <w:overflowPunct/>
                    <w:topLinePunct w:val="0"/>
                    <w:bidi w:val="0"/>
                    <w:adjustRightInd/>
                    <w:snapToGrid/>
                    <w:ind w:firstLine="0" w:firstLineChars="0"/>
                    <w:jc w:val="center"/>
                    <w:textAlignment w:val="auto"/>
                    <w:rPr>
                      <w:rFonts w:hint="default" w:eastAsia="宋体"/>
                      <w:color w:val="00B050"/>
                      <w:szCs w:val="21"/>
                      <w:highlight w:val="none"/>
                      <w:lang w:val="en-US" w:eastAsia="zh-CN"/>
                    </w:rPr>
                  </w:pPr>
                  <w:r>
                    <w:rPr>
                      <w:rFonts w:hint="eastAsia"/>
                      <w:color w:val="00B050"/>
                      <w:sz w:val="21"/>
                      <w:szCs w:val="21"/>
                      <w:highlight w:val="none"/>
                      <w:lang w:val="en-US" w:eastAsia="zh-CN"/>
                    </w:rPr>
                    <w:t>污染监控井</w:t>
                  </w:r>
                </w:p>
              </w:tc>
              <w:tc>
                <w:tcPr>
                  <w:tcW w:w="3112" w:type="pct"/>
                  <w:gridSpan w:val="2"/>
                  <w:noWrap w:val="0"/>
                  <w:vAlign w:val="center"/>
                </w:tcPr>
                <w:p w14:paraId="62C3C807">
                  <w:pPr>
                    <w:keepNext w:val="0"/>
                    <w:keepLines w:val="0"/>
                    <w:pageBreakBefore w:val="0"/>
                    <w:widowControl w:val="0"/>
                    <w:kinsoku/>
                    <w:wordWrap/>
                    <w:overflowPunct/>
                    <w:topLinePunct w:val="0"/>
                    <w:bidi w:val="0"/>
                    <w:adjustRightInd/>
                    <w:snapToGrid/>
                    <w:ind w:firstLine="0" w:firstLineChars="0"/>
                    <w:textAlignment w:val="auto"/>
                    <w:rPr>
                      <w:rFonts w:hint="default" w:eastAsia="宋体"/>
                      <w:color w:val="00B050"/>
                      <w:sz w:val="21"/>
                      <w:highlight w:val="none"/>
                      <w:lang w:val="en-US" w:eastAsia="zh-CN"/>
                    </w:rPr>
                  </w:pPr>
                  <w:r>
                    <w:rPr>
                      <w:rFonts w:hint="eastAsia"/>
                      <w:color w:val="00B050"/>
                      <w:sz w:val="21"/>
                      <w:szCs w:val="21"/>
                      <w:highlight w:val="none"/>
                      <w:lang w:val="en-US" w:eastAsia="zh-CN"/>
                    </w:rPr>
                    <w:t>于贮存库西侧新建1口地下水污染监控井</w:t>
                  </w:r>
                </w:p>
              </w:tc>
              <w:tc>
                <w:tcPr>
                  <w:tcW w:w="444" w:type="pct"/>
                  <w:noWrap w:val="0"/>
                  <w:vAlign w:val="center"/>
                </w:tcPr>
                <w:p w14:paraId="3DD89F83">
                  <w:pPr>
                    <w:keepNext w:val="0"/>
                    <w:keepLines w:val="0"/>
                    <w:pageBreakBefore w:val="0"/>
                    <w:widowControl w:val="0"/>
                    <w:kinsoku/>
                    <w:wordWrap/>
                    <w:overflowPunct/>
                    <w:topLinePunct w:val="0"/>
                    <w:bidi w:val="0"/>
                    <w:adjustRightInd/>
                    <w:snapToGrid/>
                    <w:ind w:firstLine="0" w:firstLineChars="0"/>
                    <w:jc w:val="center"/>
                    <w:textAlignment w:val="auto"/>
                    <w:rPr>
                      <w:rFonts w:hint="eastAsia"/>
                      <w:color w:val="00B050"/>
                      <w:sz w:val="21"/>
                      <w:szCs w:val="21"/>
                      <w:lang w:val="en-US" w:eastAsia="zh-CN"/>
                    </w:rPr>
                  </w:pPr>
                  <w:r>
                    <w:rPr>
                      <w:rFonts w:hint="eastAsia"/>
                      <w:color w:val="00B050"/>
                      <w:sz w:val="21"/>
                      <w:szCs w:val="21"/>
                      <w:lang w:val="en-US" w:eastAsia="zh-CN"/>
                    </w:rPr>
                    <w:t>环评提出</w:t>
                  </w:r>
                </w:p>
              </w:tc>
            </w:tr>
            <w:tr w14:paraId="2178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312F4874">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vMerge w:val="continue"/>
                  <w:noWrap w:val="0"/>
                  <w:vAlign w:val="center"/>
                </w:tcPr>
                <w:p w14:paraId="3253AD84">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color w:val="000000" w:themeColor="text1"/>
                      <w:szCs w:val="21"/>
                      <w:lang w:val="en-US" w:eastAsia="zh-CN"/>
                      <w14:textFill>
                        <w14:solidFill>
                          <w14:schemeClr w14:val="tx1"/>
                        </w14:solidFill>
                      </w14:textFill>
                    </w:rPr>
                  </w:pPr>
                </w:p>
              </w:tc>
              <w:tc>
                <w:tcPr>
                  <w:tcW w:w="544" w:type="pct"/>
                  <w:noWrap w:val="0"/>
                  <w:vAlign w:val="center"/>
                </w:tcPr>
                <w:p w14:paraId="2F33DCCB">
                  <w:pPr>
                    <w:keepNext w:val="0"/>
                    <w:keepLines w:val="0"/>
                    <w:pageBreakBefore w:val="0"/>
                    <w:widowControl w:val="0"/>
                    <w:kinsoku/>
                    <w:wordWrap/>
                    <w:overflowPunct/>
                    <w:topLinePunct w:val="0"/>
                    <w:bidi w:val="0"/>
                    <w:adjustRightInd/>
                    <w:snapToGrid/>
                    <w:ind w:firstLine="0" w:firstLineChars="0"/>
                    <w:jc w:val="center"/>
                    <w:textAlignment w:val="auto"/>
                    <w:rPr>
                      <w:rFonts w:hint="default" w:eastAsia="宋体"/>
                      <w:color w:val="00B050"/>
                      <w:szCs w:val="21"/>
                      <w:lang w:val="en-US" w:eastAsia="zh-CN"/>
                    </w:rPr>
                  </w:pPr>
                  <w:r>
                    <w:rPr>
                      <w:rFonts w:hint="eastAsia"/>
                      <w:color w:val="00B050"/>
                      <w:szCs w:val="21"/>
                      <w:lang w:val="en-US" w:eastAsia="zh-CN"/>
                    </w:rPr>
                    <w:t>应急物资</w:t>
                  </w:r>
                </w:p>
              </w:tc>
              <w:tc>
                <w:tcPr>
                  <w:tcW w:w="3112" w:type="pct"/>
                  <w:gridSpan w:val="2"/>
                  <w:noWrap w:val="0"/>
                  <w:vAlign w:val="center"/>
                </w:tcPr>
                <w:p w14:paraId="75FD29E2">
                  <w:pPr>
                    <w:keepNext w:val="0"/>
                    <w:keepLines w:val="0"/>
                    <w:pageBreakBefore w:val="0"/>
                    <w:widowControl w:val="0"/>
                    <w:kinsoku/>
                    <w:wordWrap/>
                    <w:overflowPunct/>
                    <w:topLinePunct w:val="0"/>
                    <w:bidi w:val="0"/>
                    <w:adjustRightInd/>
                    <w:snapToGrid/>
                    <w:ind w:firstLine="0" w:firstLineChars="0"/>
                    <w:textAlignment w:val="auto"/>
                    <w:rPr>
                      <w:rFonts w:hint="eastAsia"/>
                      <w:color w:val="00B050"/>
                      <w:sz w:val="21"/>
                      <w:lang w:val="en-US" w:eastAsia="zh-CN"/>
                    </w:rPr>
                  </w:pPr>
                  <w:r>
                    <w:rPr>
                      <w:rFonts w:hint="eastAsia"/>
                      <w:color w:val="00B050"/>
                      <w:sz w:val="21"/>
                      <w:szCs w:val="21"/>
                      <w:lang w:val="en-US" w:eastAsia="zh-CN"/>
                    </w:rPr>
                    <w:t>各贮存分区分别</w:t>
                  </w:r>
                  <w:r>
                    <w:rPr>
                      <w:rFonts w:hint="eastAsia" w:ascii="Times New Roman"/>
                      <w:color w:val="00B050"/>
                      <w:sz w:val="21"/>
                      <w:szCs w:val="21"/>
                    </w:rPr>
                    <w:t>配置消防设施、沙土、蛭石等应急物资。</w:t>
                  </w:r>
                </w:p>
              </w:tc>
              <w:tc>
                <w:tcPr>
                  <w:tcW w:w="444" w:type="pct"/>
                  <w:noWrap w:val="0"/>
                  <w:vAlign w:val="center"/>
                </w:tcPr>
                <w:p w14:paraId="7DA81A29">
                  <w:pPr>
                    <w:keepNext w:val="0"/>
                    <w:keepLines w:val="0"/>
                    <w:pageBreakBefore w:val="0"/>
                    <w:widowControl w:val="0"/>
                    <w:kinsoku/>
                    <w:wordWrap/>
                    <w:overflowPunct/>
                    <w:topLinePunct w:val="0"/>
                    <w:bidi w:val="0"/>
                    <w:adjustRightInd/>
                    <w:snapToGrid/>
                    <w:ind w:firstLine="0" w:firstLineChars="0"/>
                    <w:jc w:val="center"/>
                    <w:textAlignment w:val="auto"/>
                    <w:rPr>
                      <w:rFonts w:hint="default"/>
                      <w:color w:val="00B050"/>
                      <w:sz w:val="21"/>
                      <w:szCs w:val="21"/>
                      <w:lang w:val="en-US" w:eastAsia="zh-CN"/>
                    </w:rPr>
                  </w:pPr>
                  <w:r>
                    <w:rPr>
                      <w:rFonts w:hint="eastAsia"/>
                      <w:color w:val="00B050"/>
                      <w:sz w:val="21"/>
                      <w:szCs w:val="21"/>
                      <w:lang w:val="en-US" w:eastAsia="zh-CN"/>
                    </w:rPr>
                    <w:t>环评提出</w:t>
                  </w:r>
                </w:p>
              </w:tc>
            </w:tr>
            <w:tr w14:paraId="6D1D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pct"/>
                  <w:vMerge w:val="continue"/>
                  <w:noWrap w:val="0"/>
                  <w:vAlign w:val="center"/>
                </w:tcPr>
                <w:p w14:paraId="44C7117B">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p>
              </w:tc>
              <w:tc>
                <w:tcPr>
                  <w:tcW w:w="476" w:type="pct"/>
                  <w:noWrap w:val="0"/>
                  <w:vAlign w:val="center"/>
                </w:tcPr>
                <w:p w14:paraId="05225E96">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噪声治理</w:t>
                  </w:r>
                </w:p>
              </w:tc>
              <w:tc>
                <w:tcPr>
                  <w:tcW w:w="3656" w:type="pct"/>
                  <w:gridSpan w:val="3"/>
                  <w:noWrap w:val="0"/>
                  <w:vAlign w:val="center"/>
                </w:tcPr>
                <w:p w14:paraId="45098D58">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snapToGrid w:val="0"/>
                      <w:color w:val="000000" w:themeColor="text1"/>
                      <w:kern w:val="0"/>
                      <w14:textFill>
                        <w14:solidFill>
                          <w14:schemeClr w14:val="tx1"/>
                        </w14:solidFill>
                      </w14:textFill>
                    </w:rPr>
                    <w:t>基础减振、厂房隔声。</w:t>
                  </w:r>
                </w:p>
              </w:tc>
              <w:tc>
                <w:tcPr>
                  <w:tcW w:w="444" w:type="pct"/>
                  <w:noWrap w:val="0"/>
                  <w:vAlign w:val="center"/>
                </w:tcPr>
                <w:p w14:paraId="3E0DAF74">
                  <w:pPr>
                    <w:keepNext w:val="0"/>
                    <w:keepLines w:val="0"/>
                    <w:pageBreakBefore w:val="0"/>
                    <w:widowControl w:val="0"/>
                    <w:tabs>
                      <w:tab w:val="left" w:pos="2478"/>
                    </w:tabs>
                    <w:kinsoku/>
                    <w:wordWrap/>
                    <w:overflowPunct/>
                    <w:topLinePunct w:val="0"/>
                    <w:bidi w:val="0"/>
                    <w:adjustRightInd/>
                    <w:snapToGrid/>
                    <w:ind w:firstLine="0" w:firstLineChars="0"/>
                    <w:jc w:val="center"/>
                    <w:textAlignment w:val="auto"/>
                    <w:rPr>
                      <w:rFonts w:hint="eastAsia"/>
                      <w:snapToGrid w:val="0"/>
                      <w:color w:val="000000" w:themeColor="text1"/>
                      <w:kern w:val="0"/>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环评提出</w:t>
                  </w:r>
                </w:p>
              </w:tc>
            </w:tr>
          </w:tbl>
          <w:p w14:paraId="2C5A33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cs="Times New Roman"/>
                <w:b/>
                <w:color w:val="00B050"/>
                <w:kern w:val="0"/>
                <w:sz w:val="24"/>
                <w:szCs w:val="24"/>
                <w:lang w:val="en-US" w:eastAsia="zh-CN"/>
              </w:rPr>
            </w:pPr>
            <w:r>
              <w:rPr>
                <w:rFonts w:hint="eastAsia" w:cs="Times New Roman"/>
                <w:b/>
                <w:color w:val="00B050"/>
                <w:kern w:val="0"/>
                <w:sz w:val="24"/>
                <w:szCs w:val="24"/>
                <w:lang w:val="en-US" w:eastAsia="zh-CN"/>
              </w:rPr>
              <w:t>2.1.3收集、贮存类别</w:t>
            </w:r>
          </w:p>
          <w:p w14:paraId="2EF021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Cs/>
                <w:color w:val="00B050"/>
                <w:sz w:val="24"/>
                <w:lang w:val="en-US" w:eastAsia="zh-CN"/>
              </w:rPr>
            </w:pPr>
            <w:r>
              <w:rPr>
                <w:rFonts w:hint="eastAsia" w:cs="Times New Roman"/>
                <w:bCs/>
                <w:color w:val="00B050"/>
                <w:sz w:val="24"/>
                <w:lang w:val="en-US" w:eastAsia="zh-CN"/>
              </w:rPr>
              <w:t>项目共收集、贮存危险废物共3类17项，根据</w:t>
            </w:r>
            <w:r>
              <w:rPr>
                <w:rFonts w:hint="eastAsia" w:cs="Times New Roman"/>
                <w:color w:val="00B050"/>
                <w:spacing w:val="-6"/>
                <w:sz w:val="24"/>
                <w:szCs w:val="24"/>
                <w:highlight w:val="none"/>
                <w:lang w:val="en-US" w:eastAsia="zh-CN"/>
              </w:rPr>
              <w:t>2025年1月1日起施行</w:t>
            </w:r>
            <w:r>
              <w:rPr>
                <w:rFonts w:hint="default" w:ascii="Times New Roman" w:hAnsi="Times New Roman" w:eastAsia="宋体" w:cs="Times New Roman"/>
                <w:color w:val="00B050"/>
                <w:spacing w:val="-6"/>
                <w:sz w:val="24"/>
                <w:szCs w:val="24"/>
                <w:highlight w:val="none"/>
                <w:lang w:val="en-US" w:eastAsia="zh-CN"/>
              </w:rPr>
              <w:t>《国家危险废物名录》（202</w:t>
            </w:r>
            <w:r>
              <w:rPr>
                <w:rFonts w:hint="eastAsia" w:cs="Times New Roman"/>
                <w:color w:val="00B050"/>
                <w:spacing w:val="-6"/>
                <w:sz w:val="24"/>
                <w:szCs w:val="24"/>
                <w:highlight w:val="none"/>
                <w:lang w:val="en-US" w:eastAsia="zh-CN"/>
              </w:rPr>
              <w:t>5</w:t>
            </w:r>
            <w:r>
              <w:rPr>
                <w:rFonts w:hint="default" w:ascii="Times New Roman" w:hAnsi="Times New Roman" w:eastAsia="宋体" w:cs="Times New Roman"/>
                <w:color w:val="00B050"/>
                <w:spacing w:val="-6"/>
                <w:sz w:val="24"/>
                <w:szCs w:val="24"/>
                <w:highlight w:val="none"/>
                <w:lang w:val="en-US" w:eastAsia="zh-CN"/>
              </w:rPr>
              <w:t>年版）</w:t>
            </w:r>
            <w:r>
              <w:rPr>
                <w:rFonts w:hint="eastAsia" w:cs="Times New Roman"/>
                <w:bCs/>
                <w:color w:val="00B050"/>
                <w:sz w:val="24"/>
                <w:lang w:val="en-US" w:eastAsia="zh-CN"/>
              </w:rPr>
              <w:t>，项目收集和贮存的危险废物的危险特性包括毒性（Toxicity，T）、腐蚀性（Corrosivity，C）、易燃性（Ignitability，I）、反应性（Reactivity，R）、感染性（Infectivity，In）。</w:t>
            </w:r>
          </w:p>
          <w:p w14:paraId="44382E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Cs/>
                <w:color w:val="00B050"/>
                <w:sz w:val="24"/>
                <w:lang w:val="en-US" w:eastAsia="zh-CN"/>
              </w:rPr>
            </w:pPr>
            <w:r>
              <w:rPr>
                <w:rFonts w:hint="eastAsia" w:cs="Times New Roman"/>
                <w:bCs/>
                <w:color w:val="00B050"/>
                <w:sz w:val="24"/>
                <w:lang w:val="en-US" w:eastAsia="zh-CN"/>
              </w:rPr>
              <w:t>对照《危险化学品目录（2022年调整版）》及《危险废物鉴别标准毒性物质含量鉴别》（GB5085.6-2007）中附录A剧毒物质名录，项目收集、贮存的危险废物成分不含剧毒化学品。</w:t>
            </w:r>
          </w:p>
          <w:p w14:paraId="3AE69A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Cs/>
                <w:color w:val="00B050"/>
                <w:sz w:val="24"/>
                <w:lang w:val="en-US" w:eastAsia="zh-CN"/>
              </w:rPr>
            </w:pPr>
            <w:r>
              <w:rPr>
                <w:rFonts w:hint="eastAsia" w:cs="Times New Roman"/>
                <w:bCs/>
                <w:color w:val="00B050"/>
                <w:sz w:val="24"/>
                <w:lang w:val="en-US" w:eastAsia="zh-CN"/>
              </w:rPr>
              <w:t>项目危险废物经营情况见表2.1-2所示。</w:t>
            </w:r>
          </w:p>
          <w:p w14:paraId="5D659C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B050"/>
                <w:sz w:val="21"/>
                <w:szCs w:val="21"/>
                <w:lang w:val="en-US" w:eastAsia="zh-CN"/>
              </w:rPr>
            </w:pPr>
            <w:r>
              <w:rPr>
                <w:rFonts w:hint="default" w:ascii="Times New Roman" w:hAnsi="Times New Roman" w:eastAsia="宋体" w:cs="Times New Roman"/>
                <w:b/>
                <w:bCs w:val="0"/>
                <w:color w:val="00B050"/>
                <w:sz w:val="21"/>
                <w:szCs w:val="21"/>
                <w:lang w:val="en-US" w:eastAsia="zh-CN"/>
              </w:rPr>
              <w:t>表2</w:t>
            </w:r>
            <w:r>
              <w:rPr>
                <w:rFonts w:hint="eastAsia" w:cs="Times New Roman"/>
                <w:b/>
                <w:bCs w:val="0"/>
                <w:color w:val="00B050"/>
                <w:sz w:val="21"/>
                <w:szCs w:val="21"/>
                <w:lang w:val="en-US" w:eastAsia="zh-CN"/>
              </w:rPr>
              <w:t>.1</w:t>
            </w:r>
            <w:r>
              <w:rPr>
                <w:rFonts w:hint="default" w:ascii="Times New Roman" w:hAnsi="Times New Roman" w:eastAsia="宋体" w:cs="Times New Roman"/>
                <w:b/>
                <w:bCs w:val="0"/>
                <w:color w:val="00B050"/>
                <w:sz w:val="21"/>
                <w:szCs w:val="21"/>
                <w:lang w:val="en-US" w:eastAsia="zh-CN"/>
              </w:rPr>
              <w:t>-2  项目危险废物经营情况一览表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4"/>
              <w:gridCol w:w="688"/>
              <w:gridCol w:w="1279"/>
              <w:gridCol w:w="2247"/>
              <w:gridCol w:w="1195"/>
              <w:gridCol w:w="886"/>
              <w:gridCol w:w="669"/>
            </w:tblGrid>
            <w:tr w14:paraId="1C5D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1FCD03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color w:val="00B050"/>
                      <w:w w:val="100"/>
                      <w:kern w:val="0"/>
                      <w:sz w:val="21"/>
                      <w:szCs w:val="21"/>
                    </w:rPr>
                  </w:pPr>
                  <w:bookmarkStart w:id="15" w:name="_Hlk132894183"/>
                  <w:r>
                    <w:rPr>
                      <w:b/>
                      <w:bCs/>
                      <w:color w:val="00B050"/>
                      <w:w w:val="100"/>
                      <w:kern w:val="0"/>
                      <w:sz w:val="21"/>
                      <w:szCs w:val="21"/>
                    </w:rPr>
                    <w:t>序号</w:t>
                  </w:r>
                </w:p>
              </w:tc>
              <w:tc>
                <w:tcPr>
                  <w:tcW w:w="512" w:type="pct"/>
                  <w:shd w:val="clear" w:color="auto" w:fill="auto"/>
                  <w:vAlign w:val="center"/>
                </w:tcPr>
                <w:p w14:paraId="12DB22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00B050"/>
                      <w:w w:val="100"/>
                      <w:kern w:val="0"/>
                      <w:sz w:val="21"/>
                      <w:szCs w:val="21"/>
                    </w:rPr>
                  </w:pPr>
                  <w:r>
                    <w:rPr>
                      <w:b/>
                      <w:bCs/>
                      <w:color w:val="00B050"/>
                      <w:w w:val="100"/>
                      <w:kern w:val="0"/>
                      <w:sz w:val="21"/>
                      <w:szCs w:val="21"/>
                    </w:rPr>
                    <w:t>废物</w:t>
                  </w:r>
                </w:p>
                <w:p w14:paraId="745753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00B050"/>
                      <w:w w:val="100"/>
                      <w:kern w:val="0"/>
                      <w:sz w:val="21"/>
                      <w:szCs w:val="21"/>
                    </w:rPr>
                  </w:pPr>
                  <w:r>
                    <w:rPr>
                      <w:b/>
                      <w:bCs/>
                      <w:color w:val="00B050"/>
                      <w:w w:val="100"/>
                      <w:kern w:val="0"/>
                      <w:sz w:val="21"/>
                      <w:szCs w:val="21"/>
                    </w:rPr>
                    <w:t>类别</w:t>
                  </w:r>
                </w:p>
              </w:tc>
              <w:tc>
                <w:tcPr>
                  <w:tcW w:w="417" w:type="pct"/>
                  <w:shd w:val="clear" w:color="auto" w:fill="auto"/>
                  <w:vAlign w:val="center"/>
                </w:tcPr>
                <w:p w14:paraId="41F00F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color w:val="00B050"/>
                      <w:w w:val="100"/>
                      <w:kern w:val="0"/>
                      <w:sz w:val="21"/>
                      <w:szCs w:val="21"/>
                    </w:rPr>
                  </w:pPr>
                  <w:r>
                    <w:rPr>
                      <w:b/>
                      <w:bCs/>
                      <w:color w:val="00B050"/>
                      <w:w w:val="100"/>
                      <w:kern w:val="0"/>
                      <w:sz w:val="21"/>
                      <w:szCs w:val="21"/>
                    </w:rPr>
                    <w:t>行业来源</w:t>
                  </w:r>
                </w:p>
              </w:tc>
              <w:tc>
                <w:tcPr>
                  <w:tcW w:w="776" w:type="pct"/>
                  <w:shd w:val="clear" w:color="auto" w:fill="auto"/>
                  <w:vAlign w:val="center"/>
                </w:tcPr>
                <w:p w14:paraId="2CC926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00B050"/>
                      <w:w w:val="100"/>
                      <w:kern w:val="0"/>
                      <w:sz w:val="21"/>
                      <w:szCs w:val="21"/>
                    </w:rPr>
                  </w:pPr>
                  <w:r>
                    <w:rPr>
                      <w:b/>
                      <w:bCs/>
                      <w:color w:val="00B050"/>
                      <w:w w:val="100"/>
                      <w:kern w:val="0"/>
                      <w:sz w:val="21"/>
                      <w:szCs w:val="21"/>
                    </w:rPr>
                    <w:t>废物代码</w:t>
                  </w:r>
                </w:p>
              </w:tc>
              <w:tc>
                <w:tcPr>
                  <w:tcW w:w="1364" w:type="pct"/>
                  <w:shd w:val="clear" w:color="auto" w:fill="auto"/>
                  <w:vAlign w:val="center"/>
                </w:tcPr>
                <w:p w14:paraId="233872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color w:val="00B050"/>
                      <w:w w:val="100"/>
                      <w:kern w:val="0"/>
                      <w:sz w:val="21"/>
                      <w:szCs w:val="21"/>
                    </w:rPr>
                  </w:pPr>
                  <w:r>
                    <w:rPr>
                      <w:b/>
                      <w:bCs/>
                      <w:color w:val="00B050"/>
                      <w:w w:val="100"/>
                      <w:kern w:val="0"/>
                      <w:sz w:val="21"/>
                      <w:szCs w:val="21"/>
                    </w:rPr>
                    <w:t>危险废物</w:t>
                  </w:r>
                </w:p>
              </w:tc>
              <w:tc>
                <w:tcPr>
                  <w:tcW w:w="725" w:type="pct"/>
                  <w:vAlign w:val="center"/>
                </w:tcPr>
                <w:p w14:paraId="0B0300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color w:val="00B050"/>
                      <w:w w:val="100"/>
                      <w:kern w:val="0"/>
                      <w:sz w:val="21"/>
                      <w:szCs w:val="21"/>
                    </w:rPr>
                  </w:pPr>
                  <w:r>
                    <w:rPr>
                      <w:b/>
                      <w:bCs/>
                      <w:color w:val="00B050"/>
                      <w:w w:val="100"/>
                      <w:kern w:val="0"/>
                      <w:sz w:val="21"/>
                      <w:szCs w:val="21"/>
                    </w:rPr>
                    <w:t>危险特性</w:t>
                  </w:r>
                </w:p>
              </w:tc>
              <w:tc>
                <w:tcPr>
                  <w:tcW w:w="538" w:type="pct"/>
                  <w:vAlign w:val="center"/>
                </w:tcPr>
                <w:p w14:paraId="7B84A2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color w:val="00B050"/>
                      <w:w w:val="100"/>
                      <w:kern w:val="0"/>
                      <w:sz w:val="21"/>
                      <w:szCs w:val="21"/>
                    </w:rPr>
                  </w:pPr>
                  <w:r>
                    <w:rPr>
                      <w:rFonts w:hint="eastAsia"/>
                      <w:b/>
                      <w:bCs/>
                      <w:color w:val="00B050"/>
                      <w:w w:val="100"/>
                      <w:kern w:val="0"/>
                      <w:sz w:val="21"/>
                      <w:szCs w:val="21"/>
                    </w:rPr>
                    <w:t>主要污染成分</w:t>
                  </w:r>
                </w:p>
              </w:tc>
              <w:tc>
                <w:tcPr>
                  <w:tcW w:w="406" w:type="pct"/>
                  <w:vAlign w:val="center"/>
                </w:tcPr>
                <w:p w14:paraId="71EE02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color w:val="00B050"/>
                      <w:w w:val="100"/>
                      <w:kern w:val="0"/>
                      <w:sz w:val="21"/>
                      <w:szCs w:val="21"/>
                    </w:rPr>
                  </w:pPr>
                  <w:r>
                    <w:rPr>
                      <w:rFonts w:hint="eastAsia"/>
                      <w:b/>
                      <w:bCs/>
                      <w:color w:val="00B050"/>
                      <w:w w:val="100"/>
                      <w:kern w:val="0"/>
                      <w:sz w:val="21"/>
                      <w:szCs w:val="21"/>
                    </w:rPr>
                    <w:t>包装形式</w:t>
                  </w:r>
                </w:p>
              </w:tc>
            </w:tr>
            <w:tr w14:paraId="6CAE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6A2849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color w:val="00B050"/>
                      <w:w w:val="100"/>
                      <w:kern w:val="0"/>
                      <w:sz w:val="21"/>
                      <w:szCs w:val="21"/>
                    </w:rPr>
                    <w:t>1</w:t>
                  </w:r>
                </w:p>
              </w:tc>
              <w:tc>
                <w:tcPr>
                  <w:tcW w:w="512" w:type="pct"/>
                  <w:vMerge w:val="restart"/>
                  <w:shd w:val="clear" w:color="auto" w:fill="auto"/>
                  <w:vAlign w:val="center"/>
                </w:tcPr>
                <w:p w14:paraId="780BD0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HW08废矿物油与含矿物油废物</w:t>
                  </w:r>
                </w:p>
              </w:tc>
              <w:tc>
                <w:tcPr>
                  <w:tcW w:w="417" w:type="pct"/>
                  <w:vMerge w:val="restart"/>
                  <w:shd w:val="clear" w:color="auto" w:fill="auto"/>
                  <w:vAlign w:val="center"/>
                </w:tcPr>
                <w:p w14:paraId="600DAB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color w:val="00B050"/>
                      <w:w w:val="100"/>
                      <w:kern w:val="0"/>
                      <w:sz w:val="21"/>
                      <w:szCs w:val="21"/>
                    </w:rPr>
                    <w:t>非特定行业</w:t>
                  </w:r>
                </w:p>
              </w:tc>
              <w:tc>
                <w:tcPr>
                  <w:tcW w:w="776" w:type="pct"/>
                  <w:shd w:val="clear" w:color="auto" w:fill="auto"/>
                  <w:vAlign w:val="center"/>
                </w:tcPr>
                <w:p w14:paraId="67762E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900-199-08</w:t>
                  </w:r>
                </w:p>
              </w:tc>
              <w:tc>
                <w:tcPr>
                  <w:tcW w:w="1364" w:type="pct"/>
                  <w:shd w:val="clear" w:color="auto" w:fill="auto"/>
                  <w:vAlign w:val="center"/>
                </w:tcPr>
                <w:p w14:paraId="3F7E12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w w:val="100"/>
                      <w:kern w:val="0"/>
                      <w:sz w:val="21"/>
                      <w:szCs w:val="21"/>
                    </w:rPr>
                    <w:t>内燃机、汽车、轮船等集中拆解过程产生的废矿物油及油泥</w:t>
                  </w:r>
                </w:p>
              </w:tc>
              <w:tc>
                <w:tcPr>
                  <w:tcW w:w="725" w:type="pct"/>
                  <w:vAlign w:val="center"/>
                </w:tcPr>
                <w:p w14:paraId="0DA159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restart"/>
                  <w:vAlign w:val="center"/>
                </w:tcPr>
                <w:p w14:paraId="094624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color w:val="00B050"/>
                      <w:w w:val="100"/>
                      <w:kern w:val="0"/>
                      <w:sz w:val="21"/>
                      <w:szCs w:val="21"/>
                    </w:rPr>
                    <w:t>油类物质</w:t>
                  </w:r>
                </w:p>
              </w:tc>
              <w:tc>
                <w:tcPr>
                  <w:tcW w:w="406" w:type="pct"/>
                  <w:vAlign w:val="center"/>
                </w:tcPr>
                <w:p w14:paraId="752028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082D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74B4F1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color w:val="00B050"/>
                      <w:w w:val="100"/>
                      <w:kern w:val="0"/>
                      <w:sz w:val="21"/>
                      <w:szCs w:val="21"/>
                    </w:rPr>
                    <w:t>2</w:t>
                  </w:r>
                </w:p>
              </w:tc>
              <w:tc>
                <w:tcPr>
                  <w:tcW w:w="512" w:type="pct"/>
                  <w:vMerge w:val="continue"/>
                  <w:shd w:val="clear" w:color="auto" w:fill="auto"/>
                  <w:vAlign w:val="center"/>
                </w:tcPr>
                <w:p w14:paraId="263481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7D4AB5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1A7685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900-200-08</w:t>
                  </w:r>
                </w:p>
              </w:tc>
              <w:tc>
                <w:tcPr>
                  <w:tcW w:w="1364" w:type="pct"/>
                  <w:shd w:val="clear" w:color="auto" w:fill="auto"/>
                  <w:vAlign w:val="center"/>
                </w:tcPr>
                <w:p w14:paraId="166AE3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w w:val="100"/>
                      <w:kern w:val="0"/>
                      <w:sz w:val="21"/>
                      <w:szCs w:val="21"/>
                    </w:rPr>
                    <w:t>珩磨、研磨、打磨过程产生的废矿物油及油泥</w:t>
                  </w:r>
                </w:p>
              </w:tc>
              <w:tc>
                <w:tcPr>
                  <w:tcW w:w="725" w:type="pct"/>
                  <w:vAlign w:val="center"/>
                </w:tcPr>
                <w:p w14:paraId="41EB47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170387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5B163B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3DB0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6F8E57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eastAsia="zh-CN"/>
                    </w:rPr>
                  </w:pPr>
                  <w:r>
                    <w:rPr>
                      <w:rFonts w:hint="eastAsia"/>
                      <w:color w:val="00B050"/>
                      <w:w w:val="100"/>
                      <w:kern w:val="0"/>
                      <w:sz w:val="21"/>
                      <w:szCs w:val="21"/>
                      <w:lang w:val="en-US" w:eastAsia="zh-CN"/>
                    </w:rPr>
                    <w:t>3</w:t>
                  </w:r>
                </w:p>
              </w:tc>
              <w:tc>
                <w:tcPr>
                  <w:tcW w:w="512" w:type="pct"/>
                  <w:vMerge w:val="continue"/>
                  <w:shd w:val="clear" w:color="auto" w:fill="auto"/>
                  <w:vAlign w:val="center"/>
                </w:tcPr>
                <w:p w14:paraId="5F4CF8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143618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65ABB8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900-201-08</w:t>
                  </w:r>
                </w:p>
              </w:tc>
              <w:tc>
                <w:tcPr>
                  <w:tcW w:w="1364" w:type="pct"/>
                  <w:shd w:val="clear" w:color="auto" w:fill="auto"/>
                  <w:vAlign w:val="center"/>
                </w:tcPr>
                <w:p w14:paraId="505929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w w:val="100"/>
                      <w:kern w:val="0"/>
                      <w:sz w:val="21"/>
                      <w:szCs w:val="21"/>
                    </w:rPr>
                    <w:t>清洗金属零部件过程中产生的废弃煤油、柴油、汽油及其他由石油和煤炼制生产的溶剂油</w:t>
                  </w:r>
                </w:p>
              </w:tc>
              <w:tc>
                <w:tcPr>
                  <w:tcW w:w="725" w:type="pct"/>
                  <w:vAlign w:val="center"/>
                </w:tcPr>
                <w:p w14:paraId="3BBD06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646084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01A1B4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75DA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49CB86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eastAsia="zh-CN"/>
                    </w:rPr>
                  </w:pPr>
                  <w:r>
                    <w:rPr>
                      <w:rFonts w:hint="eastAsia"/>
                      <w:color w:val="00B050"/>
                      <w:w w:val="100"/>
                      <w:kern w:val="0"/>
                      <w:sz w:val="21"/>
                      <w:szCs w:val="21"/>
                      <w:lang w:val="en-US" w:eastAsia="zh-CN"/>
                    </w:rPr>
                    <w:t>4</w:t>
                  </w:r>
                </w:p>
              </w:tc>
              <w:tc>
                <w:tcPr>
                  <w:tcW w:w="512" w:type="pct"/>
                  <w:vMerge w:val="continue"/>
                  <w:shd w:val="clear" w:color="auto" w:fill="auto"/>
                  <w:vAlign w:val="center"/>
                </w:tcPr>
                <w:p w14:paraId="55C95C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3DFF22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7E1940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900-204-08</w:t>
                  </w:r>
                </w:p>
              </w:tc>
              <w:tc>
                <w:tcPr>
                  <w:tcW w:w="1364" w:type="pct"/>
                  <w:shd w:val="clear" w:color="auto" w:fill="auto"/>
                  <w:vAlign w:val="center"/>
                </w:tcPr>
                <w:p w14:paraId="30FE2D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w w:val="100"/>
                      <w:kern w:val="0"/>
                      <w:sz w:val="21"/>
                      <w:szCs w:val="21"/>
                    </w:rPr>
                    <w:t>使用轧制油、冷却剂及酸进行金属轧制产生的废矿物油</w:t>
                  </w:r>
                </w:p>
              </w:tc>
              <w:tc>
                <w:tcPr>
                  <w:tcW w:w="725" w:type="pct"/>
                  <w:vAlign w:val="center"/>
                </w:tcPr>
                <w:p w14:paraId="07CD77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p>
              </w:tc>
              <w:tc>
                <w:tcPr>
                  <w:tcW w:w="538" w:type="pct"/>
                  <w:vMerge w:val="continue"/>
                  <w:vAlign w:val="center"/>
                </w:tcPr>
                <w:p w14:paraId="77CFA0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5FB56B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523A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402FCB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eastAsia="zh-CN"/>
                    </w:rPr>
                  </w:pPr>
                  <w:r>
                    <w:rPr>
                      <w:rFonts w:hint="eastAsia"/>
                      <w:color w:val="00B050"/>
                      <w:w w:val="100"/>
                      <w:kern w:val="0"/>
                      <w:sz w:val="21"/>
                      <w:szCs w:val="21"/>
                      <w:lang w:val="en-US" w:eastAsia="zh-CN"/>
                    </w:rPr>
                    <w:t>5</w:t>
                  </w:r>
                </w:p>
              </w:tc>
              <w:tc>
                <w:tcPr>
                  <w:tcW w:w="512" w:type="pct"/>
                  <w:vMerge w:val="continue"/>
                  <w:shd w:val="clear" w:color="auto" w:fill="auto"/>
                  <w:vAlign w:val="center"/>
                </w:tcPr>
                <w:p w14:paraId="0E727B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774FF3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3A74BA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900-209-08</w:t>
                  </w:r>
                </w:p>
              </w:tc>
              <w:tc>
                <w:tcPr>
                  <w:tcW w:w="1364" w:type="pct"/>
                  <w:shd w:val="clear" w:color="auto" w:fill="auto"/>
                  <w:vAlign w:val="center"/>
                </w:tcPr>
                <w:p w14:paraId="7F33ED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w w:val="100"/>
                      <w:kern w:val="0"/>
                      <w:sz w:val="21"/>
                      <w:szCs w:val="21"/>
                    </w:rPr>
                    <w:t>金属、塑料的定型和物理机械表产生的废石蜡和润滑油</w:t>
                  </w:r>
                </w:p>
              </w:tc>
              <w:tc>
                <w:tcPr>
                  <w:tcW w:w="725" w:type="pct"/>
                  <w:vAlign w:val="center"/>
                </w:tcPr>
                <w:p w14:paraId="195BF0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62881E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25F2F9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63B3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7FAD59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eastAsia="zh-CN"/>
                    </w:rPr>
                  </w:pPr>
                  <w:r>
                    <w:rPr>
                      <w:rFonts w:hint="eastAsia"/>
                      <w:color w:val="00B050"/>
                      <w:w w:val="100"/>
                      <w:kern w:val="0"/>
                      <w:sz w:val="21"/>
                      <w:szCs w:val="21"/>
                      <w:lang w:val="en-US" w:eastAsia="zh-CN"/>
                    </w:rPr>
                    <w:t>6</w:t>
                  </w:r>
                </w:p>
              </w:tc>
              <w:tc>
                <w:tcPr>
                  <w:tcW w:w="512" w:type="pct"/>
                  <w:vMerge w:val="continue"/>
                  <w:shd w:val="clear" w:color="auto" w:fill="auto"/>
                  <w:vAlign w:val="center"/>
                </w:tcPr>
                <w:p w14:paraId="6146FB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55AD3F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21EAA8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900-210-08</w:t>
                  </w:r>
                </w:p>
              </w:tc>
              <w:tc>
                <w:tcPr>
                  <w:tcW w:w="1364" w:type="pct"/>
                  <w:shd w:val="clear" w:color="auto" w:fill="auto"/>
                  <w:vAlign w:val="center"/>
                </w:tcPr>
                <w:p w14:paraId="2A2BFA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w w:val="100"/>
                      <w:kern w:val="0"/>
                      <w:sz w:val="21"/>
                      <w:szCs w:val="21"/>
                    </w:rPr>
                    <w:t>含油废水处理中隔油、气浮、沉淀等处理过程中产生的浮油、浮渣和污泥（不包括废水生化处理污泥）</w:t>
                  </w:r>
                </w:p>
              </w:tc>
              <w:tc>
                <w:tcPr>
                  <w:tcW w:w="725" w:type="pct"/>
                  <w:vAlign w:val="center"/>
                </w:tcPr>
                <w:p w14:paraId="2988A7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56A8A5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6D1C85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铁桶/吨袋</w:t>
                  </w:r>
                </w:p>
              </w:tc>
            </w:tr>
            <w:tr w14:paraId="39A9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4B3C74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eastAsia="zh-CN"/>
                    </w:rPr>
                  </w:pPr>
                  <w:r>
                    <w:rPr>
                      <w:rFonts w:hint="eastAsia"/>
                      <w:color w:val="00B050"/>
                      <w:w w:val="100"/>
                      <w:kern w:val="0"/>
                      <w:sz w:val="21"/>
                      <w:szCs w:val="21"/>
                      <w:lang w:val="en-US" w:eastAsia="zh-CN"/>
                    </w:rPr>
                    <w:t>7</w:t>
                  </w:r>
                </w:p>
              </w:tc>
              <w:tc>
                <w:tcPr>
                  <w:tcW w:w="512" w:type="pct"/>
                  <w:vMerge w:val="continue"/>
                  <w:shd w:val="clear" w:color="auto" w:fill="auto"/>
                  <w:vAlign w:val="center"/>
                </w:tcPr>
                <w:p w14:paraId="183E87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2EDC06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7CB3E2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900-213-08</w:t>
                  </w:r>
                </w:p>
              </w:tc>
              <w:tc>
                <w:tcPr>
                  <w:tcW w:w="1364" w:type="pct"/>
                  <w:shd w:val="clear" w:color="auto" w:fill="auto"/>
                  <w:vAlign w:val="center"/>
                </w:tcPr>
                <w:p w14:paraId="1AD885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w w:val="100"/>
                      <w:kern w:val="0"/>
                      <w:sz w:val="21"/>
                      <w:szCs w:val="21"/>
                    </w:rPr>
                    <w:t>废矿物油再生净化过程中产生的沉淀残渣、过滤残渣、废过滤吸附介质</w:t>
                  </w:r>
                </w:p>
              </w:tc>
              <w:tc>
                <w:tcPr>
                  <w:tcW w:w="725" w:type="pct"/>
                  <w:vAlign w:val="center"/>
                </w:tcPr>
                <w:p w14:paraId="7E15E6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30766B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6C9E5E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吨袋</w:t>
                  </w:r>
                  <w:r>
                    <w:rPr>
                      <w:rFonts w:hint="eastAsia"/>
                      <w:color w:val="00B050"/>
                      <w:w w:val="100"/>
                      <w:kern w:val="0"/>
                      <w:sz w:val="21"/>
                      <w:szCs w:val="21"/>
                      <w:lang w:eastAsia="zh-CN"/>
                    </w:rPr>
                    <w:t>（</w:t>
                  </w:r>
                  <w:r>
                    <w:rPr>
                      <w:rFonts w:hint="eastAsia"/>
                      <w:color w:val="FF0000"/>
                      <w:w w:val="100"/>
                      <w:kern w:val="0"/>
                      <w:sz w:val="21"/>
                      <w:szCs w:val="21"/>
                      <w:lang w:val="en-US" w:eastAsia="zh-CN"/>
                    </w:rPr>
                    <w:t>防渗处理）</w:t>
                  </w:r>
                </w:p>
              </w:tc>
            </w:tr>
            <w:tr w14:paraId="3FA4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17B216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eastAsia="zh-CN"/>
                    </w:rPr>
                  </w:pPr>
                  <w:r>
                    <w:rPr>
                      <w:rFonts w:hint="eastAsia"/>
                      <w:color w:val="00B050"/>
                      <w:w w:val="100"/>
                      <w:kern w:val="0"/>
                      <w:sz w:val="21"/>
                      <w:szCs w:val="21"/>
                      <w:lang w:val="en-US" w:eastAsia="zh-CN"/>
                    </w:rPr>
                    <w:t>8</w:t>
                  </w:r>
                </w:p>
              </w:tc>
              <w:tc>
                <w:tcPr>
                  <w:tcW w:w="512" w:type="pct"/>
                  <w:vMerge w:val="continue"/>
                  <w:shd w:val="clear" w:color="auto" w:fill="auto"/>
                  <w:vAlign w:val="center"/>
                </w:tcPr>
                <w:p w14:paraId="50F9D0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54692A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5C0267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900-214-08</w:t>
                  </w:r>
                </w:p>
              </w:tc>
              <w:tc>
                <w:tcPr>
                  <w:tcW w:w="1364" w:type="pct"/>
                  <w:shd w:val="clear" w:color="auto" w:fill="auto"/>
                  <w:vAlign w:val="center"/>
                </w:tcPr>
                <w:p w14:paraId="5174BD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w w:val="100"/>
                      <w:kern w:val="0"/>
                      <w:sz w:val="21"/>
                      <w:szCs w:val="21"/>
                    </w:rPr>
                    <w:t>车辆、轮船及其它机械维修过程中产生的废发动机油、制动器油、自动变速器油、齿轮油等废润滑油</w:t>
                  </w:r>
                </w:p>
              </w:tc>
              <w:tc>
                <w:tcPr>
                  <w:tcW w:w="725" w:type="pct"/>
                  <w:vAlign w:val="center"/>
                </w:tcPr>
                <w:p w14:paraId="613611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25EB6F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666299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3101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055FD1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eastAsia="zh-CN"/>
                    </w:rPr>
                  </w:pPr>
                  <w:r>
                    <w:rPr>
                      <w:rFonts w:hint="eastAsia"/>
                      <w:color w:val="00B050"/>
                      <w:w w:val="100"/>
                      <w:kern w:val="0"/>
                      <w:sz w:val="21"/>
                      <w:szCs w:val="21"/>
                      <w:lang w:val="en-US" w:eastAsia="zh-CN"/>
                    </w:rPr>
                    <w:t>9</w:t>
                  </w:r>
                </w:p>
              </w:tc>
              <w:tc>
                <w:tcPr>
                  <w:tcW w:w="512" w:type="pct"/>
                  <w:vMerge w:val="continue"/>
                  <w:shd w:val="clear" w:color="auto" w:fill="auto"/>
                  <w:vAlign w:val="center"/>
                </w:tcPr>
                <w:p w14:paraId="071BE8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49D315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0D265E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900-215-08</w:t>
                  </w:r>
                </w:p>
              </w:tc>
              <w:tc>
                <w:tcPr>
                  <w:tcW w:w="1364" w:type="pct"/>
                  <w:shd w:val="clear" w:color="auto" w:fill="auto"/>
                  <w:vAlign w:val="center"/>
                </w:tcPr>
                <w:p w14:paraId="2978D3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w w:val="100"/>
                      <w:kern w:val="0"/>
                      <w:sz w:val="21"/>
                      <w:szCs w:val="21"/>
                    </w:rPr>
                    <w:t>废矿物油裂解再生过程中产生的裂解残渣</w:t>
                  </w:r>
                </w:p>
              </w:tc>
              <w:tc>
                <w:tcPr>
                  <w:tcW w:w="725" w:type="pct"/>
                  <w:vAlign w:val="center"/>
                </w:tcPr>
                <w:p w14:paraId="2A1B37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470C2E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6EF33F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rPr>
                    <w:t>吨袋</w:t>
                  </w:r>
                  <w:r>
                    <w:rPr>
                      <w:rFonts w:hint="eastAsia"/>
                      <w:color w:val="00B050"/>
                      <w:w w:val="100"/>
                      <w:kern w:val="0"/>
                      <w:sz w:val="21"/>
                      <w:szCs w:val="21"/>
                      <w:lang w:eastAsia="zh-CN"/>
                    </w:rPr>
                    <w:t>（</w:t>
                  </w:r>
                  <w:r>
                    <w:rPr>
                      <w:rFonts w:hint="eastAsia"/>
                      <w:color w:val="FF0000"/>
                      <w:w w:val="100"/>
                      <w:kern w:val="0"/>
                      <w:sz w:val="21"/>
                      <w:szCs w:val="21"/>
                      <w:lang w:val="en-US" w:eastAsia="zh-CN"/>
                    </w:rPr>
                    <w:t>防渗处理）</w:t>
                  </w:r>
                </w:p>
              </w:tc>
            </w:tr>
            <w:tr w14:paraId="477E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1E7CB2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lang w:val="en-US" w:eastAsia="zh-CN"/>
                    </w:rPr>
                    <w:t>10</w:t>
                  </w:r>
                </w:p>
              </w:tc>
              <w:tc>
                <w:tcPr>
                  <w:tcW w:w="512" w:type="pct"/>
                  <w:vMerge w:val="continue"/>
                  <w:shd w:val="clear" w:color="auto" w:fill="auto"/>
                  <w:vAlign w:val="center"/>
                </w:tcPr>
                <w:p w14:paraId="7B476A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320570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2939AF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900-217-08</w:t>
                  </w:r>
                </w:p>
              </w:tc>
              <w:tc>
                <w:tcPr>
                  <w:tcW w:w="1364" w:type="pct"/>
                  <w:shd w:val="clear" w:color="auto" w:fill="auto"/>
                  <w:vAlign w:val="center"/>
                </w:tcPr>
                <w:p w14:paraId="191B07FB">
                  <w:pPr>
                    <w:keepNext w:val="0"/>
                    <w:keepLines w:val="0"/>
                    <w:pageBreakBefore w:val="0"/>
                    <w:widowControl w:val="0"/>
                    <w:tabs>
                      <w:tab w:val="left" w:pos="3215"/>
                    </w:tabs>
                    <w:kinsoku/>
                    <w:wordWrap/>
                    <w:overflowPunct/>
                    <w:topLinePunct w:val="0"/>
                    <w:autoSpaceDE/>
                    <w:autoSpaceDN/>
                    <w:bidi w:val="0"/>
                    <w:adjustRightInd/>
                    <w:snapToGrid/>
                    <w:spacing w:line="240" w:lineRule="auto"/>
                    <w:ind w:left="0" w:leftChars="0" w:right="0" w:rightChars="0"/>
                    <w:textAlignment w:val="auto"/>
                    <w:rPr>
                      <w:rFonts w:ascii="宋体" w:hAnsi="宋体"/>
                      <w:color w:val="00B050"/>
                      <w:w w:val="100"/>
                      <w:kern w:val="0"/>
                      <w:sz w:val="21"/>
                      <w:szCs w:val="21"/>
                    </w:rPr>
                  </w:pPr>
                  <w:r>
                    <w:rPr>
                      <w:rFonts w:ascii="宋体" w:hAnsi="宋体"/>
                      <w:color w:val="00B050"/>
                      <w:w w:val="100"/>
                      <w:kern w:val="0"/>
                      <w:sz w:val="21"/>
                      <w:szCs w:val="21"/>
                    </w:rPr>
                    <w:t>使</w:t>
                  </w:r>
                  <w:r>
                    <w:rPr>
                      <w:rFonts w:ascii="宋体" w:hAnsi="宋体"/>
                      <w:color w:val="00B050"/>
                      <w:spacing w:val="36"/>
                      <w:w w:val="100"/>
                      <w:kern w:val="0"/>
                      <w:sz w:val="21"/>
                      <w:szCs w:val="21"/>
                    </w:rPr>
                    <w:t>用</w:t>
                  </w:r>
                  <w:r>
                    <w:rPr>
                      <w:rFonts w:ascii="宋体" w:hAnsi="宋体"/>
                      <w:color w:val="00B050"/>
                      <w:w w:val="100"/>
                      <w:kern w:val="0"/>
                      <w:sz w:val="21"/>
                      <w:szCs w:val="21"/>
                    </w:rPr>
                    <w:t>工业齿轮油进行机械设备润滑过程</w:t>
                  </w:r>
                  <w:r>
                    <w:rPr>
                      <w:rFonts w:ascii="宋体" w:hAnsi="宋体"/>
                      <w:color w:val="00B050"/>
                      <w:spacing w:val="44"/>
                      <w:w w:val="100"/>
                      <w:kern w:val="0"/>
                      <w:sz w:val="21"/>
                      <w:szCs w:val="21"/>
                    </w:rPr>
                    <w:t>中</w:t>
                  </w:r>
                  <w:r>
                    <w:rPr>
                      <w:rFonts w:ascii="宋体" w:hAnsi="宋体"/>
                      <w:color w:val="00B050"/>
                      <w:spacing w:val="32"/>
                      <w:w w:val="100"/>
                      <w:kern w:val="0"/>
                      <w:sz w:val="21"/>
                      <w:szCs w:val="21"/>
                    </w:rPr>
                    <w:t>产</w:t>
                  </w:r>
                  <w:r>
                    <w:rPr>
                      <w:rFonts w:ascii="宋体" w:hAnsi="宋体"/>
                      <w:color w:val="00B050"/>
                      <w:w w:val="100"/>
                      <w:kern w:val="0"/>
                      <w:sz w:val="21"/>
                      <w:szCs w:val="21"/>
                    </w:rPr>
                    <w:t>生的废润滑油</w:t>
                  </w:r>
                </w:p>
              </w:tc>
              <w:tc>
                <w:tcPr>
                  <w:tcW w:w="725" w:type="pct"/>
                  <w:vAlign w:val="center"/>
                </w:tcPr>
                <w:p w14:paraId="6B1BC7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15796B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7412C2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2C96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7024CF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lang w:val="en-US" w:eastAsia="zh-CN"/>
                    </w:rPr>
                    <w:t>11</w:t>
                  </w:r>
                </w:p>
              </w:tc>
              <w:tc>
                <w:tcPr>
                  <w:tcW w:w="512" w:type="pct"/>
                  <w:vMerge w:val="continue"/>
                  <w:shd w:val="clear" w:color="auto" w:fill="auto"/>
                  <w:vAlign w:val="center"/>
                </w:tcPr>
                <w:p w14:paraId="7FECB5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52B560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4F6210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900-218-08</w:t>
                  </w:r>
                </w:p>
              </w:tc>
              <w:tc>
                <w:tcPr>
                  <w:tcW w:w="1364" w:type="pct"/>
                  <w:shd w:val="clear" w:color="auto" w:fill="auto"/>
                  <w:vAlign w:val="center"/>
                </w:tcPr>
                <w:p w14:paraId="088DEADB">
                  <w:pPr>
                    <w:keepNext w:val="0"/>
                    <w:keepLines w:val="0"/>
                    <w:pageBreakBefore w:val="0"/>
                    <w:widowControl w:val="0"/>
                    <w:tabs>
                      <w:tab w:val="left" w:pos="3215"/>
                    </w:tabs>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spacing w:val="-1"/>
                      <w:w w:val="100"/>
                      <w:kern w:val="0"/>
                      <w:sz w:val="21"/>
                      <w:szCs w:val="21"/>
                    </w:rPr>
                    <w:t>液压设备维护、更换和拆解过程中产生的废液</w:t>
                  </w:r>
                  <w:r>
                    <w:rPr>
                      <w:color w:val="00B050"/>
                      <w:w w:val="100"/>
                      <w:kern w:val="0"/>
                      <w:sz w:val="21"/>
                      <w:szCs w:val="21"/>
                    </w:rPr>
                    <w:t>压油</w:t>
                  </w:r>
                </w:p>
              </w:tc>
              <w:tc>
                <w:tcPr>
                  <w:tcW w:w="725" w:type="pct"/>
                  <w:vAlign w:val="center"/>
                </w:tcPr>
                <w:p w14:paraId="7FCB6B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45FC9F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05EB5A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0BC2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36D841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lang w:val="en-US" w:eastAsia="zh-CN"/>
                    </w:rPr>
                    <w:t>12</w:t>
                  </w:r>
                </w:p>
              </w:tc>
              <w:tc>
                <w:tcPr>
                  <w:tcW w:w="512" w:type="pct"/>
                  <w:vMerge w:val="continue"/>
                  <w:shd w:val="clear" w:color="auto" w:fill="auto"/>
                  <w:vAlign w:val="center"/>
                </w:tcPr>
                <w:p w14:paraId="2115EC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57CC86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39CECB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900-219-08</w:t>
                  </w:r>
                </w:p>
              </w:tc>
              <w:tc>
                <w:tcPr>
                  <w:tcW w:w="1364" w:type="pct"/>
                  <w:shd w:val="clear" w:color="auto" w:fill="auto"/>
                  <w:vAlign w:val="center"/>
                </w:tcPr>
                <w:p w14:paraId="3028463A">
                  <w:pPr>
                    <w:keepNext w:val="0"/>
                    <w:keepLines w:val="0"/>
                    <w:pageBreakBefore w:val="0"/>
                    <w:widowControl w:val="0"/>
                    <w:tabs>
                      <w:tab w:val="left" w:pos="3215"/>
                    </w:tabs>
                    <w:kinsoku/>
                    <w:wordWrap/>
                    <w:overflowPunct/>
                    <w:topLinePunct w:val="0"/>
                    <w:autoSpaceDE/>
                    <w:autoSpaceDN/>
                    <w:bidi w:val="0"/>
                    <w:adjustRightInd/>
                    <w:snapToGrid/>
                    <w:spacing w:line="240" w:lineRule="auto"/>
                    <w:ind w:left="0" w:leftChars="0" w:right="0" w:rightChars="0"/>
                    <w:textAlignment w:val="auto"/>
                    <w:rPr>
                      <w:color w:val="00B050"/>
                      <w:spacing w:val="-1"/>
                      <w:w w:val="100"/>
                      <w:kern w:val="0"/>
                      <w:sz w:val="21"/>
                      <w:szCs w:val="21"/>
                    </w:rPr>
                  </w:pPr>
                  <w:r>
                    <w:rPr>
                      <w:color w:val="00B050"/>
                      <w:spacing w:val="-6"/>
                      <w:w w:val="100"/>
                      <w:kern w:val="0"/>
                      <w:sz w:val="21"/>
                      <w:szCs w:val="21"/>
                    </w:rPr>
                    <w:t>冷冻压缩设备维护、更换和拆解过程</w:t>
                  </w:r>
                  <w:r>
                    <w:rPr>
                      <w:color w:val="00B050"/>
                      <w:spacing w:val="-11"/>
                      <w:w w:val="100"/>
                      <w:kern w:val="0"/>
                      <w:sz w:val="21"/>
                      <w:szCs w:val="21"/>
                    </w:rPr>
                    <w:t>中产生</w:t>
                  </w:r>
                  <w:r>
                    <w:rPr>
                      <w:color w:val="00B050"/>
                      <w:spacing w:val="-16"/>
                      <w:w w:val="100"/>
                      <w:kern w:val="0"/>
                      <w:sz w:val="21"/>
                      <w:szCs w:val="21"/>
                    </w:rPr>
                    <w:t>的</w:t>
                  </w:r>
                  <w:r>
                    <w:rPr>
                      <w:color w:val="00B050"/>
                      <w:w w:val="100"/>
                      <w:kern w:val="0"/>
                      <w:sz w:val="21"/>
                      <w:szCs w:val="21"/>
                    </w:rPr>
                    <w:t>废冷冻机油</w:t>
                  </w:r>
                </w:p>
              </w:tc>
              <w:tc>
                <w:tcPr>
                  <w:tcW w:w="725" w:type="pct"/>
                  <w:vAlign w:val="center"/>
                </w:tcPr>
                <w:p w14:paraId="43951F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53AD04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1C2364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554C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76A6C8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lang w:val="en-US" w:eastAsia="zh-CN"/>
                    </w:rPr>
                    <w:t>13</w:t>
                  </w:r>
                </w:p>
              </w:tc>
              <w:tc>
                <w:tcPr>
                  <w:tcW w:w="512" w:type="pct"/>
                  <w:vMerge w:val="continue"/>
                  <w:shd w:val="clear" w:color="auto" w:fill="auto"/>
                  <w:vAlign w:val="center"/>
                </w:tcPr>
                <w:p w14:paraId="3727B8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467F0C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534629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900-220-08</w:t>
                  </w:r>
                </w:p>
              </w:tc>
              <w:tc>
                <w:tcPr>
                  <w:tcW w:w="1364" w:type="pct"/>
                  <w:shd w:val="clear" w:color="auto" w:fill="auto"/>
                  <w:vAlign w:val="center"/>
                </w:tcPr>
                <w:p w14:paraId="546E2478">
                  <w:pPr>
                    <w:keepNext w:val="0"/>
                    <w:keepLines w:val="0"/>
                    <w:pageBreakBefore w:val="0"/>
                    <w:widowControl w:val="0"/>
                    <w:tabs>
                      <w:tab w:val="left" w:pos="3215"/>
                    </w:tabs>
                    <w:kinsoku/>
                    <w:wordWrap/>
                    <w:overflowPunct/>
                    <w:topLinePunct w:val="0"/>
                    <w:autoSpaceDE/>
                    <w:autoSpaceDN/>
                    <w:bidi w:val="0"/>
                    <w:adjustRightInd/>
                    <w:snapToGrid/>
                    <w:spacing w:line="240" w:lineRule="auto"/>
                    <w:ind w:left="0" w:leftChars="0" w:right="0" w:rightChars="0"/>
                    <w:textAlignment w:val="auto"/>
                    <w:rPr>
                      <w:color w:val="00B050"/>
                      <w:spacing w:val="-6"/>
                      <w:w w:val="100"/>
                      <w:kern w:val="0"/>
                      <w:sz w:val="21"/>
                      <w:szCs w:val="21"/>
                    </w:rPr>
                  </w:pPr>
                  <w:r>
                    <w:rPr>
                      <w:color w:val="00B050"/>
                      <w:spacing w:val="-1"/>
                      <w:w w:val="100"/>
                      <w:kern w:val="0"/>
                      <w:sz w:val="21"/>
                      <w:szCs w:val="21"/>
                    </w:rPr>
                    <w:t>变压器维护、更换和拆解过程中产生的废变压</w:t>
                  </w:r>
                  <w:r>
                    <w:rPr>
                      <w:color w:val="00B050"/>
                      <w:w w:val="100"/>
                      <w:kern w:val="0"/>
                      <w:sz w:val="21"/>
                      <w:szCs w:val="21"/>
                    </w:rPr>
                    <w:t>器油</w:t>
                  </w:r>
                </w:p>
              </w:tc>
              <w:tc>
                <w:tcPr>
                  <w:tcW w:w="725" w:type="pct"/>
                  <w:vAlign w:val="center"/>
                </w:tcPr>
                <w:p w14:paraId="442190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13AFCE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453575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储罐</w:t>
                  </w:r>
                </w:p>
              </w:tc>
            </w:tr>
            <w:tr w14:paraId="7364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1CF39A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lang w:val="en-US" w:eastAsia="zh-CN"/>
                    </w:rPr>
                    <w:t>14</w:t>
                  </w:r>
                </w:p>
              </w:tc>
              <w:tc>
                <w:tcPr>
                  <w:tcW w:w="512" w:type="pct"/>
                  <w:vMerge w:val="continue"/>
                  <w:shd w:val="clear" w:color="auto" w:fill="auto"/>
                  <w:vAlign w:val="center"/>
                </w:tcPr>
                <w:p w14:paraId="0B57E5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12C3F0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4A60DF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900-221-08</w:t>
                  </w:r>
                </w:p>
              </w:tc>
              <w:tc>
                <w:tcPr>
                  <w:tcW w:w="1364" w:type="pct"/>
                  <w:shd w:val="clear" w:color="auto" w:fill="auto"/>
                  <w:vAlign w:val="center"/>
                </w:tcPr>
                <w:p w14:paraId="371D1CCC">
                  <w:pPr>
                    <w:keepNext w:val="0"/>
                    <w:keepLines w:val="0"/>
                    <w:pageBreakBefore w:val="0"/>
                    <w:widowControl w:val="0"/>
                    <w:tabs>
                      <w:tab w:val="left" w:pos="3215"/>
                    </w:tabs>
                    <w:kinsoku/>
                    <w:wordWrap/>
                    <w:overflowPunct/>
                    <w:topLinePunct w:val="0"/>
                    <w:autoSpaceDE/>
                    <w:autoSpaceDN/>
                    <w:bidi w:val="0"/>
                    <w:adjustRightInd/>
                    <w:snapToGrid/>
                    <w:spacing w:line="240" w:lineRule="auto"/>
                    <w:ind w:left="0" w:leftChars="0" w:right="0" w:rightChars="0"/>
                    <w:textAlignment w:val="auto"/>
                    <w:rPr>
                      <w:color w:val="00B050"/>
                      <w:spacing w:val="-1"/>
                      <w:w w:val="100"/>
                      <w:kern w:val="0"/>
                      <w:sz w:val="21"/>
                      <w:szCs w:val="21"/>
                    </w:rPr>
                  </w:pPr>
                  <w:r>
                    <w:rPr>
                      <w:color w:val="00B050"/>
                      <w:w w:val="100"/>
                      <w:kern w:val="0"/>
                      <w:sz w:val="21"/>
                      <w:szCs w:val="21"/>
                    </w:rPr>
                    <w:t>废燃料油及燃料油储存过程中产生的油泥</w:t>
                  </w:r>
                </w:p>
              </w:tc>
              <w:tc>
                <w:tcPr>
                  <w:tcW w:w="725" w:type="pct"/>
                  <w:vAlign w:val="center"/>
                </w:tcPr>
                <w:p w14:paraId="501174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024794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102F89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eastAsia="zh-CN"/>
                    </w:rPr>
                  </w:pPr>
                  <w:r>
                    <w:rPr>
                      <w:rFonts w:hint="eastAsia"/>
                      <w:color w:val="00B050"/>
                      <w:w w:val="100"/>
                      <w:kern w:val="0"/>
                      <w:sz w:val="21"/>
                      <w:szCs w:val="21"/>
                      <w:lang w:val="en-US" w:eastAsia="zh-CN"/>
                    </w:rPr>
                    <w:t>储罐</w:t>
                  </w:r>
                </w:p>
              </w:tc>
            </w:tr>
            <w:tr w14:paraId="4DBB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8" w:type="pct"/>
                  <w:shd w:val="clear" w:color="auto" w:fill="auto"/>
                  <w:vAlign w:val="center"/>
                </w:tcPr>
                <w:p w14:paraId="34D1DA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lang w:val="en-US" w:eastAsia="zh-CN"/>
                    </w:rPr>
                    <w:t>15</w:t>
                  </w:r>
                </w:p>
              </w:tc>
              <w:tc>
                <w:tcPr>
                  <w:tcW w:w="512" w:type="pct"/>
                  <w:vMerge w:val="continue"/>
                  <w:shd w:val="clear" w:color="auto" w:fill="auto"/>
                  <w:vAlign w:val="center"/>
                </w:tcPr>
                <w:p w14:paraId="523216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p>
              </w:tc>
              <w:tc>
                <w:tcPr>
                  <w:tcW w:w="417" w:type="pct"/>
                  <w:vMerge w:val="continue"/>
                  <w:shd w:val="clear" w:color="auto" w:fill="auto"/>
                  <w:vAlign w:val="center"/>
                </w:tcPr>
                <w:p w14:paraId="55A6ED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776" w:type="pct"/>
                  <w:shd w:val="clear" w:color="auto" w:fill="auto"/>
                  <w:vAlign w:val="center"/>
                </w:tcPr>
                <w:p w14:paraId="7814A2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900-249-08</w:t>
                  </w:r>
                </w:p>
              </w:tc>
              <w:tc>
                <w:tcPr>
                  <w:tcW w:w="1364" w:type="pct"/>
                  <w:shd w:val="clear" w:color="auto" w:fill="auto"/>
                  <w:vAlign w:val="center"/>
                </w:tcPr>
                <w:p w14:paraId="79186A88">
                  <w:pPr>
                    <w:keepNext w:val="0"/>
                    <w:keepLines w:val="0"/>
                    <w:pageBreakBefore w:val="0"/>
                    <w:widowControl w:val="0"/>
                    <w:tabs>
                      <w:tab w:val="left" w:pos="3215"/>
                    </w:tabs>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color w:val="00B050"/>
                      <w:spacing w:val="-1"/>
                      <w:w w:val="100"/>
                      <w:kern w:val="0"/>
                      <w:sz w:val="21"/>
                      <w:szCs w:val="21"/>
                    </w:rPr>
                    <w:t>其他生产、销售、使用过程中产生的废矿物油</w:t>
                  </w:r>
                  <w:r>
                    <w:rPr>
                      <w:color w:val="00B050"/>
                      <w:w w:val="100"/>
                      <w:kern w:val="0"/>
                      <w:sz w:val="21"/>
                      <w:szCs w:val="21"/>
                    </w:rPr>
                    <w:t>及沾染矿物油的废弃包装物</w:t>
                  </w:r>
                </w:p>
              </w:tc>
              <w:tc>
                <w:tcPr>
                  <w:tcW w:w="725" w:type="pct"/>
                  <w:vAlign w:val="center"/>
                </w:tcPr>
                <w:p w14:paraId="67B03B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I</w:t>
                  </w:r>
                </w:p>
              </w:tc>
              <w:tc>
                <w:tcPr>
                  <w:tcW w:w="538" w:type="pct"/>
                  <w:vMerge w:val="continue"/>
                  <w:vAlign w:val="center"/>
                </w:tcPr>
                <w:p w14:paraId="7E7100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p>
              </w:tc>
              <w:tc>
                <w:tcPr>
                  <w:tcW w:w="406" w:type="pct"/>
                  <w:vAlign w:val="center"/>
                </w:tcPr>
                <w:p w14:paraId="7DD690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val="en-US" w:eastAsia="zh-CN"/>
                    </w:rPr>
                  </w:pPr>
                  <w:r>
                    <w:rPr>
                      <w:rFonts w:hint="eastAsia"/>
                      <w:color w:val="00B050"/>
                      <w:w w:val="100"/>
                      <w:kern w:val="0"/>
                      <w:sz w:val="21"/>
                      <w:szCs w:val="21"/>
                    </w:rPr>
                    <w:t>吨袋</w:t>
                  </w:r>
                  <w:r>
                    <w:rPr>
                      <w:rFonts w:hint="eastAsia"/>
                      <w:color w:val="00B050"/>
                      <w:w w:val="100"/>
                      <w:kern w:val="0"/>
                      <w:sz w:val="21"/>
                      <w:szCs w:val="21"/>
                      <w:lang w:eastAsia="zh-CN"/>
                    </w:rPr>
                    <w:t>（</w:t>
                  </w:r>
                  <w:r>
                    <w:rPr>
                      <w:rFonts w:hint="eastAsia"/>
                      <w:color w:val="FF0000"/>
                      <w:w w:val="100"/>
                      <w:kern w:val="0"/>
                      <w:sz w:val="21"/>
                      <w:szCs w:val="21"/>
                      <w:lang w:val="en-US" w:eastAsia="zh-CN"/>
                    </w:rPr>
                    <w:t>防渗处理）</w:t>
                  </w:r>
                </w:p>
              </w:tc>
            </w:tr>
            <w:tr w14:paraId="65E5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8" w:type="pct"/>
                  <w:shd w:val="clear" w:color="auto" w:fill="auto"/>
                  <w:vAlign w:val="center"/>
                </w:tcPr>
                <w:p w14:paraId="1C0B80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lang w:val="en-US" w:eastAsia="zh-CN"/>
                    </w:rPr>
                    <w:t>16</w:t>
                  </w:r>
                </w:p>
              </w:tc>
              <w:tc>
                <w:tcPr>
                  <w:tcW w:w="512" w:type="pct"/>
                  <w:shd w:val="clear" w:color="auto" w:fill="auto"/>
                  <w:vAlign w:val="center"/>
                </w:tcPr>
                <w:p w14:paraId="709812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lang w:eastAsia="en-US"/>
                    </w:rPr>
                  </w:pPr>
                  <w:r>
                    <w:rPr>
                      <w:color w:val="00B050"/>
                      <w:w w:val="100"/>
                      <w:kern w:val="0"/>
                      <w:sz w:val="21"/>
                      <w:szCs w:val="21"/>
                      <w:lang w:eastAsia="en-US"/>
                    </w:rPr>
                    <w:t>HW31含铅废物</w:t>
                  </w:r>
                </w:p>
              </w:tc>
              <w:tc>
                <w:tcPr>
                  <w:tcW w:w="417" w:type="pct"/>
                  <w:shd w:val="clear" w:color="auto" w:fill="auto"/>
                  <w:vAlign w:val="center"/>
                </w:tcPr>
                <w:p w14:paraId="65DDAA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lang w:eastAsia="en-US"/>
                    </w:rPr>
                  </w:pPr>
                  <w:r>
                    <w:rPr>
                      <w:color w:val="00B050"/>
                      <w:w w:val="100"/>
                      <w:kern w:val="0"/>
                      <w:sz w:val="21"/>
                      <w:szCs w:val="21"/>
                      <w:lang w:eastAsia="en-US"/>
                    </w:rPr>
                    <w:t>非特定行业</w:t>
                  </w:r>
                </w:p>
              </w:tc>
              <w:tc>
                <w:tcPr>
                  <w:tcW w:w="776" w:type="pct"/>
                  <w:shd w:val="clear" w:color="auto" w:fill="auto"/>
                  <w:vAlign w:val="center"/>
                </w:tcPr>
                <w:p w14:paraId="0729F6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900-052-31</w:t>
                  </w:r>
                </w:p>
              </w:tc>
              <w:tc>
                <w:tcPr>
                  <w:tcW w:w="1364" w:type="pct"/>
                  <w:shd w:val="clear" w:color="auto" w:fill="auto"/>
                  <w:vAlign w:val="center"/>
                </w:tcPr>
                <w:p w14:paraId="37425C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rFonts w:hint="eastAsia"/>
                      <w:b/>
                      <w:bCs/>
                      <w:color w:val="00B050"/>
                      <w:w w:val="100"/>
                      <w:kern w:val="0"/>
                      <w:sz w:val="21"/>
                      <w:szCs w:val="21"/>
                    </w:rPr>
                    <w:t>废铅蓄电池</w:t>
                  </w:r>
                  <w:r>
                    <w:rPr>
                      <w:rFonts w:hint="eastAsia"/>
                      <w:color w:val="00B050"/>
                      <w:w w:val="100"/>
                      <w:kern w:val="0"/>
                      <w:sz w:val="21"/>
                      <w:szCs w:val="21"/>
                    </w:rPr>
                    <w:t>及废铅蓄电池拆解过程中产生的废铅板、废铅膏和酸液</w:t>
                  </w:r>
                </w:p>
              </w:tc>
              <w:tc>
                <w:tcPr>
                  <w:tcW w:w="725" w:type="pct"/>
                  <w:vAlign w:val="center"/>
                </w:tcPr>
                <w:p w14:paraId="1BF8E2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r>
                    <w:rPr>
                      <w:rFonts w:hint="eastAsia"/>
                      <w:color w:val="00B050"/>
                      <w:w w:val="100"/>
                      <w:kern w:val="0"/>
                      <w:sz w:val="21"/>
                      <w:szCs w:val="21"/>
                      <w:lang w:eastAsia="zh-CN"/>
                    </w:rPr>
                    <w:t>,</w:t>
                  </w:r>
                  <w:r>
                    <w:rPr>
                      <w:rFonts w:hint="eastAsia"/>
                      <w:color w:val="00B050"/>
                      <w:w w:val="100"/>
                      <w:kern w:val="0"/>
                      <w:sz w:val="21"/>
                      <w:szCs w:val="21"/>
                    </w:rPr>
                    <w:t>C</w:t>
                  </w:r>
                </w:p>
              </w:tc>
              <w:tc>
                <w:tcPr>
                  <w:tcW w:w="538" w:type="pct"/>
                  <w:vAlign w:val="center"/>
                </w:tcPr>
                <w:p w14:paraId="37761C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rPr>
                    <w:t>铅</w:t>
                  </w:r>
                  <w:r>
                    <w:rPr>
                      <w:rFonts w:hint="eastAsia"/>
                      <w:color w:val="00B050"/>
                      <w:w w:val="100"/>
                      <w:kern w:val="0"/>
                      <w:sz w:val="21"/>
                      <w:szCs w:val="21"/>
                      <w:lang w:eastAsia="zh-CN"/>
                    </w:rPr>
                    <w:t>、</w:t>
                  </w:r>
                  <w:r>
                    <w:rPr>
                      <w:rFonts w:hint="eastAsia"/>
                      <w:color w:val="00B050"/>
                      <w:w w:val="100"/>
                      <w:kern w:val="0"/>
                      <w:sz w:val="21"/>
                      <w:szCs w:val="21"/>
                      <w:lang w:val="en-US" w:eastAsia="zh-CN"/>
                    </w:rPr>
                    <w:t>酸性废气</w:t>
                  </w:r>
                </w:p>
              </w:tc>
              <w:tc>
                <w:tcPr>
                  <w:tcW w:w="406" w:type="pct"/>
                  <w:vAlign w:val="center"/>
                </w:tcPr>
                <w:p w14:paraId="7922A1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rFonts w:hint="eastAsia"/>
                      <w:color w:val="00B050"/>
                      <w:w w:val="100"/>
                      <w:kern w:val="0"/>
                      <w:sz w:val="21"/>
                      <w:szCs w:val="21"/>
                    </w:rPr>
                    <w:t>/</w:t>
                  </w:r>
                </w:p>
              </w:tc>
            </w:tr>
            <w:tr w14:paraId="287B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58" w:type="pct"/>
                  <w:shd w:val="clear" w:color="auto" w:fill="auto"/>
                  <w:vAlign w:val="center"/>
                </w:tcPr>
                <w:p w14:paraId="2A9466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lang w:val="en-US" w:eastAsia="zh-CN"/>
                    </w:rPr>
                    <w:t>17</w:t>
                  </w:r>
                </w:p>
              </w:tc>
              <w:tc>
                <w:tcPr>
                  <w:tcW w:w="512" w:type="pct"/>
                  <w:shd w:val="clear" w:color="auto" w:fill="auto"/>
                  <w:vAlign w:val="center"/>
                </w:tcPr>
                <w:p w14:paraId="4FAF61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lang w:eastAsia="en-US"/>
                    </w:rPr>
                  </w:pPr>
                  <w:r>
                    <w:rPr>
                      <w:color w:val="00B050"/>
                      <w:w w:val="100"/>
                      <w:kern w:val="0"/>
                      <w:sz w:val="21"/>
                      <w:szCs w:val="21"/>
                      <w:lang w:eastAsia="en-US"/>
                    </w:rPr>
                    <w:t>HW49其他废物</w:t>
                  </w:r>
                </w:p>
              </w:tc>
              <w:tc>
                <w:tcPr>
                  <w:tcW w:w="417" w:type="pct"/>
                  <w:shd w:val="clear" w:color="auto" w:fill="auto"/>
                  <w:vAlign w:val="center"/>
                </w:tcPr>
                <w:p w14:paraId="5FED71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lang w:eastAsia="en-US"/>
                    </w:rPr>
                  </w:pPr>
                  <w:r>
                    <w:rPr>
                      <w:color w:val="00B050"/>
                      <w:w w:val="100"/>
                      <w:kern w:val="0"/>
                      <w:sz w:val="21"/>
                      <w:szCs w:val="21"/>
                      <w:lang w:eastAsia="en-US"/>
                    </w:rPr>
                    <w:t>非特定行业</w:t>
                  </w:r>
                </w:p>
              </w:tc>
              <w:tc>
                <w:tcPr>
                  <w:tcW w:w="776" w:type="pct"/>
                  <w:shd w:val="clear" w:color="auto" w:fill="auto"/>
                  <w:vAlign w:val="center"/>
                </w:tcPr>
                <w:p w14:paraId="135F53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900-044-49</w:t>
                  </w:r>
                </w:p>
                <w:p w14:paraId="789D46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color w:val="00B050"/>
                      <w:w w:val="100"/>
                      <w:kern w:val="0"/>
                      <w:sz w:val="21"/>
                      <w:szCs w:val="21"/>
                    </w:rPr>
                    <w:t>900-045-49</w:t>
                  </w:r>
                </w:p>
              </w:tc>
              <w:tc>
                <w:tcPr>
                  <w:tcW w:w="1364" w:type="pct"/>
                  <w:shd w:val="clear" w:color="auto" w:fill="auto"/>
                  <w:vAlign w:val="center"/>
                </w:tcPr>
                <w:p w14:paraId="7EFDFA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color w:val="00B050"/>
                      <w:w w:val="100"/>
                      <w:kern w:val="0"/>
                      <w:sz w:val="21"/>
                      <w:szCs w:val="21"/>
                    </w:rPr>
                  </w:pPr>
                  <w:r>
                    <w:rPr>
                      <w:b/>
                      <w:bCs/>
                      <w:color w:val="00B050"/>
                      <w:w w:val="100"/>
                      <w:kern w:val="0"/>
                      <w:sz w:val="21"/>
                      <w:szCs w:val="21"/>
                    </w:rPr>
                    <w:t>废弃的镉镍电池</w:t>
                  </w:r>
                  <w:r>
                    <w:rPr>
                      <w:color w:val="00B050"/>
                      <w:w w:val="100"/>
                      <w:kern w:val="0"/>
                      <w:sz w:val="21"/>
                      <w:szCs w:val="21"/>
                    </w:rPr>
                    <w:t>、荧光粉和阴极射线管</w:t>
                  </w:r>
                </w:p>
              </w:tc>
              <w:tc>
                <w:tcPr>
                  <w:tcW w:w="725" w:type="pct"/>
                  <w:vAlign w:val="center"/>
                </w:tcPr>
                <w:p w14:paraId="5A883C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B050"/>
                      <w:w w:val="100"/>
                      <w:kern w:val="0"/>
                      <w:sz w:val="21"/>
                      <w:szCs w:val="21"/>
                    </w:rPr>
                  </w:pPr>
                  <w:r>
                    <w:rPr>
                      <w:rFonts w:hint="eastAsia"/>
                      <w:color w:val="00B050"/>
                      <w:w w:val="100"/>
                      <w:kern w:val="0"/>
                      <w:sz w:val="21"/>
                      <w:szCs w:val="21"/>
                    </w:rPr>
                    <w:t>T</w:t>
                  </w:r>
                </w:p>
              </w:tc>
              <w:tc>
                <w:tcPr>
                  <w:tcW w:w="538" w:type="pct"/>
                  <w:vAlign w:val="center"/>
                </w:tcPr>
                <w:p w14:paraId="37E486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B050"/>
                      <w:w w:val="100"/>
                      <w:kern w:val="0"/>
                      <w:sz w:val="21"/>
                      <w:szCs w:val="21"/>
                    </w:rPr>
                  </w:pPr>
                  <w:r>
                    <w:rPr>
                      <w:color w:val="00B050"/>
                      <w:w w:val="100"/>
                      <w:kern w:val="0"/>
                      <w:sz w:val="21"/>
                      <w:szCs w:val="21"/>
                    </w:rPr>
                    <w:t>镉、镍、锰等</w:t>
                  </w:r>
                </w:p>
              </w:tc>
              <w:tc>
                <w:tcPr>
                  <w:tcW w:w="406" w:type="pct"/>
                  <w:vAlign w:val="center"/>
                </w:tcPr>
                <w:p w14:paraId="013C51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00B050"/>
                      <w:w w:val="100"/>
                      <w:kern w:val="0"/>
                      <w:sz w:val="21"/>
                      <w:szCs w:val="21"/>
                      <w:lang w:eastAsia="zh-CN"/>
                    </w:rPr>
                  </w:pPr>
                  <w:r>
                    <w:rPr>
                      <w:rFonts w:hint="eastAsia"/>
                      <w:color w:val="00B050"/>
                      <w:w w:val="100"/>
                      <w:kern w:val="0"/>
                      <w:sz w:val="21"/>
                      <w:szCs w:val="21"/>
                      <w:lang w:val="en-US" w:eastAsia="zh-CN"/>
                    </w:rPr>
                    <w:t>/</w:t>
                  </w:r>
                </w:p>
              </w:tc>
            </w:tr>
            <w:tr w14:paraId="252A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8"/>
                  <w:shd w:val="clear" w:color="auto" w:fill="auto"/>
                  <w:vAlign w:val="center"/>
                </w:tcPr>
                <w:p w14:paraId="02720B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00B050"/>
                      <w:w w:val="100"/>
                      <w:kern w:val="0"/>
                      <w:sz w:val="21"/>
                      <w:szCs w:val="21"/>
                      <w:lang w:val="en-US" w:eastAsia="zh-CN"/>
                    </w:rPr>
                  </w:pPr>
                  <w:r>
                    <w:rPr>
                      <w:rFonts w:hint="eastAsia"/>
                      <w:color w:val="00B050"/>
                      <w:w w:val="100"/>
                      <w:kern w:val="0"/>
                      <w:sz w:val="21"/>
                      <w:szCs w:val="21"/>
                      <w:lang w:val="en-US" w:eastAsia="zh-CN"/>
                    </w:rPr>
                    <w:t>合计共3类大项，17类小项</w:t>
                  </w:r>
                </w:p>
              </w:tc>
            </w:tr>
            <w:bookmarkEnd w:id="15"/>
          </w:tbl>
          <w:p w14:paraId="63B76E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Cs/>
                <w:color w:val="00B050"/>
                <w:sz w:val="24"/>
                <w:lang w:val="en-US" w:eastAsia="zh-CN"/>
              </w:rPr>
            </w:pPr>
            <w:r>
              <w:rPr>
                <w:rFonts w:hint="eastAsia" w:cs="Times New Roman"/>
                <w:bCs/>
                <w:color w:val="00B050"/>
                <w:sz w:val="24"/>
                <w:lang w:val="en-US" w:eastAsia="zh-CN"/>
              </w:rPr>
              <w:t>项目收集一般固体废物情况见表2.1-3所示。</w:t>
            </w:r>
          </w:p>
          <w:p w14:paraId="6AAB53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B050"/>
                <w:sz w:val="21"/>
                <w:szCs w:val="21"/>
              </w:rPr>
            </w:pPr>
            <w:r>
              <w:rPr>
                <w:rFonts w:hint="default" w:ascii="Times New Roman" w:hAnsi="Times New Roman" w:eastAsia="宋体" w:cs="Times New Roman"/>
                <w:b/>
                <w:bCs/>
                <w:color w:val="00B050"/>
                <w:sz w:val="21"/>
                <w:szCs w:val="21"/>
              </w:rPr>
              <w:t>表</w:t>
            </w:r>
            <w:r>
              <w:rPr>
                <w:rFonts w:hint="eastAsia" w:eastAsia="宋体" w:cs="Times New Roman"/>
                <w:b/>
                <w:bCs/>
                <w:color w:val="00B050"/>
                <w:sz w:val="21"/>
                <w:szCs w:val="21"/>
                <w:lang w:val="en-US" w:eastAsia="zh-CN"/>
              </w:rPr>
              <w:t>2.1</w:t>
            </w:r>
            <w:r>
              <w:rPr>
                <w:rFonts w:hint="default" w:ascii="Times New Roman" w:hAnsi="Times New Roman" w:eastAsia="宋体" w:cs="Times New Roman"/>
                <w:b/>
                <w:bCs/>
                <w:color w:val="00B050"/>
                <w:sz w:val="21"/>
                <w:szCs w:val="21"/>
              </w:rPr>
              <w:t>-</w:t>
            </w:r>
            <w:r>
              <w:rPr>
                <w:rFonts w:hint="eastAsia" w:eastAsia="宋体" w:cs="Times New Roman"/>
                <w:b/>
                <w:bCs/>
                <w:color w:val="00B050"/>
                <w:sz w:val="21"/>
                <w:szCs w:val="21"/>
                <w:lang w:val="en-US" w:eastAsia="zh-CN"/>
              </w:rPr>
              <w:t>3</w:t>
            </w:r>
            <w:r>
              <w:rPr>
                <w:rFonts w:hint="eastAsia" w:ascii="Times New Roman" w:hAnsi="Times New Roman" w:eastAsia="宋体" w:cs="Times New Roman"/>
                <w:b/>
                <w:bCs/>
                <w:color w:val="00B050"/>
                <w:sz w:val="21"/>
                <w:szCs w:val="21"/>
                <w:lang w:val="en-US" w:eastAsia="zh-CN"/>
              </w:rPr>
              <w:t xml:space="preserve"> </w:t>
            </w:r>
            <w:r>
              <w:rPr>
                <w:rFonts w:hint="default" w:ascii="Times New Roman" w:hAnsi="Times New Roman" w:eastAsia="宋体" w:cs="Times New Roman"/>
                <w:b/>
                <w:bCs/>
                <w:color w:val="00B050"/>
                <w:sz w:val="21"/>
                <w:szCs w:val="21"/>
              </w:rPr>
              <w:t xml:space="preserve"> 项目</w:t>
            </w:r>
            <w:r>
              <w:rPr>
                <w:rFonts w:hint="eastAsia" w:ascii="Times New Roman" w:hAnsi="Times New Roman" w:eastAsia="宋体" w:cs="Times New Roman"/>
                <w:b/>
                <w:bCs/>
                <w:color w:val="00B050"/>
                <w:sz w:val="21"/>
                <w:szCs w:val="21"/>
              </w:rPr>
              <w:t>一般固体废物</w:t>
            </w:r>
            <w:r>
              <w:rPr>
                <w:rFonts w:hint="default" w:ascii="Times New Roman" w:hAnsi="Times New Roman" w:eastAsia="宋体" w:cs="Times New Roman"/>
                <w:b/>
                <w:bCs/>
                <w:color w:val="00B050"/>
                <w:sz w:val="21"/>
                <w:szCs w:val="21"/>
              </w:rPr>
              <w:t>代码</w:t>
            </w:r>
          </w:p>
          <w:tbl>
            <w:tblPr>
              <w:tblStyle w:val="53"/>
              <w:tblW w:w="5000"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101"/>
              <w:gridCol w:w="897"/>
              <w:gridCol w:w="1108"/>
              <w:gridCol w:w="3586"/>
            </w:tblGrid>
            <w:tr w14:paraId="6F3A324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936" w:type="pct"/>
                  <w:noWrap w:val="0"/>
                  <w:vAlign w:val="center"/>
                </w:tcPr>
                <w:p w14:paraId="1EF1FA61">
                  <w:pPr>
                    <w:spacing w:line="240" w:lineRule="auto"/>
                    <w:ind w:firstLine="0" w:firstLineChars="0"/>
                    <w:jc w:val="center"/>
                    <w:rPr>
                      <w:rFonts w:cs="Times New Roman"/>
                      <w:b/>
                      <w:bCs/>
                      <w:color w:val="00B050"/>
                      <w:kern w:val="0"/>
                      <w:sz w:val="21"/>
                      <w:szCs w:val="21"/>
                    </w:rPr>
                  </w:pPr>
                  <w:r>
                    <w:rPr>
                      <w:rFonts w:cs="Times New Roman"/>
                      <w:b/>
                      <w:bCs/>
                      <w:color w:val="00B050"/>
                      <w:kern w:val="0"/>
                      <w:sz w:val="21"/>
                      <w:szCs w:val="21"/>
                    </w:rPr>
                    <w:t>名称</w:t>
                  </w:r>
                </w:p>
              </w:tc>
              <w:tc>
                <w:tcPr>
                  <w:tcW w:w="668" w:type="pct"/>
                  <w:noWrap w:val="0"/>
                  <w:vAlign w:val="center"/>
                </w:tcPr>
                <w:p w14:paraId="0E69805E">
                  <w:pPr>
                    <w:spacing w:line="240" w:lineRule="auto"/>
                    <w:ind w:firstLine="0" w:firstLineChars="0"/>
                    <w:jc w:val="center"/>
                    <w:rPr>
                      <w:rFonts w:cs="Times New Roman"/>
                      <w:b/>
                      <w:bCs/>
                      <w:color w:val="00B050"/>
                      <w:kern w:val="0"/>
                      <w:sz w:val="21"/>
                      <w:szCs w:val="21"/>
                    </w:rPr>
                  </w:pPr>
                  <w:r>
                    <w:rPr>
                      <w:rFonts w:hint="eastAsia" w:cs="Times New Roman"/>
                      <w:b/>
                      <w:bCs/>
                      <w:color w:val="00B050"/>
                      <w:kern w:val="0"/>
                      <w:sz w:val="21"/>
                      <w:szCs w:val="21"/>
                    </w:rPr>
                    <w:t>废物种类</w:t>
                  </w:r>
                </w:p>
              </w:tc>
              <w:tc>
                <w:tcPr>
                  <w:tcW w:w="544" w:type="pct"/>
                  <w:noWrap w:val="0"/>
                  <w:vAlign w:val="center"/>
                </w:tcPr>
                <w:p w14:paraId="70133075">
                  <w:pPr>
                    <w:spacing w:line="240" w:lineRule="auto"/>
                    <w:ind w:firstLine="0" w:firstLineChars="0"/>
                    <w:jc w:val="center"/>
                    <w:rPr>
                      <w:rFonts w:cs="Times New Roman"/>
                      <w:b/>
                      <w:bCs/>
                      <w:color w:val="00B050"/>
                      <w:kern w:val="0"/>
                      <w:sz w:val="21"/>
                      <w:szCs w:val="21"/>
                    </w:rPr>
                  </w:pPr>
                  <w:r>
                    <w:rPr>
                      <w:rFonts w:cs="Times New Roman"/>
                      <w:b/>
                      <w:bCs/>
                      <w:color w:val="00B050"/>
                      <w:kern w:val="0"/>
                      <w:sz w:val="21"/>
                      <w:szCs w:val="21"/>
                    </w:rPr>
                    <w:t>行业来源</w:t>
                  </w:r>
                </w:p>
              </w:tc>
              <w:tc>
                <w:tcPr>
                  <w:tcW w:w="672" w:type="pct"/>
                  <w:noWrap w:val="0"/>
                  <w:vAlign w:val="center"/>
                </w:tcPr>
                <w:p w14:paraId="100993EC">
                  <w:pPr>
                    <w:spacing w:line="240" w:lineRule="auto"/>
                    <w:ind w:firstLine="0" w:firstLineChars="0"/>
                    <w:jc w:val="center"/>
                    <w:rPr>
                      <w:rFonts w:cs="Times New Roman"/>
                      <w:b/>
                      <w:bCs/>
                      <w:color w:val="00B050"/>
                      <w:kern w:val="0"/>
                      <w:sz w:val="21"/>
                      <w:szCs w:val="21"/>
                    </w:rPr>
                  </w:pPr>
                  <w:r>
                    <w:rPr>
                      <w:rFonts w:cs="Times New Roman"/>
                      <w:b/>
                      <w:bCs/>
                      <w:color w:val="00B050"/>
                      <w:kern w:val="0"/>
                      <w:sz w:val="21"/>
                      <w:szCs w:val="21"/>
                    </w:rPr>
                    <w:t>废物代码</w:t>
                  </w:r>
                </w:p>
              </w:tc>
              <w:tc>
                <w:tcPr>
                  <w:tcW w:w="2177" w:type="pct"/>
                  <w:noWrap w:val="0"/>
                  <w:vAlign w:val="center"/>
                </w:tcPr>
                <w:p w14:paraId="25F2E5A4">
                  <w:pPr>
                    <w:spacing w:line="240" w:lineRule="auto"/>
                    <w:ind w:firstLine="0" w:firstLineChars="0"/>
                    <w:jc w:val="center"/>
                    <w:rPr>
                      <w:rFonts w:cs="Times New Roman"/>
                      <w:b/>
                      <w:bCs/>
                      <w:color w:val="00B050"/>
                      <w:kern w:val="0"/>
                      <w:sz w:val="21"/>
                      <w:szCs w:val="21"/>
                    </w:rPr>
                  </w:pPr>
                  <w:r>
                    <w:rPr>
                      <w:rFonts w:hint="eastAsia" w:cs="Times New Roman"/>
                      <w:b/>
                      <w:bCs/>
                      <w:color w:val="00B050"/>
                      <w:kern w:val="0"/>
                      <w:sz w:val="21"/>
                      <w:szCs w:val="21"/>
                    </w:rPr>
                    <w:t>一般固体废物</w:t>
                  </w:r>
                </w:p>
              </w:tc>
            </w:tr>
            <w:tr w14:paraId="57E6A38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74" w:hRule="atLeast"/>
                <w:jc w:val="center"/>
              </w:trPr>
              <w:tc>
                <w:tcPr>
                  <w:tcW w:w="936" w:type="pct"/>
                  <w:noWrap w:val="0"/>
                  <w:vAlign w:val="center"/>
                </w:tcPr>
                <w:p w14:paraId="217911A3">
                  <w:pPr>
                    <w:spacing w:line="240" w:lineRule="auto"/>
                    <w:ind w:firstLine="0" w:firstLineChars="0"/>
                    <w:jc w:val="center"/>
                    <w:rPr>
                      <w:rFonts w:ascii="Times New Roman" w:hAnsi="Times New Roman" w:eastAsia="宋体" w:cs="Times New Roman"/>
                      <w:color w:val="00B050"/>
                      <w:kern w:val="0"/>
                      <w:sz w:val="21"/>
                      <w:szCs w:val="21"/>
                      <w:lang w:val="en-US" w:eastAsia="zh-CN" w:bidi="ar-SA"/>
                    </w:rPr>
                  </w:pPr>
                  <w:r>
                    <w:rPr>
                      <w:rFonts w:hint="eastAsia" w:ascii="Times New Roman" w:hAnsi="Times New Roman" w:eastAsia="宋体" w:cs="Times New Roman"/>
                      <w:color w:val="00B050"/>
                      <w:kern w:val="0"/>
                      <w:szCs w:val="21"/>
                    </w:rPr>
                    <w:t>废镍氢电池</w:t>
                  </w:r>
                </w:p>
              </w:tc>
              <w:tc>
                <w:tcPr>
                  <w:tcW w:w="668" w:type="pct"/>
                  <w:vMerge w:val="restart"/>
                  <w:noWrap w:val="0"/>
                  <w:vAlign w:val="center"/>
                </w:tcPr>
                <w:p w14:paraId="4444FD1A">
                  <w:pPr>
                    <w:spacing w:line="240" w:lineRule="auto"/>
                    <w:ind w:firstLine="0" w:firstLineChars="0"/>
                    <w:jc w:val="center"/>
                    <w:rPr>
                      <w:rFonts w:hint="eastAsia" w:ascii="Times New Roman" w:hAnsi="Times New Roman" w:eastAsia="宋体" w:cs="Times New Roman"/>
                      <w:color w:val="00B050"/>
                      <w:kern w:val="0"/>
                      <w:sz w:val="21"/>
                      <w:szCs w:val="21"/>
                      <w:lang w:val="en-US" w:eastAsia="zh-CN" w:bidi="ar-SA"/>
                    </w:rPr>
                  </w:pPr>
                  <w:r>
                    <w:rPr>
                      <w:rFonts w:hint="eastAsia"/>
                      <w:color w:val="00B050"/>
                      <w:szCs w:val="21"/>
                      <w:vertAlign w:val="baseline"/>
                      <w:lang w:val="en-US" w:eastAsia="zh-CN"/>
                    </w:rPr>
                    <w:t>SW62—可回收物</w:t>
                  </w:r>
                </w:p>
              </w:tc>
              <w:tc>
                <w:tcPr>
                  <w:tcW w:w="544" w:type="pct"/>
                  <w:noWrap w:val="0"/>
                  <w:vAlign w:val="center"/>
                </w:tcPr>
                <w:p w14:paraId="72B30397">
                  <w:pPr>
                    <w:spacing w:line="240" w:lineRule="auto"/>
                    <w:ind w:firstLine="0" w:firstLineChars="0"/>
                    <w:jc w:val="center"/>
                    <w:rPr>
                      <w:rFonts w:hint="eastAsia" w:ascii="Times New Roman" w:hAnsi="Times New Roman" w:eastAsia="宋体" w:cs="Times New Roman"/>
                      <w:color w:val="00B050"/>
                      <w:kern w:val="0"/>
                      <w:sz w:val="21"/>
                      <w:szCs w:val="21"/>
                      <w:lang w:val="en-US" w:eastAsia="zh-CN" w:bidi="ar-SA"/>
                    </w:rPr>
                  </w:pPr>
                  <w:r>
                    <w:rPr>
                      <w:rFonts w:hint="eastAsia" w:ascii="Times New Roman" w:hAnsi="Times New Roman" w:cs="Times New Roman"/>
                      <w:color w:val="00B050"/>
                      <w:kern w:val="0"/>
                      <w:sz w:val="21"/>
                      <w:szCs w:val="21"/>
                    </w:rPr>
                    <w:t>非特定行业</w:t>
                  </w:r>
                </w:p>
              </w:tc>
              <w:tc>
                <w:tcPr>
                  <w:tcW w:w="672" w:type="pct"/>
                  <w:vMerge w:val="restart"/>
                  <w:noWrap w:val="0"/>
                  <w:vAlign w:val="center"/>
                </w:tcPr>
                <w:p w14:paraId="1276FF58">
                  <w:pPr>
                    <w:spacing w:line="240" w:lineRule="auto"/>
                    <w:ind w:firstLine="0" w:firstLineChars="0"/>
                    <w:jc w:val="center"/>
                    <w:rPr>
                      <w:rFonts w:hint="eastAsia" w:ascii="Times New Roman" w:hAnsi="Times New Roman" w:eastAsia="宋体" w:cs="Times New Roman"/>
                      <w:color w:val="00B050"/>
                      <w:kern w:val="0"/>
                      <w:sz w:val="21"/>
                      <w:szCs w:val="21"/>
                      <w:lang w:val="en-US" w:eastAsia="zh-CN" w:bidi="ar-SA"/>
                    </w:rPr>
                  </w:pPr>
                  <w:r>
                    <w:rPr>
                      <w:rFonts w:hint="eastAsia"/>
                      <w:snapToGrid w:val="0"/>
                      <w:color w:val="00B050"/>
                      <w:kern w:val="0"/>
                    </w:rPr>
                    <w:t>900-007-S62</w:t>
                  </w:r>
                </w:p>
              </w:tc>
              <w:tc>
                <w:tcPr>
                  <w:tcW w:w="2177" w:type="pct"/>
                  <w:vMerge w:val="restart"/>
                  <w:noWrap w:val="0"/>
                  <w:vAlign w:val="center"/>
                </w:tcPr>
                <w:p w14:paraId="396729A3">
                  <w:pPr>
                    <w:spacing w:line="240" w:lineRule="auto"/>
                    <w:ind w:firstLine="0" w:firstLineChars="0"/>
                    <w:jc w:val="center"/>
                    <w:rPr>
                      <w:rFonts w:hint="eastAsia" w:ascii="Times New Roman" w:hAnsi="Times New Roman" w:eastAsia="宋体" w:cs="Times New Roman"/>
                      <w:color w:val="00B050"/>
                      <w:kern w:val="0"/>
                      <w:sz w:val="21"/>
                      <w:szCs w:val="21"/>
                      <w:lang w:val="en-US" w:eastAsia="zh-CN" w:bidi="ar-SA"/>
                    </w:rPr>
                  </w:pPr>
                  <w:r>
                    <w:rPr>
                      <w:rFonts w:hint="eastAsia" w:ascii="Times New Roman" w:hAnsi="Times New Roman" w:eastAsia="宋体" w:cs="Times New Roman"/>
                      <w:color w:val="00B050"/>
                      <w:kern w:val="0"/>
                      <w:sz w:val="21"/>
                      <w:szCs w:val="21"/>
                      <w:lang w:val="en-US" w:eastAsia="zh-CN" w:bidi="ar-SA"/>
                    </w:rPr>
                    <w:t>废电池。家庭日常生活或者为日常生活提供服务的活动中产生的废弃动力电池和家用电池，包括</w:t>
                  </w:r>
                  <w:r>
                    <w:rPr>
                      <w:rFonts w:hint="eastAsia" w:ascii="Times New Roman" w:hAnsi="Times New Roman" w:eastAsia="宋体" w:cs="Times New Roman"/>
                      <w:b/>
                      <w:bCs/>
                      <w:color w:val="00B050"/>
                      <w:kern w:val="0"/>
                      <w:sz w:val="21"/>
                      <w:szCs w:val="21"/>
                      <w:lang w:val="en-US" w:eastAsia="zh-CN" w:bidi="ar-SA"/>
                    </w:rPr>
                    <w:t>磷酸铁锂电池、废弃三元锂电池、废弃钴酸锂电池、废弃镍氢电池</w:t>
                  </w:r>
                  <w:r>
                    <w:rPr>
                      <w:rFonts w:hint="eastAsia" w:ascii="Times New Roman" w:hAnsi="Times New Roman" w:eastAsia="宋体" w:cs="Times New Roman"/>
                      <w:color w:val="00B050"/>
                      <w:kern w:val="0"/>
                      <w:sz w:val="21"/>
                      <w:szCs w:val="21"/>
                      <w:lang w:val="en-US" w:eastAsia="zh-CN" w:bidi="ar-SA"/>
                    </w:rPr>
                    <w:t>、废弃燃料电池等，不包括属于危险废物的废弃铅蓄电池、废弃镍铬电池、废弃氧化汞电池等。</w:t>
                  </w:r>
                </w:p>
              </w:tc>
            </w:tr>
            <w:tr w14:paraId="5DC29D2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936" w:type="pct"/>
                  <w:noWrap w:val="0"/>
                  <w:vAlign w:val="center"/>
                </w:tcPr>
                <w:p w14:paraId="3CEACEAB">
                  <w:pPr>
                    <w:spacing w:line="240" w:lineRule="auto"/>
                    <w:ind w:firstLine="0" w:firstLineChars="0"/>
                    <w:jc w:val="center"/>
                    <w:rPr>
                      <w:rFonts w:hint="eastAsia" w:ascii="Times New Roman" w:hAnsi="Times New Roman" w:eastAsia="宋体" w:cs="Times New Roman"/>
                      <w:color w:val="00B050"/>
                      <w:kern w:val="0"/>
                      <w:sz w:val="21"/>
                      <w:szCs w:val="21"/>
                      <w:lang w:val="en-US" w:eastAsia="zh-CN" w:bidi="ar-SA"/>
                    </w:rPr>
                  </w:pPr>
                  <w:r>
                    <w:rPr>
                      <w:rFonts w:hint="eastAsia" w:ascii="Times New Roman" w:hAnsi="Times New Roman" w:eastAsia="宋体" w:cs="Times New Roman"/>
                      <w:color w:val="00B050"/>
                      <w:kern w:val="0"/>
                      <w:szCs w:val="21"/>
                      <w:highlight w:val="none"/>
                    </w:rPr>
                    <w:t>废离子电池</w:t>
                  </w:r>
                </w:p>
              </w:tc>
              <w:tc>
                <w:tcPr>
                  <w:tcW w:w="668" w:type="pct"/>
                  <w:vMerge w:val="continue"/>
                  <w:noWrap w:val="0"/>
                  <w:vAlign w:val="center"/>
                </w:tcPr>
                <w:p w14:paraId="269C9827">
                  <w:pPr>
                    <w:spacing w:line="240" w:lineRule="auto"/>
                    <w:ind w:firstLine="0" w:firstLineChars="0"/>
                    <w:jc w:val="center"/>
                    <w:rPr>
                      <w:rFonts w:ascii="Times New Roman" w:hAnsi="Times New Roman" w:eastAsia="宋体" w:cs="Times New Roman"/>
                      <w:color w:val="00B050"/>
                      <w:kern w:val="0"/>
                      <w:sz w:val="21"/>
                      <w:szCs w:val="21"/>
                      <w:lang w:val="en-US" w:eastAsia="zh-CN" w:bidi="ar-SA"/>
                    </w:rPr>
                  </w:pPr>
                </w:p>
              </w:tc>
              <w:tc>
                <w:tcPr>
                  <w:tcW w:w="544" w:type="pct"/>
                  <w:noWrap w:val="0"/>
                  <w:vAlign w:val="center"/>
                </w:tcPr>
                <w:p w14:paraId="4A13DE2E">
                  <w:pPr>
                    <w:spacing w:line="240" w:lineRule="auto"/>
                    <w:ind w:firstLine="0" w:firstLineChars="0"/>
                    <w:jc w:val="center"/>
                    <w:rPr>
                      <w:rFonts w:hint="eastAsia" w:ascii="FzBookMaker1DlFont10536875940" w:hAnsi="FzBookMaker1DlFont10536875940" w:eastAsia="宋体" w:cs="FzBookMaker1DlFont10536875940"/>
                      <w:color w:val="00B050"/>
                      <w:kern w:val="0"/>
                      <w:sz w:val="21"/>
                      <w:szCs w:val="21"/>
                      <w:lang w:val="en-US" w:eastAsia="zh-CN" w:bidi="ar-SA"/>
                    </w:rPr>
                  </w:pPr>
                  <w:r>
                    <w:rPr>
                      <w:rFonts w:hint="eastAsia" w:cs="Times New Roman"/>
                      <w:color w:val="00B050"/>
                      <w:kern w:val="0"/>
                      <w:sz w:val="21"/>
                      <w:szCs w:val="21"/>
                    </w:rPr>
                    <w:t>非特定行业</w:t>
                  </w:r>
                </w:p>
              </w:tc>
              <w:tc>
                <w:tcPr>
                  <w:tcW w:w="672" w:type="pct"/>
                  <w:vMerge w:val="continue"/>
                  <w:noWrap w:val="0"/>
                  <w:vAlign w:val="center"/>
                </w:tcPr>
                <w:p w14:paraId="0D9BF63B">
                  <w:pPr>
                    <w:spacing w:line="240" w:lineRule="auto"/>
                    <w:ind w:firstLine="0" w:firstLineChars="0"/>
                    <w:jc w:val="center"/>
                    <w:rPr>
                      <w:rFonts w:hint="eastAsia" w:ascii="Times New Roman" w:hAnsi="Times New Roman" w:eastAsia="宋体" w:cs="Times New Roman"/>
                      <w:color w:val="00B050"/>
                      <w:kern w:val="0"/>
                      <w:sz w:val="21"/>
                      <w:szCs w:val="21"/>
                      <w:lang w:val="en-US" w:eastAsia="zh-CN" w:bidi="ar-SA"/>
                    </w:rPr>
                  </w:pPr>
                </w:p>
              </w:tc>
              <w:tc>
                <w:tcPr>
                  <w:tcW w:w="2177" w:type="pct"/>
                  <w:vMerge w:val="continue"/>
                  <w:noWrap w:val="0"/>
                  <w:vAlign w:val="center"/>
                </w:tcPr>
                <w:p w14:paraId="17923CC3">
                  <w:pPr>
                    <w:spacing w:line="240" w:lineRule="auto"/>
                    <w:ind w:firstLine="0" w:firstLineChars="0"/>
                    <w:jc w:val="center"/>
                    <w:rPr>
                      <w:rFonts w:hint="eastAsia" w:ascii="Times New Roman" w:hAnsi="Times New Roman" w:eastAsia="宋体" w:cs="Times New Roman"/>
                      <w:color w:val="00B050"/>
                      <w:kern w:val="0"/>
                      <w:sz w:val="21"/>
                      <w:szCs w:val="21"/>
                      <w:lang w:val="en-US" w:eastAsia="zh-CN" w:bidi="ar-SA"/>
                    </w:rPr>
                  </w:pPr>
                </w:p>
              </w:tc>
            </w:tr>
            <w:tr w14:paraId="43D5CEB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36" w:type="pct"/>
                  <w:noWrap w:val="0"/>
                  <w:vAlign w:val="center"/>
                </w:tcPr>
                <w:p w14:paraId="56DB662B">
                  <w:pPr>
                    <w:spacing w:line="240" w:lineRule="auto"/>
                    <w:ind w:firstLine="0" w:firstLineChars="0"/>
                    <w:jc w:val="center"/>
                    <w:rPr>
                      <w:rFonts w:cs="Times New Roman"/>
                      <w:color w:val="00B050"/>
                      <w:kern w:val="0"/>
                      <w:sz w:val="21"/>
                      <w:szCs w:val="21"/>
                    </w:rPr>
                  </w:pPr>
                  <w:r>
                    <w:rPr>
                      <w:rFonts w:hint="eastAsia" w:ascii="Times New Roman" w:hAnsi="Times New Roman" w:eastAsia="宋体" w:cs="Times New Roman"/>
                      <w:color w:val="00B050"/>
                      <w:kern w:val="0"/>
                      <w:szCs w:val="21"/>
                    </w:rPr>
                    <w:t>废新能源动力电池</w:t>
                  </w:r>
                </w:p>
              </w:tc>
              <w:tc>
                <w:tcPr>
                  <w:tcW w:w="668" w:type="pct"/>
                  <w:noWrap w:val="0"/>
                  <w:vAlign w:val="center"/>
                </w:tcPr>
                <w:p w14:paraId="731BBBA2">
                  <w:pPr>
                    <w:spacing w:line="240" w:lineRule="auto"/>
                    <w:ind w:firstLine="0" w:firstLineChars="0"/>
                    <w:jc w:val="center"/>
                    <w:rPr>
                      <w:rFonts w:ascii="Times New Roman" w:hAnsi="Times New Roman" w:eastAsia="宋体" w:cs="Times New Roman"/>
                      <w:color w:val="00B050"/>
                      <w:kern w:val="0"/>
                      <w:sz w:val="21"/>
                      <w:szCs w:val="21"/>
                      <w:lang w:val="en-US" w:eastAsia="zh-CN" w:bidi="ar-SA"/>
                    </w:rPr>
                  </w:pPr>
                  <w:r>
                    <w:rPr>
                      <w:rFonts w:hint="eastAsia"/>
                      <w:color w:val="00B050"/>
                      <w:szCs w:val="21"/>
                      <w:vertAlign w:val="baseline"/>
                      <w:lang w:val="en-US" w:eastAsia="zh-CN"/>
                    </w:rPr>
                    <w:t>SW63—大件垃圾</w:t>
                  </w:r>
                </w:p>
              </w:tc>
              <w:tc>
                <w:tcPr>
                  <w:tcW w:w="544" w:type="pct"/>
                  <w:noWrap w:val="0"/>
                  <w:vAlign w:val="center"/>
                </w:tcPr>
                <w:p w14:paraId="08FF9EEA">
                  <w:pPr>
                    <w:spacing w:line="240" w:lineRule="auto"/>
                    <w:ind w:firstLine="0" w:firstLineChars="0"/>
                    <w:jc w:val="center"/>
                    <w:rPr>
                      <w:rFonts w:ascii="Times New Roman" w:hAnsi="Times New Roman" w:eastAsia="宋体" w:cs="Times New Roman"/>
                      <w:color w:val="00B050"/>
                      <w:kern w:val="0"/>
                      <w:sz w:val="21"/>
                      <w:szCs w:val="21"/>
                      <w:lang w:val="en-US" w:eastAsia="zh-CN" w:bidi="ar-SA"/>
                    </w:rPr>
                  </w:pPr>
                  <w:r>
                    <w:rPr>
                      <w:rFonts w:hint="eastAsia" w:cs="Times New Roman"/>
                      <w:color w:val="00B050"/>
                      <w:kern w:val="0"/>
                      <w:sz w:val="21"/>
                      <w:szCs w:val="21"/>
                    </w:rPr>
                    <w:t>非特定行业</w:t>
                  </w:r>
                </w:p>
              </w:tc>
              <w:tc>
                <w:tcPr>
                  <w:tcW w:w="672" w:type="pct"/>
                  <w:noWrap w:val="0"/>
                  <w:vAlign w:val="center"/>
                </w:tcPr>
                <w:p w14:paraId="7AD3BF16">
                  <w:pPr>
                    <w:spacing w:line="240" w:lineRule="auto"/>
                    <w:ind w:firstLine="0" w:firstLineChars="0"/>
                    <w:jc w:val="center"/>
                    <w:rPr>
                      <w:rFonts w:ascii="Times New Roman" w:hAnsi="Times New Roman" w:eastAsia="宋体" w:cs="Times New Roman"/>
                      <w:color w:val="00B050"/>
                      <w:kern w:val="0"/>
                      <w:sz w:val="21"/>
                      <w:szCs w:val="21"/>
                      <w:lang w:val="en-US" w:eastAsia="zh-CN" w:bidi="ar-SA"/>
                    </w:rPr>
                  </w:pPr>
                  <w:r>
                    <w:rPr>
                      <w:rFonts w:hint="eastAsia"/>
                      <w:snapToGrid w:val="0"/>
                      <w:color w:val="00B050"/>
                      <w:kern w:val="0"/>
                    </w:rPr>
                    <w:t>900-003-S63</w:t>
                  </w:r>
                </w:p>
              </w:tc>
              <w:tc>
                <w:tcPr>
                  <w:tcW w:w="2177" w:type="pct"/>
                  <w:noWrap w:val="0"/>
                  <w:vAlign w:val="center"/>
                </w:tcPr>
                <w:p w14:paraId="4AF00616">
                  <w:pPr>
                    <w:spacing w:line="240" w:lineRule="auto"/>
                    <w:ind w:firstLine="0" w:firstLineChars="0"/>
                    <w:jc w:val="center"/>
                    <w:rPr>
                      <w:rFonts w:ascii="Times New Roman" w:hAnsi="Times New Roman" w:eastAsia="宋体" w:cs="Times New Roman"/>
                      <w:color w:val="00B050"/>
                      <w:kern w:val="0"/>
                      <w:sz w:val="21"/>
                      <w:szCs w:val="21"/>
                      <w:lang w:val="en-US" w:eastAsia="zh-CN" w:bidi="ar-SA"/>
                    </w:rPr>
                  </w:pPr>
                  <w:r>
                    <w:rPr>
                      <w:rFonts w:hint="eastAsia" w:ascii="Times New Roman" w:hAnsi="Times New Roman" w:eastAsia="宋体" w:cs="Times New Roman"/>
                      <w:color w:val="00B050"/>
                      <w:kern w:val="0"/>
                      <w:sz w:val="21"/>
                      <w:szCs w:val="21"/>
                      <w:lang w:val="en-US" w:eastAsia="zh-CN" w:bidi="ar-SA"/>
                    </w:rPr>
                    <w:t>报废非道路移动机械。报废的以压燃式、点燃式发动机和</w:t>
                  </w:r>
                  <w:r>
                    <w:rPr>
                      <w:rFonts w:hint="eastAsia" w:ascii="Times New Roman" w:hAnsi="Times New Roman" w:eastAsia="宋体" w:cs="Times New Roman"/>
                      <w:b/>
                      <w:bCs/>
                      <w:color w:val="00B050"/>
                      <w:kern w:val="0"/>
                      <w:sz w:val="21"/>
                      <w:szCs w:val="21"/>
                      <w:lang w:val="en-US" w:eastAsia="zh-CN" w:bidi="ar-SA"/>
                    </w:rPr>
                    <w:t>新能源（例如：插电式混合动力、纯电动、燃料电池等</w:t>
                  </w:r>
                  <w:r>
                    <w:rPr>
                      <w:rFonts w:hint="eastAsia" w:ascii="Times New Roman" w:hAnsi="Times New Roman" w:eastAsia="宋体" w:cs="Times New Roman"/>
                      <w:color w:val="00B050"/>
                      <w:kern w:val="0"/>
                      <w:sz w:val="21"/>
                      <w:szCs w:val="21"/>
                      <w:lang w:val="en-US" w:eastAsia="zh-CN" w:bidi="ar-SA"/>
                    </w:rPr>
                    <w:t>）为动力的移动机械、可运输工业设备等。</w:t>
                  </w:r>
                </w:p>
              </w:tc>
            </w:tr>
          </w:tbl>
          <w:p w14:paraId="13230A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cs="Times New Roman"/>
                <w:b/>
                <w:color w:val="00B050"/>
                <w:kern w:val="0"/>
                <w:sz w:val="24"/>
                <w:szCs w:val="24"/>
                <w:lang w:val="en-US" w:eastAsia="zh-CN"/>
              </w:rPr>
            </w:pPr>
            <w:r>
              <w:rPr>
                <w:rFonts w:hint="eastAsia" w:cs="Times New Roman"/>
                <w:b/>
                <w:color w:val="00B050"/>
                <w:kern w:val="0"/>
                <w:sz w:val="24"/>
                <w:szCs w:val="24"/>
                <w:lang w:val="en-US" w:eastAsia="zh-CN"/>
              </w:rPr>
              <w:t>2.1.4收集、贮存量</w:t>
            </w:r>
          </w:p>
          <w:p w14:paraId="1FA547F8">
            <w:pPr>
              <w:keepNext/>
              <w:keepLines w:val="0"/>
              <w:pageBreakBefore w:val="0"/>
              <w:widowControl w:val="0"/>
              <w:kinsoku/>
              <w:wordWrap/>
              <w:overflowPunct w:val="0"/>
              <w:topLinePunct w:val="0"/>
              <w:autoSpaceDE/>
              <w:autoSpaceDN/>
              <w:bidi w:val="0"/>
              <w:adjustRightInd/>
              <w:snapToGrid/>
              <w:spacing w:before="0" w:after="0" w:line="360" w:lineRule="auto"/>
              <w:ind w:left="0" w:firstLine="480" w:firstLineChars="200"/>
              <w:jc w:val="both"/>
              <w:textAlignment w:val="auto"/>
              <w:outlineLvl w:val="9"/>
              <w:rPr>
                <w:rFonts w:hint="eastAsia"/>
                <w:color w:val="00B050"/>
                <w:sz w:val="24"/>
                <w:lang w:val="en-US" w:eastAsia="zh-CN"/>
              </w:rPr>
            </w:pPr>
            <w:bookmarkStart w:id="16" w:name="_Toc32470"/>
            <w:r>
              <w:rPr>
                <w:rFonts w:hint="eastAsia"/>
                <w:color w:val="00B050"/>
                <w:sz w:val="24"/>
                <w:lang w:val="en-US" w:eastAsia="zh-CN"/>
              </w:rPr>
              <w:t>项目拟收集和</w:t>
            </w:r>
            <w:r>
              <w:rPr>
                <w:rFonts w:hint="eastAsia" w:eastAsia="宋体"/>
                <w:color w:val="00B050"/>
                <w:sz w:val="24"/>
                <w:lang w:val="en-US" w:eastAsia="zh-CN"/>
              </w:rPr>
              <w:t>贮存废旧电池及废矿物油</w:t>
            </w:r>
            <w:r>
              <w:rPr>
                <w:rFonts w:hint="eastAsia"/>
                <w:color w:val="00B050"/>
                <w:sz w:val="24"/>
                <w:lang w:val="en-US" w:eastAsia="zh-CN"/>
              </w:rPr>
              <w:t>规模为6000t/a（废矿物油3000t/a；废铅蓄电池1500t/a；废镉镍电池500t/a、废镍氢电池250t/a、废离子电池250t/a；废新能源动力电池500t/a），项目运营期收集</w:t>
            </w:r>
            <w:r>
              <w:rPr>
                <w:rFonts w:hint="eastAsia" w:eastAsia="宋体"/>
                <w:color w:val="00B050"/>
                <w:sz w:val="24"/>
                <w:lang w:val="en-US" w:eastAsia="zh-CN"/>
              </w:rPr>
              <w:t>废旧电池及废矿物油</w:t>
            </w:r>
            <w:r>
              <w:rPr>
                <w:rFonts w:hint="eastAsia"/>
                <w:color w:val="00B050"/>
                <w:sz w:val="24"/>
                <w:lang w:val="en-US" w:eastAsia="zh-CN"/>
              </w:rPr>
              <w:t>主要收集范围</w:t>
            </w:r>
            <w:r>
              <w:rPr>
                <w:rFonts w:hint="eastAsia" w:ascii="Times New Roman" w:hAnsi="Times New Roman" w:eastAsia="宋体" w:cs="Times New Roman"/>
                <w:color w:val="00B050"/>
                <w:kern w:val="0"/>
                <w:sz w:val="24"/>
                <w:szCs w:val="20"/>
                <w:lang w:val="en-US" w:eastAsia="zh-CN"/>
              </w:rPr>
              <w:t>主要</w:t>
            </w:r>
            <w:r>
              <w:rPr>
                <w:rFonts w:hint="eastAsia" w:cs="Times New Roman"/>
                <w:color w:val="00B050"/>
                <w:kern w:val="0"/>
                <w:sz w:val="24"/>
                <w:szCs w:val="20"/>
                <w:lang w:val="en-US" w:eastAsia="zh-CN"/>
              </w:rPr>
              <w:t>来自</w:t>
            </w:r>
            <w:r>
              <w:rPr>
                <w:rFonts w:hint="eastAsia" w:ascii="Times New Roman" w:hAnsi="Times New Roman" w:eastAsia="宋体" w:cs="Times New Roman"/>
                <w:color w:val="00B050"/>
                <w:kern w:val="0"/>
                <w:sz w:val="24"/>
                <w:szCs w:val="20"/>
                <w:lang w:val="en-US" w:eastAsia="zh-CN"/>
              </w:rPr>
              <w:t>曲靖及曲靖周边</w:t>
            </w:r>
            <w:r>
              <w:rPr>
                <w:rFonts w:hint="eastAsia" w:cs="Times New Roman"/>
                <w:color w:val="00B050"/>
                <w:kern w:val="0"/>
                <w:sz w:val="24"/>
                <w:szCs w:val="20"/>
                <w:lang w:val="en-US" w:eastAsia="zh-CN"/>
              </w:rPr>
              <w:t>县市</w:t>
            </w:r>
            <w:r>
              <w:rPr>
                <w:rFonts w:hint="eastAsia" w:ascii="Times New Roman" w:hAnsi="Times New Roman" w:eastAsia="宋体" w:cs="Times New Roman"/>
                <w:color w:val="00B050"/>
                <w:kern w:val="0"/>
                <w:sz w:val="24"/>
                <w:szCs w:val="20"/>
                <w:lang w:val="en-US" w:eastAsia="zh-CN"/>
              </w:rPr>
              <w:t>产废单位</w:t>
            </w:r>
            <w:r>
              <w:rPr>
                <w:rFonts w:hint="eastAsia"/>
                <w:color w:val="00B050"/>
                <w:sz w:val="24"/>
                <w:lang w:val="en-US" w:eastAsia="zh-CN"/>
              </w:rPr>
              <w:t>。</w:t>
            </w:r>
            <w:bookmarkEnd w:id="16"/>
          </w:p>
          <w:p w14:paraId="7C24881F">
            <w:pPr>
              <w:keepNext/>
              <w:keepLines w:val="0"/>
              <w:pageBreakBefore w:val="0"/>
              <w:widowControl w:val="0"/>
              <w:kinsoku/>
              <w:wordWrap/>
              <w:overflowPunct w:val="0"/>
              <w:topLinePunct w:val="0"/>
              <w:autoSpaceDE/>
              <w:autoSpaceDN/>
              <w:bidi w:val="0"/>
              <w:adjustRightInd/>
              <w:snapToGrid/>
              <w:spacing w:before="0" w:after="0" w:line="360" w:lineRule="auto"/>
              <w:ind w:left="0" w:firstLine="480" w:firstLineChars="200"/>
              <w:jc w:val="both"/>
              <w:textAlignment w:val="auto"/>
              <w:outlineLvl w:val="9"/>
              <w:rPr>
                <w:rFonts w:hint="default" w:ascii="Times New Roman" w:hAnsi="Times New Roman" w:eastAsia="宋体" w:cs="Times New Roman"/>
                <w:b w:val="0"/>
                <w:bCs w:val="0"/>
                <w:color w:val="00B050"/>
                <w:kern w:val="44"/>
                <w:sz w:val="24"/>
                <w:szCs w:val="24"/>
                <w:lang w:val="en-US" w:eastAsia="zh-CN" w:bidi="ar-SA"/>
              </w:rPr>
            </w:pPr>
            <w:bookmarkStart w:id="17" w:name="_Toc6386"/>
            <w:r>
              <w:rPr>
                <w:rFonts w:hint="default" w:ascii="Times New Roman" w:hAnsi="Times New Roman" w:eastAsia="宋体" w:cs="Times New Roman"/>
                <w:b w:val="0"/>
                <w:bCs w:val="0"/>
                <w:color w:val="00B050"/>
                <w:kern w:val="44"/>
                <w:sz w:val="24"/>
                <w:szCs w:val="24"/>
                <w:lang w:val="en-US" w:eastAsia="zh-CN" w:bidi="ar-SA"/>
              </w:rPr>
              <w:t>项目危险废物收集贮存量见表2</w:t>
            </w:r>
            <w:r>
              <w:rPr>
                <w:rFonts w:hint="eastAsia" w:cs="Times New Roman"/>
                <w:b w:val="0"/>
                <w:bCs w:val="0"/>
                <w:color w:val="00B050"/>
                <w:kern w:val="44"/>
                <w:sz w:val="24"/>
                <w:szCs w:val="24"/>
                <w:lang w:val="en-US" w:eastAsia="zh-CN" w:bidi="ar-SA"/>
              </w:rPr>
              <w:t>.1</w:t>
            </w:r>
            <w:r>
              <w:rPr>
                <w:rFonts w:hint="default" w:ascii="Times New Roman" w:hAnsi="Times New Roman" w:eastAsia="宋体" w:cs="Times New Roman"/>
                <w:b w:val="0"/>
                <w:bCs w:val="0"/>
                <w:color w:val="00B050"/>
                <w:kern w:val="44"/>
                <w:sz w:val="24"/>
                <w:szCs w:val="24"/>
                <w:lang w:val="en-US" w:eastAsia="zh-CN" w:bidi="ar-SA"/>
              </w:rPr>
              <w:t>-</w:t>
            </w:r>
            <w:r>
              <w:rPr>
                <w:rFonts w:hint="eastAsia" w:cs="Times New Roman"/>
                <w:b w:val="0"/>
                <w:bCs w:val="0"/>
                <w:color w:val="00B050"/>
                <w:kern w:val="44"/>
                <w:sz w:val="24"/>
                <w:szCs w:val="24"/>
                <w:lang w:val="en-US" w:eastAsia="zh-CN" w:bidi="ar-SA"/>
              </w:rPr>
              <w:t>4所示</w:t>
            </w:r>
            <w:r>
              <w:rPr>
                <w:rFonts w:hint="default" w:ascii="Times New Roman" w:hAnsi="Times New Roman" w:eastAsia="宋体" w:cs="Times New Roman"/>
                <w:b w:val="0"/>
                <w:bCs w:val="0"/>
                <w:color w:val="00B050"/>
                <w:kern w:val="44"/>
                <w:sz w:val="24"/>
                <w:szCs w:val="24"/>
                <w:lang w:val="en-US" w:eastAsia="zh-CN" w:bidi="ar-SA"/>
              </w:rPr>
              <w:t>。</w:t>
            </w:r>
            <w:bookmarkEnd w:id="17"/>
          </w:p>
          <w:p w14:paraId="4E38CC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B050"/>
                <w:sz w:val="21"/>
                <w:szCs w:val="21"/>
                <w:lang w:val="en-US" w:eastAsia="zh-CN"/>
              </w:rPr>
            </w:pPr>
            <w:bookmarkStart w:id="18" w:name="_Hlk137320795"/>
            <w:r>
              <w:rPr>
                <w:rFonts w:hint="default" w:ascii="Times New Roman" w:hAnsi="Times New Roman" w:eastAsia="宋体" w:cs="Times New Roman"/>
                <w:b/>
                <w:bCs w:val="0"/>
                <w:color w:val="00B050"/>
                <w:sz w:val="21"/>
                <w:szCs w:val="21"/>
                <w:lang w:val="en-US" w:eastAsia="zh-CN"/>
              </w:rPr>
              <w:t>表2.1-</w:t>
            </w:r>
            <w:r>
              <w:rPr>
                <w:rFonts w:hint="eastAsia" w:cs="Times New Roman"/>
                <w:b/>
                <w:bCs w:val="0"/>
                <w:color w:val="00B050"/>
                <w:sz w:val="21"/>
                <w:szCs w:val="21"/>
                <w:lang w:val="en-US" w:eastAsia="zh-CN"/>
              </w:rPr>
              <w:t>4</w:t>
            </w:r>
            <w:r>
              <w:rPr>
                <w:rFonts w:hint="default" w:ascii="Times New Roman" w:hAnsi="Times New Roman" w:eastAsia="宋体" w:cs="Times New Roman"/>
                <w:b/>
                <w:bCs w:val="0"/>
                <w:color w:val="00B050"/>
                <w:sz w:val="21"/>
                <w:szCs w:val="21"/>
                <w:lang w:val="en-US" w:eastAsia="zh-CN"/>
              </w:rPr>
              <w:t xml:space="preserve">  项目危险废物拟最大贮存量及年周转量一览表</w:t>
            </w:r>
          </w:p>
          <w:bookmarkEnd w:id="18"/>
          <w:tbl>
            <w:tblPr>
              <w:tblStyle w:val="26"/>
              <w:tblW w:w="8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580"/>
              <w:gridCol w:w="1065"/>
              <w:gridCol w:w="968"/>
              <w:gridCol w:w="951"/>
              <w:gridCol w:w="839"/>
              <w:gridCol w:w="2274"/>
              <w:gridCol w:w="1007"/>
            </w:tblGrid>
            <w:tr w14:paraId="1C0B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92" w:type="dxa"/>
                  <w:gridSpan w:val="2"/>
                  <w:shd w:val="clear" w:color="auto" w:fill="auto"/>
                  <w:vAlign w:val="center"/>
                </w:tcPr>
                <w:p w14:paraId="328C38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bookmarkStart w:id="19" w:name="_Hlk137320827"/>
                  <w:r>
                    <w:rPr>
                      <w:rFonts w:hint="eastAsia" w:ascii="Times New Roman" w:hAnsi="Times New Roman" w:eastAsia="宋体" w:cs="Times New Roman"/>
                      <w:b/>
                      <w:bCs/>
                      <w:color w:val="00B050"/>
                      <w:kern w:val="0"/>
                      <w:szCs w:val="21"/>
                    </w:rPr>
                    <w:t>危险废物类别</w:t>
                  </w:r>
                </w:p>
              </w:tc>
              <w:tc>
                <w:tcPr>
                  <w:tcW w:w="1065" w:type="dxa"/>
                  <w:shd w:val="clear" w:color="auto" w:fill="auto"/>
                  <w:vAlign w:val="center"/>
                </w:tcPr>
                <w:p w14:paraId="386B70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r>
                    <w:rPr>
                      <w:rFonts w:hint="eastAsia" w:ascii="Times New Roman" w:hAnsi="Times New Roman" w:eastAsia="宋体" w:cs="Times New Roman"/>
                      <w:b/>
                      <w:bCs/>
                      <w:color w:val="00B050"/>
                      <w:kern w:val="0"/>
                      <w:szCs w:val="21"/>
                    </w:rPr>
                    <w:t>最大暂存量（t）</w:t>
                  </w:r>
                </w:p>
              </w:tc>
              <w:tc>
                <w:tcPr>
                  <w:tcW w:w="968" w:type="dxa"/>
                  <w:shd w:val="clear" w:color="auto" w:fill="auto"/>
                  <w:vAlign w:val="center"/>
                </w:tcPr>
                <w:p w14:paraId="222C7C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r>
                    <w:rPr>
                      <w:rFonts w:hint="eastAsia" w:ascii="Times New Roman" w:hAnsi="Times New Roman" w:eastAsia="宋体" w:cs="Times New Roman"/>
                      <w:b/>
                      <w:bCs/>
                      <w:color w:val="00B050"/>
                      <w:kern w:val="0"/>
                      <w:szCs w:val="21"/>
                    </w:rPr>
                    <w:t>周转次数（次/年）</w:t>
                  </w:r>
                </w:p>
              </w:tc>
              <w:tc>
                <w:tcPr>
                  <w:tcW w:w="951" w:type="dxa"/>
                  <w:shd w:val="clear" w:color="auto" w:fill="auto"/>
                  <w:vAlign w:val="center"/>
                </w:tcPr>
                <w:p w14:paraId="6E8A52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B050"/>
                      <w:kern w:val="0"/>
                      <w:szCs w:val="21"/>
                      <w:lang w:val="en-US" w:eastAsia="zh-CN"/>
                    </w:rPr>
                  </w:pPr>
                  <w:r>
                    <w:rPr>
                      <w:rFonts w:hint="eastAsia" w:ascii="Times New Roman" w:hAnsi="Times New Roman" w:eastAsia="宋体" w:cs="Times New Roman"/>
                      <w:b/>
                      <w:bCs/>
                      <w:color w:val="00B050"/>
                      <w:kern w:val="0"/>
                      <w:szCs w:val="21"/>
                      <w:lang w:val="en-US" w:eastAsia="zh-CN"/>
                    </w:rPr>
                    <w:t>单次周转量（t）</w:t>
                  </w:r>
                </w:p>
              </w:tc>
              <w:tc>
                <w:tcPr>
                  <w:tcW w:w="839" w:type="dxa"/>
                  <w:shd w:val="clear" w:color="auto" w:fill="auto"/>
                  <w:vAlign w:val="center"/>
                </w:tcPr>
                <w:p w14:paraId="5D9C8E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r>
                    <w:rPr>
                      <w:rFonts w:hint="eastAsia" w:ascii="Times New Roman" w:hAnsi="Times New Roman" w:eastAsia="宋体" w:cs="Times New Roman"/>
                      <w:b/>
                      <w:bCs/>
                      <w:color w:val="00B050"/>
                      <w:kern w:val="0"/>
                      <w:szCs w:val="21"/>
                    </w:rPr>
                    <w:t>年周转量（t）</w:t>
                  </w:r>
                </w:p>
              </w:tc>
              <w:tc>
                <w:tcPr>
                  <w:tcW w:w="2274" w:type="dxa"/>
                  <w:shd w:val="clear" w:color="auto" w:fill="auto"/>
                  <w:vAlign w:val="center"/>
                </w:tcPr>
                <w:p w14:paraId="4A1C69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r>
                    <w:rPr>
                      <w:rFonts w:hint="eastAsia" w:ascii="Times New Roman" w:hAnsi="Times New Roman" w:eastAsia="宋体" w:cs="Times New Roman"/>
                      <w:b/>
                      <w:bCs/>
                      <w:color w:val="00B050"/>
                      <w:kern w:val="0"/>
                      <w:szCs w:val="21"/>
                    </w:rPr>
                    <w:t>贮存位置</w:t>
                  </w:r>
                </w:p>
              </w:tc>
              <w:tc>
                <w:tcPr>
                  <w:tcW w:w="1007" w:type="dxa"/>
                  <w:shd w:val="clear" w:color="auto" w:fill="auto"/>
                  <w:vAlign w:val="center"/>
                </w:tcPr>
                <w:p w14:paraId="46BA47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FF0000"/>
                      <w:kern w:val="0"/>
                      <w:szCs w:val="21"/>
                      <w:lang w:val="en-US" w:eastAsia="zh-CN"/>
                    </w:rPr>
                  </w:pPr>
                  <w:r>
                    <w:rPr>
                      <w:rFonts w:hint="eastAsia" w:cs="Times New Roman"/>
                      <w:b/>
                      <w:bCs/>
                      <w:color w:val="FF0000"/>
                      <w:kern w:val="0"/>
                      <w:szCs w:val="21"/>
                      <w:lang w:val="en-US" w:eastAsia="zh-CN"/>
                    </w:rPr>
                    <w:t>处置去向</w:t>
                  </w:r>
                </w:p>
              </w:tc>
            </w:tr>
            <w:bookmarkEnd w:id="19"/>
            <w:tr w14:paraId="223C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712" w:type="dxa"/>
                  <w:shd w:val="clear" w:color="auto" w:fill="auto"/>
                  <w:vAlign w:val="center"/>
                </w:tcPr>
                <w:p w14:paraId="2F5373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color w:val="00B050"/>
                      <w:kern w:val="0"/>
                      <w:szCs w:val="21"/>
                    </w:rPr>
                  </w:pPr>
                  <w:r>
                    <w:rPr>
                      <w:rFonts w:hint="eastAsia" w:ascii="Times New Roman" w:hAnsi="Times New Roman" w:eastAsia="宋体" w:cs="Times New Roman"/>
                      <w:color w:val="00B050"/>
                      <w:kern w:val="0"/>
                      <w:szCs w:val="21"/>
                    </w:rPr>
                    <w:t>HW08废矿物油与含矿物油废物</w:t>
                  </w:r>
                </w:p>
              </w:tc>
              <w:tc>
                <w:tcPr>
                  <w:tcW w:w="580" w:type="dxa"/>
                  <w:shd w:val="clear" w:color="auto" w:fill="auto"/>
                  <w:vAlign w:val="center"/>
                </w:tcPr>
                <w:p w14:paraId="062882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B050"/>
                      <w:kern w:val="0"/>
                      <w:szCs w:val="21"/>
                      <w:lang w:val="en-US" w:eastAsia="zh-CN"/>
                    </w:rPr>
                  </w:pPr>
                  <w:r>
                    <w:rPr>
                      <w:rFonts w:hint="eastAsia" w:cs="Times New Roman"/>
                      <w:color w:val="00B050"/>
                      <w:kern w:val="0"/>
                      <w:szCs w:val="21"/>
                      <w:lang w:val="en-US" w:eastAsia="zh-CN"/>
                    </w:rPr>
                    <w:t>液态废物</w:t>
                  </w:r>
                </w:p>
              </w:tc>
              <w:tc>
                <w:tcPr>
                  <w:tcW w:w="1065" w:type="dxa"/>
                  <w:shd w:val="clear" w:color="auto" w:fill="auto"/>
                  <w:vAlign w:val="center"/>
                </w:tcPr>
                <w:p w14:paraId="3C9AF949">
                  <w:pPr>
                    <w:keepNext w:val="0"/>
                    <w:keepLines w:val="0"/>
                    <w:widowControl/>
                    <w:suppressLineNumbers w:val="0"/>
                    <w:jc w:val="center"/>
                    <w:textAlignment w:val="center"/>
                    <w:rPr>
                      <w:rFonts w:hint="default" w:ascii="Times New Roman" w:hAnsi="Times New Roman" w:eastAsia="宋体" w:cs="Times New Roman"/>
                      <w:color w:val="00B050"/>
                      <w:kern w:val="0"/>
                      <w:szCs w:val="21"/>
                      <w:lang w:val="en-US" w:eastAsia="zh-CN"/>
                    </w:rPr>
                  </w:pPr>
                  <w:r>
                    <w:rPr>
                      <w:rFonts w:hint="eastAsia" w:cs="Times New Roman"/>
                      <w:i w:val="0"/>
                      <w:iCs w:val="0"/>
                      <w:color w:val="00B050"/>
                      <w:kern w:val="0"/>
                      <w:sz w:val="21"/>
                      <w:szCs w:val="21"/>
                      <w:u w:val="none"/>
                      <w:lang w:val="en-US" w:eastAsia="zh-CN" w:bidi="ar"/>
                    </w:rPr>
                    <w:t>34.6</w:t>
                  </w:r>
                </w:p>
              </w:tc>
              <w:tc>
                <w:tcPr>
                  <w:tcW w:w="968" w:type="dxa"/>
                  <w:shd w:val="clear" w:color="auto" w:fill="auto"/>
                  <w:vAlign w:val="center"/>
                </w:tcPr>
                <w:p w14:paraId="01B524FE">
                  <w:pPr>
                    <w:keepNext w:val="0"/>
                    <w:keepLines w:val="0"/>
                    <w:widowControl/>
                    <w:suppressLineNumbers w:val="0"/>
                    <w:jc w:val="center"/>
                    <w:textAlignment w:val="center"/>
                    <w:rPr>
                      <w:rFonts w:hint="default" w:ascii="Times New Roman" w:hAnsi="Times New Roman" w:eastAsia="宋体" w:cs="Times New Roman"/>
                      <w:color w:val="00B050"/>
                      <w:kern w:val="0"/>
                      <w:szCs w:val="21"/>
                      <w:lang w:val="en-US" w:eastAsia="zh-CN"/>
                    </w:rPr>
                  </w:pPr>
                  <w:r>
                    <w:rPr>
                      <w:rFonts w:hint="eastAsia" w:cs="Times New Roman"/>
                      <w:color w:val="00B050"/>
                      <w:kern w:val="0"/>
                      <w:szCs w:val="21"/>
                      <w:lang w:val="en-US" w:eastAsia="zh-CN"/>
                    </w:rPr>
                    <w:t>97</w:t>
                  </w:r>
                </w:p>
              </w:tc>
              <w:tc>
                <w:tcPr>
                  <w:tcW w:w="951" w:type="dxa"/>
                  <w:shd w:val="clear" w:color="auto" w:fill="auto"/>
                  <w:vAlign w:val="center"/>
                </w:tcPr>
                <w:p w14:paraId="6F1F99ED">
                  <w:pPr>
                    <w:keepNext w:val="0"/>
                    <w:keepLines w:val="0"/>
                    <w:widowControl/>
                    <w:suppressLineNumbers w:val="0"/>
                    <w:jc w:val="center"/>
                    <w:textAlignment w:val="center"/>
                    <w:rPr>
                      <w:rFonts w:hint="default" w:cs="Times New Roman"/>
                      <w:color w:val="00B050"/>
                      <w:kern w:val="0"/>
                      <w:szCs w:val="21"/>
                      <w:lang w:val="en-US" w:eastAsia="zh-CN"/>
                    </w:rPr>
                  </w:pPr>
                  <w:r>
                    <w:rPr>
                      <w:rFonts w:hint="default" w:ascii="Times New Roman" w:hAnsi="Times New Roman" w:eastAsia="宋体" w:cs="Times New Roman"/>
                      <w:i w:val="0"/>
                      <w:iCs w:val="0"/>
                      <w:color w:val="00B050"/>
                      <w:kern w:val="0"/>
                      <w:sz w:val="21"/>
                      <w:szCs w:val="21"/>
                      <w:u w:val="none"/>
                      <w:lang w:val="en-US" w:eastAsia="zh-CN" w:bidi="ar"/>
                    </w:rPr>
                    <w:t>30</w:t>
                  </w:r>
                </w:p>
              </w:tc>
              <w:tc>
                <w:tcPr>
                  <w:tcW w:w="839" w:type="dxa"/>
                  <w:shd w:val="clear" w:color="auto" w:fill="auto"/>
                  <w:vAlign w:val="center"/>
                </w:tcPr>
                <w:p w14:paraId="76090FE5">
                  <w:pPr>
                    <w:keepNext w:val="0"/>
                    <w:keepLines w:val="0"/>
                    <w:widowControl/>
                    <w:suppressLineNumbers w:val="0"/>
                    <w:jc w:val="center"/>
                    <w:textAlignment w:val="center"/>
                    <w:rPr>
                      <w:rFonts w:hint="default" w:ascii="Times New Roman" w:hAnsi="Times New Roman" w:eastAsia="宋体" w:cs="Times New Roman"/>
                      <w:color w:val="00B050"/>
                      <w:kern w:val="0"/>
                      <w:szCs w:val="21"/>
                      <w:lang w:val="en-US" w:eastAsia="zh-CN"/>
                    </w:rPr>
                  </w:pPr>
                  <w:r>
                    <w:rPr>
                      <w:rFonts w:hint="eastAsia" w:cs="Times New Roman"/>
                      <w:i w:val="0"/>
                      <w:iCs w:val="0"/>
                      <w:color w:val="00B050"/>
                      <w:kern w:val="0"/>
                      <w:sz w:val="21"/>
                      <w:szCs w:val="21"/>
                      <w:u w:val="none"/>
                      <w:lang w:val="en-US" w:eastAsia="zh-CN" w:bidi="ar"/>
                    </w:rPr>
                    <w:t>3000</w:t>
                  </w:r>
                </w:p>
              </w:tc>
              <w:tc>
                <w:tcPr>
                  <w:tcW w:w="2274" w:type="dxa"/>
                  <w:shd w:val="clear" w:color="auto" w:fill="auto"/>
                  <w:vAlign w:val="center"/>
                </w:tcPr>
                <w:p w14:paraId="33CC85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B050"/>
                      <w:kern w:val="0"/>
                      <w:szCs w:val="21"/>
                      <w:lang w:val="en-US" w:eastAsia="zh-CN"/>
                    </w:rPr>
                  </w:pPr>
                  <w:r>
                    <w:rPr>
                      <w:rFonts w:hint="eastAsia" w:cs="Times New Roman"/>
                      <w:color w:val="00B050"/>
                      <w:kern w:val="0"/>
                      <w:szCs w:val="21"/>
                      <w:lang w:val="en-US" w:eastAsia="zh-CN"/>
                    </w:rPr>
                    <w:t>废矿物油罐区（项目</w:t>
                  </w:r>
                  <w:r>
                    <w:rPr>
                      <w:rFonts w:hint="eastAsia"/>
                      <w:color w:val="00B050"/>
                      <w:szCs w:val="21"/>
                      <w:vertAlign w:val="baseline"/>
                      <w:lang w:val="en-US" w:eastAsia="zh-CN"/>
                    </w:rPr>
                    <w:t>建设5座废矿物油储罐，其中备用、事故应急储罐1座</w:t>
                  </w:r>
                  <w:r>
                    <w:rPr>
                      <w:rFonts w:hint="eastAsia" w:eastAsia="宋体"/>
                      <w:color w:val="00B050"/>
                      <w:szCs w:val="21"/>
                      <w:vertAlign w:val="baseline"/>
                      <w:lang w:val="en-US" w:eastAsia="zh-CN"/>
                    </w:rPr>
                    <w:t>。储罐单罐规格为φ1.8m×4m，</w:t>
                  </w:r>
                  <w:r>
                    <w:rPr>
                      <w:rFonts w:hint="eastAsia"/>
                      <w:color w:val="00B050"/>
                      <w:szCs w:val="21"/>
                      <w:vertAlign w:val="baseline"/>
                      <w:lang w:val="en-US" w:eastAsia="zh-CN"/>
                    </w:rPr>
                    <w:t>每座储罐容积为10m</w:t>
                  </w:r>
                  <w:r>
                    <w:rPr>
                      <w:rFonts w:hint="eastAsia"/>
                      <w:color w:val="00B050"/>
                      <w:szCs w:val="21"/>
                      <w:vertAlign w:val="superscript"/>
                      <w:lang w:val="en-US" w:eastAsia="zh-CN"/>
                    </w:rPr>
                    <w:t>3</w:t>
                  </w:r>
                  <w:r>
                    <w:rPr>
                      <w:rFonts w:hint="eastAsia"/>
                      <w:color w:val="00B050"/>
                      <w:szCs w:val="21"/>
                      <w:vertAlign w:val="baseline"/>
                      <w:lang w:val="en-US" w:eastAsia="zh-CN"/>
                    </w:rPr>
                    <w:t>，有效容积8m</w:t>
                  </w:r>
                  <w:r>
                    <w:rPr>
                      <w:rFonts w:hint="eastAsia"/>
                      <w:color w:val="00B050"/>
                      <w:szCs w:val="21"/>
                      <w:vertAlign w:val="superscript"/>
                      <w:lang w:val="en-US" w:eastAsia="zh-CN"/>
                    </w:rPr>
                    <w:t>3</w:t>
                  </w:r>
                  <w:r>
                    <w:rPr>
                      <w:rFonts w:hint="eastAsia" w:cs="Times New Roman"/>
                      <w:color w:val="00B050"/>
                      <w:kern w:val="0"/>
                      <w:szCs w:val="21"/>
                      <w:lang w:val="en-US" w:eastAsia="zh-CN"/>
                    </w:rPr>
                    <w:t>）</w:t>
                  </w:r>
                </w:p>
              </w:tc>
              <w:tc>
                <w:tcPr>
                  <w:tcW w:w="1007" w:type="dxa"/>
                  <w:vMerge w:val="restart"/>
                  <w:shd w:val="clear" w:color="auto" w:fill="auto"/>
                  <w:vAlign w:val="center"/>
                </w:tcPr>
                <w:p w14:paraId="6D31A0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FF0000"/>
                      <w:kern w:val="0"/>
                      <w:szCs w:val="21"/>
                      <w:lang w:val="en-US" w:eastAsia="zh-CN"/>
                    </w:rPr>
                  </w:pPr>
                  <w:r>
                    <w:rPr>
                      <w:rFonts w:hint="eastAsia"/>
                      <w:color w:val="FF0000"/>
                      <w:kern w:val="0"/>
                      <w:sz w:val="21"/>
                      <w:szCs w:val="21"/>
                      <w:highlight w:val="none"/>
                      <w:lang w:val="en-US" w:eastAsia="zh-CN"/>
                    </w:rPr>
                    <w:t>云南大地丰源环保有限公司</w:t>
                  </w:r>
                </w:p>
              </w:tc>
            </w:tr>
            <w:tr w14:paraId="36E4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292" w:type="dxa"/>
                  <w:gridSpan w:val="2"/>
                  <w:shd w:val="clear" w:color="auto" w:fill="auto"/>
                  <w:vAlign w:val="center"/>
                </w:tcPr>
                <w:p w14:paraId="2F99F9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B050"/>
                      <w:kern w:val="0"/>
                      <w:sz w:val="21"/>
                      <w:szCs w:val="21"/>
                      <w:lang w:val="en-US" w:eastAsia="zh-CN" w:bidi="ar-SA"/>
                    </w:rPr>
                  </w:pPr>
                  <w:r>
                    <w:rPr>
                      <w:rFonts w:hint="eastAsia" w:ascii="Times New Roman" w:hAnsi="Times New Roman" w:eastAsia="宋体" w:cs="Times New Roman"/>
                      <w:color w:val="00B050"/>
                      <w:kern w:val="0"/>
                      <w:szCs w:val="21"/>
                    </w:rPr>
                    <w:t>HW31含铅废物</w:t>
                  </w:r>
                  <w:r>
                    <w:rPr>
                      <w:rFonts w:hint="eastAsia" w:cs="Times New Roman"/>
                      <w:color w:val="00B050"/>
                      <w:kern w:val="0"/>
                      <w:szCs w:val="21"/>
                      <w:lang w:eastAsia="zh-CN"/>
                    </w:rPr>
                    <w:t>（</w:t>
                  </w:r>
                  <w:r>
                    <w:rPr>
                      <w:color w:val="00B050"/>
                      <w:kern w:val="0"/>
                      <w:szCs w:val="21"/>
                    </w:rPr>
                    <w:t>900-052-31</w:t>
                  </w:r>
                  <w:r>
                    <w:rPr>
                      <w:rFonts w:hint="eastAsia" w:cs="Times New Roman"/>
                      <w:color w:val="00B050"/>
                      <w:kern w:val="0"/>
                      <w:szCs w:val="21"/>
                      <w:lang w:eastAsia="zh-CN"/>
                    </w:rPr>
                    <w:t>）</w:t>
                  </w:r>
                </w:p>
              </w:tc>
              <w:tc>
                <w:tcPr>
                  <w:tcW w:w="1065" w:type="dxa"/>
                  <w:shd w:val="clear" w:color="auto" w:fill="auto"/>
                  <w:vAlign w:val="center"/>
                </w:tcPr>
                <w:p w14:paraId="60ACB422">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100</w:t>
                  </w:r>
                </w:p>
              </w:tc>
              <w:tc>
                <w:tcPr>
                  <w:tcW w:w="968" w:type="dxa"/>
                  <w:shd w:val="clear" w:color="auto" w:fill="auto"/>
                  <w:vAlign w:val="center"/>
                </w:tcPr>
                <w:p w14:paraId="79C18233">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color w:val="00B050"/>
                      <w:kern w:val="0"/>
                      <w:sz w:val="21"/>
                      <w:szCs w:val="21"/>
                      <w:lang w:val="en-US" w:eastAsia="zh-CN" w:bidi="ar-SA"/>
                    </w:rPr>
                    <w:t>15</w:t>
                  </w:r>
                </w:p>
              </w:tc>
              <w:tc>
                <w:tcPr>
                  <w:tcW w:w="951" w:type="dxa"/>
                  <w:shd w:val="clear" w:color="auto" w:fill="auto"/>
                  <w:vAlign w:val="center"/>
                </w:tcPr>
                <w:p w14:paraId="2B6D5184">
                  <w:pPr>
                    <w:keepNext w:val="0"/>
                    <w:keepLines w:val="0"/>
                    <w:widowControl/>
                    <w:suppressLineNumbers w:val="0"/>
                    <w:jc w:val="center"/>
                    <w:textAlignment w:val="center"/>
                    <w:rPr>
                      <w:rFonts w:hint="eastAsia"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20</w:t>
                  </w:r>
                </w:p>
              </w:tc>
              <w:tc>
                <w:tcPr>
                  <w:tcW w:w="839" w:type="dxa"/>
                  <w:shd w:val="clear" w:color="auto" w:fill="auto"/>
                  <w:vAlign w:val="center"/>
                </w:tcPr>
                <w:p w14:paraId="1F6F27BB">
                  <w:pPr>
                    <w:keepNext w:val="0"/>
                    <w:keepLines w:val="0"/>
                    <w:widowControl/>
                    <w:suppressLineNumbers w:val="0"/>
                    <w:jc w:val="center"/>
                    <w:textAlignment w:val="center"/>
                    <w:rPr>
                      <w:rFonts w:hint="eastAsia"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1</w:t>
                  </w:r>
                  <w:r>
                    <w:rPr>
                      <w:rFonts w:hint="default" w:ascii="Times New Roman" w:hAnsi="Times New Roman" w:eastAsia="宋体" w:cs="Times New Roman"/>
                      <w:i w:val="0"/>
                      <w:iCs w:val="0"/>
                      <w:color w:val="00B050"/>
                      <w:kern w:val="0"/>
                      <w:sz w:val="21"/>
                      <w:szCs w:val="21"/>
                      <w:u w:val="none"/>
                      <w:lang w:val="en-US" w:eastAsia="zh-CN" w:bidi="ar"/>
                    </w:rPr>
                    <w:t>500</w:t>
                  </w:r>
                </w:p>
              </w:tc>
              <w:tc>
                <w:tcPr>
                  <w:tcW w:w="2274" w:type="dxa"/>
                  <w:shd w:val="clear" w:color="auto" w:fill="auto"/>
                  <w:vAlign w:val="center"/>
                </w:tcPr>
                <w:p w14:paraId="2BF9E0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B050"/>
                      <w:kern w:val="0"/>
                      <w:sz w:val="21"/>
                      <w:szCs w:val="21"/>
                      <w:lang w:val="en-US" w:eastAsia="zh-CN" w:bidi="ar-SA"/>
                    </w:rPr>
                  </w:pPr>
                  <w:r>
                    <w:rPr>
                      <w:rFonts w:hint="eastAsia" w:cs="Times New Roman"/>
                      <w:color w:val="00B050"/>
                      <w:kern w:val="0"/>
                      <w:szCs w:val="21"/>
                      <w:lang w:val="en-US" w:eastAsia="zh-CN"/>
                    </w:rPr>
                    <w:t>废铅蓄电池贮存区（</w:t>
                  </w:r>
                  <w:r>
                    <w:rPr>
                      <w:rFonts w:hint="eastAsia"/>
                      <w:color w:val="00B050"/>
                      <w:szCs w:val="21"/>
                      <w:lang w:val="en-US" w:eastAsia="zh-CN"/>
                    </w:rPr>
                    <w:t>1#贮存区、2#贮存区、3#贮存区</w:t>
                  </w:r>
                  <w:r>
                    <w:rPr>
                      <w:rFonts w:hint="eastAsia" w:cs="Times New Roman"/>
                      <w:color w:val="00B050"/>
                      <w:kern w:val="0"/>
                      <w:szCs w:val="21"/>
                      <w:lang w:val="en-US" w:eastAsia="zh-CN"/>
                    </w:rPr>
                    <w:t>）</w:t>
                  </w:r>
                </w:p>
              </w:tc>
              <w:tc>
                <w:tcPr>
                  <w:tcW w:w="1007" w:type="dxa"/>
                  <w:vMerge w:val="continue"/>
                  <w:shd w:val="clear" w:color="auto" w:fill="auto"/>
                  <w:vAlign w:val="center"/>
                </w:tcPr>
                <w:p w14:paraId="1C167E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FF0000"/>
                      <w:kern w:val="0"/>
                      <w:szCs w:val="21"/>
                      <w:lang w:val="en-US" w:eastAsia="zh-CN"/>
                    </w:rPr>
                  </w:pPr>
                </w:p>
              </w:tc>
            </w:tr>
            <w:tr w14:paraId="7B39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92" w:type="dxa"/>
                  <w:gridSpan w:val="2"/>
                  <w:shd w:val="clear" w:color="auto" w:fill="auto"/>
                  <w:vAlign w:val="center"/>
                </w:tcPr>
                <w:p w14:paraId="3A7706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B050"/>
                      <w:kern w:val="0"/>
                      <w:sz w:val="21"/>
                      <w:szCs w:val="21"/>
                      <w:lang w:val="en-US" w:eastAsia="zh-CN" w:bidi="ar-SA"/>
                    </w:rPr>
                  </w:pPr>
                  <w:r>
                    <w:rPr>
                      <w:rFonts w:hint="eastAsia" w:ascii="Times New Roman" w:hAnsi="Times New Roman" w:eastAsia="宋体" w:cs="Times New Roman"/>
                      <w:color w:val="00B050"/>
                      <w:kern w:val="0"/>
                      <w:szCs w:val="21"/>
                    </w:rPr>
                    <w:t>HW49其他废物</w:t>
                  </w:r>
                </w:p>
              </w:tc>
              <w:tc>
                <w:tcPr>
                  <w:tcW w:w="1065" w:type="dxa"/>
                  <w:shd w:val="clear" w:color="auto" w:fill="auto"/>
                  <w:vAlign w:val="center"/>
                </w:tcPr>
                <w:p w14:paraId="1E93876B">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15</w:t>
                  </w:r>
                </w:p>
              </w:tc>
              <w:tc>
                <w:tcPr>
                  <w:tcW w:w="968" w:type="dxa"/>
                  <w:shd w:val="clear" w:color="auto" w:fill="auto"/>
                  <w:vAlign w:val="center"/>
                </w:tcPr>
                <w:p w14:paraId="2B32DFEF">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color w:val="00B050"/>
                      <w:kern w:val="0"/>
                      <w:sz w:val="21"/>
                      <w:szCs w:val="21"/>
                      <w:lang w:val="en-US" w:eastAsia="zh-CN" w:bidi="ar-SA"/>
                    </w:rPr>
                    <w:t>34</w:t>
                  </w:r>
                </w:p>
              </w:tc>
              <w:tc>
                <w:tcPr>
                  <w:tcW w:w="951" w:type="dxa"/>
                  <w:shd w:val="clear" w:color="auto" w:fill="auto"/>
                  <w:vAlign w:val="center"/>
                </w:tcPr>
                <w:p w14:paraId="35FACCEE">
                  <w:pPr>
                    <w:keepNext w:val="0"/>
                    <w:keepLines w:val="0"/>
                    <w:widowControl/>
                    <w:suppressLineNumbers w:val="0"/>
                    <w:jc w:val="center"/>
                    <w:textAlignment w:val="center"/>
                    <w:rPr>
                      <w:rFonts w:hint="eastAsia"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30</w:t>
                  </w:r>
                </w:p>
              </w:tc>
              <w:tc>
                <w:tcPr>
                  <w:tcW w:w="839" w:type="dxa"/>
                  <w:shd w:val="clear" w:color="auto" w:fill="auto"/>
                  <w:vAlign w:val="center"/>
                </w:tcPr>
                <w:p w14:paraId="4E0E0C4D">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500</w:t>
                  </w:r>
                </w:p>
              </w:tc>
              <w:tc>
                <w:tcPr>
                  <w:tcW w:w="2274" w:type="dxa"/>
                  <w:shd w:val="clear" w:color="auto" w:fill="auto"/>
                  <w:vAlign w:val="center"/>
                </w:tcPr>
                <w:p w14:paraId="0DC0FA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00B050"/>
                      <w:kern w:val="0"/>
                      <w:szCs w:val="21"/>
                      <w:lang w:val="en-US" w:eastAsia="zh-CN"/>
                    </w:rPr>
                  </w:pPr>
                  <w:r>
                    <w:rPr>
                      <w:rFonts w:hint="eastAsia" w:cs="Times New Roman"/>
                      <w:color w:val="00B050"/>
                      <w:kern w:val="0"/>
                      <w:szCs w:val="21"/>
                      <w:lang w:val="en-US" w:eastAsia="zh-CN"/>
                    </w:rPr>
                    <w:t>废镉镍电池贮存区（</w:t>
                  </w:r>
                  <w:r>
                    <w:rPr>
                      <w:rFonts w:hint="eastAsia"/>
                      <w:color w:val="00B050"/>
                      <w:szCs w:val="21"/>
                      <w:lang w:val="en-US" w:eastAsia="zh-CN"/>
                    </w:rPr>
                    <w:t>4#贮存区</w:t>
                  </w:r>
                  <w:r>
                    <w:rPr>
                      <w:rFonts w:hint="eastAsia" w:cs="Times New Roman"/>
                      <w:color w:val="00B050"/>
                      <w:kern w:val="0"/>
                      <w:szCs w:val="21"/>
                      <w:lang w:val="en-US" w:eastAsia="zh-CN"/>
                    </w:rPr>
                    <w:t>）</w:t>
                  </w:r>
                </w:p>
              </w:tc>
              <w:tc>
                <w:tcPr>
                  <w:tcW w:w="1007" w:type="dxa"/>
                  <w:vMerge w:val="continue"/>
                  <w:shd w:val="clear" w:color="auto" w:fill="auto"/>
                  <w:vAlign w:val="center"/>
                </w:tcPr>
                <w:p w14:paraId="1C54E1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FF0000"/>
                      <w:kern w:val="0"/>
                      <w:szCs w:val="21"/>
                      <w:lang w:val="en-US" w:eastAsia="zh-CN"/>
                    </w:rPr>
                  </w:pPr>
                </w:p>
              </w:tc>
            </w:tr>
            <w:tr w14:paraId="7E54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292" w:type="dxa"/>
                  <w:gridSpan w:val="2"/>
                  <w:shd w:val="clear" w:color="auto" w:fill="auto"/>
                  <w:vAlign w:val="center"/>
                </w:tcPr>
                <w:p w14:paraId="4B1E58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B050"/>
                      <w:kern w:val="0"/>
                      <w:szCs w:val="21"/>
                      <w:lang w:val="en-US" w:eastAsia="zh-CN"/>
                    </w:rPr>
                  </w:pPr>
                  <w:r>
                    <w:rPr>
                      <w:rFonts w:hint="eastAsia" w:cs="Times New Roman"/>
                      <w:color w:val="00B050"/>
                      <w:kern w:val="0"/>
                      <w:szCs w:val="21"/>
                      <w:lang w:val="en-US" w:eastAsia="zh-CN"/>
                    </w:rPr>
                    <w:t>合计</w:t>
                  </w:r>
                </w:p>
              </w:tc>
              <w:tc>
                <w:tcPr>
                  <w:tcW w:w="1065" w:type="dxa"/>
                  <w:shd w:val="clear" w:color="auto" w:fill="auto"/>
                  <w:vAlign w:val="center"/>
                </w:tcPr>
                <w:p w14:paraId="07212B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149.6</w:t>
                  </w:r>
                </w:p>
              </w:tc>
              <w:tc>
                <w:tcPr>
                  <w:tcW w:w="968" w:type="dxa"/>
                  <w:shd w:val="clear" w:color="auto" w:fill="auto"/>
                  <w:vAlign w:val="center"/>
                </w:tcPr>
                <w:p w14:paraId="72255B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w:t>
                  </w:r>
                </w:p>
              </w:tc>
              <w:tc>
                <w:tcPr>
                  <w:tcW w:w="951" w:type="dxa"/>
                  <w:shd w:val="clear" w:color="auto" w:fill="auto"/>
                  <w:vAlign w:val="center"/>
                </w:tcPr>
                <w:p w14:paraId="7E61E5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w:t>
                  </w:r>
                </w:p>
              </w:tc>
              <w:tc>
                <w:tcPr>
                  <w:tcW w:w="839" w:type="dxa"/>
                  <w:shd w:val="clear" w:color="auto" w:fill="auto"/>
                  <w:vAlign w:val="center"/>
                </w:tcPr>
                <w:p w14:paraId="3FE4E7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5000</w:t>
                  </w:r>
                </w:p>
              </w:tc>
              <w:tc>
                <w:tcPr>
                  <w:tcW w:w="2274" w:type="dxa"/>
                  <w:shd w:val="clear" w:color="auto" w:fill="auto"/>
                  <w:vAlign w:val="center"/>
                </w:tcPr>
                <w:p w14:paraId="1A239E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w:t>
                  </w:r>
                </w:p>
              </w:tc>
              <w:tc>
                <w:tcPr>
                  <w:tcW w:w="1007" w:type="dxa"/>
                  <w:shd w:val="clear" w:color="auto" w:fill="auto"/>
                  <w:vAlign w:val="center"/>
                </w:tcPr>
                <w:p w14:paraId="2DB01D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FF0000"/>
                      <w:kern w:val="0"/>
                      <w:szCs w:val="21"/>
                      <w:lang w:val="en-US" w:eastAsia="zh-CN"/>
                    </w:rPr>
                  </w:pPr>
                </w:p>
              </w:tc>
            </w:tr>
          </w:tbl>
          <w:p w14:paraId="0A4D3917">
            <w:pPr>
              <w:keepNext/>
              <w:keepLines w:val="0"/>
              <w:pageBreakBefore w:val="0"/>
              <w:widowControl w:val="0"/>
              <w:kinsoku/>
              <w:wordWrap/>
              <w:overflowPunct w:val="0"/>
              <w:topLinePunct w:val="0"/>
              <w:autoSpaceDE/>
              <w:autoSpaceDN/>
              <w:bidi w:val="0"/>
              <w:adjustRightInd/>
              <w:snapToGrid/>
              <w:spacing w:before="0" w:after="0" w:line="360" w:lineRule="auto"/>
              <w:ind w:left="0" w:firstLine="480" w:firstLineChars="200"/>
              <w:jc w:val="both"/>
              <w:textAlignment w:val="auto"/>
              <w:outlineLvl w:val="9"/>
              <w:rPr>
                <w:rFonts w:hint="eastAsia" w:ascii="Times New Roman" w:hAnsi="Times New Roman" w:eastAsia="宋体" w:cs="Times New Roman"/>
                <w:b w:val="0"/>
                <w:bCs w:val="0"/>
                <w:color w:val="00B050"/>
                <w:kern w:val="44"/>
                <w:sz w:val="24"/>
                <w:szCs w:val="24"/>
                <w:lang w:val="en-US" w:eastAsia="zh-CN" w:bidi="ar-SA"/>
              </w:rPr>
            </w:pPr>
            <w:r>
              <w:rPr>
                <w:rFonts w:hint="eastAsia" w:cs="Times New Roman"/>
                <w:b w:val="0"/>
                <w:bCs w:val="0"/>
                <w:color w:val="00B050"/>
                <w:kern w:val="44"/>
                <w:sz w:val="24"/>
                <w:szCs w:val="24"/>
                <w:lang w:val="en-US" w:eastAsia="zh-CN" w:bidi="ar-SA"/>
              </w:rPr>
              <w:t>项目</w:t>
            </w:r>
            <w:r>
              <w:rPr>
                <w:rFonts w:hint="eastAsia" w:ascii="Times New Roman" w:hAnsi="Times New Roman" w:eastAsia="宋体" w:cs="Times New Roman"/>
                <w:b w:val="0"/>
                <w:bCs w:val="0"/>
                <w:color w:val="00B050"/>
                <w:kern w:val="44"/>
                <w:sz w:val="24"/>
                <w:szCs w:val="24"/>
                <w:lang w:val="en-US" w:eastAsia="zh-CN" w:bidi="ar-SA"/>
              </w:rPr>
              <w:t>固体废物</w:t>
            </w:r>
            <w:r>
              <w:rPr>
                <w:rFonts w:hint="default" w:ascii="Times New Roman" w:hAnsi="Times New Roman" w:eastAsia="宋体" w:cs="Times New Roman"/>
                <w:b w:val="0"/>
                <w:bCs w:val="0"/>
                <w:color w:val="00B050"/>
                <w:kern w:val="44"/>
                <w:sz w:val="24"/>
                <w:szCs w:val="24"/>
                <w:lang w:val="en-US" w:eastAsia="zh-CN" w:bidi="ar-SA"/>
              </w:rPr>
              <w:t>收集贮存量见表2</w:t>
            </w:r>
            <w:r>
              <w:rPr>
                <w:rFonts w:hint="eastAsia" w:ascii="Times New Roman" w:hAnsi="Times New Roman" w:eastAsia="宋体" w:cs="Times New Roman"/>
                <w:b w:val="0"/>
                <w:bCs w:val="0"/>
                <w:color w:val="00B050"/>
                <w:kern w:val="44"/>
                <w:sz w:val="24"/>
                <w:szCs w:val="24"/>
                <w:lang w:val="en-US" w:eastAsia="zh-CN" w:bidi="ar-SA"/>
              </w:rPr>
              <w:t>.1</w:t>
            </w:r>
            <w:r>
              <w:rPr>
                <w:rFonts w:hint="default" w:ascii="Times New Roman" w:hAnsi="Times New Roman" w:eastAsia="宋体" w:cs="Times New Roman"/>
                <w:b w:val="0"/>
                <w:bCs w:val="0"/>
                <w:color w:val="00B050"/>
                <w:kern w:val="44"/>
                <w:sz w:val="24"/>
                <w:szCs w:val="24"/>
                <w:lang w:val="en-US" w:eastAsia="zh-CN" w:bidi="ar-SA"/>
              </w:rPr>
              <w:t>-</w:t>
            </w:r>
            <w:r>
              <w:rPr>
                <w:rFonts w:hint="eastAsia" w:cs="Times New Roman"/>
                <w:b w:val="0"/>
                <w:bCs w:val="0"/>
                <w:color w:val="00B050"/>
                <w:kern w:val="44"/>
                <w:sz w:val="24"/>
                <w:szCs w:val="24"/>
                <w:lang w:val="en-US" w:eastAsia="zh-CN" w:bidi="ar-SA"/>
              </w:rPr>
              <w:t>5</w:t>
            </w:r>
            <w:r>
              <w:rPr>
                <w:rFonts w:hint="eastAsia" w:ascii="Times New Roman" w:hAnsi="Times New Roman" w:eastAsia="宋体" w:cs="Times New Roman"/>
                <w:b w:val="0"/>
                <w:bCs w:val="0"/>
                <w:color w:val="00B050"/>
                <w:kern w:val="44"/>
                <w:sz w:val="24"/>
                <w:szCs w:val="24"/>
                <w:lang w:val="en-US" w:eastAsia="zh-CN" w:bidi="ar-SA"/>
              </w:rPr>
              <w:t>所示。</w:t>
            </w:r>
          </w:p>
          <w:p w14:paraId="21F2D3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val="0"/>
                <w:color w:val="00B050"/>
                <w:sz w:val="21"/>
                <w:szCs w:val="21"/>
                <w:lang w:val="en-US" w:eastAsia="zh-CN"/>
              </w:rPr>
            </w:pPr>
            <w:r>
              <w:rPr>
                <w:rFonts w:hint="eastAsia" w:ascii="Times New Roman" w:hAnsi="Times New Roman" w:eastAsia="宋体" w:cs="Times New Roman"/>
                <w:b/>
                <w:bCs w:val="0"/>
                <w:color w:val="00B050"/>
                <w:sz w:val="21"/>
                <w:szCs w:val="21"/>
                <w:lang w:val="en-US" w:eastAsia="zh-CN"/>
              </w:rPr>
              <w:t>表2.1-</w:t>
            </w:r>
            <w:r>
              <w:rPr>
                <w:rFonts w:hint="eastAsia" w:cs="Times New Roman"/>
                <w:b/>
                <w:bCs w:val="0"/>
                <w:color w:val="00B050"/>
                <w:sz w:val="21"/>
                <w:szCs w:val="21"/>
                <w:lang w:val="en-US" w:eastAsia="zh-CN"/>
              </w:rPr>
              <w:t>5</w:t>
            </w:r>
            <w:r>
              <w:rPr>
                <w:rFonts w:hint="eastAsia" w:ascii="Times New Roman" w:hAnsi="Times New Roman" w:eastAsia="宋体" w:cs="Times New Roman"/>
                <w:b/>
                <w:bCs w:val="0"/>
                <w:color w:val="00B050"/>
                <w:sz w:val="21"/>
                <w:szCs w:val="21"/>
                <w:lang w:val="en-US" w:eastAsia="zh-CN"/>
              </w:rPr>
              <w:t xml:space="preserve">  项目</w:t>
            </w:r>
            <w:r>
              <w:rPr>
                <w:rFonts w:hint="eastAsia" w:cs="Times New Roman"/>
                <w:b/>
                <w:bCs w:val="0"/>
                <w:color w:val="00B050"/>
                <w:sz w:val="21"/>
                <w:szCs w:val="21"/>
                <w:lang w:val="en-US" w:eastAsia="zh-CN"/>
              </w:rPr>
              <w:t>固体废物</w:t>
            </w:r>
            <w:r>
              <w:rPr>
                <w:rFonts w:hint="eastAsia" w:ascii="Times New Roman" w:hAnsi="Times New Roman" w:eastAsia="宋体" w:cs="Times New Roman"/>
                <w:b/>
                <w:bCs w:val="0"/>
                <w:color w:val="00B050"/>
                <w:sz w:val="21"/>
                <w:szCs w:val="21"/>
                <w:lang w:val="en-US" w:eastAsia="zh-CN"/>
              </w:rPr>
              <w:t>拟最大贮存量及年周转量一览表</w:t>
            </w:r>
          </w:p>
          <w:tbl>
            <w:tblPr>
              <w:tblStyle w:val="26"/>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017"/>
              <w:gridCol w:w="1127"/>
              <w:gridCol w:w="999"/>
              <w:gridCol w:w="809"/>
              <w:gridCol w:w="1435"/>
              <w:gridCol w:w="1435"/>
            </w:tblGrid>
            <w:tr w14:paraId="5D8A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494" w:type="dxa"/>
                  <w:shd w:val="clear" w:color="auto" w:fill="auto"/>
                  <w:vAlign w:val="center"/>
                </w:tcPr>
                <w:p w14:paraId="482D1B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r>
                    <w:rPr>
                      <w:rFonts w:hint="eastAsia" w:cs="Times New Roman"/>
                      <w:b/>
                      <w:bCs/>
                      <w:color w:val="00B050"/>
                      <w:kern w:val="0"/>
                      <w:szCs w:val="21"/>
                      <w:lang w:val="en-US" w:eastAsia="zh-CN"/>
                    </w:rPr>
                    <w:t>一般固体废物</w:t>
                  </w:r>
                  <w:r>
                    <w:rPr>
                      <w:rFonts w:hint="eastAsia" w:ascii="Times New Roman" w:hAnsi="Times New Roman" w:eastAsia="宋体" w:cs="Times New Roman"/>
                      <w:b/>
                      <w:bCs/>
                      <w:color w:val="00B050"/>
                      <w:kern w:val="0"/>
                      <w:szCs w:val="21"/>
                    </w:rPr>
                    <w:t>类别</w:t>
                  </w:r>
                </w:p>
              </w:tc>
              <w:tc>
                <w:tcPr>
                  <w:tcW w:w="1017" w:type="dxa"/>
                  <w:shd w:val="clear" w:color="auto" w:fill="auto"/>
                  <w:vAlign w:val="center"/>
                </w:tcPr>
                <w:p w14:paraId="387BDC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r>
                    <w:rPr>
                      <w:rFonts w:hint="eastAsia" w:ascii="Times New Roman" w:hAnsi="Times New Roman" w:eastAsia="宋体" w:cs="Times New Roman"/>
                      <w:b/>
                      <w:bCs/>
                      <w:color w:val="00B050"/>
                      <w:kern w:val="0"/>
                      <w:szCs w:val="21"/>
                    </w:rPr>
                    <w:t>最大暂存量（t）</w:t>
                  </w:r>
                </w:p>
              </w:tc>
              <w:tc>
                <w:tcPr>
                  <w:tcW w:w="1127" w:type="dxa"/>
                  <w:shd w:val="clear" w:color="auto" w:fill="auto"/>
                  <w:vAlign w:val="center"/>
                </w:tcPr>
                <w:p w14:paraId="4B4FDA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r>
                    <w:rPr>
                      <w:rFonts w:hint="eastAsia" w:ascii="Times New Roman" w:hAnsi="Times New Roman" w:eastAsia="宋体" w:cs="Times New Roman"/>
                      <w:b/>
                      <w:bCs/>
                      <w:color w:val="00B050"/>
                      <w:kern w:val="0"/>
                      <w:szCs w:val="21"/>
                    </w:rPr>
                    <w:t>周转次数</w:t>
                  </w:r>
                  <w:r>
                    <w:rPr>
                      <w:rFonts w:hint="eastAsia" w:cs="Times New Roman"/>
                      <w:b/>
                      <w:bCs/>
                      <w:color w:val="00B050"/>
                      <w:kern w:val="0"/>
                      <w:szCs w:val="21"/>
                      <w:lang w:eastAsia="zh-CN"/>
                    </w:rPr>
                    <w:t>（</w:t>
                  </w:r>
                  <w:r>
                    <w:rPr>
                      <w:rFonts w:hint="eastAsia" w:ascii="Times New Roman" w:hAnsi="Times New Roman" w:eastAsia="宋体" w:cs="Times New Roman"/>
                      <w:b/>
                      <w:bCs/>
                      <w:color w:val="00B050"/>
                      <w:kern w:val="0"/>
                      <w:szCs w:val="21"/>
                    </w:rPr>
                    <w:t>次/年）</w:t>
                  </w:r>
                </w:p>
              </w:tc>
              <w:tc>
                <w:tcPr>
                  <w:tcW w:w="999" w:type="dxa"/>
                  <w:shd w:val="clear" w:color="auto" w:fill="auto"/>
                  <w:vAlign w:val="center"/>
                </w:tcPr>
                <w:p w14:paraId="29A808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B050"/>
                      <w:kern w:val="0"/>
                      <w:szCs w:val="21"/>
                      <w:lang w:val="en-US" w:eastAsia="zh-CN"/>
                    </w:rPr>
                  </w:pPr>
                  <w:r>
                    <w:rPr>
                      <w:rFonts w:hint="eastAsia" w:ascii="Times New Roman" w:hAnsi="Times New Roman" w:eastAsia="宋体" w:cs="Times New Roman"/>
                      <w:b/>
                      <w:bCs/>
                      <w:color w:val="00B050"/>
                      <w:kern w:val="0"/>
                      <w:szCs w:val="21"/>
                      <w:lang w:val="en-US" w:eastAsia="zh-CN"/>
                    </w:rPr>
                    <w:t>单次周转量（t）</w:t>
                  </w:r>
                </w:p>
              </w:tc>
              <w:tc>
                <w:tcPr>
                  <w:tcW w:w="809" w:type="dxa"/>
                  <w:shd w:val="clear" w:color="auto" w:fill="auto"/>
                  <w:vAlign w:val="center"/>
                </w:tcPr>
                <w:p w14:paraId="5724CB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r>
                    <w:rPr>
                      <w:rFonts w:hint="eastAsia" w:ascii="Times New Roman" w:hAnsi="Times New Roman" w:eastAsia="宋体" w:cs="Times New Roman"/>
                      <w:b/>
                      <w:bCs/>
                      <w:color w:val="00B050"/>
                      <w:kern w:val="0"/>
                      <w:szCs w:val="21"/>
                    </w:rPr>
                    <w:t>年周转量（t）</w:t>
                  </w:r>
                </w:p>
              </w:tc>
              <w:tc>
                <w:tcPr>
                  <w:tcW w:w="1435" w:type="dxa"/>
                  <w:shd w:val="clear" w:color="auto" w:fill="auto"/>
                  <w:vAlign w:val="center"/>
                </w:tcPr>
                <w:p w14:paraId="7CF410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00B050"/>
                      <w:kern w:val="0"/>
                      <w:szCs w:val="21"/>
                    </w:rPr>
                  </w:pPr>
                  <w:r>
                    <w:rPr>
                      <w:rFonts w:hint="eastAsia" w:ascii="Times New Roman" w:hAnsi="Times New Roman" w:eastAsia="宋体" w:cs="Times New Roman"/>
                      <w:b/>
                      <w:bCs/>
                      <w:color w:val="00B050"/>
                      <w:kern w:val="0"/>
                      <w:szCs w:val="21"/>
                    </w:rPr>
                    <w:t>贮存位置</w:t>
                  </w:r>
                </w:p>
              </w:tc>
              <w:tc>
                <w:tcPr>
                  <w:tcW w:w="1435" w:type="dxa"/>
                  <w:shd w:val="clear" w:color="auto" w:fill="auto"/>
                  <w:vAlign w:val="center"/>
                </w:tcPr>
                <w:p w14:paraId="6EC8CE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FF0000"/>
                      <w:kern w:val="0"/>
                      <w:szCs w:val="21"/>
                    </w:rPr>
                  </w:pPr>
                  <w:r>
                    <w:rPr>
                      <w:rFonts w:hint="eastAsia" w:cs="Times New Roman"/>
                      <w:b/>
                      <w:bCs/>
                      <w:color w:val="FF0000"/>
                      <w:kern w:val="0"/>
                      <w:szCs w:val="21"/>
                      <w:lang w:val="en-US" w:eastAsia="zh-CN"/>
                    </w:rPr>
                    <w:t>处置去向</w:t>
                  </w:r>
                </w:p>
              </w:tc>
            </w:tr>
            <w:tr w14:paraId="282C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1494" w:type="dxa"/>
                  <w:shd w:val="clear" w:color="auto" w:fill="auto"/>
                  <w:vAlign w:val="center"/>
                </w:tcPr>
                <w:p w14:paraId="5B257D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B050"/>
                      <w:kern w:val="0"/>
                      <w:sz w:val="21"/>
                      <w:szCs w:val="21"/>
                      <w:lang w:val="en-US" w:eastAsia="zh-CN" w:bidi="ar-SA"/>
                    </w:rPr>
                  </w:pPr>
                  <w:r>
                    <w:rPr>
                      <w:rFonts w:hint="eastAsia"/>
                      <w:color w:val="00B050"/>
                      <w:szCs w:val="21"/>
                      <w:vertAlign w:val="baseline"/>
                      <w:lang w:val="en-US" w:eastAsia="zh-CN"/>
                    </w:rPr>
                    <w:t>SW62—可回收物</w:t>
                  </w:r>
                </w:p>
              </w:tc>
              <w:tc>
                <w:tcPr>
                  <w:tcW w:w="1017" w:type="dxa"/>
                  <w:shd w:val="clear" w:color="auto" w:fill="auto"/>
                  <w:vAlign w:val="center"/>
                </w:tcPr>
                <w:p w14:paraId="2C31CE78">
                  <w:pPr>
                    <w:keepNext w:val="0"/>
                    <w:keepLines w:val="0"/>
                    <w:widowControl/>
                    <w:suppressLineNumbers w:val="0"/>
                    <w:jc w:val="center"/>
                    <w:textAlignment w:val="center"/>
                    <w:rPr>
                      <w:rFonts w:hint="eastAsia"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8</w:t>
                  </w:r>
                </w:p>
              </w:tc>
              <w:tc>
                <w:tcPr>
                  <w:tcW w:w="1127" w:type="dxa"/>
                  <w:shd w:val="clear" w:color="auto" w:fill="auto"/>
                  <w:vAlign w:val="center"/>
                </w:tcPr>
                <w:p w14:paraId="50D494D6">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color w:val="00B050"/>
                      <w:kern w:val="0"/>
                      <w:sz w:val="21"/>
                      <w:szCs w:val="21"/>
                      <w:lang w:val="en-US" w:eastAsia="zh-CN" w:bidi="ar-SA"/>
                    </w:rPr>
                    <w:t>63</w:t>
                  </w:r>
                </w:p>
              </w:tc>
              <w:tc>
                <w:tcPr>
                  <w:tcW w:w="999" w:type="dxa"/>
                  <w:shd w:val="clear" w:color="auto" w:fill="auto"/>
                  <w:vAlign w:val="center"/>
                </w:tcPr>
                <w:p w14:paraId="17AB0E85">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10</w:t>
                  </w:r>
                </w:p>
              </w:tc>
              <w:tc>
                <w:tcPr>
                  <w:tcW w:w="809" w:type="dxa"/>
                  <w:shd w:val="clear" w:color="auto" w:fill="auto"/>
                  <w:vAlign w:val="center"/>
                </w:tcPr>
                <w:p w14:paraId="5A2D9063">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default" w:ascii="Times New Roman" w:hAnsi="Times New Roman" w:eastAsia="宋体" w:cs="Times New Roman"/>
                      <w:i w:val="0"/>
                      <w:iCs w:val="0"/>
                      <w:color w:val="00B050"/>
                      <w:kern w:val="0"/>
                      <w:sz w:val="21"/>
                      <w:szCs w:val="21"/>
                      <w:u w:val="none"/>
                      <w:lang w:val="en-US" w:eastAsia="zh-CN" w:bidi="ar"/>
                    </w:rPr>
                    <w:t>50</w:t>
                  </w:r>
                  <w:r>
                    <w:rPr>
                      <w:rFonts w:hint="eastAsia" w:cs="Times New Roman"/>
                      <w:i w:val="0"/>
                      <w:iCs w:val="0"/>
                      <w:color w:val="00B050"/>
                      <w:kern w:val="0"/>
                      <w:sz w:val="21"/>
                      <w:szCs w:val="21"/>
                      <w:u w:val="none"/>
                      <w:lang w:val="en-US" w:eastAsia="zh-CN" w:bidi="ar"/>
                    </w:rPr>
                    <w:t>0</w:t>
                  </w:r>
                </w:p>
              </w:tc>
              <w:tc>
                <w:tcPr>
                  <w:tcW w:w="1435" w:type="dxa"/>
                  <w:shd w:val="clear" w:color="auto" w:fill="auto"/>
                  <w:vAlign w:val="center"/>
                </w:tcPr>
                <w:p w14:paraId="4E4BC2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B050"/>
                      <w:kern w:val="0"/>
                      <w:sz w:val="21"/>
                      <w:szCs w:val="21"/>
                      <w:lang w:val="en-US" w:eastAsia="zh-CN" w:bidi="ar-SA"/>
                    </w:rPr>
                  </w:pPr>
                  <w:r>
                    <w:rPr>
                      <w:rFonts w:hint="eastAsia" w:ascii="Times New Roman" w:hAnsi="Times New Roman" w:eastAsia="宋体" w:cs="Times New Roman"/>
                      <w:color w:val="00B050"/>
                      <w:kern w:val="0"/>
                      <w:szCs w:val="21"/>
                    </w:rPr>
                    <w:t>废镍氢</w:t>
                  </w:r>
                  <w:r>
                    <w:rPr>
                      <w:rFonts w:hint="eastAsia" w:cs="Times New Roman"/>
                      <w:color w:val="00B050"/>
                      <w:kern w:val="0"/>
                      <w:szCs w:val="21"/>
                      <w:lang w:val="en-US" w:eastAsia="zh-CN"/>
                    </w:rPr>
                    <w:t>电池贮存于5#贮存区、废离子电池贮存于6#贮存区</w:t>
                  </w:r>
                </w:p>
              </w:tc>
              <w:tc>
                <w:tcPr>
                  <w:tcW w:w="1435" w:type="dxa"/>
                  <w:shd w:val="clear" w:color="auto" w:fill="auto"/>
                  <w:vAlign w:val="center"/>
                </w:tcPr>
                <w:p w14:paraId="76A559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rPr>
                    <w:t>废镍氢</w:t>
                  </w:r>
                  <w:r>
                    <w:rPr>
                      <w:rFonts w:hint="eastAsia" w:cs="Times New Roman"/>
                      <w:color w:val="FF0000"/>
                      <w:kern w:val="0"/>
                      <w:szCs w:val="21"/>
                      <w:lang w:val="en-US" w:eastAsia="zh-CN"/>
                    </w:rPr>
                    <w:t>电池、废离子电池处置单位</w:t>
                  </w:r>
                </w:p>
              </w:tc>
            </w:tr>
            <w:tr w14:paraId="2A9B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494" w:type="dxa"/>
                  <w:shd w:val="clear" w:color="auto" w:fill="auto"/>
                  <w:vAlign w:val="center"/>
                </w:tcPr>
                <w:p w14:paraId="4C934F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B050"/>
                      <w:kern w:val="0"/>
                      <w:sz w:val="21"/>
                      <w:szCs w:val="21"/>
                      <w:lang w:val="en-US" w:eastAsia="zh-CN" w:bidi="ar-SA"/>
                    </w:rPr>
                  </w:pPr>
                  <w:r>
                    <w:rPr>
                      <w:rFonts w:hint="eastAsia"/>
                      <w:color w:val="00B050"/>
                      <w:szCs w:val="21"/>
                      <w:vertAlign w:val="baseline"/>
                      <w:lang w:val="en-US" w:eastAsia="zh-CN"/>
                    </w:rPr>
                    <w:t>SW63—大件垃圾</w:t>
                  </w:r>
                </w:p>
              </w:tc>
              <w:tc>
                <w:tcPr>
                  <w:tcW w:w="1017" w:type="dxa"/>
                  <w:shd w:val="clear" w:color="auto" w:fill="auto"/>
                  <w:vAlign w:val="center"/>
                </w:tcPr>
                <w:p w14:paraId="26E07C01">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color w:val="00B050"/>
                      <w:kern w:val="0"/>
                      <w:sz w:val="21"/>
                      <w:szCs w:val="21"/>
                      <w:lang w:val="en-US" w:eastAsia="zh-CN" w:bidi="ar-SA"/>
                    </w:rPr>
                    <w:t>4</w:t>
                  </w:r>
                </w:p>
              </w:tc>
              <w:tc>
                <w:tcPr>
                  <w:tcW w:w="1127" w:type="dxa"/>
                  <w:shd w:val="clear" w:color="auto" w:fill="auto"/>
                  <w:vAlign w:val="center"/>
                </w:tcPr>
                <w:p w14:paraId="25824B4F">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color w:val="00B050"/>
                      <w:kern w:val="0"/>
                      <w:sz w:val="21"/>
                      <w:szCs w:val="21"/>
                      <w:lang w:val="en-US" w:eastAsia="zh-CN" w:bidi="ar-SA"/>
                    </w:rPr>
                    <w:t>125</w:t>
                  </w:r>
                </w:p>
              </w:tc>
              <w:tc>
                <w:tcPr>
                  <w:tcW w:w="999" w:type="dxa"/>
                  <w:shd w:val="clear" w:color="auto" w:fill="auto"/>
                  <w:vAlign w:val="center"/>
                </w:tcPr>
                <w:p w14:paraId="533309A3">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20</w:t>
                  </w:r>
                </w:p>
              </w:tc>
              <w:tc>
                <w:tcPr>
                  <w:tcW w:w="809" w:type="dxa"/>
                  <w:shd w:val="clear" w:color="auto" w:fill="auto"/>
                  <w:vAlign w:val="center"/>
                </w:tcPr>
                <w:p w14:paraId="621CE066">
                  <w:pPr>
                    <w:keepNext w:val="0"/>
                    <w:keepLines w:val="0"/>
                    <w:widowControl/>
                    <w:suppressLineNumbers w:val="0"/>
                    <w:jc w:val="center"/>
                    <w:textAlignment w:val="center"/>
                    <w:rPr>
                      <w:rFonts w:hint="default" w:ascii="Times New Roman" w:hAnsi="Times New Roman" w:eastAsia="宋体" w:cs="Times New Roman"/>
                      <w:color w:val="00B050"/>
                      <w:kern w:val="0"/>
                      <w:sz w:val="21"/>
                      <w:szCs w:val="21"/>
                      <w:lang w:val="en-US" w:eastAsia="zh-CN" w:bidi="ar-SA"/>
                    </w:rPr>
                  </w:pPr>
                  <w:r>
                    <w:rPr>
                      <w:rFonts w:hint="eastAsia" w:cs="Times New Roman"/>
                      <w:i w:val="0"/>
                      <w:iCs w:val="0"/>
                      <w:color w:val="00B050"/>
                      <w:kern w:val="0"/>
                      <w:sz w:val="21"/>
                      <w:szCs w:val="21"/>
                      <w:u w:val="none"/>
                      <w:lang w:val="en-US" w:eastAsia="zh-CN" w:bidi="ar"/>
                    </w:rPr>
                    <w:t>500</w:t>
                  </w:r>
                </w:p>
              </w:tc>
              <w:tc>
                <w:tcPr>
                  <w:tcW w:w="1435" w:type="dxa"/>
                  <w:shd w:val="clear" w:color="auto" w:fill="auto"/>
                  <w:vAlign w:val="center"/>
                </w:tcPr>
                <w:p w14:paraId="2D835E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B050"/>
                      <w:kern w:val="0"/>
                      <w:szCs w:val="21"/>
                    </w:rPr>
                  </w:pPr>
                  <w:r>
                    <w:rPr>
                      <w:rFonts w:hint="eastAsia" w:ascii="Times New Roman" w:hAnsi="Times New Roman" w:eastAsia="宋体" w:cs="Times New Roman"/>
                      <w:color w:val="00B050"/>
                      <w:kern w:val="0"/>
                      <w:szCs w:val="21"/>
                    </w:rPr>
                    <w:t>废新能源动力电池</w:t>
                  </w:r>
                  <w:r>
                    <w:rPr>
                      <w:rFonts w:hint="eastAsia" w:cs="Times New Roman"/>
                      <w:color w:val="00B050"/>
                      <w:kern w:val="0"/>
                      <w:szCs w:val="21"/>
                      <w:lang w:val="en-US" w:eastAsia="zh-CN"/>
                    </w:rPr>
                    <w:t>存于7#贮存区</w:t>
                  </w:r>
                </w:p>
              </w:tc>
              <w:tc>
                <w:tcPr>
                  <w:tcW w:w="1435" w:type="dxa"/>
                  <w:shd w:val="clear" w:color="auto" w:fill="auto"/>
                  <w:vAlign w:val="center"/>
                </w:tcPr>
                <w:p w14:paraId="01FC56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废新能源动力电池</w:t>
                  </w:r>
                  <w:r>
                    <w:rPr>
                      <w:rFonts w:hint="eastAsia" w:cs="Times New Roman"/>
                      <w:color w:val="FF0000"/>
                      <w:kern w:val="0"/>
                      <w:szCs w:val="21"/>
                      <w:lang w:val="en-US" w:eastAsia="zh-CN"/>
                    </w:rPr>
                    <w:t>处置单位</w:t>
                  </w:r>
                </w:p>
              </w:tc>
            </w:tr>
            <w:tr w14:paraId="6ADF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94" w:type="dxa"/>
                  <w:shd w:val="clear" w:color="auto" w:fill="auto"/>
                  <w:vAlign w:val="center"/>
                </w:tcPr>
                <w:p w14:paraId="662D7E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B050"/>
                      <w:kern w:val="0"/>
                      <w:szCs w:val="21"/>
                      <w:lang w:val="en-US" w:eastAsia="zh-CN"/>
                    </w:rPr>
                  </w:pPr>
                  <w:r>
                    <w:rPr>
                      <w:rFonts w:hint="eastAsia" w:cs="Times New Roman"/>
                      <w:color w:val="00B050"/>
                      <w:kern w:val="0"/>
                      <w:szCs w:val="21"/>
                      <w:lang w:val="en-US" w:eastAsia="zh-CN"/>
                    </w:rPr>
                    <w:t>合计</w:t>
                  </w:r>
                </w:p>
              </w:tc>
              <w:tc>
                <w:tcPr>
                  <w:tcW w:w="1017" w:type="dxa"/>
                  <w:shd w:val="clear" w:color="auto" w:fill="auto"/>
                  <w:vAlign w:val="center"/>
                </w:tcPr>
                <w:p w14:paraId="3FCC08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12</w:t>
                  </w:r>
                </w:p>
              </w:tc>
              <w:tc>
                <w:tcPr>
                  <w:tcW w:w="1127" w:type="dxa"/>
                  <w:shd w:val="clear" w:color="auto" w:fill="auto"/>
                  <w:vAlign w:val="center"/>
                </w:tcPr>
                <w:p w14:paraId="35180D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w:t>
                  </w:r>
                </w:p>
              </w:tc>
              <w:tc>
                <w:tcPr>
                  <w:tcW w:w="999" w:type="dxa"/>
                  <w:shd w:val="clear" w:color="auto" w:fill="auto"/>
                  <w:vAlign w:val="center"/>
                </w:tcPr>
                <w:p w14:paraId="37573B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w:t>
                  </w:r>
                </w:p>
              </w:tc>
              <w:tc>
                <w:tcPr>
                  <w:tcW w:w="809" w:type="dxa"/>
                  <w:shd w:val="clear" w:color="auto" w:fill="auto"/>
                  <w:vAlign w:val="center"/>
                </w:tcPr>
                <w:p w14:paraId="3AA48F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1000</w:t>
                  </w:r>
                </w:p>
              </w:tc>
              <w:tc>
                <w:tcPr>
                  <w:tcW w:w="1435" w:type="dxa"/>
                  <w:shd w:val="clear" w:color="auto" w:fill="auto"/>
                  <w:vAlign w:val="center"/>
                </w:tcPr>
                <w:p w14:paraId="6FCA55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00B050"/>
                      <w:kern w:val="0"/>
                      <w:szCs w:val="21"/>
                      <w:lang w:val="en-US" w:eastAsia="zh-CN"/>
                    </w:rPr>
                  </w:pPr>
                  <w:r>
                    <w:rPr>
                      <w:rFonts w:hint="eastAsia" w:cs="Times New Roman"/>
                      <w:color w:val="00B050"/>
                      <w:kern w:val="0"/>
                      <w:szCs w:val="21"/>
                      <w:lang w:val="en-US" w:eastAsia="zh-CN"/>
                    </w:rPr>
                    <w:t>/</w:t>
                  </w:r>
                </w:p>
              </w:tc>
              <w:tc>
                <w:tcPr>
                  <w:tcW w:w="1435" w:type="dxa"/>
                  <w:shd w:val="clear" w:color="auto" w:fill="auto"/>
                  <w:vAlign w:val="center"/>
                </w:tcPr>
                <w:p w14:paraId="72CCE8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FF0000"/>
                      <w:kern w:val="0"/>
                      <w:szCs w:val="21"/>
                      <w:lang w:val="en-US" w:eastAsia="zh-CN"/>
                    </w:rPr>
                  </w:pPr>
                  <w:r>
                    <w:rPr>
                      <w:rFonts w:hint="eastAsia" w:cs="Times New Roman"/>
                      <w:color w:val="FF0000"/>
                      <w:kern w:val="0"/>
                      <w:szCs w:val="21"/>
                      <w:lang w:val="en-US" w:eastAsia="zh-CN"/>
                    </w:rPr>
                    <w:t>/</w:t>
                  </w:r>
                </w:p>
              </w:tc>
            </w:tr>
          </w:tbl>
          <w:p w14:paraId="49935B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cs="Times New Roman"/>
                <w:b/>
                <w:color w:val="000000" w:themeColor="text1"/>
                <w:kern w:val="0"/>
                <w:sz w:val="24"/>
                <w:szCs w:val="24"/>
                <w:lang w:val="en-US" w:eastAsia="zh-CN"/>
                <w14:textFill>
                  <w14:solidFill>
                    <w14:schemeClr w14:val="tx1"/>
                  </w14:solidFill>
                </w14:textFill>
              </w:rPr>
            </w:pPr>
            <w:r>
              <w:rPr>
                <w:rFonts w:hint="eastAsia" w:cs="Times New Roman"/>
                <w:b/>
                <w:color w:val="000000" w:themeColor="text1"/>
                <w:kern w:val="0"/>
                <w:sz w:val="24"/>
                <w:szCs w:val="24"/>
                <w:lang w:val="en-US" w:eastAsia="zh-CN"/>
                <w14:textFill>
                  <w14:solidFill>
                    <w14:schemeClr w14:val="tx1"/>
                  </w14:solidFill>
                </w14:textFill>
              </w:rPr>
              <w:t>2.1.5危险废物贮存包装方式</w:t>
            </w:r>
          </w:p>
          <w:p w14:paraId="02B20D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危险废物包装应符合《危险货物运输包装通用技术条件》（GB12463-2009）、《危险货物运输包装标志》（GB190-2009）等相关要求。</w:t>
            </w:r>
            <w:r>
              <w:rPr>
                <w:rFonts w:hint="eastAsia" w:cs="Times New Roman"/>
                <w:color w:val="000000" w:themeColor="text1"/>
                <w:kern w:val="0"/>
                <w:sz w:val="24"/>
                <w:lang w:val="en-US" w:eastAsia="zh-CN"/>
                <w14:textFill>
                  <w14:solidFill>
                    <w14:schemeClr w14:val="tx1"/>
                  </w14:solidFill>
                </w14:textFill>
              </w:rPr>
              <w:t>根据建设单位提供的资料，项目</w:t>
            </w:r>
            <w:r>
              <w:rPr>
                <w:rFonts w:hint="eastAsia" w:ascii="Times New Roman" w:hAnsi="Times New Roman" w:eastAsia="宋体" w:cs="Times New Roman"/>
                <w:color w:val="000000" w:themeColor="text1"/>
                <w:kern w:val="0"/>
                <w:sz w:val="24"/>
                <w14:textFill>
                  <w14:solidFill>
                    <w14:schemeClr w14:val="tx1"/>
                  </w14:solidFill>
                </w14:textFill>
              </w:rPr>
              <w:t>盛装危险废物</w:t>
            </w:r>
            <w:r>
              <w:rPr>
                <w:rFonts w:hint="eastAsia" w:cs="Times New Roman"/>
                <w:color w:val="000000" w:themeColor="text1"/>
                <w:kern w:val="0"/>
                <w:sz w:val="24"/>
                <w:lang w:val="en-US" w:eastAsia="zh-CN"/>
                <w14:textFill>
                  <w14:solidFill>
                    <w14:schemeClr w14:val="tx1"/>
                  </w14:solidFill>
                </w14:textFill>
              </w:rPr>
              <w:t>的</w:t>
            </w:r>
            <w:r>
              <w:rPr>
                <w:rFonts w:hint="eastAsia" w:ascii="Times New Roman" w:hAnsi="Times New Roman" w:eastAsia="宋体" w:cs="Times New Roman"/>
                <w:color w:val="000000" w:themeColor="text1"/>
                <w:kern w:val="0"/>
                <w:sz w:val="24"/>
                <w14:textFill>
                  <w14:solidFill>
                    <w14:schemeClr w14:val="tx1"/>
                  </w14:solidFill>
                </w14:textFill>
              </w:rPr>
              <w:t>包装物种类</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见表2</w:t>
            </w:r>
            <w:r>
              <w:rPr>
                <w:rFonts w:hint="eastAsia" w:cs="Times New Roman"/>
                <w:color w:val="000000" w:themeColor="text1"/>
                <w:kern w:val="0"/>
                <w:sz w:val="24"/>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6所示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p>
          <w:p w14:paraId="78CF9E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表2.1-</w:t>
            </w:r>
            <w:r>
              <w:rPr>
                <w:rFonts w:hint="eastAsia" w:cs="Times New Roman"/>
                <w:b/>
                <w:bCs w:val="0"/>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各类危险废物包装材料一览表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554"/>
              <w:gridCol w:w="2119"/>
              <w:gridCol w:w="1554"/>
              <w:gridCol w:w="2246"/>
            </w:tblGrid>
            <w:tr w14:paraId="61D0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1" w:type="dxa"/>
                  <w:shd w:val="clear" w:color="auto" w:fill="auto"/>
                  <w:vAlign w:val="center"/>
                </w:tcPr>
                <w:p w14:paraId="42530943">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序号</w:t>
                  </w:r>
                </w:p>
              </w:tc>
              <w:tc>
                <w:tcPr>
                  <w:tcW w:w="1554" w:type="dxa"/>
                  <w:shd w:val="clear" w:color="auto" w:fill="auto"/>
                  <w:vAlign w:val="center"/>
                </w:tcPr>
                <w:p w14:paraId="0C710A16">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包装材料名称</w:t>
                  </w:r>
                </w:p>
              </w:tc>
              <w:tc>
                <w:tcPr>
                  <w:tcW w:w="2119" w:type="dxa"/>
                  <w:shd w:val="clear" w:color="auto" w:fill="auto"/>
                  <w:vAlign w:val="center"/>
                </w:tcPr>
                <w:p w14:paraId="3F99DF0C">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型号/规格</w:t>
                  </w:r>
                </w:p>
              </w:tc>
              <w:tc>
                <w:tcPr>
                  <w:tcW w:w="1554" w:type="dxa"/>
                  <w:shd w:val="clear" w:color="auto" w:fill="auto"/>
                  <w:vAlign w:val="center"/>
                </w:tcPr>
                <w:p w14:paraId="7B960BC8">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用途</w:t>
                  </w:r>
                </w:p>
              </w:tc>
              <w:tc>
                <w:tcPr>
                  <w:tcW w:w="2246" w:type="dxa"/>
                  <w:shd w:val="clear" w:color="auto" w:fill="auto"/>
                  <w:vAlign w:val="center"/>
                </w:tcPr>
                <w:p w14:paraId="700AD073">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图片</w:t>
                  </w:r>
                </w:p>
              </w:tc>
            </w:tr>
            <w:tr w14:paraId="7C29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761" w:type="dxa"/>
                  <w:shd w:val="clear" w:color="auto" w:fill="auto"/>
                  <w:vAlign w:val="center"/>
                </w:tcPr>
                <w:p w14:paraId="37D064FB">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w:t>
                  </w:r>
                </w:p>
              </w:tc>
              <w:tc>
                <w:tcPr>
                  <w:tcW w:w="1554" w:type="dxa"/>
                  <w:shd w:val="clear" w:color="auto" w:fill="auto"/>
                  <w:vAlign w:val="center"/>
                </w:tcPr>
                <w:p w14:paraId="777A7EE9">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200L胶桶</w:t>
                  </w:r>
                </w:p>
              </w:tc>
              <w:tc>
                <w:tcPr>
                  <w:tcW w:w="2119" w:type="dxa"/>
                  <w:shd w:val="clear" w:color="auto" w:fill="auto"/>
                  <w:vAlign w:val="center"/>
                </w:tcPr>
                <w:p w14:paraId="4492144F">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圆柱状，</w:t>
                  </w:r>
                  <w:r>
                    <w:rPr>
                      <w:rFonts w:hint="eastAsia" w:cs="Times New Roman"/>
                      <w:color w:val="000000" w:themeColor="text1"/>
                      <w:kern w:val="0"/>
                      <w:sz w:val="21"/>
                      <w:szCs w:val="21"/>
                      <w:lang w:val="en-US" w:eastAsia="zh-CN"/>
                      <w14:textFill>
                        <w14:solidFill>
                          <w14:schemeClr w14:val="tx1"/>
                        </w14:solidFill>
                      </w14:textFill>
                    </w:rPr>
                    <w:t>φ</w:t>
                  </w:r>
                  <w:r>
                    <w:rPr>
                      <w:rFonts w:ascii="Times New Roman" w:hAnsi="Times New Roman" w:eastAsia="宋体" w:cs="Times New Roman"/>
                      <w:color w:val="000000" w:themeColor="text1"/>
                      <w:kern w:val="0"/>
                      <w:sz w:val="21"/>
                      <w:szCs w:val="21"/>
                      <w14:textFill>
                        <w14:solidFill>
                          <w14:schemeClr w14:val="tx1"/>
                        </w14:solidFill>
                      </w14:textFill>
                    </w:rPr>
                    <w:t>590×930mm，HDPE</w:t>
                  </w:r>
                </w:p>
              </w:tc>
              <w:tc>
                <w:tcPr>
                  <w:tcW w:w="1554" w:type="dxa"/>
                  <w:shd w:val="clear" w:color="auto" w:fill="auto"/>
                  <w:vAlign w:val="center"/>
                </w:tcPr>
                <w:p w14:paraId="368A630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盛装液体废物</w:t>
                  </w:r>
                </w:p>
              </w:tc>
              <w:tc>
                <w:tcPr>
                  <w:tcW w:w="2246" w:type="dxa"/>
                  <w:shd w:val="clear" w:color="auto" w:fill="auto"/>
                  <w:vAlign w:val="center"/>
                </w:tcPr>
                <w:p w14:paraId="51BE5209">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drawing>
                      <wp:inline distT="0" distB="0" distL="0" distR="0">
                        <wp:extent cx="790575" cy="1083310"/>
                        <wp:effectExtent l="0" t="0" r="190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90575" cy="1083310"/>
                                </a:xfrm>
                                <a:prstGeom prst="rect">
                                  <a:avLst/>
                                </a:prstGeom>
                                <a:noFill/>
                                <a:ln>
                                  <a:noFill/>
                                </a:ln>
                              </pic:spPr>
                            </pic:pic>
                          </a:graphicData>
                        </a:graphic>
                      </wp:inline>
                    </w:drawing>
                  </w:r>
                </w:p>
              </w:tc>
            </w:tr>
            <w:tr w14:paraId="3A99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shd w:val="clear" w:color="auto" w:fill="auto"/>
                  <w:vAlign w:val="center"/>
                </w:tcPr>
                <w:p w14:paraId="50414FD6">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w:t>
                  </w:r>
                </w:p>
              </w:tc>
              <w:tc>
                <w:tcPr>
                  <w:tcW w:w="1554" w:type="dxa"/>
                  <w:shd w:val="clear" w:color="auto" w:fill="auto"/>
                  <w:vAlign w:val="center"/>
                </w:tcPr>
                <w:p w14:paraId="33062AD1">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吨桶</w:t>
                  </w:r>
                </w:p>
              </w:tc>
              <w:tc>
                <w:tcPr>
                  <w:tcW w:w="2119" w:type="dxa"/>
                  <w:shd w:val="clear" w:color="auto" w:fill="auto"/>
                  <w:vAlign w:val="center"/>
                </w:tcPr>
                <w:p w14:paraId="450D17B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1200×1000×1150mm</w:t>
                  </w:r>
                  <w:r>
                    <w:rPr>
                      <w:rFonts w:hint="eastAsia" w:cs="Times New Roman"/>
                      <w:color w:val="000000" w:themeColor="text1"/>
                      <w:kern w:val="0"/>
                      <w:sz w:val="21"/>
                      <w:szCs w:val="21"/>
                      <w:lang w:eastAsia="zh-CN"/>
                      <w14:textFill>
                        <w14:solidFill>
                          <w14:schemeClr w14:val="tx1"/>
                        </w14:solidFill>
                      </w14:textFill>
                    </w:rPr>
                    <w:t>,</w:t>
                  </w:r>
                  <w:r>
                    <w:rPr>
                      <w:rFonts w:ascii="Times New Roman" w:hAnsi="Times New Roman" w:eastAsia="宋体" w:cs="Times New Roman"/>
                      <w:color w:val="000000" w:themeColor="text1"/>
                      <w:kern w:val="0"/>
                      <w:sz w:val="21"/>
                      <w:szCs w:val="21"/>
                      <w14:textFill>
                        <w14:solidFill>
                          <w14:schemeClr w14:val="tx1"/>
                        </w14:solidFill>
                      </w14:textFill>
                    </w:rPr>
                    <w:t>HDPE</w:t>
                  </w:r>
                </w:p>
              </w:tc>
              <w:tc>
                <w:tcPr>
                  <w:tcW w:w="1554" w:type="dxa"/>
                  <w:shd w:val="clear" w:color="auto" w:fill="auto"/>
                  <w:vAlign w:val="center"/>
                </w:tcPr>
                <w:p w14:paraId="14C93C4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盛装液体\</w:t>
                  </w:r>
                  <w:r>
                    <w:rPr>
                      <w:rFonts w:hint="eastAsia" w:ascii="Times New Roman" w:hAnsi="Times New Roman" w:eastAsia="宋体" w:cs="Times New Roman"/>
                      <w:color w:val="000000" w:themeColor="text1"/>
                      <w:kern w:val="0"/>
                      <w:sz w:val="21"/>
                      <w:szCs w:val="21"/>
                      <w14:textFill>
                        <w14:solidFill>
                          <w14:schemeClr w14:val="tx1"/>
                        </w14:solidFill>
                      </w14:textFill>
                    </w:rPr>
                    <w:t>半</w:t>
                  </w:r>
                  <w:r>
                    <w:rPr>
                      <w:rFonts w:ascii="Times New Roman" w:hAnsi="Times New Roman" w:eastAsia="宋体" w:cs="Times New Roman"/>
                      <w:color w:val="000000" w:themeColor="text1"/>
                      <w:kern w:val="0"/>
                      <w:sz w:val="21"/>
                      <w:szCs w:val="21"/>
                      <w14:textFill>
                        <w14:solidFill>
                          <w14:schemeClr w14:val="tx1"/>
                        </w14:solidFill>
                      </w14:textFill>
                    </w:rPr>
                    <w:t>固体废物</w:t>
                  </w:r>
                </w:p>
              </w:tc>
              <w:tc>
                <w:tcPr>
                  <w:tcW w:w="2246" w:type="dxa"/>
                  <w:shd w:val="clear" w:color="auto" w:fill="auto"/>
                  <w:vAlign w:val="center"/>
                </w:tcPr>
                <w:p w14:paraId="08DBB868">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drawing>
                      <wp:inline distT="0" distB="0" distL="0" distR="0">
                        <wp:extent cx="791845" cy="744855"/>
                        <wp:effectExtent l="0" t="0" r="63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91845" cy="744855"/>
                                </a:xfrm>
                                <a:prstGeom prst="rect">
                                  <a:avLst/>
                                </a:prstGeom>
                                <a:noFill/>
                                <a:ln>
                                  <a:noFill/>
                                </a:ln>
                              </pic:spPr>
                            </pic:pic>
                          </a:graphicData>
                        </a:graphic>
                      </wp:inline>
                    </w:drawing>
                  </w:r>
                </w:p>
              </w:tc>
            </w:tr>
            <w:tr w14:paraId="1FC5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shd w:val="clear" w:color="auto" w:fill="auto"/>
                  <w:vAlign w:val="center"/>
                </w:tcPr>
                <w:p w14:paraId="4B7E3EC6">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w:t>
                  </w:r>
                </w:p>
              </w:tc>
              <w:tc>
                <w:tcPr>
                  <w:tcW w:w="1554" w:type="dxa"/>
                  <w:shd w:val="clear" w:color="auto" w:fill="auto"/>
                  <w:vAlign w:val="center"/>
                </w:tcPr>
                <w:p w14:paraId="22663712">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吨袋</w:t>
                  </w:r>
                  <w:r>
                    <w:rPr>
                      <w:rFonts w:hint="eastAsia" w:ascii="Times New Roman" w:hAnsi="Times New Roman" w:eastAsia="宋体" w:cs="Times New Roman"/>
                      <w:color w:val="000000" w:themeColor="text1"/>
                      <w:kern w:val="0"/>
                      <w:sz w:val="21"/>
                      <w:szCs w:val="21"/>
                      <w14:textFill>
                        <w14:solidFill>
                          <w14:schemeClr w14:val="tx1"/>
                        </w14:solidFill>
                      </w14:textFill>
                    </w:rPr>
                    <w:t>（覆膜）</w:t>
                  </w:r>
                </w:p>
              </w:tc>
              <w:tc>
                <w:tcPr>
                  <w:tcW w:w="2119" w:type="dxa"/>
                  <w:shd w:val="clear" w:color="auto" w:fill="auto"/>
                  <w:vAlign w:val="center"/>
                </w:tcPr>
                <w:p w14:paraId="5DEA8528">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1100×900×1100mm</w:t>
                  </w:r>
                  <w:r>
                    <w:rPr>
                      <w:rFonts w:hint="eastAsia" w:cs="Times New Roman"/>
                      <w:color w:val="000000" w:themeColor="text1"/>
                      <w:kern w:val="0"/>
                      <w:sz w:val="21"/>
                      <w:szCs w:val="21"/>
                      <w:lang w:eastAsia="zh-CN"/>
                      <w14:textFill>
                        <w14:solidFill>
                          <w14:schemeClr w14:val="tx1"/>
                        </w14:solidFill>
                      </w14:textFill>
                    </w:rPr>
                    <w:t>,</w:t>
                  </w:r>
                  <w:r>
                    <w:rPr>
                      <w:rFonts w:ascii="Times New Roman" w:hAnsi="Times New Roman" w:eastAsia="宋体" w:cs="Times New Roman"/>
                      <w:color w:val="000000" w:themeColor="text1"/>
                      <w:kern w:val="0"/>
                      <w:sz w:val="21"/>
                      <w:szCs w:val="21"/>
                      <w14:textFill>
                        <w14:solidFill>
                          <w14:schemeClr w14:val="tx1"/>
                        </w14:solidFill>
                      </w14:textFill>
                    </w:rPr>
                    <w:t>PP</w:t>
                  </w:r>
                </w:p>
              </w:tc>
              <w:tc>
                <w:tcPr>
                  <w:tcW w:w="1554" w:type="dxa"/>
                  <w:shd w:val="clear" w:color="auto" w:fill="auto"/>
                  <w:vAlign w:val="center"/>
                </w:tcPr>
                <w:p w14:paraId="48006B3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盛装固体废物</w:t>
                  </w:r>
                </w:p>
              </w:tc>
              <w:tc>
                <w:tcPr>
                  <w:tcW w:w="2246" w:type="dxa"/>
                  <w:shd w:val="clear" w:color="auto" w:fill="auto"/>
                  <w:vAlign w:val="center"/>
                </w:tcPr>
                <w:p w14:paraId="1B0268DB">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drawing>
                      <wp:inline distT="0" distB="0" distL="0" distR="0">
                        <wp:extent cx="791845" cy="958215"/>
                        <wp:effectExtent l="0" t="0" r="63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91845" cy="958215"/>
                                </a:xfrm>
                                <a:prstGeom prst="rect">
                                  <a:avLst/>
                                </a:prstGeom>
                                <a:noFill/>
                                <a:ln>
                                  <a:noFill/>
                                </a:ln>
                              </pic:spPr>
                            </pic:pic>
                          </a:graphicData>
                        </a:graphic>
                      </wp:inline>
                    </w:drawing>
                  </w:r>
                </w:p>
              </w:tc>
            </w:tr>
            <w:tr w14:paraId="1464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shd w:val="clear" w:color="auto" w:fill="auto"/>
                  <w:vAlign w:val="center"/>
                </w:tcPr>
                <w:p w14:paraId="688D233D">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w:t>
                  </w:r>
                </w:p>
              </w:tc>
              <w:tc>
                <w:tcPr>
                  <w:tcW w:w="1554" w:type="dxa"/>
                  <w:shd w:val="clear" w:color="auto" w:fill="auto"/>
                  <w:vAlign w:val="center"/>
                </w:tcPr>
                <w:p w14:paraId="10AB37DA">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储罐</w:t>
                  </w:r>
                </w:p>
              </w:tc>
              <w:tc>
                <w:tcPr>
                  <w:tcW w:w="2119" w:type="dxa"/>
                  <w:shd w:val="clear" w:color="auto" w:fill="auto"/>
                  <w:vAlign w:val="center"/>
                </w:tcPr>
                <w:p w14:paraId="72C6FBD1">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Φ</w:t>
                  </w:r>
                  <w:r>
                    <w:rPr>
                      <w:rFonts w:hint="eastAsia" w:cs="Times New Roman"/>
                      <w:color w:val="000000" w:themeColor="text1"/>
                      <w:kern w:val="0"/>
                      <w:sz w:val="21"/>
                      <w:szCs w:val="21"/>
                      <w:lang w:val="en-US" w:eastAsia="zh-CN"/>
                      <w14:textFill>
                        <w14:solidFill>
                          <w14:schemeClr w14:val="tx1"/>
                        </w14:solidFill>
                      </w14:textFill>
                    </w:rPr>
                    <w:t>1800</w:t>
                  </w:r>
                  <w:r>
                    <w:rPr>
                      <w:rFonts w:ascii="Times New Roman" w:hAnsi="Times New Roman" w:eastAsia="宋体"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4000</w:t>
                  </w:r>
                  <w:r>
                    <w:rPr>
                      <w:rFonts w:ascii="Times New Roman" w:hAnsi="Times New Roman" w:eastAsia="宋体" w:cs="Times New Roman"/>
                      <w:color w:val="000000" w:themeColor="text1"/>
                      <w:kern w:val="0"/>
                      <w:sz w:val="21"/>
                      <w:szCs w:val="21"/>
                      <w14:textFill>
                        <w14:solidFill>
                          <w14:schemeClr w14:val="tx1"/>
                        </w14:solidFill>
                      </w14:textFill>
                    </w:rPr>
                    <w:t>mm</w:t>
                  </w:r>
                  <w:r>
                    <w:rPr>
                      <w:rFonts w:hint="eastAsia"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钢制</w:t>
                  </w:r>
                </w:p>
              </w:tc>
              <w:tc>
                <w:tcPr>
                  <w:tcW w:w="1554" w:type="dxa"/>
                  <w:shd w:val="clear" w:color="auto" w:fill="auto"/>
                  <w:vAlign w:val="center"/>
                </w:tcPr>
                <w:p w14:paraId="76ABF42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盛装废矿物油</w:t>
                  </w:r>
                </w:p>
              </w:tc>
              <w:tc>
                <w:tcPr>
                  <w:tcW w:w="2246" w:type="dxa"/>
                  <w:shd w:val="clear" w:color="auto" w:fill="auto"/>
                  <w:vAlign w:val="center"/>
                </w:tcPr>
                <w:p w14:paraId="090BB41E">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p>
              </w:tc>
            </w:tr>
          </w:tbl>
          <w:p w14:paraId="5181EA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cs="Times New Roman"/>
                <w:b/>
                <w:color w:val="00B050"/>
                <w:kern w:val="0"/>
                <w:sz w:val="24"/>
                <w:szCs w:val="24"/>
                <w:lang w:val="en-US" w:eastAsia="zh-CN"/>
              </w:rPr>
            </w:pPr>
            <w:r>
              <w:rPr>
                <w:rFonts w:hint="eastAsia" w:cs="Times New Roman"/>
                <w:b/>
                <w:color w:val="00B050"/>
                <w:kern w:val="0"/>
                <w:sz w:val="24"/>
                <w:szCs w:val="24"/>
                <w:lang w:val="en-US" w:eastAsia="zh-CN"/>
              </w:rPr>
              <w:t>2.1.6运输、处置情况</w:t>
            </w:r>
          </w:p>
          <w:p w14:paraId="6ACF3B1F">
            <w:pPr>
              <w:pStyle w:val="84"/>
              <w:keepNext w:val="0"/>
              <w:keepLines w:val="0"/>
              <w:pageBreakBefore w:val="0"/>
              <w:widowControl w:val="0"/>
              <w:tabs>
                <w:tab w:val="left" w:pos="3480"/>
              </w:tabs>
              <w:kinsoku/>
              <w:wordWrap/>
              <w:overflowPunct/>
              <w:topLinePunct w:val="0"/>
              <w:autoSpaceDE/>
              <w:autoSpaceDN/>
              <w:bidi w:val="0"/>
              <w:adjustRightInd/>
              <w:snapToGrid/>
              <w:spacing w:line="360" w:lineRule="auto"/>
              <w:ind w:firstLine="480"/>
              <w:textAlignment w:val="auto"/>
              <w:rPr>
                <w:rFonts w:hint="eastAsia"/>
                <w:color w:val="00B050"/>
                <w:sz w:val="24"/>
                <w:lang w:val="en-US" w:eastAsia="zh-CN"/>
              </w:rPr>
            </w:pPr>
            <w:r>
              <w:rPr>
                <w:rFonts w:hint="eastAsia"/>
                <w:color w:val="00B050"/>
                <w:sz w:val="24"/>
                <w:lang w:val="en-US" w:eastAsia="zh-CN"/>
              </w:rPr>
              <w:t>项目建设不涉及危险废物运输及处置内容。废旧电池及废矿物油委托曲靖市马龙区鹏泉运输服务有限公司进行运输（详见附件7）；废旧电池及废矿物油委托云南大地丰源环保有限公司进行处置（详见附件8）。</w:t>
            </w:r>
          </w:p>
          <w:p w14:paraId="702F8D9D">
            <w:pPr>
              <w:pStyle w:val="84"/>
              <w:keepNext w:val="0"/>
              <w:keepLines w:val="0"/>
              <w:pageBreakBefore w:val="0"/>
              <w:widowControl w:val="0"/>
              <w:tabs>
                <w:tab w:val="left" w:pos="3480"/>
              </w:tabs>
              <w:kinsoku/>
              <w:wordWrap/>
              <w:overflowPunct/>
              <w:topLinePunct w:val="0"/>
              <w:autoSpaceDE/>
              <w:autoSpaceDN/>
              <w:bidi w:val="0"/>
              <w:adjustRightInd/>
              <w:snapToGrid/>
              <w:spacing w:line="360" w:lineRule="auto"/>
              <w:ind w:firstLine="480"/>
              <w:textAlignment w:val="auto"/>
              <w:rPr>
                <w:color w:val="00B050"/>
                <w:kern w:val="0"/>
                <w:sz w:val="24"/>
                <w:szCs w:val="24"/>
              </w:rPr>
            </w:pPr>
            <w:r>
              <w:rPr>
                <w:rFonts w:hint="eastAsia"/>
                <w:color w:val="00B050"/>
                <w:kern w:val="0"/>
                <w:sz w:val="24"/>
                <w:szCs w:val="24"/>
                <w:lang w:val="en-US" w:eastAsia="zh-CN"/>
              </w:rPr>
              <w:t>项目危险废物委托</w:t>
            </w:r>
            <w:r>
              <w:rPr>
                <w:rFonts w:hint="eastAsia"/>
                <w:color w:val="00B050"/>
                <w:kern w:val="0"/>
                <w:sz w:val="24"/>
                <w:szCs w:val="24"/>
              </w:rPr>
              <w:t>运输</w:t>
            </w:r>
            <w:r>
              <w:rPr>
                <w:rFonts w:hint="eastAsia"/>
                <w:color w:val="00B050"/>
                <w:kern w:val="0"/>
                <w:sz w:val="24"/>
                <w:szCs w:val="24"/>
                <w:lang w:val="en-US" w:eastAsia="zh-CN"/>
              </w:rPr>
              <w:t>和</w:t>
            </w:r>
            <w:r>
              <w:rPr>
                <w:rFonts w:hint="eastAsia"/>
                <w:color w:val="00B050"/>
                <w:kern w:val="0"/>
                <w:sz w:val="24"/>
                <w:szCs w:val="24"/>
              </w:rPr>
              <w:t>处置</w:t>
            </w:r>
            <w:r>
              <w:rPr>
                <w:rFonts w:hint="eastAsia"/>
                <w:color w:val="00B050"/>
                <w:kern w:val="0"/>
                <w:sz w:val="24"/>
                <w:szCs w:val="24"/>
                <w:lang w:val="en-US" w:eastAsia="zh-CN"/>
              </w:rPr>
              <w:t>单位</w:t>
            </w:r>
            <w:r>
              <w:rPr>
                <w:rFonts w:hint="eastAsia"/>
                <w:color w:val="00B050"/>
                <w:kern w:val="0"/>
                <w:sz w:val="24"/>
                <w:szCs w:val="24"/>
              </w:rPr>
              <w:t>情况见表</w:t>
            </w:r>
            <w:r>
              <w:rPr>
                <w:rFonts w:hint="eastAsia"/>
                <w:color w:val="00B050"/>
                <w:kern w:val="0"/>
                <w:sz w:val="24"/>
                <w:szCs w:val="24"/>
                <w:lang w:val="en-US" w:eastAsia="zh-CN"/>
              </w:rPr>
              <w:t>2.1-7所示</w:t>
            </w:r>
            <w:r>
              <w:rPr>
                <w:rFonts w:hint="eastAsia"/>
                <w:color w:val="00B050"/>
                <w:kern w:val="0"/>
                <w:sz w:val="24"/>
                <w:szCs w:val="24"/>
              </w:rPr>
              <w:t>。</w:t>
            </w:r>
          </w:p>
          <w:p w14:paraId="14CE37F6">
            <w:pPr>
              <w:pStyle w:val="85"/>
              <w:keepNext w:val="0"/>
              <w:keepLines w:val="0"/>
              <w:pageBreakBefore w:val="0"/>
              <w:widowControl w:val="0"/>
              <w:numPr>
                <w:ilvl w:val="0"/>
                <w:numId w:val="0"/>
              </w:numPr>
              <w:kinsoku/>
              <w:wordWrap/>
              <w:overflowPunct/>
              <w:topLinePunct w:val="0"/>
              <w:autoSpaceDE/>
              <w:autoSpaceDN/>
              <w:bidi w:val="0"/>
              <w:adjustRightInd/>
              <w:snapToGrid/>
              <w:spacing w:beforeLines="0"/>
              <w:ind w:left="0" w:leftChars="0"/>
              <w:textAlignment w:val="auto"/>
              <w:rPr>
                <w:rFonts w:hint="eastAsia" w:ascii="宋体" w:hAnsi="宋体" w:eastAsia="宋体" w:cs="宋体"/>
                <w:b/>
                <w:bCs/>
                <w:color w:val="00B050"/>
                <w:sz w:val="21"/>
                <w:szCs w:val="21"/>
                <w:lang w:val="en-US" w:eastAsia="zh-CN"/>
              </w:rPr>
            </w:pPr>
            <w:r>
              <w:rPr>
                <w:rFonts w:hint="eastAsia" w:ascii="宋体" w:hAnsi="宋体" w:eastAsia="宋体" w:cs="宋体"/>
                <w:b/>
                <w:bCs/>
                <w:color w:val="00B050"/>
                <w:sz w:val="21"/>
                <w:szCs w:val="21"/>
                <w:lang w:val="en-US" w:eastAsia="zh-CN"/>
              </w:rPr>
              <w:t xml:space="preserve">表2.1-7  </w:t>
            </w:r>
            <w:r>
              <w:rPr>
                <w:rFonts w:hint="eastAsia" w:ascii="宋体" w:hAnsi="宋体" w:cs="宋体"/>
                <w:b/>
                <w:bCs/>
                <w:color w:val="00B050"/>
                <w:sz w:val="21"/>
                <w:szCs w:val="21"/>
                <w:lang w:val="en-US" w:eastAsia="zh-CN"/>
              </w:rPr>
              <w:t>危险废物</w:t>
            </w:r>
            <w:r>
              <w:rPr>
                <w:rFonts w:hint="eastAsia" w:ascii="宋体" w:hAnsi="宋体" w:eastAsia="宋体" w:cs="宋体"/>
                <w:b/>
                <w:bCs/>
                <w:color w:val="00B050"/>
                <w:sz w:val="21"/>
                <w:szCs w:val="21"/>
                <w:lang w:val="en-US" w:eastAsia="zh-CN"/>
              </w:rPr>
              <w:t>运输、处置单位情况一览表</w:t>
            </w:r>
          </w:p>
          <w:tbl>
            <w:tblPr>
              <w:tblStyle w:val="27"/>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61"/>
              <w:gridCol w:w="4761"/>
              <w:gridCol w:w="1697"/>
            </w:tblGrid>
            <w:tr w14:paraId="4143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0" w:type="dxa"/>
                  <w:vAlign w:val="center"/>
                </w:tcPr>
                <w:p w14:paraId="718A89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B050"/>
                      <w:kern w:val="0"/>
                      <w:sz w:val="21"/>
                      <w:szCs w:val="21"/>
                    </w:rPr>
                  </w:pPr>
                  <w:r>
                    <w:rPr>
                      <w:rFonts w:hint="eastAsia"/>
                      <w:b/>
                      <w:bCs/>
                      <w:color w:val="00B050"/>
                      <w:kern w:val="0"/>
                      <w:sz w:val="21"/>
                      <w:szCs w:val="21"/>
                    </w:rPr>
                    <w:t>类别</w:t>
                  </w:r>
                </w:p>
              </w:tc>
              <w:tc>
                <w:tcPr>
                  <w:tcW w:w="1061" w:type="dxa"/>
                  <w:vAlign w:val="center"/>
                </w:tcPr>
                <w:p w14:paraId="5E401F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B050"/>
                      <w:kern w:val="0"/>
                      <w:sz w:val="21"/>
                      <w:szCs w:val="21"/>
                    </w:rPr>
                  </w:pPr>
                  <w:r>
                    <w:rPr>
                      <w:rFonts w:hint="eastAsia"/>
                      <w:b/>
                      <w:bCs/>
                      <w:color w:val="00B050"/>
                      <w:kern w:val="0"/>
                      <w:sz w:val="21"/>
                      <w:szCs w:val="21"/>
                    </w:rPr>
                    <w:t>名称</w:t>
                  </w:r>
                </w:p>
              </w:tc>
              <w:tc>
                <w:tcPr>
                  <w:tcW w:w="4761" w:type="dxa"/>
                  <w:vAlign w:val="center"/>
                </w:tcPr>
                <w:p w14:paraId="396D61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B050"/>
                      <w:kern w:val="0"/>
                      <w:sz w:val="21"/>
                      <w:szCs w:val="21"/>
                    </w:rPr>
                  </w:pPr>
                  <w:r>
                    <w:rPr>
                      <w:rFonts w:hint="eastAsia"/>
                      <w:b/>
                      <w:bCs/>
                      <w:color w:val="00B050"/>
                      <w:kern w:val="0"/>
                      <w:sz w:val="21"/>
                      <w:szCs w:val="21"/>
                    </w:rPr>
                    <w:t>基本情况</w:t>
                  </w:r>
                </w:p>
              </w:tc>
              <w:tc>
                <w:tcPr>
                  <w:tcW w:w="1697" w:type="dxa"/>
                  <w:vAlign w:val="center"/>
                </w:tcPr>
                <w:p w14:paraId="0E85B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B050"/>
                      <w:kern w:val="0"/>
                      <w:sz w:val="21"/>
                      <w:szCs w:val="21"/>
                      <w:lang w:val="en-US" w:eastAsia="zh-CN"/>
                    </w:rPr>
                  </w:pPr>
                  <w:r>
                    <w:rPr>
                      <w:rFonts w:hint="eastAsia"/>
                      <w:b/>
                      <w:bCs/>
                      <w:color w:val="00B050"/>
                      <w:kern w:val="0"/>
                      <w:sz w:val="21"/>
                      <w:szCs w:val="21"/>
                      <w:lang w:val="en-US" w:eastAsia="zh-CN"/>
                    </w:rPr>
                    <w:t>其他</w:t>
                  </w:r>
                </w:p>
              </w:tc>
            </w:tr>
            <w:tr w14:paraId="7F77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720" w:type="dxa"/>
                  <w:vAlign w:val="center"/>
                </w:tcPr>
                <w:p w14:paraId="3A9E35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B050"/>
                      <w:kern w:val="0"/>
                      <w:sz w:val="21"/>
                      <w:szCs w:val="21"/>
                    </w:rPr>
                  </w:pPr>
                  <w:r>
                    <w:rPr>
                      <w:rFonts w:hint="eastAsia"/>
                      <w:color w:val="00B050"/>
                      <w:kern w:val="0"/>
                      <w:sz w:val="21"/>
                      <w:szCs w:val="21"/>
                    </w:rPr>
                    <w:t>运输单位</w:t>
                  </w:r>
                </w:p>
              </w:tc>
              <w:tc>
                <w:tcPr>
                  <w:tcW w:w="1061" w:type="dxa"/>
                  <w:vAlign w:val="center"/>
                </w:tcPr>
                <w:p w14:paraId="7B6682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B050"/>
                      <w:kern w:val="0"/>
                      <w:sz w:val="21"/>
                      <w:szCs w:val="21"/>
                    </w:rPr>
                  </w:pPr>
                  <w:r>
                    <w:rPr>
                      <w:rFonts w:hint="eastAsia"/>
                      <w:color w:val="00B050"/>
                      <w:kern w:val="0"/>
                      <w:sz w:val="21"/>
                      <w:szCs w:val="21"/>
                    </w:rPr>
                    <w:t>曲靖市马龙区鹏泉运输服务有限公司</w:t>
                  </w:r>
                </w:p>
              </w:tc>
              <w:tc>
                <w:tcPr>
                  <w:tcW w:w="4761" w:type="dxa"/>
                  <w:vAlign w:val="center"/>
                </w:tcPr>
                <w:p w14:paraId="73E6ADC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olor w:val="00B050"/>
                      <w:kern w:val="0"/>
                      <w:sz w:val="21"/>
                      <w:szCs w:val="21"/>
                    </w:rPr>
                  </w:pPr>
                  <w:r>
                    <w:rPr>
                      <w:rFonts w:hint="eastAsia"/>
                      <w:color w:val="00B050"/>
                      <w:kern w:val="0"/>
                      <w:sz w:val="21"/>
                      <w:szCs w:val="21"/>
                    </w:rPr>
                    <w:t>危险货物道路运输经营许可证号：滇交管许可</w:t>
                  </w:r>
                  <w:r>
                    <w:rPr>
                      <w:rFonts w:hint="eastAsia"/>
                      <w:color w:val="00B050"/>
                      <w:kern w:val="0"/>
                      <w:sz w:val="21"/>
                      <w:szCs w:val="21"/>
                      <w:lang w:val="en-US" w:eastAsia="zh-CN"/>
                    </w:rPr>
                    <w:t>曲靖</w:t>
                  </w:r>
                  <w:r>
                    <w:rPr>
                      <w:rFonts w:hint="eastAsia"/>
                      <w:color w:val="00B050"/>
                      <w:kern w:val="0"/>
                      <w:sz w:val="21"/>
                      <w:szCs w:val="21"/>
                    </w:rPr>
                    <w:t>字</w:t>
                  </w:r>
                  <w:r>
                    <w:rPr>
                      <w:rFonts w:hint="eastAsia"/>
                      <w:color w:val="00B050"/>
                      <w:kern w:val="0"/>
                      <w:sz w:val="21"/>
                      <w:szCs w:val="21"/>
                      <w:lang w:val="en-US" w:eastAsia="zh-CN"/>
                    </w:rPr>
                    <w:t>530300003969</w:t>
                  </w:r>
                  <w:r>
                    <w:rPr>
                      <w:rFonts w:hint="eastAsia"/>
                      <w:color w:val="00B050"/>
                      <w:kern w:val="0"/>
                      <w:sz w:val="21"/>
                      <w:szCs w:val="21"/>
                    </w:rPr>
                    <w:t>号；</w:t>
                  </w:r>
                </w:p>
                <w:p w14:paraId="2A83735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color w:val="00B050"/>
                      <w:kern w:val="0"/>
                      <w:sz w:val="21"/>
                      <w:szCs w:val="21"/>
                      <w:lang w:eastAsia="zh-CN"/>
                    </w:rPr>
                  </w:pPr>
                  <w:r>
                    <w:rPr>
                      <w:rFonts w:hint="eastAsia"/>
                      <w:color w:val="00B050"/>
                      <w:kern w:val="0"/>
                      <w:sz w:val="21"/>
                      <w:szCs w:val="21"/>
                    </w:rPr>
                    <w:t>经营范围：危险货物运输（3类），</w:t>
                  </w:r>
                  <w:r>
                    <w:rPr>
                      <w:rFonts w:hint="eastAsia"/>
                      <w:color w:val="00B050"/>
                      <w:kern w:val="0"/>
                      <w:sz w:val="21"/>
                      <w:szCs w:val="21"/>
                      <w:lang w:val="en-US" w:eastAsia="zh-CN"/>
                    </w:rPr>
                    <w:t>危险废物，</w:t>
                  </w:r>
                  <w:r>
                    <w:rPr>
                      <w:rFonts w:hint="eastAsia"/>
                      <w:color w:val="00B050"/>
                      <w:kern w:val="0"/>
                      <w:sz w:val="21"/>
                      <w:szCs w:val="21"/>
                    </w:rPr>
                    <w:t>危险货物运输（</w:t>
                  </w:r>
                  <w:r>
                    <w:rPr>
                      <w:rFonts w:hint="eastAsia"/>
                      <w:color w:val="00B050"/>
                      <w:kern w:val="0"/>
                      <w:sz w:val="21"/>
                      <w:szCs w:val="21"/>
                      <w:lang w:val="en-US" w:eastAsia="zh-CN"/>
                    </w:rPr>
                    <w:t>9</w:t>
                  </w:r>
                  <w:r>
                    <w:rPr>
                      <w:rFonts w:hint="eastAsia"/>
                      <w:color w:val="00B050"/>
                      <w:kern w:val="0"/>
                      <w:sz w:val="21"/>
                      <w:szCs w:val="21"/>
                    </w:rPr>
                    <w:t>类）</w:t>
                  </w:r>
                  <w:r>
                    <w:rPr>
                      <w:rFonts w:hint="eastAsia"/>
                      <w:color w:val="00B050"/>
                      <w:kern w:val="0"/>
                      <w:sz w:val="21"/>
                      <w:szCs w:val="21"/>
                      <w:lang w:eastAsia="zh-CN"/>
                    </w:rPr>
                    <w:t>。</w:t>
                  </w:r>
                </w:p>
              </w:tc>
              <w:tc>
                <w:tcPr>
                  <w:tcW w:w="1697" w:type="dxa"/>
                  <w:vAlign w:val="center"/>
                </w:tcPr>
                <w:p w14:paraId="4FFDD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B050"/>
                      <w:kern w:val="0"/>
                      <w:sz w:val="21"/>
                      <w:szCs w:val="21"/>
                      <w:lang w:val="en-US" w:eastAsia="zh-CN"/>
                    </w:rPr>
                  </w:pPr>
                  <w:r>
                    <w:rPr>
                      <w:rFonts w:hint="eastAsia"/>
                      <w:color w:val="00B050"/>
                      <w:kern w:val="0"/>
                      <w:sz w:val="21"/>
                      <w:szCs w:val="21"/>
                      <w:lang w:val="en-US" w:eastAsia="zh-CN"/>
                    </w:rPr>
                    <w:t>/</w:t>
                  </w:r>
                </w:p>
              </w:tc>
            </w:tr>
            <w:tr w14:paraId="1003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20" w:type="dxa"/>
                  <w:vAlign w:val="center"/>
                </w:tcPr>
                <w:p w14:paraId="70123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B050"/>
                      <w:kern w:val="0"/>
                      <w:sz w:val="21"/>
                      <w:szCs w:val="21"/>
                    </w:rPr>
                  </w:pPr>
                  <w:r>
                    <w:rPr>
                      <w:rFonts w:hint="eastAsia"/>
                      <w:color w:val="00B050"/>
                      <w:kern w:val="0"/>
                      <w:sz w:val="21"/>
                      <w:szCs w:val="21"/>
                      <w:lang w:val="en-US" w:eastAsia="zh-CN"/>
                    </w:rPr>
                    <w:t>危废</w:t>
                  </w:r>
                  <w:r>
                    <w:rPr>
                      <w:rFonts w:hint="eastAsia"/>
                      <w:color w:val="00B050"/>
                      <w:kern w:val="0"/>
                      <w:sz w:val="21"/>
                      <w:szCs w:val="21"/>
                    </w:rPr>
                    <w:t>处置单位</w:t>
                  </w:r>
                </w:p>
              </w:tc>
              <w:tc>
                <w:tcPr>
                  <w:tcW w:w="1061" w:type="dxa"/>
                  <w:vAlign w:val="center"/>
                </w:tcPr>
                <w:p w14:paraId="2C195B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B050"/>
                      <w:kern w:val="0"/>
                      <w:sz w:val="21"/>
                      <w:szCs w:val="21"/>
                      <w:highlight w:val="green"/>
                      <w:lang w:val="en-US" w:eastAsia="zh-CN"/>
                    </w:rPr>
                  </w:pPr>
                  <w:r>
                    <w:rPr>
                      <w:rFonts w:hint="eastAsia"/>
                      <w:color w:val="00B050"/>
                      <w:kern w:val="0"/>
                      <w:sz w:val="21"/>
                      <w:szCs w:val="21"/>
                      <w:highlight w:val="none"/>
                      <w:lang w:val="en-US" w:eastAsia="zh-CN"/>
                    </w:rPr>
                    <w:t>云南大地丰源环保有限公司</w:t>
                  </w:r>
                </w:p>
              </w:tc>
              <w:tc>
                <w:tcPr>
                  <w:tcW w:w="4761" w:type="dxa"/>
                  <w:vAlign w:val="center"/>
                </w:tcPr>
                <w:p w14:paraId="790D773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00B050"/>
                      <w:kern w:val="0"/>
                      <w:sz w:val="21"/>
                      <w:szCs w:val="21"/>
                    </w:rPr>
                  </w:pPr>
                  <w:r>
                    <w:rPr>
                      <w:rFonts w:hint="eastAsia"/>
                      <w:color w:val="00B050"/>
                      <w:kern w:val="0"/>
                      <w:sz w:val="21"/>
                      <w:szCs w:val="21"/>
                      <w:lang w:eastAsia="zh-CN"/>
                    </w:rPr>
                    <w:t>危险废物</w:t>
                  </w:r>
                  <w:r>
                    <w:rPr>
                      <w:rFonts w:hint="eastAsia"/>
                      <w:color w:val="00B050"/>
                      <w:kern w:val="0"/>
                      <w:sz w:val="21"/>
                      <w:szCs w:val="21"/>
                    </w:rPr>
                    <w:t>经营许可证：Y</w:t>
                  </w:r>
                  <w:r>
                    <w:rPr>
                      <w:rFonts w:hint="eastAsia"/>
                      <w:color w:val="00B050"/>
                      <w:kern w:val="0"/>
                      <w:sz w:val="21"/>
                      <w:szCs w:val="21"/>
                      <w:lang w:val="en-US" w:eastAsia="zh-CN"/>
                    </w:rPr>
                    <w:t>5301240116</w:t>
                  </w:r>
                  <w:r>
                    <w:rPr>
                      <w:rFonts w:hint="eastAsia"/>
                      <w:color w:val="00B050"/>
                      <w:kern w:val="0"/>
                      <w:sz w:val="21"/>
                      <w:szCs w:val="21"/>
                    </w:rPr>
                    <w:t>；</w:t>
                  </w:r>
                </w:p>
                <w:p w14:paraId="538900A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00B050"/>
                      <w:kern w:val="0"/>
                      <w:sz w:val="21"/>
                      <w:szCs w:val="21"/>
                    </w:rPr>
                  </w:pPr>
                  <w:r>
                    <w:rPr>
                      <w:rFonts w:hint="eastAsia"/>
                      <w:color w:val="00B050"/>
                      <w:kern w:val="0"/>
                      <w:sz w:val="21"/>
                      <w:szCs w:val="21"/>
                    </w:rPr>
                    <w:t>核准年经营规模</w:t>
                  </w:r>
                  <w:r>
                    <w:rPr>
                      <w:rFonts w:hint="eastAsia"/>
                      <w:color w:val="00B050"/>
                      <w:kern w:val="0"/>
                      <w:sz w:val="21"/>
                      <w:szCs w:val="21"/>
                      <w:lang w:eastAsia="zh-CN"/>
                    </w:rPr>
                    <w:t>：</w:t>
                  </w:r>
                  <w:r>
                    <w:rPr>
                      <w:rFonts w:hint="eastAsia"/>
                      <w:color w:val="00B050"/>
                      <w:kern w:val="0"/>
                      <w:sz w:val="21"/>
                      <w:szCs w:val="21"/>
                    </w:rPr>
                    <w:t>39000吨</w:t>
                  </w:r>
                </w:p>
                <w:p w14:paraId="1D122C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00B050"/>
                      <w:kern w:val="0"/>
                      <w:sz w:val="21"/>
                      <w:szCs w:val="21"/>
                      <w:lang w:eastAsia="zh-CN"/>
                    </w:rPr>
                  </w:pPr>
                  <w:r>
                    <w:rPr>
                      <w:rFonts w:hint="eastAsia"/>
                      <w:color w:val="00B050"/>
                      <w:kern w:val="0"/>
                      <w:sz w:val="21"/>
                      <w:szCs w:val="21"/>
                    </w:rPr>
                    <w:t>核准经营危险废物类别</w:t>
                  </w:r>
                  <w:r>
                    <w:rPr>
                      <w:rFonts w:hint="eastAsia"/>
                      <w:color w:val="00B050"/>
                      <w:kern w:val="0"/>
                      <w:sz w:val="21"/>
                      <w:szCs w:val="21"/>
                      <w:lang w:eastAsia="zh-CN"/>
                    </w:rPr>
                    <w:t>：</w:t>
                  </w:r>
                </w:p>
                <w:p w14:paraId="264D25C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00B050"/>
                      <w:kern w:val="0"/>
                      <w:sz w:val="21"/>
                      <w:szCs w:val="21"/>
                      <w:highlight w:val="green"/>
                      <w:lang w:eastAsia="zh-CN"/>
                    </w:rPr>
                  </w:pPr>
                  <w:r>
                    <w:rPr>
                      <w:rFonts w:hint="eastAsia"/>
                      <w:color w:val="00B050"/>
                      <w:kern w:val="0"/>
                      <w:sz w:val="21"/>
                      <w:szCs w:val="21"/>
                    </w:rPr>
                    <w:t>HW01、HW</w:t>
                  </w:r>
                  <w:r>
                    <w:rPr>
                      <w:rFonts w:hint="eastAsia"/>
                      <w:color w:val="00B050"/>
                      <w:kern w:val="0"/>
                      <w:sz w:val="21"/>
                      <w:szCs w:val="21"/>
                      <w:lang w:val="en-US" w:eastAsia="zh-CN"/>
                    </w:rPr>
                    <w:t>0</w:t>
                  </w:r>
                  <w:r>
                    <w:rPr>
                      <w:rFonts w:hint="eastAsia"/>
                      <w:color w:val="00B050"/>
                      <w:kern w:val="0"/>
                      <w:sz w:val="21"/>
                      <w:szCs w:val="21"/>
                    </w:rPr>
                    <w:t>2、HW</w:t>
                  </w:r>
                  <w:r>
                    <w:rPr>
                      <w:rFonts w:hint="eastAsia"/>
                      <w:color w:val="00B050"/>
                      <w:kern w:val="0"/>
                      <w:sz w:val="21"/>
                      <w:szCs w:val="21"/>
                      <w:lang w:val="en-US" w:eastAsia="zh-CN"/>
                    </w:rPr>
                    <w:t>0</w:t>
                  </w:r>
                  <w:r>
                    <w:rPr>
                      <w:rFonts w:hint="eastAsia"/>
                      <w:color w:val="00B050"/>
                      <w:kern w:val="0"/>
                      <w:sz w:val="21"/>
                      <w:szCs w:val="21"/>
                    </w:rPr>
                    <w:t>3、HW04、HW</w:t>
                  </w:r>
                  <w:r>
                    <w:rPr>
                      <w:rFonts w:hint="eastAsia"/>
                      <w:color w:val="00B050"/>
                      <w:kern w:val="0"/>
                      <w:sz w:val="21"/>
                      <w:szCs w:val="21"/>
                      <w:lang w:val="en-US" w:eastAsia="zh-CN"/>
                    </w:rPr>
                    <w:t>05</w:t>
                  </w:r>
                  <w:r>
                    <w:rPr>
                      <w:rFonts w:hint="eastAsia"/>
                      <w:color w:val="00B050"/>
                      <w:kern w:val="0"/>
                      <w:sz w:val="21"/>
                      <w:szCs w:val="21"/>
                    </w:rPr>
                    <w:t>、HW</w:t>
                  </w:r>
                  <w:r>
                    <w:rPr>
                      <w:rFonts w:hint="eastAsia"/>
                      <w:color w:val="00B050"/>
                      <w:kern w:val="0"/>
                      <w:sz w:val="21"/>
                      <w:szCs w:val="21"/>
                      <w:lang w:val="en-US" w:eastAsia="zh-CN"/>
                    </w:rPr>
                    <w:t>0</w:t>
                  </w:r>
                  <w:r>
                    <w:rPr>
                      <w:rFonts w:hint="eastAsia"/>
                      <w:color w:val="00B050"/>
                      <w:kern w:val="0"/>
                      <w:sz w:val="21"/>
                      <w:szCs w:val="21"/>
                    </w:rPr>
                    <w:t>6</w:t>
                  </w:r>
                  <w:r>
                    <w:rPr>
                      <w:rFonts w:hint="eastAsia"/>
                      <w:color w:val="00B050"/>
                      <w:kern w:val="0"/>
                      <w:sz w:val="21"/>
                      <w:szCs w:val="21"/>
                      <w:lang w:eastAsia="zh-CN"/>
                    </w:rPr>
                    <w:t>、</w:t>
                  </w:r>
                  <w:r>
                    <w:rPr>
                      <w:rFonts w:hint="eastAsia"/>
                      <w:color w:val="00B050"/>
                      <w:kern w:val="0"/>
                      <w:sz w:val="21"/>
                      <w:szCs w:val="21"/>
                    </w:rPr>
                    <w:t>HW</w:t>
                  </w:r>
                  <w:r>
                    <w:rPr>
                      <w:rFonts w:hint="eastAsia"/>
                      <w:color w:val="00B050"/>
                      <w:kern w:val="0"/>
                      <w:sz w:val="21"/>
                      <w:szCs w:val="21"/>
                      <w:lang w:val="en-US" w:eastAsia="zh-CN"/>
                    </w:rPr>
                    <w:t>0</w:t>
                  </w:r>
                  <w:r>
                    <w:rPr>
                      <w:rFonts w:hint="eastAsia"/>
                      <w:color w:val="00B050"/>
                      <w:kern w:val="0"/>
                      <w:sz w:val="21"/>
                      <w:szCs w:val="21"/>
                    </w:rPr>
                    <w:t>7、HW</w:t>
                  </w:r>
                  <w:r>
                    <w:rPr>
                      <w:rFonts w:hint="eastAsia"/>
                      <w:color w:val="00B050"/>
                      <w:kern w:val="0"/>
                      <w:sz w:val="21"/>
                      <w:szCs w:val="21"/>
                      <w:lang w:val="en-US" w:eastAsia="zh-CN"/>
                    </w:rPr>
                    <w:t>0</w:t>
                  </w:r>
                  <w:r>
                    <w:rPr>
                      <w:rFonts w:hint="eastAsia"/>
                      <w:color w:val="00B050"/>
                      <w:kern w:val="0"/>
                      <w:sz w:val="21"/>
                      <w:szCs w:val="21"/>
                    </w:rPr>
                    <w:t>8、HW</w:t>
                  </w:r>
                  <w:r>
                    <w:rPr>
                      <w:rFonts w:hint="eastAsia"/>
                      <w:color w:val="00B050"/>
                      <w:kern w:val="0"/>
                      <w:sz w:val="21"/>
                      <w:szCs w:val="21"/>
                      <w:lang w:val="en-US" w:eastAsia="zh-CN"/>
                    </w:rPr>
                    <w:t>0</w:t>
                  </w:r>
                  <w:r>
                    <w:rPr>
                      <w:rFonts w:hint="eastAsia"/>
                      <w:color w:val="00B050"/>
                      <w:kern w:val="0"/>
                      <w:sz w:val="21"/>
                      <w:szCs w:val="21"/>
                    </w:rPr>
                    <w:t>9、HW11、HW12、HW13、HW16、HW17、HW18、HW19、HW21、HW22、HW23、HW24、HW26、HW29、HW3I、HW32、HW33、HW34、HW35</w:t>
                  </w:r>
                  <w:r>
                    <w:rPr>
                      <w:rFonts w:hint="eastAsia"/>
                      <w:color w:val="00B050"/>
                      <w:kern w:val="0"/>
                      <w:sz w:val="21"/>
                      <w:szCs w:val="21"/>
                      <w:lang w:eastAsia="zh-CN"/>
                    </w:rPr>
                    <w:t>、</w:t>
                  </w:r>
                  <w:r>
                    <w:rPr>
                      <w:rFonts w:hint="eastAsia"/>
                      <w:color w:val="00B050"/>
                      <w:kern w:val="0"/>
                      <w:sz w:val="21"/>
                      <w:szCs w:val="21"/>
                    </w:rPr>
                    <w:t>HW36、HW37、HW38、HW39、HW40、HW45、HW46</w:t>
                  </w:r>
                  <w:r>
                    <w:rPr>
                      <w:rFonts w:hint="eastAsia"/>
                      <w:color w:val="00B050"/>
                      <w:kern w:val="0"/>
                      <w:sz w:val="21"/>
                      <w:szCs w:val="21"/>
                      <w:lang w:eastAsia="zh-CN"/>
                    </w:rPr>
                    <w:t>、</w:t>
                  </w:r>
                  <w:r>
                    <w:rPr>
                      <w:rFonts w:hint="eastAsia"/>
                      <w:color w:val="00B050"/>
                      <w:kern w:val="0"/>
                      <w:sz w:val="21"/>
                      <w:szCs w:val="21"/>
                    </w:rPr>
                    <w:t>HW47、HW48、HW49、HW50，共38个类别，406个代码</w:t>
                  </w:r>
                  <w:r>
                    <w:rPr>
                      <w:rFonts w:hint="eastAsia"/>
                      <w:color w:val="00B050"/>
                      <w:kern w:val="0"/>
                      <w:sz w:val="21"/>
                      <w:szCs w:val="21"/>
                      <w:lang w:eastAsia="zh-CN"/>
                    </w:rPr>
                    <w:t>；</w:t>
                  </w:r>
                  <w:r>
                    <w:rPr>
                      <w:rFonts w:hint="eastAsia"/>
                      <w:color w:val="00B050"/>
                      <w:kern w:val="0"/>
                      <w:sz w:val="21"/>
                      <w:szCs w:val="21"/>
                    </w:rPr>
                    <w:t>总规模39000吨/年，其中焚烧处置9000t/a、物化处置10000t/a、稳定化固化处置10000t/</w:t>
                  </w:r>
                  <w:r>
                    <w:rPr>
                      <w:rFonts w:hint="eastAsia"/>
                      <w:color w:val="00B050"/>
                      <w:kern w:val="0"/>
                      <w:sz w:val="21"/>
                      <w:szCs w:val="21"/>
                      <w:lang w:val="en-US" w:eastAsia="zh-CN"/>
                    </w:rPr>
                    <w:t>a</w:t>
                  </w:r>
                  <w:r>
                    <w:rPr>
                      <w:rFonts w:hint="eastAsia"/>
                      <w:color w:val="00B050"/>
                      <w:kern w:val="0"/>
                      <w:sz w:val="21"/>
                      <w:szCs w:val="21"/>
                    </w:rPr>
                    <w:t>、综合利用10000t/a</w:t>
                  </w:r>
                  <w:r>
                    <w:rPr>
                      <w:rFonts w:hint="eastAsia"/>
                      <w:color w:val="00B050"/>
                      <w:kern w:val="0"/>
                      <w:sz w:val="21"/>
                      <w:szCs w:val="21"/>
                      <w:lang w:eastAsia="zh-CN"/>
                    </w:rPr>
                    <w:t>（</w:t>
                  </w:r>
                  <w:r>
                    <w:rPr>
                      <w:rFonts w:hint="eastAsia"/>
                      <w:color w:val="00B050"/>
                      <w:kern w:val="0"/>
                      <w:sz w:val="21"/>
                      <w:szCs w:val="21"/>
                    </w:rPr>
                    <w:t>废弃</w:t>
                  </w:r>
                  <w:r>
                    <w:rPr>
                      <w:rFonts w:hint="eastAsia"/>
                      <w:color w:val="00B050"/>
                      <w:kern w:val="0"/>
                      <w:sz w:val="21"/>
                      <w:szCs w:val="21"/>
                      <w:lang w:eastAsia="zh-CN"/>
                    </w:rPr>
                    <w:t>污染</w:t>
                  </w:r>
                  <w:r>
                    <w:rPr>
                      <w:rFonts w:hint="eastAsia"/>
                      <w:color w:val="00B050"/>
                      <w:kern w:val="0"/>
                      <w:sz w:val="21"/>
                      <w:szCs w:val="21"/>
                    </w:rPr>
                    <w:t>物清洗回收利用900-249-08和900-041-49</w:t>
                  </w:r>
                  <w:r>
                    <w:rPr>
                      <w:rFonts w:hint="eastAsia"/>
                      <w:color w:val="00B050"/>
                      <w:kern w:val="0"/>
                      <w:sz w:val="21"/>
                      <w:szCs w:val="21"/>
                      <w:lang w:eastAsia="zh-CN"/>
                    </w:rPr>
                    <w:t>）</w:t>
                  </w:r>
                </w:p>
              </w:tc>
              <w:tc>
                <w:tcPr>
                  <w:tcW w:w="1697" w:type="dxa"/>
                  <w:vAlign w:val="center"/>
                </w:tcPr>
                <w:p w14:paraId="52C665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宋体"/>
                      <w:color w:val="00B050"/>
                      <w:kern w:val="0"/>
                      <w:sz w:val="21"/>
                      <w:szCs w:val="21"/>
                      <w:lang w:val="en-US" w:eastAsia="zh-CN"/>
                    </w:rPr>
                  </w:pPr>
                  <w:r>
                    <w:rPr>
                      <w:rFonts w:hint="eastAsia"/>
                      <w:color w:val="FF0000"/>
                      <w:kern w:val="0"/>
                      <w:sz w:val="21"/>
                      <w:szCs w:val="21"/>
                      <w:highlight w:val="none"/>
                      <w:lang w:val="en-US" w:eastAsia="zh-CN"/>
                    </w:rPr>
                    <w:t>云南大地丰源环保有限公司已建设危险废物处置规模为39000吨，现阶段接收处理量约为：19000t/a；剩余接收处理量为20000t/a，</w:t>
                  </w:r>
                  <w:r>
                    <w:rPr>
                      <w:rFonts w:hint="eastAsia"/>
                      <w:color w:val="FF0000"/>
                      <w:sz w:val="21"/>
                      <w:szCs w:val="21"/>
                      <w:lang w:val="en-US" w:eastAsia="zh-CN"/>
                    </w:rPr>
                    <w:t>废矿物油、废铅蓄电池、废镉镍电池可处置量均可满足本项目收集量</w:t>
                  </w:r>
                  <w:r>
                    <w:rPr>
                      <w:rFonts w:hint="eastAsia"/>
                      <w:color w:val="FF0000"/>
                      <w:kern w:val="0"/>
                      <w:sz w:val="21"/>
                      <w:szCs w:val="21"/>
                      <w:highlight w:val="none"/>
                      <w:lang w:val="en-US" w:eastAsia="zh-CN"/>
                    </w:rPr>
                    <w:t>。</w:t>
                  </w:r>
                </w:p>
              </w:tc>
            </w:tr>
          </w:tbl>
          <w:p w14:paraId="0EC22661">
            <w:pPr>
              <w:pStyle w:val="84"/>
              <w:keepNext w:val="0"/>
              <w:keepLines w:val="0"/>
              <w:pageBreakBefore w:val="0"/>
              <w:widowControl w:val="0"/>
              <w:tabs>
                <w:tab w:val="left" w:pos="3480"/>
              </w:tabs>
              <w:kinsoku/>
              <w:wordWrap/>
              <w:overflowPunct/>
              <w:topLinePunct w:val="0"/>
              <w:autoSpaceDE/>
              <w:autoSpaceDN/>
              <w:bidi w:val="0"/>
              <w:adjustRightInd/>
              <w:snapToGrid/>
              <w:spacing w:before="157" w:beforeLines="50" w:line="360" w:lineRule="auto"/>
              <w:ind w:firstLine="480"/>
              <w:textAlignment w:val="auto"/>
              <w:rPr>
                <w:color w:val="00B050"/>
                <w:kern w:val="0"/>
                <w:sz w:val="24"/>
                <w:szCs w:val="24"/>
              </w:rPr>
            </w:pPr>
            <w:r>
              <w:rPr>
                <w:rFonts w:hint="eastAsia"/>
                <w:color w:val="00B050"/>
                <w:kern w:val="0"/>
                <w:sz w:val="24"/>
                <w:szCs w:val="24"/>
                <w:lang w:val="en-US" w:eastAsia="zh-CN"/>
              </w:rPr>
              <w:t>项目危险废物运输依托周边等级公路，运输路线</w:t>
            </w:r>
            <w:r>
              <w:rPr>
                <w:rFonts w:hint="eastAsia"/>
                <w:color w:val="00B050"/>
                <w:kern w:val="0"/>
                <w:sz w:val="24"/>
                <w:szCs w:val="24"/>
              </w:rPr>
              <w:t>情况见表</w:t>
            </w:r>
            <w:r>
              <w:rPr>
                <w:rFonts w:hint="eastAsia"/>
                <w:color w:val="00B050"/>
                <w:kern w:val="0"/>
                <w:sz w:val="24"/>
                <w:szCs w:val="24"/>
                <w:lang w:val="en-US" w:eastAsia="zh-CN"/>
              </w:rPr>
              <w:t>2.1-8所示</w:t>
            </w:r>
            <w:r>
              <w:rPr>
                <w:rFonts w:hint="eastAsia"/>
                <w:color w:val="00B050"/>
                <w:kern w:val="0"/>
                <w:sz w:val="24"/>
                <w:szCs w:val="24"/>
              </w:rPr>
              <w:t>。</w:t>
            </w:r>
          </w:p>
          <w:p w14:paraId="632E0D6B">
            <w:pPr>
              <w:pStyle w:val="85"/>
              <w:keepNext w:val="0"/>
              <w:keepLines w:val="0"/>
              <w:pageBreakBefore w:val="0"/>
              <w:widowControl w:val="0"/>
              <w:numPr>
                <w:ilvl w:val="0"/>
                <w:numId w:val="0"/>
              </w:numPr>
              <w:kinsoku/>
              <w:wordWrap/>
              <w:overflowPunct/>
              <w:topLinePunct w:val="0"/>
              <w:autoSpaceDE/>
              <w:autoSpaceDN/>
              <w:bidi w:val="0"/>
              <w:adjustRightInd/>
              <w:snapToGrid/>
              <w:spacing w:beforeLines="0"/>
              <w:ind w:left="0" w:leftChars="0"/>
              <w:textAlignment w:val="auto"/>
              <w:rPr>
                <w:rFonts w:hint="default" w:ascii="Times New Roman" w:hAnsi="Times New Roman" w:eastAsia="宋体" w:cs="Times New Roman"/>
                <w:b/>
                <w:bCs/>
                <w:color w:val="00B050"/>
                <w:sz w:val="21"/>
                <w:szCs w:val="21"/>
                <w:lang w:val="en-US" w:eastAsia="zh-CN"/>
              </w:rPr>
            </w:pPr>
            <w:r>
              <w:rPr>
                <w:rFonts w:hint="default" w:ascii="Times New Roman" w:hAnsi="Times New Roman" w:eastAsia="宋体" w:cs="Times New Roman"/>
                <w:b/>
                <w:bCs/>
                <w:color w:val="00B050"/>
                <w:sz w:val="21"/>
                <w:szCs w:val="21"/>
                <w:lang w:val="en-US" w:eastAsia="zh-CN"/>
              </w:rPr>
              <w:t>表2</w:t>
            </w:r>
            <w:r>
              <w:rPr>
                <w:rFonts w:hint="eastAsia" w:ascii="Times New Roman" w:hAnsi="Times New Roman" w:eastAsia="宋体" w:cs="Times New Roman"/>
                <w:b/>
                <w:bCs/>
                <w:color w:val="00B050"/>
                <w:sz w:val="21"/>
                <w:szCs w:val="21"/>
                <w:lang w:val="en-US" w:eastAsia="zh-CN"/>
              </w:rPr>
              <w:t>.1</w:t>
            </w:r>
            <w:r>
              <w:rPr>
                <w:rFonts w:hint="default" w:ascii="Times New Roman" w:hAnsi="Times New Roman" w:eastAsia="宋体" w:cs="Times New Roman"/>
                <w:b/>
                <w:bCs/>
                <w:color w:val="00B050"/>
                <w:sz w:val="21"/>
                <w:szCs w:val="21"/>
                <w:lang w:val="en-US" w:eastAsia="zh-CN"/>
              </w:rPr>
              <w:t>-</w:t>
            </w:r>
            <w:r>
              <w:rPr>
                <w:rFonts w:hint="eastAsia" w:cs="Times New Roman"/>
                <w:b/>
                <w:bCs/>
                <w:color w:val="00B050"/>
                <w:sz w:val="21"/>
                <w:szCs w:val="21"/>
                <w:lang w:val="en-US" w:eastAsia="zh-CN"/>
              </w:rPr>
              <w:t>8</w:t>
            </w:r>
            <w:r>
              <w:rPr>
                <w:rFonts w:hint="default" w:ascii="Times New Roman" w:hAnsi="Times New Roman" w:eastAsia="宋体" w:cs="Times New Roman"/>
                <w:b/>
                <w:bCs/>
                <w:color w:val="00B050"/>
                <w:sz w:val="21"/>
                <w:szCs w:val="21"/>
                <w:lang w:val="en-US" w:eastAsia="zh-CN"/>
              </w:rPr>
              <w:t xml:space="preserve">  </w:t>
            </w:r>
            <w:r>
              <w:rPr>
                <w:rFonts w:hint="default" w:ascii="Times New Roman" w:hAnsi="Times New Roman" w:eastAsia="宋体" w:cs="Times New Roman"/>
                <w:b/>
                <w:bCs/>
                <w:color w:val="00B050"/>
                <w:sz w:val="21"/>
                <w:szCs w:val="21"/>
              </w:rPr>
              <w:t>运输</w:t>
            </w:r>
            <w:r>
              <w:rPr>
                <w:rFonts w:hint="default" w:ascii="Times New Roman" w:hAnsi="Times New Roman" w:eastAsia="宋体" w:cs="Times New Roman"/>
                <w:b/>
                <w:bCs/>
                <w:color w:val="00B050"/>
                <w:sz w:val="21"/>
                <w:szCs w:val="21"/>
                <w:lang w:val="en-US" w:eastAsia="zh-CN"/>
              </w:rPr>
              <w:t>线路一览表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6944"/>
            </w:tblGrid>
            <w:tr w14:paraId="2B99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0" w:type="dxa"/>
                  <w:vAlign w:val="center"/>
                </w:tcPr>
                <w:p w14:paraId="183DE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B050"/>
                      <w:kern w:val="0"/>
                      <w:sz w:val="21"/>
                      <w:szCs w:val="21"/>
                    </w:rPr>
                  </w:pPr>
                  <w:r>
                    <w:rPr>
                      <w:rFonts w:hint="eastAsia"/>
                      <w:b/>
                      <w:bCs/>
                      <w:color w:val="00B050"/>
                      <w:kern w:val="0"/>
                      <w:sz w:val="21"/>
                      <w:szCs w:val="21"/>
                    </w:rPr>
                    <w:t>类别</w:t>
                  </w:r>
                </w:p>
              </w:tc>
              <w:tc>
                <w:tcPr>
                  <w:tcW w:w="6944" w:type="dxa"/>
                  <w:vAlign w:val="center"/>
                </w:tcPr>
                <w:p w14:paraId="0EF60D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B050"/>
                      <w:kern w:val="0"/>
                      <w:sz w:val="21"/>
                      <w:szCs w:val="21"/>
                    </w:rPr>
                  </w:pPr>
                  <w:r>
                    <w:rPr>
                      <w:rFonts w:hint="eastAsia"/>
                      <w:b/>
                      <w:bCs/>
                      <w:color w:val="00B050"/>
                      <w:kern w:val="0"/>
                      <w:sz w:val="21"/>
                      <w:szCs w:val="21"/>
                      <w:lang w:val="en-US" w:eastAsia="zh-CN"/>
                    </w:rPr>
                    <w:t>路线基本</w:t>
                  </w:r>
                  <w:r>
                    <w:rPr>
                      <w:rFonts w:hint="eastAsia"/>
                      <w:b/>
                      <w:bCs/>
                      <w:color w:val="00B050"/>
                      <w:kern w:val="0"/>
                      <w:sz w:val="21"/>
                      <w:szCs w:val="21"/>
                    </w:rPr>
                    <w:t>情况</w:t>
                  </w:r>
                </w:p>
              </w:tc>
            </w:tr>
            <w:tr w14:paraId="5646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290" w:type="dxa"/>
                  <w:vAlign w:val="center"/>
                </w:tcPr>
                <w:p w14:paraId="6C8D8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B050"/>
                      <w:kern w:val="0"/>
                      <w:sz w:val="21"/>
                      <w:szCs w:val="21"/>
                      <w:lang w:val="en-US" w:eastAsia="zh-CN"/>
                    </w:rPr>
                  </w:pPr>
                  <w:r>
                    <w:rPr>
                      <w:rFonts w:hint="eastAsia"/>
                      <w:color w:val="00B050"/>
                      <w:kern w:val="0"/>
                      <w:sz w:val="21"/>
                      <w:szCs w:val="21"/>
                      <w:lang w:val="en-US" w:eastAsia="zh-CN"/>
                    </w:rPr>
                    <w:t>产废单位至项目区</w:t>
                  </w:r>
                </w:p>
              </w:tc>
              <w:tc>
                <w:tcPr>
                  <w:tcW w:w="6944" w:type="dxa"/>
                  <w:vAlign w:val="center"/>
                </w:tcPr>
                <w:p w14:paraId="661944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00B050"/>
                      <w:kern w:val="0"/>
                      <w:sz w:val="21"/>
                      <w:szCs w:val="21"/>
                      <w:lang w:val="en-US" w:eastAsia="zh-CN"/>
                    </w:rPr>
                  </w:pPr>
                  <w:r>
                    <w:rPr>
                      <w:rFonts w:hint="eastAsia"/>
                      <w:color w:val="00B050"/>
                      <w:kern w:val="0"/>
                      <w:sz w:val="21"/>
                      <w:szCs w:val="21"/>
                      <w:lang w:val="en-US" w:eastAsia="zh-CN"/>
                    </w:rPr>
                    <w:t>主要道路：杭瑞高速、沪昆高速、曲靖绕城高速</w:t>
                  </w:r>
                </w:p>
                <w:p w14:paraId="0A945F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00B050"/>
                      <w:lang w:val="en-US" w:eastAsia="zh-CN"/>
                    </w:rPr>
                  </w:pPr>
                  <w:r>
                    <w:rPr>
                      <w:rFonts w:hint="eastAsia" w:ascii="Times New Roman" w:hAnsi="Times New Roman" w:eastAsia="宋体" w:cs="Times New Roman"/>
                      <w:color w:val="00B050"/>
                      <w:kern w:val="0"/>
                      <w:sz w:val="21"/>
                      <w:szCs w:val="21"/>
                      <w:lang w:val="en-US" w:eastAsia="zh-CN" w:bidi="ar-SA"/>
                    </w:rPr>
                    <w:t>次级道路：曲靖市城区各主干道</w:t>
                  </w:r>
                </w:p>
              </w:tc>
            </w:tr>
            <w:tr w14:paraId="3376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dxa"/>
                  <w:vAlign w:val="center"/>
                </w:tcPr>
                <w:p w14:paraId="239F0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B050"/>
                      <w:kern w:val="0"/>
                      <w:sz w:val="21"/>
                      <w:szCs w:val="21"/>
                      <w:highlight w:val="none"/>
                      <w:lang w:val="en-US" w:eastAsia="zh-CN"/>
                    </w:rPr>
                  </w:pPr>
                  <w:r>
                    <w:rPr>
                      <w:rFonts w:hint="eastAsia"/>
                      <w:color w:val="00B050"/>
                      <w:kern w:val="0"/>
                      <w:sz w:val="21"/>
                      <w:szCs w:val="21"/>
                      <w:highlight w:val="none"/>
                      <w:lang w:val="en-US" w:eastAsia="zh-CN"/>
                    </w:rPr>
                    <w:t>项目区至处置单位</w:t>
                  </w:r>
                </w:p>
              </w:tc>
              <w:tc>
                <w:tcPr>
                  <w:tcW w:w="6944" w:type="dxa"/>
                  <w:vAlign w:val="center"/>
                </w:tcPr>
                <w:p w14:paraId="37AB529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B050"/>
                      <w:kern w:val="0"/>
                      <w:sz w:val="21"/>
                      <w:szCs w:val="21"/>
                      <w:highlight w:val="none"/>
                    </w:rPr>
                  </w:pPr>
                  <w:r>
                    <w:rPr>
                      <w:rFonts w:hint="eastAsia"/>
                      <w:color w:val="00B050"/>
                      <w:kern w:val="0"/>
                      <w:sz w:val="21"/>
                      <w:szCs w:val="21"/>
                      <w:highlight w:val="none"/>
                      <w:lang w:val="en-US" w:eastAsia="zh-CN"/>
                    </w:rPr>
                    <w:t>至</w:t>
                  </w:r>
                  <w:r>
                    <w:rPr>
                      <w:rFonts w:hint="eastAsia"/>
                      <w:color w:val="00B050"/>
                      <w:kern w:val="0"/>
                      <w:sz w:val="21"/>
                      <w:szCs w:val="21"/>
                      <w:highlight w:val="none"/>
                    </w:rPr>
                    <w:t>云南大地丰源环保有限公司</w:t>
                  </w:r>
                  <w:r>
                    <w:rPr>
                      <w:rFonts w:hint="eastAsia"/>
                      <w:color w:val="00B050"/>
                      <w:kern w:val="0"/>
                      <w:sz w:val="21"/>
                      <w:szCs w:val="21"/>
                      <w:highlight w:val="none"/>
                      <w:lang w:eastAsia="zh-CN"/>
                    </w:rPr>
                    <w:t>：</w:t>
                  </w:r>
                  <w:r>
                    <w:rPr>
                      <w:rFonts w:hint="eastAsia"/>
                      <w:color w:val="00B050"/>
                      <w:kern w:val="0"/>
                      <w:sz w:val="21"/>
                      <w:szCs w:val="21"/>
                      <w:highlight w:val="none"/>
                      <w:lang w:val="en-US" w:eastAsia="zh-CN"/>
                    </w:rPr>
                    <w:t>三江大道→沪昆高速→杭瑞高速→</w:t>
                  </w:r>
                  <w:r>
                    <w:rPr>
                      <w:rFonts w:hint="eastAsia"/>
                      <w:color w:val="00B050"/>
                      <w:kern w:val="0"/>
                      <w:sz w:val="21"/>
                      <w:szCs w:val="21"/>
                      <w:highlight w:val="none"/>
                    </w:rPr>
                    <w:t>云南大地丰源环保有限公司</w:t>
                  </w:r>
                </w:p>
              </w:tc>
            </w:tr>
          </w:tbl>
          <w:p w14:paraId="5BF8FE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cs="Times New Roman"/>
                <w:b/>
                <w:color w:val="00B050"/>
                <w:kern w:val="0"/>
                <w:sz w:val="24"/>
                <w:szCs w:val="24"/>
                <w:lang w:val="en-US" w:eastAsia="zh-CN"/>
              </w:rPr>
            </w:pPr>
            <w:r>
              <w:rPr>
                <w:rFonts w:hint="eastAsia" w:cs="Times New Roman"/>
                <w:b/>
                <w:color w:val="00B050"/>
                <w:kern w:val="0"/>
                <w:sz w:val="24"/>
                <w:szCs w:val="24"/>
                <w:lang w:val="en-US" w:eastAsia="zh-CN"/>
              </w:rPr>
              <w:t>2.1.7贮存设施合理性分析</w:t>
            </w:r>
          </w:p>
          <w:p w14:paraId="59EE561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B050"/>
                <w:sz w:val="24"/>
                <w:lang w:val="en-US" w:eastAsia="zh-CN"/>
              </w:rPr>
            </w:pPr>
            <w:r>
              <w:rPr>
                <w:rFonts w:hint="eastAsia" w:cs="Times New Roman"/>
                <w:b/>
                <w:bCs/>
                <w:color w:val="00B050"/>
                <w:sz w:val="24"/>
                <w:lang w:val="en-US" w:eastAsia="zh-CN"/>
              </w:rPr>
              <w:t>（1）废矿物油贮存设施合理性分析</w:t>
            </w:r>
          </w:p>
          <w:p w14:paraId="01C006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B050"/>
                <w:sz w:val="24"/>
                <w:vertAlign w:val="baseline"/>
                <w:lang w:val="en-US" w:eastAsia="zh-CN"/>
              </w:rPr>
            </w:pPr>
            <w:r>
              <w:rPr>
                <w:rFonts w:hint="default" w:ascii="Times New Roman" w:hAnsi="Times New Roman" w:cs="Times New Roman"/>
                <w:color w:val="00B050"/>
                <w:sz w:val="24"/>
                <w:lang w:val="en-US" w:eastAsia="zh-CN"/>
              </w:rPr>
              <w:t>项目收集的废矿物油采用储罐贮存，共设计5座储罐，其中备用、应急罐共建设1座，环评要求备用、应急罐日常保持空置，则项目日常运行中实际在线储罐数量为4座。储罐单罐规格为φ1.8m×4m，单个储罐容积10m</w:t>
            </w:r>
            <w:r>
              <w:rPr>
                <w:rFonts w:hint="default" w:ascii="Times New Roman" w:hAnsi="Times New Roman" w:cs="Times New Roman"/>
                <w:color w:val="00B050"/>
                <w:sz w:val="24"/>
                <w:vertAlign w:val="superscript"/>
                <w:lang w:val="en-US" w:eastAsia="zh-CN"/>
              </w:rPr>
              <w:t>3</w:t>
            </w:r>
            <w:r>
              <w:rPr>
                <w:rFonts w:hint="default" w:ascii="Times New Roman" w:hAnsi="Times New Roman" w:cs="Times New Roman"/>
                <w:color w:val="00B050"/>
                <w:sz w:val="24"/>
                <w:vertAlign w:val="baseline"/>
                <w:lang w:val="en-US" w:eastAsia="zh-CN"/>
              </w:rPr>
              <w:t>，有效容积8m</w:t>
            </w:r>
            <w:r>
              <w:rPr>
                <w:rFonts w:hint="default" w:ascii="Times New Roman" w:hAnsi="Times New Roman" w:cs="Times New Roman"/>
                <w:color w:val="00B050"/>
                <w:sz w:val="24"/>
                <w:vertAlign w:val="superscript"/>
                <w:lang w:val="en-US" w:eastAsia="zh-CN"/>
              </w:rPr>
              <w:t>3</w:t>
            </w:r>
            <w:r>
              <w:rPr>
                <w:rFonts w:hint="default" w:ascii="Times New Roman" w:hAnsi="Times New Roman" w:cs="Times New Roman"/>
                <w:color w:val="00B050"/>
                <w:sz w:val="24"/>
                <w:vertAlign w:val="baseline"/>
                <w:lang w:val="en-US" w:eastAsia="zh-CN"/>
              </w:rPr>
              <w:t>。4座废矿物油储罐容积合计40m</w:t>
            </w:r>
            <w:r>
              <w:rPr>
                <w:rFonts w:hint="default" w:ascii="Times New Roman" w:hAnsi="Times New Roman" w:cs="Times New Roman"/>
                <w:color w:val="00B050"/>
                <w:sz w:val="24"/>
                <w:vertAlign w:val="superscript"/>
                <w:lang w:val="en-US" w:eastAsia="zh-CN"/>
              </w:rPr>
              <w:t>3</w:t>
            </w:r>
            <w:r>
              <w:rPr>
                <w:rFonts w:hint="default" w:ascii="Times New Roman" w:hAnsi="Times New Roman" w:cs="Times New Roman"/>
                <w:color w:val="00B050"/>
                <w:sz w:val="24"/>
                <w:vertAlign w:val="baseline"/>
                <w:lang w:val="en-US" w:eastAsia="zh-CN"/>
              </w:rPr>
              <w:t>，废矿物油平均密度按0.86g/cm</w:t>
            </w:r>
            <w:r>
              <w:rPr>
                <w:rFonts w:hint="default" w:ascii="Times New Roman" w:hAnsi="Times New Roman" w:cs="Times New Roman"/>
                <w:color w:val="00B050"/>
                <w:sz w:val="24"/>
                <w:vertAlign w:val="superscript"/>
                <w:lang w:val="en-US" w:eastAsia="zh-CN"/>
              </w:rPr>
              <w:t>3</w:t>
            </w:r>
            <w:r>
              <w:rPr>
                <w:rFonts w:hint="default" w:ascii="Times New Roman" w:hAnsi="Times New Roman" w:cs="Times New Roman"/>
                <w:color w:val="00B050"/>
                <w:sz w:val="24"/>
                <w:vertAlign w:val="baseline"/>
                <w:lang w:val="en-US" w:eastAsia="zh-CN"/>
              </w:rPr>
              <w:t>，则废矿物油最大贮存量为34.4t，满足废矿物油最大贮存量需要。</w:t>
            </w:r>
          </w:p>
          <w:p w14:paraId="1454065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B050"/>
                <w:sz w:val="24"/>
                <w:lang w:val="en-US" w:eastAsia="zh-CN"/>
              </w:rPr>
            </w:pPr>
            <w:r>
              <w:rPr>
                <w:rFonts w:hint="eastAsia" w:cs="Times New Roman"/>
                <w:b/>
                <w:bCs/>
                <w:color w:val="00B050"/>
                <w:sz w:val="24"/>
                <w:lang w:val="en-US" w:eastAsia="zh-CN"/>
              </w:rPr>
              <w:t>（2）废铅蓄电池贮存设施合理性分析</w:t>
            </w:r>
          </w:p>
          <w:p w14:paraId="1E9986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B050"/>
                <w:sz w:val="24"/>
                <w:vertAlign w:val="baseline"/>
                <w:lang w:val="en-US" w:eastAsia="zh-CN"/>
              </w:rPr>
            </w:pPr>
            <w:r>
              <w:rPr>
                <w:rFonts w:hint="eastAsia" w:cs="Times New Roman"/>
                <w:color w:val="00B050"/>
                <w:sz w:val="24"/>
                <w:lang w:val="en-US" w:eastAsia="zh-CN"/>
              </w:rPr>
              <w:t>根据《废铅蓄电池处理污染控制技术规范》（HJ519-2020），废铅蓄电池集中转运点贮存设施面积不少于30m</w:t>
            </w:r>
            <w:r>
              <w:rPr>
                <w:rFonts w:hint="eastAsia" w:cs="Times New Roman"/>
                <w:color w:val="00B050"/>
                <w:sz w:val="24"/>
                <w:vertAlign w:val="superscript"/>
                <w:lang w:val="en-US" w:eastAsia="zh-CN"/>
              </w:rPr>
              <w:t>2</w:t>
            </w:r>
            <w:r>
              <w:rPr>
                <w:rFonts w:hint="eastAsia" w:cs="Times New Roman"/>
                <w:color w:val="00B050"/>
                <w:sz w:val="24"/>
                <w:vertAlign w:val="baseline"/>
                <w:lang w:val="en-US" w:eastAsia="zh-CN"/>
              </w:rPr>
              <w:t>。项目废铅蓄电池贮存区面积60m</w:t>
            </w:r>
            <w:r>
              <w:rPr>
                <w:rFonts w:hint="eastAsia" w:cs="Times New Roman"/>
                <w:color w:val="00B050"/>
                <w:sz w:val="24"/>
                <w:vertAlign w:val="superscript"/>
                <w:lang w:val="en-US" w:eastAsia="zh-CN"/>
              </w:rPr>
              <w:t>2</w:t>
            </w:r>
            <w:r>
              <w:rPr>
                <w:rFonts w:hint="eastAsia" w:cs="Times New Roman"/>
                <w:color w:val="00B050"/>
                <w:sz w:val="24"/>
                <w:vertAlign w:val="baseline"/>
                <w:lang w:val="en-US" w:eastAsia="zh-CN"/>
              </w:rPr>
              <w:t>，满足规范要求。项目收集的废铅蓄电池主要为机动车铅蓄电池，平均重量按15kg/块计，每块铅蓄电池占地面积0.012m</w:t>
            </w:r>
            <w:r>
              <w:rPr>
                <w:rFonts w:hint="eastAsia" w:cs="Times New Roman"/>
                <w:color w:val="00B050"/>
                <w:sz w:val="24"/>
                <w:vertAlign w:val="superscript"/>
                <w:lang w:val="en-US" w:eastAsia="zh-CN"/>
              </w:rPr>
              <w:t>2</w:t>
            </w:r>
            <w:r>
              <w:rPr>
                <w:rFonts w:hint="eastAsia" w:cs="Times New Roman"/>
                <w:color w:val="00B050"/>
                <w:sz w:val="24"/>
                <w:vertAlign w:val="baseline"/>
                <w:lang w:val="en-US" w:eastAsia="zh-CN"/>
              </w:rPr>
              <w:t>，堆叠层数为2层，内部预留80%区域作为</w:t>
            </w:r>
            <w:r>
              <w:rPr>
                <w:rFonts w:hint="eastAsia" w:cs="Times New Roman"/>
                <w:color w:val="00B050"/>
                <w:sz w:val="24"/>
                <w:lang w:val="en-US" w:eastAsia="zh-CN"/>
              </w:rPr>
              <w:t>贮存</w:t>
            </w:r>
            <w:r>
              <w:rPr>
                <w:rFonts w:hint="eastAsia" w:ascii="Times New Roman" w:hAnsi="Times New Roman" w:eastAsia="宋体" w:cs="Times New Roman"/>
                <w:color w:val="00B050"/>
                <w:sz w:val="24"/>
              </w:rPr>
              <w:t>使用</w:t>
            </w:r>
            <w:r>
              <w:rPr>
                <w:rFonts w:hint="eastAsia" w:cs="Times New Roman"/>
                <w:color w:val="00B050"/>
                <w:sz w:val="24"/>
                <w:vertAlign w:val="baseline"/>
                <w:lang w:val="en-US" w:eastAsia="zh-CN"/>
              </w:rPr>
              <w:t>，则废铅蓄电池可最大堆存约120t，项目拟废铅蓄电池最大贮存量100t，故废铅蓄电池贮存区满足贮存需要。</w:t>
            </w:r>
          </w:p>
          <w:p w14:paraId="311A61F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B050"/>
                <w:sz w:val="24"/>
                <w:lang w:val="en-US" w:eastAsia="zh-CN"/>
              </w:rPr>
            </w:pPr>
            <w:r>
              <w:rPr>
                <w:rFonts w:hint="eastAsia" w:cs="Times New Roman"/>
                <w:b/>
                <w:bCs/>
                <w:color w:val="00B050"/>
                <w:sz w:val="24"/>
                <w:lang w:val="en-US" w:eastAsia="zh-CN"/>
              </w:rPr>
              <w:t>（3）其他危险废物（废镉镍电池）和一般固体废物贮存设施合理性分析</w:t>
            </w:r>
          </w:p>
          <w:p w14:paraId="1F163A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00B050"/>
                <w:sz w:val="24"/>
                <w:vertAlign w:val="baseline"/>
                <w:lang w:val="en-US" w:eastAsia="zh-CN"/>
              </w:rPr>
            </w:pPr>
            <w:r>
              <w:rPr>
                <w:rFonts w:hint="eastAsia" w:cs="Times New Roman"/>
                <w:color w:val="00B050"/>
                <w:sz w:val="24"/>
                <w:lang w:val="en-US" w:eastAsia="zh-CN"/>
              </w:rPr>
              <w:t>其他类别</w:t>
            </w:r>
            <w:r>
              <w:rPr>
                <w:rFonts w:hint="eastAsia" w:ascii="Times New Roman" w:hAnsi="Times New Roman" w:eastAsia="宋体" w:cs="Times New Roman"/>
                <w:color w:val="00B050"/>
                <w:sz w:val="24"/>
              </w:rPr>
              <w:t>危险废物的储存形式主要有桶装及袋装，桶的规格以</w:t>
            </w:r>
            <w:r>
              <w:rPr>
                <w:rFonts w:ascii="Times New Roman" w:hAnsi="Times New Roman" w:eastAsia="宋体" w:cs="Times New Roman"/>
                <w:color w:val="00B050"/>
                <w:sz w:val="24"/>
              </w:rPr>
              <w:t>200L</w:t>
            </w:r>
            <w:r>
              <w:rPr>
                <w:rFonts w:hint="eastAsia" w:ascii="Times New Roman" w:hAnsi="Times New Roman" w:eastAsia="宋体" w:cs="Times New Roman"/>
                <w:color w:val="00B050"/>
                <w:sz w:val="24"/>
              </w:rPr>
              <w:t>桶及吨桶为主</w:t>
            </w:r>
            <w:r>
              <w:rPr>
                <w:rFonts w:hint="eastAsia" w:cs="Times New Roman"/>
                <w:color w:val="00B050"/>
                <w:sz w:val="24"/>
                <w:lang w:eastAsia="zh-CN"/>
              </w:rPr>
              <w:t>，</w:t>
            </w:r>
            <w:r>
              <w:rPr>
                <w:rFonts w:hint="eastAsia" w:ascii="Times New Roman" w:hAnsi="Times New Roman" w:eastAsia="宋体" w:cs="Times New Roman"/>
                <w:color w:val="00B050"/>
                <w:sz w:val="24"/>
              </w:rPr>
              <w:t>袋装主要为吨袋。根据企业的运行经验，</w:t>
            </w:r>
            <w:r>
              <w:rPr>
                <w:rFonts w:hint="eastAsia" w:cs="Times New Roman"/>
                <w:color w:val="00B050"/>
                <w:sz w:val="24"/>
                <w:lang w:eastAsia="zh-CN"/>
              </w:rPr>
              <w:t>危险废物</w:t>
            </w:r>
            <w:r>
              <w:rPr>
                <w:rFonts w:hint="eastAsia" w:ascii="Times New Roman" w:hAnsi="Times New Roman" w:eastAsia="宋体" w:cs="Times New Roman"/>
                <w:color w:val="00B050"/>
                <w:sz w:val="24"/>
              </w:rPr>
              <w:t>储存时的叠放层数一般为</w:t>
            </w:r>
            <w:r>
              <w:rPr>
                <w:rFonts w:ascii="Times New Roman" w:hAnsi="Times New Roman" w:eastAsia="宋体" w:cs="Times New Roman"/>
                <w:color w:val="00B050"/>
                <w:sz w:val="24"/>
              </w:rPr>
              <w:t>2~4</w:t>
            </w:r>
            <w:r>
              <w:rPr>
                <w:rFonts w:hint="eastAsia" w:ascii="Times New Roman" w:hAnsi="Times New Roman" w:eastAsia="宋体" w:cs="Times New Roman"/>
                <w:color w:val="00B050"/>
                <w:sz w:val="24"/>
              </w:rPr>
              <w:t>层，</w:t>
            </w:r>
            <w:r>
              <w:rPr>
                <w:rFonts w:hint="eastAsia" w:cs="Times New Roman"/>
                <w:color w:val="00B050"/>
                <w:sz w:val="24"/>
                <w:lang w:val="en-US" w:eastAsia="zh-CN"/>
              </w:rPr>
              <w:t>环评</w:t>
            </w:r>
            <w:r>
              <w:rPr>
                <w:rFonts w:hint="eastAsia" w:ascii="Times New Roman" w:hAnsi="Times New Roman" w:eastAsia="宋体" w:cs="Times New Roman"/>
                <w:color w:val="00B050"/>
                <w:sz w:val="24"/>
              </w:rPr>
              <w:t>按照</w:t>
            </w:r>
            <w:r>
              <w:rPr>
                <w:rFonts w:hint="eastAsia" w:cs="Times New Roman"/>
                <w:color w:val="00B050"/>
                <w:sz w:val="24"/>
                <w:lang w:val="en-US" w:eastAsia="zh-CN"/>
              </w:rPr>
              <w:t>堆叠</w:t>
            </w:r>
            <w:r>
              <w:rPr>
                <w:rFonts w:ascii="Times New Roman" w:hAnsi="Times New Roman" w:eastAsia="宋体" w:cs="Times New Roman"/>
                <w:color w:val="00B050"/>
                <w:sz w:val="24"/>
              </w:rPr>
              <w:t>2</w:t>
            </w:r>
            <w:r>
              <w:rPr>
                <w:rFonts w:hint="eastAsia" w:ascii="Times New Roman" w:hAnsi="Times New Roman" w:eastAsia="宋体" w:cs="Times New Roman"/>
                <w:color w:val="00B050"/>
                <w:sz w:val="24"/>
              </w:rPr>
              <w:t>层考虑</w:t>
            </w:r>
            <w:r>
              <w:rPr>
                <w:rFonts w:hint="eastAsia" w:cs="Times New Roman"/>
                <w:color w:val="00B050"/>
                <w:sz w:val="24"/>
                <w:lang w:eastAsia="zh-CN"/>
              </w:rPr>
              <w:t>，</w:t>
            </w:r>
            <w:r>
              <w:rPr>
                <w:rFonts w:hint="eastAsia" w:ascii="Times New Roman" w:hAnsi="Times New Roman" w:eastAsia="宋体" w:cs="Times New Roman"/>
                <w:color w:val="00B050"/>
                <w:sz w:val="24"/>
              </w:rPr>
              <w:t>吨桶或吨袋的占地面积为</w:t>
            </w:r>
            <w:r>
              <w:rPr>
                <w:rFonts w:ascii="Times New Roman" w:hAnsi="Times New Roman" w:eastAsia="宋体" w:cs="Times New Roman"/>
                <w:color w:val="00B050"/>
                <w:sz w:val="24"/>
              </w:rPr>
              <w:t>1m</w:t>
            </w:r>
            <w:r>
              <w:rPr>
                <w:rFonts w:ascii="Times New Roman" w:hAnsi="Times New Roman" w:eastAsia="宋体" w:cs="Times New Roman"/>
                <w:color w:val="00B050"/>
                <w:sz w:val="24"/>
                <w:vertAlign w:val="superscript"/>
              </w:rPr>
              <w:t>2</w:t>
            </w:r>
            <w:r>
              <w:rPr>
                <w:rFonts w:hint="eastAsia" w:ascii="Times New Roman" w:hAnsi="Times New Roman" w:eastAsia="宋体" w:cs="Times New Roman"/>
                <w:color w:val="00B050"/>
                <w:sz w:val="24"/>
              </w:rPr>
              <w:t>，</w:t>
            </w:r>
            <w:r>
              <w:rPr>
                <w:rFonts w:hint="eastAsia" w:cs="Times New Roman"/>
                <w:color w:val="00B050"/>
                <w:sz w:val="24"/>
                <w:lang w:val="en-US" w:eastAsia="zh-CN"/>
              </w:rPr>
              <w:t>平均</w:t>
            </w:r>
            <w:r>
              <w:rPr>
                <w:rFonts w:hint="eastAsia" w:ascii="Times New Roman" w:hAnsi="Times New Roman" w:eastAsia="宋体" w:cs="Times New Roman"/>
                <w:color w:val="00B050"/>
                <w:sz w:val="24"/>
              </w:rPr>
              <w:t>每立方</w:t>
            </w:r>
            <w:r>
              <w:rPr>
                <w:rFonts w:hint="eastAsia" w:cs="Times New Roman"/>
                <w:color w:val="00B050"/>
                <w:sz w:val="24"/>
                <w:lang w:val="en-US" w:eastAsia="zh-CN"/>
              </w:rPr>
              <w:t>米</w:t>
            </w:r>
            <w:r>
              <w:rPr>
                <w:rFonts w:hint="eastAsia" w:ascii="Times New Roman" w:hAnsi="Times New Roman" w:eastAsia="宋体" w:cs="Times New Roman"/>
                <w:color w:val="00B050"/>
                <w:sz w:val="24"/>
              </w:rPr>
              <w:t>的</w:t>
            </w:r>
            <w:r>
              <w:rPr>
                <w:rFonts w:hint="eastAsia" w:cs="Times New Roman"/>
                <w:color w:val="00B050"/>
                <w:sz w:val="24"/>
                <w:lang w:eastAsia="zh-CN"/>
              </w:rPr>
              <w:t>危险废物</w:t>
            </w:r>
            <w:r>
              <w:rPr>
                <w:rFonts w:hint="eastAsia" w:ascii="Times New Roman" w:hAnsi="Times New Roman" w:eastAsia="宋体" w:cs="Times New Roman"/>
                <w:color w:val="00B050"/>
                <w:sz w:val="24"/>
              </w:rPr>
              <w:t>量均按</w:t>
            </w:r>
            <w:r>
              <w:rPr>
                <w:rFonts w:ascii="Times New Roman" w:hAnsi="Times New Roman" w:eastAsia="宋体" w:cs="Times New Roman"/>
                <w:color w:val="00B050"/>
                <w:sz w:val="24"/>
              </w:rPr>
              <w:t>1t</w:t>
            </w:r>
            <w:r>
              <w:rPr>
                <w:rFonts w:hint="eastAsia" w:ascii="Times New Roman" w:hAnsi="Times New Roman" w:eastAsia="宋体" w:cs="Times New Roman"/>
                <w:color w:val="00B050"/>
                <w:sz w:val="24"/>
              </w:rPr>
              <w:t>计</w:t>
            </w:r>
            <w:r>
              <w:rPr>
                <w:rFonts w:hint="eastAsia" w:cs="Times New Roman"/>
                <w:color w:val="00B050"/>
                <w:sz w:val="24"/>
                <w:lang w:eastAsia="zh-CN"/>
              </w:rPr>
              <w:t>。</w:t>
            </w:r>
            <w:r>
              <w:rPr>
                <w:rFonts w:hint="eastAsia" w:cs="Times New Roman"/>
                <w:color w:val="00B050"/>
                <w:sz w:val="24"/>
                <w:lang w:val="en-US" w:eastAsia="zh-CN"/>
              </w:rPr>
              <w:t>除废铅蓄电池、废矿物油外，进入贮存区的废镉镍电池最大量为15t，则需要占地面积20m</w:t>
            </w:r>
            <w:r>
              <w:rPr>
                <w:rFonts w:hint="eastAsia" w:cs="Times New Roman"/>
                <w:color w:val="00B050"/>
                <w:sz w:val="24"/>
                <w:vertAlign w:val="superscript"/>
                <w:lang w:val="en-US" w:eastAsia="zh-CN"/>
              </w:rPr>
              <w:t>2</w:t>
            </w:r>
            <w:r>
              <w:rPr>
                <w:rFonts w:hint="eastAsia" w:cs="Times New Roman"/>
                <w:color w:val="00B050"/>
                <w:sz w:val="24"/>
                <w:vertAlign w:val="baseline"/>
                <w:lang w:val="en-US" w:eastAsia="zh-CN"/>
              </w:rPr>
              <w:t>，根据贮存库设计，其他废物贮存区可用面积为20m</w:t>
            </w:r>
            <w:r>
              <w:rPr>
                <w:rFonts w:hint="eastAsia" w:cs="Times New Roman"/>
                <w:color w:val="00B050"/>
                <w:sz w:val="24"/>
                <w:vertAlign w:val="superscript"/>
                <w:lang w:val="en-US" w:eastAsia="zh-CN"/>
              </w:rPr>
              <w:t>2</w:t>
            </w:r>
            <w:r>
              <w:rPr>
                <w:rFonts w:hint="eastAsia" w:cs="Times New Roman"/>
                <w:color w:val="00B050"/>
                <w:sz w:val="24"/>
                <w:vertAlign w:val="baseline"/>
                <w:lang w:val="en-US" w:eastAsia="zh-CN"/>
              </w:rPr>
              <w:t>（扣除废铅蓄电池贮区及装卸运输通道），故贮存区可满足危险废物贮存需要。</w:t>
            </w:r>
          </w:p>
          <w:p w14:paraId="1E776CB6">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2.1.8</w:t>
            </w:r>
            <w:r>
              <w:rPr>
                <w:rFonts w:hint="eastAsia"/>
                <w:b/>
                <w:bCs/>
                <w:color w:val="000000" w:themeColor="text1"/>
                <w:sz w:val="24"/>
                <w14:textFill>
                  <w14:solidFill>
                    <w14:schemeClr w14:val="tx1"/>
                  </w14:solidFill>
                </w14:textFill>
              </w:rPr>
              <w:t>主要设备</w:t>
            </w:r>
          </w:p>
          <w:p w14:paraId="544FD7F2">
            <w:pPr>
              <w:pStyle w:val="84"/>
              <w:keepNext w:val="0"/>
              <w:keepLines w:val="0"/>
              <w:pageBreakBefore w:val="0"/>
              <w:widowControl w:val="0"/>
              <w:tabs>
                <w:tab w:val="left" w:pos="3480"/>
              </w:tabs>
              <w:kinsoku/>
              <w:wordWrap/>
              <w:overflowPunct/>
              <w:topLinePunct w:val="0"/>
              <w:autoSpaceDE/>
              <w:autoSpaceDN/>
              <w:bidi w:val="0"/>
              <w:adjustRightInd/>
              <w:snapToGrid/>
              <w:spacing w:line="360" w:lineRule="auto"/>
              <w:ind w:firstLine="48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本项目主要生产设备见表</w:t>
            </w:r>
            <w:r>
              <w:rPr>
                <w:rFonts w:hint="eastAsia"/>
                <w:color w:val="000000" w:themeColor="text1"/>
                <w:sz w:val="24"/>
                <w:szCs w:val="24"/>
                <w:lang w:val="en-US" w:eastAsia="zh-CN"/>
                <w14:textFill>
                  <w14:solidFill>
                    <w14:schemeClr w14:val="tx1"/>
                  </w14:solidFill>
                </w14:textFill>
              </w:rPr>
              <w:t>2.1-9所示</w:t>
            </w:r>
            <w:r>
              <w:rPr>
                <w:rFonts w:hint="eastAsia"/>
                <w:color w:val="000000" w:themeColor="text1"/>
                <w:sz w:val="24"/>
                <w:szCs w:val="24"/>
                <w14:textFill>
                  <w14:solidFill>
                    <w14:schemeClr w14:val="tx1"/>
                  </w14:solidFill>
                </w14:textFill>
              </w:rPr>
              <w:t>。</w:t>
            </w:r>
          </w:p>
          <w:p w14:paraId="4DE83872">
            <w:pPr>
              <w:pStyle w:val="85"/>
              <w:keepNext w:val="0"/>
              <w:keepLines w:val="0"/>
              <w:pageBreakBefore w:val="0"/>
              <w:widowControl w:val="0"/>
              <w:numPr>
                <w:ilvl w:val="0"/>
                <w:numId w:val="0"/>
              </w:numPr>
              <w:kinsoku/>
              <w:wordWrap/>
              <w:overflowPunct/>
              <w:topLinePunct w:val="0"/>
              <w:autoSpaceDE/>
              <w:autoSpaceDN/>
              <w:bidi w:val="0"/>
              <w:adjustRightInd/>
              <w:snapToGrid/>
              <w:spacing w:beforeLines="0"/>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表2.1-</w:t>
            </w:r>
            <w:r>
              <w:rPr>
                <w:rFonts w:hint="eastAsia" w:cs="Times New Roman"/>
                <w:b/>
                <w:bCs/>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项目主要生产设备一览表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752"/>
              <w:gridCol w:w="2916"/>
              <w:gridCol w:w="816"/>
              <w:gridCol w:w="762"/>
              <w:gridCol w:w="1189"/>
            </w:tblGrid>
            <w:tr w14:paraId="571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14:paraId="01E4DB89">
                  <w:pPr>
                    <w:adjustRightInd w:val="0"/>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752" w:type="dxa"/>
                  <w:vAlign w:val="center"/>
                </w:tcPr>
                <w:p w14:paraId="779BBD1C">
                  <w:pPr>
                    <w:adjustRightInd w:val="0"/>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设备名称</w:t>
                  </w:r>
                </w:p>
              </w:tc>
              <w:tc>
                <w:tcPr>
                  <w:tcW w:w="2916" w:type="dxa"/>
                  <w:vAlign w:val="center"/>
                </w:tcPr>
                <w:p w14:paraId="612D5695">
                  <w:pPr>
                    <w:adjustRightInd w:val="0"/>
                    <w:snapToGrid w:val="0"/>
                    <w:spacing w:line="240" w:lineRule="auto"/>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型号</w:t>
                  </w:r>
                </w:p>
              </w:tc>
              <w:tc>
                <w:tcPr>
                  <w:tcW w:w="816" w:type="dxa"/>
                  <w:vAlign w:val="center"/>
                </w:tcPr>
                <w:p w14:paraId="1CB00630">
                  <w:pPr>
                    <w:adjustRightInd w:val="0"/>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单位</w:t>
                  </w:r>
                </w:p>
              </w:tc>
              <w:tc>
                <w:tcPr>
                  <w:tcW w:w="762" w:type="dxa"/>
                  <w:vAlign w:val="center"/>
                </w:tcPr>
                <w:p w14:paraId="4AA8320C">
                  <w:pPr>
                    <w:adjustRightInd w:val="0"/>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数量</w:t>
                  </w:r>
                </w:p>
              </w:tc>
              <w:tc>
                <w:tcPr>
                  <w:tcW w:w="1189" w:type="dxa"/>
                  <w:vAlign w:val="center"/>
                </w:tcPr>
                <w:p w14:paraId="4FF98A15">
                  <w:pPr>
                    <w:adjustRightInd w:val="0"/>
                    <w:snapToGrid w:val="0"/>
                    <w:spacing w:line="240" w:lineRule="auto"/>
                    <w:jc w:val="center"/>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备注</w:t>
                  </w:r>
                </w:p>
              </w:tc>
            </w:tr>
            <w:tr w14:paraId="3DDD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14:paraId="4130AAB6">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52" w:type="dxa"/>
                  <w:vAlign w:val="center"/>
                </w:tcPr>
                <w:p w14:paraId="7280EF02">
                  <w:pPr>
                    <w:adjustRightInd w:val="0"/>
                    <w:snapToGrid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废气风机</w:t>
                  </w:r>
                </w:p>
              </w:tc>
              <w:tc>
                <w:tcPr>
                  <w:tcW w:w="2916" w:type="dxa"/>
                  <w:vAlign w:val="center"/>
                </w:tcPr>
                <w:p w14:paraId="3C64BAF2">
                  <w:pPr>
                    <w:adjustRightInd w:val="0"/>
                    <w:snapToGrid w:val="0"/>
                    <w:spacing w:line="24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风机风量</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c>
                <w:tcPr>
                  <w:tcW w:w="816" w:type="dxa"/>
                  <w:vAlign w:val="center"/>
                </w:tcPr>
                <w:p w14:paraId="6EF7C230">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c>
                <w:tcPr>
                  <w:tcW w:w="762" w:type="dxa"/>
                  <w:vAlign w:val="center"/>
                </w:tcPr>
                <w:p w14:paraId="6DC2C664">
                  <w:pPr>
                    <w:adjustRightInd w:val="0"/>
                    <w:snapToGrid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189" w:type="dxa"/>
                  <w:vAlign w:val="center"/>
                </w:tcPr>
                <w:p w14:paraId="197E3BDB">
                  <w:pPr>
                    <w:adjustRightInd w:val="0"/>
                    <w:snapToGrid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E19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99" w:type="dxa"/>
                  <w:vAlign w:val="center"/>
                </w:tcPr>
                <w:p w14:paraId="17A4CA9B">
                  <w:pPr>
                    <w:adjustRightInd w:val="0"/>
                    <w:snapToGrid w:val="0"/>
                    <w:spacing w:line="24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752" w:type="dxa"/>
                  <w:vAlign w:val="center"/>
                </w:tcPr>
                <w:p w14:paraId="5D77F421">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废矿物油储罐</w:t>
                  </w:r>
                </w:p>
              </w:tc>
              <w:tc>
                <w:tcPr>
                  <w:tcW w:w="2916" w:type="dxa"/>
                  <w:vAlign w:val="center"/>
                </w:tcPr>
                <w:p w14:paraId="361699CD">
                  <w:pPr>
                    <w:adjustRightInd w:val="0"/>
                    <w:snapToGrid w:val="0"/>
                    <w:spacing w:line="240" w:lineRule="auto"/>
                    <w:jc w:val="center"/>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单罐规格φ1.8m×4m，钢制罐体，单罐容积10m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vertAlign w:val="baseline"/>
                      <w:lang w:val="en-US" w:eastAsia="zh-CN"/>
                      <w14:textFill>
                        <w14:solidFill>
                          <w14:schemeClr w14:val="tx1"/>
                        </w14:solidFill>
                      </w14:textFill>
                    </w:rPr>
                    <w:t>，单罐有效容积8m</w:t>
                  </w:r>
                  <w:r>
                    <w:rPr>
                      <w:rFonts w:hint="eastAsia"/>
                      <w:color w:val="000000" w:themeColor="text1"/>
                      <w:szCs w:val="21"/>
                      <w:vertAlign w:val="superscript"/>
                      <w:lang w:val="en-US" w:eastAsia="zh-CN"/>
                      <w14:textFill>
                        <w14:solidFill>
                          <w14:schemeClr w14:val="tx1"/>
                        </w14:solidFill>
                      </w14:textFill>
                    </w:rPr>
                    <w:t>3</w:t>
                  </w:r>
                </w:p>
              </w:tc>
              <w:tc>
                <w:tcPr>
                  <w:tcW w:w="816" w:type="dxa"/>
                  <w:vAlign w:val="center"/>
                </w:tcPr>
                <w:p w14:paraId="749DC81D">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座</w:t>
                  </w:r>
                </w:p>
              </w:tc>
              <w:tc>
                <w:tcPr>
                  <w:tcW w:w="762" w:type="dxa"/>
                  <w:vAlign w:val="center"/>
                </w:tcPr>
                <w:p w14:paraId="5F2CFFFD">
                  <w:pPr>
                    <w:adjustRightInd w:val="0"/>
                    <w:snapToGrid w:val="0"/>
                    <w:spacing w:line="24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189" w:type="dxa"/>
                  <w:vAlign w:val="center"/>
                </w:tcPr>
                <w:p w14:paraId="08DD9E01">
                  <w:pPr>
                    <w:adjustRightInd w:val="0"/>
                    <w:snapToGrid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4用，1备、应急</w:t>
                  </w:r>
                </w:p>
              </w:tc>
            </w:tr>
            <w:tr w14:paraId="6AE5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14:paraId="339DD73A">
                  <w:pPr>
                    <w:adjustRightInd w:val="0"/>
                    <w:snapToGrid w:val="0"/>
                    <w:spacing w:line="24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752" w:type="dxa"/>
                  <w:vAlign w:val="center"/>
                </w:tcPr>
                <w:p w14:paraId="5B0A3E40">
                  <w:pPr>
                    <w:adjustRightInd w:val="0"/>
                    <w:snapToGrid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装卸油泵</w:t>
                  </w:r>
                </w:p>
              </w:tc>
              <w:tc>
                <w:tcPr>
                  <w:tcW w:w="2916" w:type="dxa"/>
                  <w:vAlign w:val="center"/>
                </w:tcPr>
                <w:p w14:paraId="33E4FBF3">
                  <w:pPr>
                    <w:adjustRightInd w:val="0"/>
                    <w:snapToGrid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16" w:type="dxa"/>
                  <w:vAlign w:val="center"/>
                </w:tcPr>
                <w:p w14:paraId="4658E585">
                  <w:pPr>
                    <w:adjustRightInd w:val="0"/>
                    <w:snapToGrid w:val="0"/>
                    <w:spacing w:line="24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套</w:t>
                  </w:r>
                </w:p>
              </w:tc>
              <w:tc>
                <w:tcPr>
                  <w:tcW w:w="762" w:type="dxa"/>
                  <w:vAlign w:val="center"/>
                </w:tcPr>
                <w:p w14:paraId="0447E01C">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89" w:type="dxa"/>
                  <w:vAlign w:val="center"/>
                </w:tcPr>
                <w:p w14:paraId="2035644C">
                  <w:pPr>
                    <w:adjustRightInd w:val="0"/>
                    <w:snapToGrid w:val="0"/>
                    <w:spacing w:line="240" w:lineRule="auto"/>
                    <w:jc w:val="center"/>
                    <w:rPr>
                      <w:rFonts w:hint="eastAsia"/>
                      <w:color w:val="000000" w:themeColor="text1"/>
                      <w:szCs w:val="21"/>
                      <w14:textFill>
                        <w14:solidFill>
                          <w14:schemeClr w14:val="tx1"/>
                        </w14:solidFill>
                      </w14:textFill>
                    </w:rPr>
                  </w:pPr>
                </w:p>
              </w:tc>
            </w:tr>
            <w:tr w14:paraId="66E1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14:paraId="2DF339B3">
                  <w:pPr>
                    <w:adjustRightInd w:val="0"/>
                    <w:snapToGrid w:val="0"/>
                    <w:spacing w:line="24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752" w:type="dxa"/>
                  <w:vAlign w:val="center"/>
                </w:tcPr>
                <w:p w14:paraId="70920887">
                  <w:pPr>
                    <w:adjustRightInd w:val="0"/>
                    <w:snapToGrid w:val="0"/>
                    <w:spacing w:line="24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活性炭吸附</w:t>
                  </w:r>
                  <w:r>
                    <w:rPr>
                      <w:rFonts w:hint="eastAsia"/>
                      <w:color w:val="000000" w:themeColor="text1"/>
                      <w:szCs w:val="21"/>
                      <w:lang w:val="en-US" w:eastAsia="zh-CN"/>
                      <w14:textFill>
                        <w14:solidFill>
                          <w14:schemeClr w14:val="tx1"/>
                        </w14:solidFill>
                      </w14:textFill>
                    </w:rPr>
                    <w:t>装置</w:t>
                  </w:r>
                </w:p>
              </w:tc>
              <w:tc>
                <w:tcPr>
                  <w:tcW w:w="2916" w:type="dxa"/>
                  <w:vAlign w:val="center"/>
                </w:tcPr>
                <w:p w14:paraId="709EE9FA">
                  <w:pPr>
                    <w:adjustRightInd w:val="0"/>
                    <w:snapToGrid w:val="0"/>
                    <w:spacing w:line="24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6" w:type="dxa"/>
                  <w:vAlign w:val="center"/>
                </w:tcPr>
                <w:p w14:paraId="4DB0C717">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c>
                <w:tcPr>
                  <w:tcW w:w="762" w:type="dxa"/>
                  <w:vAlign w:val="center"/>
                </w:tcPr>
                <w:p w14:paraId="221C919F">
                  <w:pPr>
                    <w:adjustRightInd w:val="0"/>
                    <w:snapToGrid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189" w:type="dxa"/>
                  <w:vAlign w:val="center"/>
                </w:tcPr>
                <w:p w14:paraId="63C462A8">
                  <w:pPr>
                    <w:adjustRightInd w:val="0"/>
                    <w:snapToGrid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C2A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vAlign w:val="center"/>
                </w:tcPr>
                <w:p w14:paraId="6D7578EB">
                  <w:pPr>
                    <w:adjustRightInd w:val="0"/>
                    <w:snapToGrid w:val="0"/>
                    <w:spacing w:line="240" w:lineRule="auto"/>
                    <w:jc w:val="center"/>
                    <w:rPr>
                      <w:rFonts w:hint="default"/>
                      <w:color w:val="00B050"/>
                      <w:szCs w:val="21"/>
                      <w:lang w:val="en-US" w:eastAsia="zh-CN"/>
                    </w:rPr>
                  </w:pPr>
                  <w:r>
                    <w:rPr>
                      <w:rFonts w:hint="eastAsia"/>
                      <w:color w:val="00B050"/>
                      <w:szCs w:val="21"/>
                      <w:lang w:val="en-US" w:eastAsia="zh-CN"/>
                    </w:rPr>
                    <w:t>5</w:t>
                  </w:r>
                </w:p>
              </w:tc>
              <w:tc>
                <w:tcPr>
                  <w:tcW w:w="1752" w:type="dxa"/>
                  <w:vAlign w:val="center"/>
                </w:tcPr>
                <w:p w14:paraId="63ACBEAF">
                  <w:pPr>
                    <w:adjustRightInd w:val="0"/>
                    <w:snapToGrid w:val="0"/>
                    <w:spacing w:line="240" w:lineRule="auto"/>
                    <w:jc w:val="center"/>
                    <w:rPr>
                      <w:rFonts w:hint="eastAsia" w:eastAsia="宋体"/>
                      <w:color w:val="00B050"/>
                      <w:szCs w:val="21"/>
                      <w:lang w:val="en-US" w:eastAsia="zh-CN"/>
                    </w:rPr>
                  </w:pPr>
                  <w:r>
                    <w:rPr>
                      <w:rFonts w:hint="eastAsia"/>
                      <w:color w:val="00B050"/>
                      <w:szCs w:val="21"/>
                      <w:lang w:val="en-US" w:eastAsia="zh-CN"/>
                    </w:rPr>
                    <w:t>碱洗塔</w:t>
                  </w:r>
                </w:p>
              </w:tc>
              <w:tc>
                <w:tcPr>
                  <w:tcW w:w="2916" w:type="dxa"/>
                  <w:vAlign w:val="center"/>
                </w:tcPr>
                <w:p w14:paraId="3C862979">
                  <w:pPr>
                    <w:adjustRightInd w:val="0"/>
                    <w:snapToGrid w:val="0"/>
                    <w:spacing w:line="240" w:lineRule="auto"/>
                    <w:jc w:val="center"/>
                    <w:rPr>
                      <w:rFonts w:hint="eastAsia" w:eastAsia="宋体"/>
                      <w:color w:val="00B050"/>
                      <w:szCs w:val="21"/>
                      <w:lang w:eastAsia="zh-CN"/>
                    </w:rPr>
                  </w:pPr>
                  <w:r>
                    <w:rPr>
                      <w:rFonts w:hint="eastAsia"/>
                      <w:color w:val="00B050"/>
                      <w:szCs w:val="21"/>
                    </w:rPr>
                    <w:t>/</w:t>
                  </w:r>
                </w:p>
              </w:tc>
              <w:tc>
                <w:tcPr>
                  <w:tcW w:w="816" w:type="dxa"/>
                  <w:vAlign w:val="center"/>
                </w:tcPr>
                <w:p w14:paraId="5F6F6D65">
                  <w:pPr>
                    <w:adjustRightInd w:val="0"/>
                    <w:snapToGrid w:val="0"/>
                    <w:spacing w:line="240" w:lineRule="auto"/>
                    <w:jc w:val="center"/>
                    <w:rPr>
                      <w:rFonts w:hint="eastAsia"/>
                      <w:color w:val="00B050"/>
                      <w:szCs w:val="21"/>
                    </w:rPr>
                  </w:pPr>
                  <w:r>
                    <w:rPr>
                      <w:rFonts w:hint="eastAsia"/>
                      <w:color w:val="00B050"/>
                      <w:szCs w:val="21"/>
                    </w:rPr>
                    <w:t>套</w:t>
                  </w:r>
                </w:p>
              </w:tc>
              <w:tc>
                <w:tcPr>
                  <w:tcW w:w="762" w:type="dxa"/>
                  <w:vAlign w:val="center"/>
                </w:tcPr>
                <w:p w14:paraId="7FE25CBC">
                  <w:pPr>
                    <w:adjustRightInd w:val="0"/>
                    <w:snapToGrid w:val="0"/>
                    <w:spacing w:line="240" w:lineRule="auto"/>
                    <w:jc w:val="center"/>
                    <w:rPr>
                      <w:rFonts w:hint="eastAsia"/>
                      <w:color w:val="00B050"/>
                      <w:szCs w:val="21"/>
                      <w:lang w:val="en-US" w:eastAsia="zh-CN"/>
                    </w:rPr>
                  </w:pPr>
                  <w:r>
                    <w:rPr>
                      <w:rFonts w:hint="eastAsia"/>
                      <w:color w:val="00B050"/>
                      <w:szCs w:val="21"/>
                      <w:lang w:val="en-US" w:eastAsia="zh-CN"/>
                    </w:rPr>
                    <w:t>1</w:t>
                  </w:r>
                </w:p>
              </w:tc>
              <w:tc>
                <w:tcPr>
                  <w:tcW w:w="1189" w:type="dxa"/>
                  <w:vAlign w:val="center"/>
                </w:tcPr>
                <w:p w14:paraId="0A66DC6D">
                  <w:pPr>
                    <w:adjustRightInd w:val="0"/>
                    <w:snapToGrid w:val="0"/>
                    <w:spacing w:line="240" w:lineRule="auto"/>
                    <w:jc w:val="center"/>
                    <w:rPr>
                      <w:rFonts w:hint="eastAsia"/>
                      <w:color w:val="00B050"/>
                      <w:szCs w:val="21"/>
                      <w:lang w:val="en-US" w:eastAsia="zh-CN"/>
                    </w:rPr>
                  </w:pPr>
                  <w:r>
                    <w:rPr>
                      <w:rFonts w:hint="eastAsia"/>
                      <w:color w:val="00B050"/>
                      <w:szCs w:val="21"/>
                      <w:lang w:val="en-US" w:eastAsia="zh-CN"/>
                    </w:rPr>
                    <w:t>/</w:t>
                  </w:r>
                </w:p>
              </w:tc>
            </w:tr>
            <w:tr w14:paraId="7700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799" w:type="dxa"/>
                  <w:vAlign w:val="center"/>
                </w:tcPr>
                <w:p w14:paraId="4D0176B0">
                  <w:pPr>
                    <w:adjustRightInd w:val="0"/>
                    <w:snapToGrid w:val="0"/>
                    <w:spacing w:line="24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752" w:type="dxa"/>
                  <w:vAlign w:val="center"/>
                </w:tcPr>
                <w:p w14:paraId="76ADB99E">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叉车</w:t>
                  </w:r>
                </w:p>
              </w:tc>
              <w:tc>
                <w:tcPr>
                  <w:tcW w:w="2916" w:type="dxa"/>
                  <w:vAlign w:val="center"/>
                </w:tcPr>
                <w:p w14:paraId="3DB8C12C">
                  <w:pPr>
                    <w:adjustRightInd w:val="0"/>
                    <w:snapToGrid w:val="0"/>
                    <w:spacing w:line="24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6" w:type="dxa"/>
                  <w:vAlign w:val="center"/>
                </w:tcPr>
                <w:p w14:paraId="21D0189E">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辆</w:t>
                  </w:r>
                </w:p>
              </w:tc>
              <w:tc>
                <w:tcPr>
                  <w:tcW w:w="762" w:type="dxa"/>
                  <w:vAlign w:val="center"/>
                </w:tcPr>
                <w:p w14:paraId="13F6B388">
                  <w:pPr>
                    <w:adjustRightInd w:val="0"/>
                    <w:snapToGrid w:val="0"/>
                    <w:spacing w:line="24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189" w:type="dxa"/>
                  <w:vAlign w:val="center"/>
                </w:tcPr>
                <w:p w14:paraId="211C140A">
                  <w:pPr>
                    <w:adjustRightInd w:val="0"/>
                    <w:snapToGrid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2E85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14:paraId="40E03E45">
                  <w:pPr>
                    <w:adjustRightInd w:val="0"/>
                    <w:snapToGrid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1752" w:type="dxa"/>
                  <w:vAlign w:val="center"/>
                </w:tcPr>
                <w:p w14:paraId="5B3B256D">
                  <w:pPr>
                    <w:adjustRightInd w:val="0"/>
                    <w:snapToGrid w:val="0"/>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地磅</w:t>
                  </w:r>
                </w:p>
              </w:tc>
              <w:tc>
                <w:tcPr>
                  <w:tcW w:w="2916" w:type="dxa"/>
                  <w:vAlign w:val="center"/>
                </w:tcPr>
                <w:p w14:paraId="47900243">
                  <w:pPr>
                    <w:adjustRightInd w:val="0"/>
                    <w:snapToGrid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16" w:type="dxa"/>
                  <w:vAlign w:val="center"/>
                </w:tcPr>
                <w:p w14:paraId="6A53352B">
                  <w:pPr>
                    <w:adjustRightInd w:val="0"/>
                    <w:snapToGrid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套</w:t>
                  </w:r>
                </w:p>
              </w:tc>
              <w:tc>
                <w:tcPr>
                  <w:tcW w:w="762" w:type="dxa"/>
                  <w:vAlign w:val="center"/>
                </w:tcPr>
                <w:p w14:paraId="7A778688">
                  <w:pPr>
                    <w:adjustRightInd w:val="0"/>
                    <w:snapToGrid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189" w:type="dxa"/>
                  <w:vAlign w:val="center"/>
                </w:tcPr>
                <w:p w14:paraId="35931C57">
                  <w:pPr>
                    <w:adjustRightInd w:val="0"/>
                    <w:snapToGrid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称重</w:t>
                  </w:r>
                </w:p>
              </w:tc>
            </w:tr>
          </w:tbl>
          <w:p w14:paraId="1C4968F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Cs/>
                <w:color w:val="00B050"/>
                <w:sz w:val="24"/>
              </w:rPr>
            </w:pPr>
            <w:r>
              <w:rPr>
                <w:rFonts w:hint="eastAsia"/>
                <w:b/>
                <w:color w:val="00B050"/>
                <w:sz w:val="24"/>
                <w:lang w:val="en-US" w:eastAsia="zh-CN"/>
              </w:rPr>
              <w:t>2.1.9</w:t>
            </w:r>
            <w:r>
              <w:rPr>
                <w:rFonts w:hint="eastAsia"/>
                <w:b/>
                <w:color w:val="00B050"/>
                <w:sz w:val="24"/>
              </w:rPr>
              <w:t>平面布置</w:t>
            </w:r>
          </w:p>
          <w:p w14:paraId="230B9E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00B050"/>
                <w:sz w:val="24"/>
                <w:lang w:val="en-US" w:eastAsia="zh-CN"/>
              </w:rPr>
            </w:pPr>
            <w:r>
              <w:rPr>
                <w:rFonts w:hint="eastAsia"/>
                <w:bCs/>
                <w:color w:val="00B050"/>
                <w:sz w:val="24"/>
                <w:lang w:val="en-US" w:eastAsia="zh-CN"/>
              </w:rPr>
              <w:t>项目区入口位于南侧，项目由南至北分别为办公区、废矿物油装卸区、废旧电池装卸区、废矿物油罐区、废旧电池贮存区，平面布局满足危险废物接收流程，便于运输车辆出入，整体布局紧凑合理，符合运营需要。</w:t>
            </w:r>
          </w:p>
          <w:p w14:paraId="500A90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Cs/>
                <w:color w:val="00B050"/>
                <w:sz w:val="24"/>
                <w:lang w:val="en-US" w:eastAsia="zh-CN"/>
              </w:rPr>
            </w:pPr>
            <w:r>
              <w:rPr>
                <w:rFonts w:hint="eastAsia"/>
                <w:bCs/>
                <w:color w:val="00B050"/>
                <w:sz w:val="24"/>
                <w:lang w:val="en-US" w:eastAsia="zh-CN"/>
              </w:rPr>
              <w:t>总体而言，周边环境对厂区平面布局制约较小，项目平面布局整体合理。</w:t>
            </w:r>
          </w:p>
          <w:p w14:paraId="768EAEE0">
            <w:pPr>
              <w:keepNext w:val="0"/>
              <w:keepLines w:val="0"/>
              <w:pageBreakBefore w:val="0"/>
              <w:widowControl w:val="0"/>
              <w:kinsoku/>
              <w:wordWrap/>
              <w:overflowPunct/>
              <w:topLinePunct w:val="0"/>
              <w:autoSpaceDE/>
              <w:autoSpaceDN/>
              <w:bidi w:val="0"/>
              <w:adjustRightInd/>
              <w:snapToGrid/>
              <w:spacing w:line="360" w:lineRule="auto"/>
              <w:textAlignment w:val="auto"/>
              <w:rPr>
                <w:bCs/>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2.1.10</w:t>
            </w:r>
            <w:r>
              <w:rPr>
                <w:rFonts w:hint="eastAsia"/>
                <w:b/>
                <w:color w:val="000000" w:themeColor="text1"/>
                <w:sz w:val="24"/>
                <w14:textFill>
                  <w14:solidFill>
                    <w14:schemeClr w14:val="tx1"/>
                  </w14:solidFill>
                </w14:textFill>
              </w:rPr>
              <w:t>劳动定员及工作制度</w:t>
            </w:r>
          </w:p>
          <w:p w14:paraId="4F1B39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迁建后劳动人员共5</w:t>
            </w:r>
            <w:r>
              <w:rPr>
                <w:color w:val="000000" w:themeColor="text1"/>
                <w:sz w:val="24"/>
                <w14:textFill>
                  <w14:solidFill>
                    <w14:schemeClr w14:val="tx1"/>
                  </w14:solidFill>
                </w14:textFill>
              </w:rPr>
              <w:t>人，</w:t>
            </w:r>
            <w:r>
              <w:rPr>
                <w:rFonts w:hint="eastAsia"/>
                <w:color w:val="000000" w:themeColor="text1"/>
                <w:sz w:val="24"/>
                <w:lang w:val="en-US" w:eastAsia="zh-CN"/>
                <w14:textFill>
                  <w14:solidFill>
                    <w14:schemeClr w14:val="tx1"/>
                  </w14:solidFill>
                </w14:textFill>
              </w:rPr>
              <w:t>项目内不提供食宿，仅安排值班宿舍供值班人员休息。</w:t>
            </w: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危险废物贮存库全年运行365d，</w:t>
            </w:r>
            <w:r>
              <w:rPr>
                <w:rFonts w:hint="eastAsia"/>
                <w:color w:val="000000" w:themeColor="text1"/>
                <w:sz w:val="24"/>
                <w14:textFill>
                  <w14:solidFill>
                    <w14:schemeClr w14:val="tx1"/>
                  </w14:solidFill>
                </w14:textFill>
              </w:rPr>
              <w:t>夜间</w:t>
            </w:r>
            <w:r>
              <w:rPr>
                <w:rFonts w:hint="eastAsia"/>
                <w:color w:val="000000" w:themeColor="text1"/>
                <w:sz w:val="24"/>
                <w:lang w:val="en-US" w:eastAsia="zh-CN"/>
                <w14:textFill>
                  <w14:solidFill>
                    <w14:schemeClr w14:val="tx1"/>
                  </w14:solidFill>
                </w14:textFill>
              </w:rPr>
              <w:t>不进行危险废物</w:t>
            </w:r>
            <w:r>
              <w:rPr>
                <w:rFonts w:hint="eastAsia"/>
                <w:color w:val="000000" w:themeColor="text1"/>
                <w:sz w:val="24"/>
                <w14:textFill>
                  <w14:solidFill>
                    <w14:schemeClr w14:val="tx1"/>
                  </w14:solidFill>
                </w14:textFill>
              </w:rPr>
              <w:t>装卸</w:t>
            </w:r>
            <w:r>
              <w:rPr>
                <w:rFonts w:hint="eastAsia"/>
                <w:color w:val="000000" w:themeColor="text1"/>
                <w:sz w:val="24"/>
                <w:lang w:val="en-US" w:eastAsia="zh-CN"/>
                <w14:textFill>
                  <w14:solidFill>
                    <w14:schemeClr w14:val="tx1"/>
                  </w14:solidFill>
                </w14:textFill>
              </w:rPr>
              <w:t>工作</w:t>
            </w:r>
            <w:r>
              <w:rPr>
                <w:rFonts w:hint="eastAsia"/>
                <w:color w:val="000000" w:themeColor="text1"/>
                <w:sz w:val="24"/>
                <w14:textFill>
                  <w14:solidFill>
                    <w14:schemeClr w14:val="tx1"/>
                  </w14:solidFill>
                </w14:textFill>
              </w:rPr>
              <w:t>。</w:t>
            </w:r>
          </w:p>
          <w:p w14:paraId="1B1CE2B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bCs/>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2.1.11施工计划</w:t>
            </w:r>
          </w:p>
          <w:p w14:paraId="79EE37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B050"/>
                <w:sz w:val="24"/>
                <w:lang w:val="en-US" w:eastAsia="zh-CN"/>
              </w:rPr>
            </w:pPr>
            <w:r>
              <w:rPr>
                <w:rFonts w:hint="eastAsia"/>
                <w:color w:val="00B050"/>
                <w:sz w:val="24"/>
                <w:lang w:val="en-US" w:eastAsia="zh-CN"/>
              </w:rPr>
              <w:t>项目拟于2025年3月开工建设，2025年9月建设竣工，施工期共计6个月。</w:t>
            </w:r>
          </w:p>
          <w:p w14:paraId="3A999D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2.1.12环保投资</w:t>
            </w:r>
          </w:p>
          <w:p w14:paraId="3DB166E2">
            <w:pPr>
              <w:pageBreakBefore w:val="0"/>
              <w:kinsoku/>
              <w:wordWrap/>
              <w:overflowPunct/>
              <w:topLinePunct w:val="0"/>
              <w:bidi w:val="0"/>
              <w:spacing w:line="360" w:lineRule="auto"/>
              <w:ind w:firstLine="480" w:firstLineChars="200"/>
              <w:rPr>
                <w:color w:val="00B050"/>
                <w:sz w:val="24"/>
                <w:highlight w:val="none"/>
              </w:rPr>
            </w:pPr>
            <w:r>
              <w:rPr>
                <w:color w:val="00B050"/>
                <w:sz w:val="24"/>
                <w:highlight w:val="none"/>
              </w:rPr>
              <w:t>本工程总投资</w:t>
            </w:r>
            <w:r>
              <w:rPr>
                <w:rFonts w:hint="eastAsia"/>
                <w:color w:val="00B050"/>
                <w:sz w:val="24"/>
                <w:highlight w:val="none"/>
                <w:lang w:val="en-US" w:eastAsia="zh-CN"/>
              </w:rPr>
              <w:t>300</w:t>
            </w:r>
            <w:r>
              <w:rPr>
                <w:color w:val="00B050"/>
                <w:sz w:val="24"/>
                <w:highlight w:val="none"/>
              </w:rPr>
              <w:t>万元，其中环保投资</w:t>
            </w:r>
            <w:r>
              <w:rPr>
                <w:rFonts w:hint="eastAsia"/>
                <w:color w:val="00B050"/>
                <w:sz w:val="24"/>
                <w:highlight w:val="none"/>
                <w:lang w:val="en-US" w:eastAsia="zh-CN"/>
              </w:rPr>
              <w:t>87</w:t>
            </w:r>
            <w:r>
              <w:rPr>
                <w:color w:val="00B050"/>
                <w:sz w:val="24"/>
                <w:highlight w:val="none"/>
              </w:rPr>
              <w:t>万元，占总投资比例</w:t>
            </w:r>
            <w:r>
              <w:rPr>
                <w:rFonts w:hint="eastAsia"/>
                <w:color w:val="00B050"/>
                <w:sz w:val="24"/>
                <w:highlight w:val="none"/>
                <w:lang w:val="en-US" w:eastAsia="zh-CN"/>
              </w:rPr>
              <w:t>29</w:t>
            </w:r>
            <w:r>
              <w:rPr>
                <w:color w:val="00B050"/>
                <w:sz w:val="24"/>
                <w:highlight w:val="none"/>
              </w:rPr>
              <w:t>%。环保投资分项估算见表2</w:t>
            </w:r>
            <w:r>
              <w:rPr>
                <w:rFonts w:hint="eastAsia"/>
                <w:color w:val="00B050"/>
                <w:sz w:val="24"/>
                <w:highlight w:val="none"/>
                <w:lang w:val="en-US" w:eastAsia="zh-CN"/>
              </w:rPr>
              <w:t>.1</w:t>
            </w:r>
            <w:r>
              <w:rPr>
                <w:color w:val="00B050"/>
                <w:sz w:val="24"/>
                <w:highlight w:val="none"/>
              </w:rPr>
              <w:t>-</w:t>
            </w:r>
            <w:r>
              <w:rPr>
                <w:rFonts w:hint="eastAsia"/>
                <w:color w:val="00B050"/>
                <w:sz w:val="24"/>
                <w:highlight w:val="none"/>
                <w:lang w:val="en-US" w:eastAsia="zh-CN"/>
              </w:rPr>
              <w:t>10所示</w:t>
            </w:r>
            <w:r>
              <w:rPr>
                <w:color w:val="00B050"/>
                <w:sz w:val="24"/>
                <w:highlight w:val="none"/>
              </w:rPr>
              <w:t>。</w:t>
            </w:r>
          </w:p>
          <w:p w14:paraId="677E9C45">
            <w:pPr>
              <w:pStyle w:val="11"/>
              <w:pageBreakBefore w:val="0"/>
              <w:widowControl w:val="0"/>
              <w:kinsoku/>
              <w:wordWrap/>
              <w:overflowPunct/>
              <w:topLinePunct w:val="0"/>
              <w:bidi w:val="0"/>
              <w:snapToGrid/>
              <w:spacing w:before="0" w:after="0" w:line="240" w:lineRule="auto"/>
              <w:ind w:right="0"/>
              <w:jc w:val="center"/>
              <w:rPr>
                <w:rFonts w:hint="default" w:ascii="Times New Roman" w:hAnsi="Times New Roman" w:eastAsia="宋体" w:cs="Times New Roman"/>
                <w:b/>
                <w:bCs/>
                <w:color w:val="000000" w:themeColor="text1"/>
                <w:sz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lang w:val="en-US" w:eastAsia="zh-CN"/>
                <w14:textFill>
                  <w14:solidFill>
                    <w14:schemeClr w14:val="tx1"/>
                  </w14:solidFill>
                </w14:textFill>
              </w:rPr>
              <w:t>-</w:t>
            </w:r>
            <w:r>
              <w:rPr>
                <w:rFonts w:hint="eastAsia" w:cs="Times New Roman"/>
                <w:b/>
                <w:bCs/>
                <w:color w:val="000000" w:themeColor="text1"/>
                <w:sz w:val="21"/>
                <w:lang w:val="en-US" w:eastAsia="zh-CN"/>
                <w14:textFill>
                  <w14:solidFill>
                    <w14:schemeClr w14:val="tx1"/>
                  </w14:solidFill>
                </w14:textFill>
              </w:rPr>
              <w:t>10</w:t>
            </w:r>
            <w:r>
              <w:rPr>
                <w:rFonts w:hint="default" w:ascii="Times New Roman" w:hAnsi="Times New Roman" w:eastAsia="宋体" w:cs="Times New Roman"/>
                <w:b/>
                <w:bCs/>
                <w:color w:val="000000" w:themeColor="text1"/>
                <w:sz w:val="21"/>
                <w:lang w:val="en-US" w:eastAsia="zh-CN"/>
                <w14:textFill>
                  <w14:solidFill>
                    <w14:schemeClr w14:val="tx1"/>
                  </w14:solidFill>
                </w14:textFill>
              </w:rPr>
              <w:t xml:space="preserve">  环境保护投资概算表  单位：万元</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065"/>
              <w:gridCol w:w="4607"/>
              <w:gridCol w:w="1595"/>
            </w:tblGrid>
            <w:tr w14:paraId="71DD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tcBorders>
                    <w:bottom w:val="single" w:color="auto" w:sz="4" w:space="0"/>
                  </w:tcBorders>
                  <w:noWrap/>
                  <w:vAlign w:val="center"/>
                </w:tcPr>
                <w:p w14:paraId="2B1791D2">
                  <w:pPr>
                    <w:pageBreakBefore w:val="0"/>
                    <w:kinsoku/>
                    <w:wordWrap/>
                    <w:overflowPunct/>
                    <w:topLinePunct w:val="0"/>
                    <w:bidi w:val="0"/>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序号</w:t>
                  </w:r>
                </w:p>
              </w:tc>
              <w:tc>
                <w:tcPr>
                  <w:tcW w:w="3444" w:type="pct"/>
                  <w:gridSpan w:val="2"/>
                  <w:tcBorders>
                    <w:bottom w:val="single" w:color="auto" w:sz="4" w:space="0"/>
                  </w:tcBorders>
                  <w:noWrap/>
                  <w:vAlign w:val="center"/>
                </w:tcPr>
                <w:p w14:paraId="3CCD49E9">
                  <w:pPr>
                    <w:pageBreakBefore w:val="0"/>
                    <w:kinsoku/>
                    <w:wordWrap/>
                    <w:overflowPunct/>
                    <w:topLinePunct w:val="0"/>
                    <w:bidi w:val="0"/>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投资名称</w:t>
                  </w:r>
                </w:p>
              </w:tc>
              <w:tc>
                <w:tcPr>
                  <w:tcW w:w="968" w:type="pct"/>
                  <w:tcBorders>
                    <w:bottom w:val="single" w:color="auto" w:sz="4" w:space="0"/>
                  </w:tcBorders>
                  <w:noWrap/>
                  <w:vAlign w:val="center"/>
                </w:tcPr>
                <w:p w14:paraId="38CA20FF">
                  <w:pPr>
                    <w:pageBreakBefore w:val="0"/>
                    <w:kinsoku/>
                    <w:wordWrap/>
                    <w:overflowPunct/>
                    <w:topLinePunct w:val="0"/>
                    <w:bidi w:val="0"/>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投资（万元）</w:t>
                  </w:r>
                </w:p>
              </w:tc>
            </w:tr>
            <w:tr w14:paraId="1BB4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4"/>
                  <w:tcBorders>
                    <w:bottom w:val="single" w:color="auto" w:sz="4" w:space="0"/>
                  </w:tcBorders>
                  <w:noWrap/>
                  <w:vAlign w:val="center"/>
                </w:tcPr>
                <w:p w14:paraId="0126A14B">
                  <w:pPr>
                    <w:pageBreakBefore w:val="0"/>
                    <w:kinsoku/>
                    <w:wordWrap/>
                    <w:overflowPunct/>
                    <w:topLinePunct w:val="0"/>
                    <w:bidi w:val="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（1）施工期</w:t>
                  </w:r>
                </w:p>
              </w:tc>
            </w:tr>
            <w:tr w14:paraId="258C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noWrap/>
                  <w:vAlign w:val="center"/>
                </w:tcPr>
                <w:p w14:paraId="27E4F45C">
                  <w:pPr>
                    <w:pageBreakBefore w:val="0"/>
                    <w:kinsoku/>
                    <w:wordWrap/>
                    <w:overflowPunct/>
                    <w:topLinePunct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46" w:type="pct"/>
                  <w:vMerge w:val="restart"/>
                  <w:noWrap/>
                  <w:vAlign w:val="center"/>
                </w:tcPr>
                <w:p w14:paraId="3AFE8E8C">
                  <w:pPr>
                    <w:pageBreakBefore w:val="0"/>
                    <w:kinsoku/>
                    <w:wordWrap/>
                    <w:overflowPunct/>
                    <w:topLinePunct w:val="0"/>
                    <w:bidi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2797" w:type="pct"/>
                  <w:noWrap/>
                  <w:vAlign w:val="center"/>
                </w:tcPr>
                <w:p w14:paraId="147645EB">
                  <w:pPr>
                    <w:pageBreakBefore w:val="0"/>
                    <w:kinsoku/>
                    <w:wordWrap/>
                    <w:overflowPunct/>
                    <w:topLinePunct w:val="0"/>
                    <w:bidi w:val="0"/>
                    <w:adjustRightInd w:val="0"/>
                    <w:snapToGrid w:val="0"/>
                    <w:ind w:left="-36" w:leftChars="-17" w:firstLine="42" w:firstLineChars="2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施工围挡</w:t>
                  </w:r>
                </w:p>
              </w:tc>
              <w:tc>
                <w:tcPr>
                  <w:tcW w:w="968" w:type="pct"/>
                  <w:noWrap/>
                  <w:vAlign w:val="center"/>
                </w:tcPr>
                <w:p w14:paraId="3F0A7F1E">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r>
            <w:tr w14:paraId="5FA5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noWrap/>
                  <w:vAlign w:val="center"/>
                </w:tcPr>
                <w:p w14:paraId="75FA38E4">
                  <w:pPr>
                    <w:pageBreakBefore w:val="0"/>
                    <w:kinsoku/>
                    <w:wordWrap/>
                    <w:overflowPunct/>
                    <w:topLinePunct w:val="0"/>
                    <w:bidi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646" w:type="pct"/>
                  <w:vMerge w:val="continue"/>
                  <w:noWrap/>
                  <w:vAlign w:val="center"/>
                </w:tcPr>
                <w:p w14:paraId="22C97220">
                  <w:pPr>
                    <w:pageBreakBefore w:val="0"/>
                    <w:kinsoku/>
                    <w:wordWrap/>
                    <w:overflowPunct/>
                    <w:topLinePunct w:val="0"/>
                    <w:bidi w:val="0"/>
                    <w:adjustRightInd w:val="0"/>
                    <w:snapToGrid w:val="0"/>
                    <w:jc w:val="center"/>
                    <w:rPr>
                      <w:color w:val="000000" w:themeColor="text1"/>
                      <w:szCs w:val="21"/>
                      <w14:textFill>
                        <w14:solidFill>
                          <w14:schemeClr w14:val="tx1"/>
                        </w14:solidFill>
                      </w14:textFill>
                    </w:rPr>
                  </w:pPr>
                </w:p>
              </w:tc>
              <w:tc>
                <w:tcPr>
                  <w:tcW w:w="2797" w:type="pct"/>
                  <w:noWrap/>
                  <w:vAlign w:val="center"/>
                </w:tcPr>
                <w:p w14:paraId="46A03F36">
                  <w:pPr>
                    <w:pageBreakBefore w:val="0"/>
                    <w:kinsoku/>
                    <w:wordWrap/>
                    <w:overflowPunct/>
                    <w:topLinePunct w:val="0"/>
                    <w:bidi w:val="0"/>
                    <w:adjustRightInd w:val="0"/>
                    <w:snapToGrid w:val="0"/>
                    <w:ind w:left="-36" w:leftChars="-17" w:firstLine="42" w:firstLineChars="2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易扬尘物料苫布、防尘网遮盖</w:t>
                  </w:r>
                </w:p>
              </w:tc>
              <w:tc>
                <w:tcPr>
                  <w:tcW w:w="968" w:type="pct"/>
                  <w:noWrap/>
                  <w:vAlign w:val="center"/>
                </w:tcPr>
                <w:p w14:paraId="5971B8A0">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w:t>
                  </w:r>
                </w:p>
              </w:tc>
            </w:tr>
            <w:tr w14:paraId="1D22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noWrap/>
                  <w:vAlign w:val="center"/>
                </w:tcPr>
                <w:p w14:paraId="3294970D">
                  <w:pPr>
                    <w:pageBreakBefore w:val="0"/>
                    <w:kinsoku/>
                    <w:wordWrap/>
                    <w:overflowPunct/>
                    <w:topLinePunct w:val="0"/>
                    <w:bidi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646" w:type="pct"/>
                  <w:vMerge w:val="continue"/>
                  <w:noWrap/>
                  <w:vAlign w:val="center"/>
                </w:tcPr>
                <w:p w14:paraId="41B168EC">
                  <w:pPr>
                    <w:pageBreakBefore w:val="0"/>
                    <w:kinsoku/>
                    <w:wordWrap/>
                    <w:overflowPunct/>
                    <w:topLinePunct w:val="0"/>
                    <w:bidi w:val="0"/>
                    <w:adjustRightInd w:val="0"/>
                    <w:snapToGrid w:val="0"/>
                    <w:jc w:val="center"/>
                    <w:rPr>
                      <w:color w:val="000000" w:themeColor="text1"/>
                      <w:szCs w:val="21"/>
                      <w14:textFill>
                        <w14:solidFill>
                          <w14:schemeClr w14:val="tx1"/>
                        </w14:solidFill>
                      </w14:textFill>
                    </w:rPr>
                  </w:pPr>
                </w:p>
              </w:tc>
              <w:tc>
                <w:tcPr>
                  <w:tcW w:w="2797" w:type="pct"/>
                  <w:noWrap/>
                  <w:vAlign w:val="center"/>
                </w:tcPr>
                <w:p w14:paraId="7A81F2BD">
                  <w:pPr>
                    <w:pageBreakBefore w:val="0"/>
                    <w:kinsoku/>
                    <w:wordWrap/>
                    <w:overflowPunct/>
                    <w:topLinePunct w:val="0"/>
                    <w:bidi w:val="0"/>
                    <w:adjustRightInd w:val="0"/>
                    <w:snapToGrid w:val="0"/>
                    <w:ind w:left="-36" w:leftChars="-17" w:firstLine="42" w:firstLineChars="2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洒水降尘</w:t>
                  </w:r>
                </w:p>
              </w:tc>
              <w:tc>
                <w:tcPr>
                  <w:tcW w:w="968" w:type="pct"/>
                  <w:noWrap/>
                  <w:vAlign w:val="center"/>
                </w:tcPr>
                <w:p w14:paraId="622F9976">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w:t>
                  </w:r>
                </w:p>
              </w:tc>
            </w:tr>
            <w:tr w14:paraId="0D76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noWrap/>
                  <w:vAlign w:val="center"/>
                </w:tcPr>
                <w:p w14:paraId="3C615604">
                  <w:pPr>
                    <w:pageBreakBefore w:val="0"/>
                    <w:kinsoku/>
                    <w:wordWrap/>
                    <w:overflowPunct/>
                    <w:topLinePunct w:val="0"/>
                    <w:bidi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646" w:type="pct"/>
                  <w:vMerge w:val="restart"/>
                  <w:noWrap/>
                  <w:vAlign w:val="center"/>
                </w:tcPr>
                <w:p w14:paraId="46BFAC54">
                  <w:pPr>
                    <w:pageBreakBefore w:val="0"/>
                    <w:kinsoku/>
                    <w:wordWrap/>
                    <w:overflowPunct/>
                    <w:topLinePunct w:val="0"/>
                    <w:bidi w:val="0"/>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废水</w:t>
                  </w:r>
                </w:p>
              </w:tc>
              <w:tc>
                <w:tcPr>
                  <w:tcW w:w="2797" w:type="pct"/>
                  <w:noWrap/>
                  <w:vAlign w:val="center"/>
                </w:tcPr>
                <w:p w14:paraId="003189FF">
                  <w:pPr>
                    <w:pageBreakBefore w:val="0"/>
                    <w:kinsoku/>
                    <w:wordWrap/>
                    <w:overflowPunct/>
                    <w:topLinePunct w:val="0"/>
                    <w:bidi w:val="0"/>
                    <w:adjustRightInd w:val="0"/>
                    <w:snapToGrid w:val="0"/>
                    <w:ind w:left="-36" w:leftChars="-17" w:firstLine="42" w:firstLineChars="2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施工废水收集池</w:t>
                  </w:r>
                </w:p>
              </w:tc>
              <w:tc>
                <w:tcPr>
                  <w:tcW w:w="968" w:type="pct"/>
                  <w:noWrap/>
                  <w:vAlign w:val="center"/>
                </w:tcPr>
                <w:p w14:paraId="79BAC131">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w:t>
                  </w:r>
                </w:p>
              </w:tc>
            </w:tr>
            <w:tr w14:paraId="450E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noWrap/>
                  <w:vAlign w:val="center"/>
                </w:tcPr>
                <w:p w14:paraId="2DBBBFB2">
                  <w:pPr>
                    <w:pageBreakBefore w:val="0"/>
                    <w:kinsoku/>
                    <w:wordWrap/>
                    <w:overflowPunct/>
                    <w:topLinePunct w:val="0"/>
                    <w:bidi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646" w:type="pct"/>
                  <w:vMerge w:val="continue"/>
                  <w:noWrap/>
                  <w:vAlign w:val="center"/>
                </w:tcPr>
                <w:p w14:paraId="62057625">
                  <w:pPr>
                    <w:pageBreakBefore w:val="0"/>
                    <w:kinsoku/>
                    <w:wordWrap/>
                    <w:overflowPunct/>
                    <w:topLinePunct w:val="0"/>
                    <w:bidi w:val="0"/>
                    <w:adjustRightInd w:val="0"/>
                    <w:snapToGrid w:val="0"/>
                    <w:jc w:val="center"/>
                    <w:rPr>
                      <w:rFonts w:hint="eastAsia"/>
                      <w:color w:val="000000" w:themeColor="text1"/>
                      <w:szCs w:val="21"/>
                      <w:lang w:val="en-US" w:eastAsia="zh-CN"/>
                      <w14:textFill>
                        <w14:solidFill>
                          <w14:schemeClr w14:val="tx1"/>
                        </w14:solidFill>
                      </w14:textFill>
                    </w:rPr>
                  </w:pPr>
                </w:p>
              </w:tc>
              <w:tc>
                <w:tcPr>
                  <w:tcW w:w="2797" w:type="pct"/>
                  <w:noWrap/>
                  <w:vAlign w:val="center"/>
                </w:tcPr>
                <w:p w14:paraId="47882494">
                  <w:pPr>
                    <w:pageBreakBefore w:val="0"/>
                    <w:kinsoku/>
                    <w:wordWrap/>
                    <w:overflowPunct/>
                    <w:topLinePunct w:val="0"/>
                    <w:bidi w:val="0"/>
                    <w:adjustRightInd w:val="0"/>
                    <w:snapToGrid w:val="0"/>
                    <w:ind w:left="-36" w:leftChars="-17" w:firstLine="42" w:firstLineChars="2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临时截排水沟</w:t>
                  </w:r>
                </w:p>
              </w:tc>
              <w:tc>
                <w:tcPr>
                  <w:tcW w:w="968" w:type="pct"/>
                  <w:noWrap/>
                  <w:vAlign w:val="center"/>
                </w:tcPr>
                <w:p w14:paraId="280BE04A">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w:t>
                  </w:r>
                </w:p>
              </w:tc>
            </w:tr>
            <w:tr w14:paraId="7E4F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pct"/>
                  <w:shd w:val="clear" w:color="auto" w:fill="auto"/>
                  <w:noWrap/>
                  <w:vAlign w:val="center"/>
                </w:tcPr>
                <w:p w14:paraId="4AAEC560">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646" w:type="pct"/>
                  <w:vMerge w:val="restart"/>
                  <w:noWrap/>
                  <w:vAlign w:val="center"/>
                </w:tcPr>
                <w:p w14:paraId="636D1499">
                  <w:pPr>
                    <w:pageBreakBefore w:val="0"/>
                    <w:kinsoku/>
                    <w:wordWrap/>
                    <w:overflowPunct/>
                    <w:topLinePunct w:val="0"/>
                    <w:bidi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2797" w:type="pct"/>
                  <w:noWrap/>
                  <w:vAlign w:val="center"/>
                </w:tcPr>
                <w:p w14:paraId="7B734415">
                  <w:pPr>
                    <w:pageBreakBefore w:val="0"/>
                    <w:kinsoku/>
                    <w:wordWrap/>
                    <w:overflowPunct/>
                    <w:topLinePunct w:val="0"/>
                    <w:bidi w:val="0"/>
                    <w:adjustRightInd w:val="0"/>
                    <w:snapToGrid w:val="0"/>
                    <w:ind w:left="-36" w:leftChars="-17" w:firstLine="42" w:firstLineChars="2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生活垃圾清运处置</w:t>
                  </w:r>
                </w:p>
              </w:tc>
              <w:tc>
                <w:tcPr>
                  <w:tcW w:w="968" w:type="pct"/>
                  <w:noWrap/>
                  <w:vAlign w:val="center"/>
                </w:tcPr>
                <w:p w14:paraId="47183862">
                  <w:pPr>
                    <w:pageBreakBefore w:val="0"/>
                    <w:kinsoku/>
                    <w:wordWrap/>
                    <w:overflowPunct/>
                    <w:topLinePunct w:val="0"/>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r>
            <w:tr w14:paraId="15DF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136FE419">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646" w:type="pct"/>
                  <w:vMerge w:val="continue"/>
                  <w:noWrap/>
                  <w:vAlign w:val="center"/>
                </w:tcPr>
                <w:p w14:paraId="5B42D8B4">
                  <w:pPr>
                    <w:pageBreakBefore w:val="0"/>
                    <w:kinsoku/>
                    <w:wordWrap/>
                    <w:overflowPunct/>
                    <w:topLinePunct w:val="0"/>
                    <w:bidi w:val="0"/>
                    <w:adjustRightInd w:val="0"/>
                    <w:snapToGrid w:val="0"/>
                    <w:jc w:val="center"/>
                    <w:rPr>
                      <w:color w:val="000000" w:themeColor="text1"/>
                      <w:szCs w:val="21"/>
                      <w14:textFill>
                        <w14:solidFill>
                          <w14:schemeClr w14:val="tx1"/>
                        </w14:solidFill>
                      </w14:textFill>
                    </w:rPr>
                  </w:pPr>
                </w:p>
              </w:tc>
              <w:tc>
                <w:tcPr>
                  <w:tcW w:w="2797" w:type="pct"/>
                  <w:noWrap/>
                  <w:vAlign w:val="center"/>
                </w:tcPr>
                <w:p w14:paraId="5830F93E">
                  <w:pPr>
                    <w:pageBreakBefore w:val="0"/>
                    <w:kinsoku/>
                    <w:wordWrap/>
                    <w:overflowPunct/>
                    <w:topLinePunct w:val="0"/>
                    <w:bidi w:val="0"/>
                    <w:adjustRightInd w:val="0"/>
                    <w:snapToGrid w:val="0"/>
                    <w:ind w:left="-36" w:leftChars="-17" w:firstLine="42" w:firstLineChars="2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建筑垃圾清运处置</w:t>
                  </w:r>
                </w:p>
              </w:tc>
              <w:tc>
                <w:tcPr>
                  <w:tcW w:w="968" w:type="pct"/>
                  <w:noWrap/>
                  <w:vAlign w:val="center"/>
                </w:tcPr>
                <w:p w14:paraId="5BAFA18D">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0.8</w:t>
                  </w:r>
                </w:p>
              </w:tc>
            </w:tr>
            <w:tr w14:paraId="49B7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031" w:type="pct"/>
                  <w:gridSpan w:val="3"/>
                  <w:shd w:val="clear" w:color="auto" w:fill="auto"/>
                  <w:noWrap/>
                  <w:vAlign w:val="center"/>
                </w:tcPr>
                <w:p w14:paraId="2894DC63">
                  <w:pPr>
                    <w:pageBreakBefore w:val="0"/>
                    <w:kinsoku/>
                    <w:wordWrap/>
                    <w:overflowPunct/>
                    <w:topLinePunct w:val="0"/>
                    <w:bidi w:val="0"/>
                    <w:adjustRightInd w:val="0"/>
                    <w:snapToGrid w:val="0"/>
                    <w:ind w:left="-36" w:leftChars="-17" w:firstLine="42" w:firstLineChars="20"/>
                    <w:jc w:val="center"/>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施工期环保投资合计</w:t>
                  </w:r>
                </w:p>
              </w:tc>
              <w:tc>
                <w:tcPr>
                  <w:tcW w:w="968" w:type="pct"/>
                  <w:noWrap/>
                  <w:vAlign w:val="center"/>
                </w:tcPr>
                <w:p w14:paraId="75A86DAA">
                  <w:pPr>
                    <w:pageBreakBefore w:val="0"/>
                    <w:kinsoku/>
                    <w:wordWrap/>
                    <w:overflowPunct/>
                    <w:topLinePunct w:val="0"/>
                    <w:bidi w:val="0"/>
                    <w:jc w:val="center"/>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2.6</w:t>
                  </w:r>
                </w:p>
              </w:tc>
            </w:tr>
            <w:tr w14:paraId="2B41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4"/>
                  <w:noWrap/>
                  <w:vAlign w:val="center"/>
                </w:tcPr>
                <w:p w14:paraId="153E4F68">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运营期</w:t>
                  </w:r>
                </w:p>
              </w:tc>
            </w:tr>
            <w:tr w14:paraId="7D1E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pct"/>
                  <w:noWrap/>
                  <w:vAlign w:val="center"/>
                </w:tcPr>
                <w:p w14:paraId="1969F91A">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646" w:type="pct"/>
                  <w:vMerge w:val="restart"/>
                  <w:noWrap/>
                  <w:vAlign w:val="center"/>
                </w:tcPr>
                <w:p w14:paraId="4CFA9D86">
                  <w:pPr>
                    <w:pageBreakBefore w:val="0"/>
                    <w:kinsoku/>
                    <w:wordWrap/>
                    <w:overflowPunct/>
                    <w:topLinePunct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w:t>
                  </w:r>
                </w:p>
              </w:tc>
              <w:tc>
                <w:tcPr>
                  <w:tcW w:w="2797" w:type="pct"/>
                  <w:noWrap/>
                  <w:vAlign w:val="center"/>
                </w:tcPr>
                <w:p w14:paraId="2A0DE4E8">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活性炭吸附装置1座</w:t>
                  </w:r>
                </w:p>
              </w:tc>
              <w:tc>
                <w:tcPr>
                  <w:tcW w:w="968" w:type="pct"/>
                  <w:noWrap/>
                  <w:vAlign w:val="center"/>
                </w:tcPr>
                <w:p w14:paraId="573EF66B">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w:t>
                  </w:r>
                </w:p>
              </w:tc>
            </w:tr>
            <w:tr w14:paraId="0FFA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pct"/>
                  <w:noWrap/>
                  <w:vAlign w:val="center"/>
                </w:tcPr>
                <w:p w14:paraId="269489E6">
                  <w:pPr>
                    <w:pageBreakBefore w:val="0"/>
                    <w:kinsoku/>
                    <w:wordWrap/>
                    <w:overflowPunct/>
                    <w:topLinePunct w:val="0"/>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11</w:t>
                  </w:r>
                </w:p>
              </w:tc>
              <w:tc>
                <w:tcPr>
                  <w:tcW w:w="646" w:type="pct"/>
                  <w:vMerge w:val="continue"/>
                  <w:noWrap/>
                  <w:vAlign w:val="center"/>
                </w:tcPr>
                <w:p w14:paraId="2F2ED254">
                  <w:pPr>
                    <w:pageBreakBefore w:val="0"/>
                    <w:kinsoku/>
                    <w:wordWrap/>
                    <w:overflowPunct/>
                    <w:topLinePunct w:val="0"/>
                    <w:bidi w:val="0"/>
                    <w:jc w:val="center"/>
                    <w:rPr>
                      <w:color w:val="000000" w:themeColor="text1"/>
                      <w:szCs w:val="21"/>
                      <w14:textFill>
                        <w14:solidFill>
                          <w14:schemeClr w14:val="tx1"/>
                        </w14:solidFill>
                      </w14:textFill>
                    </w:rPr>
                  </w:pPr>
                </w:p>
              </w:tc>
              <w:tc>
                <w:tcPr>
                  <w:tcW w:w="2797" w:type="pct"/>
                  <w:noWrap/>
                  <w:vAlign w:val="center"/>
                </w:tcPr>
                <w:p w14:paraId="407F05F9">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碱洗塔1座</w:t>
                  </w:r>
                </w:p>
              </w:tc>
              <w:tc>
                <w:tcPr>
                  <w:tcW w:w="968" w:type="pct"/>
                  <w:noWrap/>
                  <w:vAlign w:val="center"/>
                </w:tcPr>
                <w:p w14:paraId="04AFD26D">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r>
            <w:tr w14:paraId="3B26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pct"/>
                  <w:noWrap/>
                  <w:vAlign w:val="center"/>
                </w:tcPr>
                <w:p w14:paraId="59964979">
                  <w:pPr>
                    <w:pageBreakBefore w:val="0"/>
                    <w:kinsoku/>
                    <w:wordWrap/>
                    <w:overflowPunct/>
                    <w:topLinePunct w:val="0"/>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p>
              </w:tc>
              <w:tc>
                <w:tcPr>
                  <w:tcW w:w="646" w:type="pct"/>
                  <w:vMerge w:val="continue"/>
                  <w:noWrap/>
                  <w:vAlign w:val="center"/>
                </w:tcPr>
                <w:p w14:paraId="22A9C626">
                  <w:pPr>
                    <w:pageBreakBefore w:val="0"/>
                    <w:kinsoku/>
                    <w:wordWrap/>
                    <w:overflowPunct/>
                    <w:topLinePunct w:val="0"/>
                    <w:bidi w:val="0"/>
                    <w:jc w:val="center"/>
                    <w:rPr>
                      <w:color w:val="000000" w:themeColor="text1"/>
                      <w:szCs w:val="21"/>
                      <w14:textFill>
                        <w14:solidFill>
                          <w14:schemeClr w14:val="tx1"/>
                        </w14:solidFill>
                      </w14:textFill>
                    </w:rPr>
                  </w:pPr>
                </w:p>
              </w:tc>
              <w:tc>
                <w:tcPr>
                  <w:tcW w:w="2797" w:type="pct"/>
                  <w:noWrap/>
                  <w:vAlign w:val="center"/>
                </w:tcPr>
                <w:p w14:paraId="7D53C555">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废铅蓄电池贮区上方设3座集气罩</w:t>
                  </w:r>
                </w:p>
              </w:tc>
              <w:tc>
                <w:tcPr>
                  <w:tcW w:w="968" w:type="pct"/>
                  <w:noWrap/>
                  <w:vAlign w:val="center"/>
                </w:tcPr>
                <w:p w14:paraId="1BE1E8C8">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r>
            <w:tr w14:paraId="2B38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pct"/>
                  <w:noWrap/>
                  <w:vAlign w:val="center"/>
                </w:tcPr>
                <w:p w14:paraId="5355692C">
                  <w:pPr>
                    <w:pageBreakBefore w:val="0"/>
                    <w:kinsoku/>
                    <w:wordWrap/>
                    <w:overflowPunct/>
                    <w:topLinePunct w:val="0"/>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13</w:t>
                  </w:r>
                </w:p>
              </w:tc>
              <w:tc>
                <w:tcPr>
                  <w:tcW w:w="646" w:type="pct"/>
                  <w:vMerge w:val="continue"/>
                  <w:noWrap/>
                  <w:vAlign w:val="center"/>
                </w:tcPr>
                <w:p w14:paraId="7C5D71E4">
                  <w:pPr>
                    <w:pageBreakBefore w:val="0"/>
                    <w:kinsoku/>
                    <w:wordWrap/>
                    <w:overflowPunct/>
                    <w:topLinePunct w:val="0"/>
                    <w:bidi w:val="0"/>
                    <w:jc w:val="center"/>
                    <w:rPr>
                      <w:color w:val="000000" w:themeColor="text1"/>
                      <w:szCs w:val="21"/>
                      <w14:textFill>
                        <w14:solidFill>
                          <w14:schemeClr w14:val="tx1"/>
                        </w14:solidFill>
                      </w14:textFill>
                    </w:rPr>
                  </w:pPr>
                </w:p>
              </w:tc>
              <w:tc>
                <w:tcPr>
                  <w:tcW w:w="2797" w:type="pct"/>
                  <w:noWrap/>
                  <w:vAlign w:val="center"/>
                </w:tcPr>
                <w:p w14:paraId="7552D271">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15m高排气筒1根</w:t>
                  </w:r>
                </w:p>
              </w:tc>
              <w:tc>
                <w:tcPr>
                  <w:tcW w:w="968" w:type="pct"/>
                  <w:noWrap/>
                  <w:vAlign w:val="center"/>
                </w:tcPr>
                <w:p w14:paraId="3A6E624F">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r>
            <w:tr w14:paraId="2AEB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noWrap/>
                  <w:vAlign w:val="center"/>
                </w:tcPr>
                <w:p w14:paraId="67F92BCA">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14</w:t>
                  </w:r>
                </w:p>
              </w:tc>
              <w:tc>
                <w:tcPr>
                  <w:tcW w:w="646" w:type="pct"/>
                  <w:vMerge w:val="restart"/>
                  <w:noWrap/>
                  <w:vAlign w:val="center"/>
                </w:tcPr>
                <w:p w14:paraId="7BF9C7FE">
                  <w:pPr>
                    <w:pageBreakBefore w:val="0"/>
                    <w:kinsoku/>
                    <w:wordWrap/>
                    <w:overflowPunct/>
                    <w:topLinePunct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废水治理</w:t>
                  </w:r>
                </w:p>
              </w:tc>
              <w:tc>
                <w:tcPr>
                  <w:tcW w:w="2797" w:type="pct"/>
                  <w:noWrap/>
                  <w:vAlign w:val="center"/>
                </w:tcPr>
                <w:p w14:paraId="5E7AEC8A">
                  <w:pPr>
                    <w:pageBreakBefore w:val="0"/>
                    <w:kinsoku/>
                    <w:wordWrap/>
                    <w:overflowPunct/>
                    <w:topLinePunct w:val="0"/>
                    <w:bidi w:val="0"/>
                    <w:jc w:val="center"/>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依托已建1个10m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vertAlign w:val="baseline"/>
                      <w:lang w:val="en-US" w:eastAsia="zh-CN"/>
                      <w14:textFill>
                        <w14:solidFill>
                          <w14:schemeClr w14:val="tx1"/>
                        </w14:solidFill>
                      </w14:textFill>
                    </w:rPr>
                    <w:t>化粪池</w:t>
                  </w:r>
                </w:p>
              </w:tc>
              <w:tc>
                <w:tcPr>
                  <w:tcW w:w="968" w:type="pct"/>
                  <w:noWrap/>
                  <w:vAlign w:val="center"/>
                </w:tcPr>
                <w:p w14:paraId="52FF4BEB">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14:paraId="48FE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1E50A742">
                  <w:pPr>
                    <w:pageBreakBefore w:val="0"/>
                    <w:kinsoku/>
                    <w:wordWrap/>
                    <w:overflowPunct/>
                    <w:topLinePunct w:val="0"/>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646" w:type="pct"/>
                  <w:vMerge w:val="continue"/>
                  <w:noWrap/>
                  <w:vAlign w:val="center"/>
                </w:tcPr>
                <w:p w14:paraId="799509A7">
                  <w:pPr>
                    <w:pageBreakBefore w:val="0"/>
                    <w:kinsoku/>
                    <w:wordWrap/>
                    <w:overflowPunct/>
                    <w:topLinePunct w:val="0"/>
                    <w:bidi w:val="0"/>
                    <w:jc w:val="center"/>
                    <w:rPr>
                      <w:color w:val="000000" w:themeColor="text1"/>
                      <w:szCs w:val="21"/>
                      <w14:textFill>
                        <w14:solidFill>
                          <w14:schemeClr w14:val="tx1"/>
                        </w14:solidFill>
                      </w14:textFill>
                    </w:rPr>
                  </w:pPr>
                </w:p>
              </w:tc>
              <w:tc>
                <w:tcPr>
                  <w:tcW w:w="2797" w:type="pct"/>
                  <w:noWrap/>
                  <w:vAlign w:val="center"/>
                </w:tcPr>
                <w:p w14:paraId="4C2DBDDE">
                  <w:pPr>
                    <w:pageBreakBefore w:val="0"/>
                    <w:kinsoku/>
                    <w:wordWrap/>
                    <w:overflowPunct/>
                    <w:topLinePunct w:val="0"/>
                    <w:bidi w:val="0"/>
                    <w:jc w:val="center"/>
                    <w:rPr>
                      <w:rFonts w:hint="eastAsia"/>
                      <w:color w:val="00B050"/>
                      <w:szCs w:val="21"/>
                      <w:vertAlign w:val="baseline"/>
                      <w:lang w:val="en-US" w:eastAsia="zh-CN"/>
                    </w:rPr>
                  </w:pPr>
                  <w:r>
                    <w:rPr>
                      <w:rFonts w:hint="eastAsia" w:cs="Times New Roman"/>
                      <w:b w:val="0"/>
                      <w:bCs w:val="0"/>
                      <w:color w:val="00B050"/>
                      <w:kern w:val="2"/>
                      <w:sz w:val="21"/>
                      <w:szCs w:val="21"/>
                      <w:lang w:val="en-US" w:eastAsia="zh-CN" w:bidi="ar-SA"/>
                    </w:rPr>
                    <w:t>0.5m</w:t>
                  </w:r>
                  <w:r>
                    <w:rPr>
                      <w:rFonts w:hint="eastAsia" w:cs="Times New Roman"/>
                      <w:b w:val="0"/>
                      <w:bCs w:val="0"/>
                      <w:color w:val="00B050"/>
                      <w:kern w:val="2"/>
                      <w:sz w:val="21"/>
                      <w:szCs w:val="21"/>
                      <w:vertAlign w:val="superscript"/>
                      <w:lang w:val="en-US" w:eastAsia="zh-CN" w:bidi="ar-SA"/>
                    </w:rPr>
                    <w:t>3</w:t>
                  </w:r>
                  <w:r>
                    <w:rPr>
                      <w:rFonts w:hint="eastAsia" w:cs="Times New Roman"/>
                      <w:b w:val="0"/>
                      <w:bCs w:val="0"/>
                      <w:color w:val="00B050"/>
                      <w:kern w:val="2"/>
                      <w:sz w:val="21"/>
                      <w:szCs w:val="21"/>
                      <w:vertAlign w:val="baseline"/>
                      <w:lang w:val="en-US" w:eastAsia="zh-CN" w:bidi="ar-SA"/>
                    </w:rPr>
                    <w:t>收集桶（收集碱洗废水）</w:t>
                  </w:r>
                </w:p>
              </w:tc>
              <w:tc>
                <w:tcPr>
                  <w:tcW w:w="968" w:type="pct"/>
                  <w:noWrap/>
                  <w:vAlign w:val="center"/>
                </w:tcPr>
                <w:p w14:paraId="2DC78A1F">
                  <w:pPr>
                    <w:pageBreakBefore w:val="0"/>
                    <w:kinsoku/>
                    <w:wordWrap/>
                    <w:overflowPunct/>
                    <w:topLinePunct w:val="0"/>
                    <w:bidi w:val="0"/>
                    <w:jc w:val="center"/>
                    <w:rPr>
                      <w:rFonts w:hint="default"/>
                      <w:color w:val="00B050"/>
                      <w:szCs w:val="21"/>
                      <w:lang w:val="en-US" w:eastAsia="zh-CN"/>
                    </w:rPr>
                  </w:pPr>
                  <w:r>
                    <w:rPr>
                      <w:rFonts w:hint="eastAsia"/>
                      <w:color w:val="00B050"/>
                      <w:szCs w:val="21"/>
                      <w:lang w:val="en-US" w:eastAsia="zh-CN"/>
                    </w:rPr>
                    <w:t>0.5</w:t>
                  </w:r>
                </w:p>
              </w:tc>
            </w:tr>
            <w:tr w14:paraId="1EB9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0C8EC439">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646" w:type="pct"/>
                  <w:vMerge w:val="restart"/>
                  <w:noWrap/>
                  <w:vAlign w:val="center"/>
                </w:tcPr>
                <w:p w14:paraId="1FA49BBA">
                  <w:pPr>
                    <w:pageBreakBefore w:val="0"/>
                    <w:kinsoku/>
                    <w:wordWrap/>
                    <w:overflowPunct/>
                    <w:topLinePunct w:val="0"/>
                    <w:bidi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环境风险</w:t>
                  </w:r>
                </w:p>
              </w:tc>
              <w:tc>
                <w:tcPr>
                  <w:tcW w:w="2797" w:type="pct"/>
                  <w:noWrap/>
                  <w:vAlign w:val="center"/>
                </w:tcPr>
                <w:p w14:paraId="4EEFD8D6">
                  <w:pPr>
                    <w:pageBreakBefore w:val="0"/>
                    <w:kinsoku/>
                    <w:wordWrap/>
                    <w:overflowPunct/>
                    <w:topLinePunct w:val="0"/>
                    <w:bidi w:val="0"/>
                    <w:jc w:val="center"/>
                    <w:rPr>
                      <w:rFonts w:hint="eastAsia" w:ascii="Times New Roman" w:hAnsi="Times New Roman" w:eastAsia="宋体" w:cs="Times New Roman"/>
                      <w:color w:val="00B050"/>
                      <w:kern w:val="2"/>
                      <w:sz w:val="21"/>
                      <w:szCs w:val="21"/>
                      <w:vertAlign w:val="baseline"/>
                      <w:lang w:val="en-US" w:eastAsia="zh-CN" w:bidi="ar-SA"/>
                    </w:rPr>
                  </w:pPr>
                  <w:r>
                    <w:rPr>
                      <w:rFonts w:hint="eastAsia"/>
                      <w:color w:val="00B050"/>
                      <w:szCs w:val="21"/>
                      <w:vertAlign w:val="baseline"/>
                      <w:lang w:val="en-US" w:eastAsia="zh-CN"/>
                    </w:rPr>
                    <w:t>4座，总容积不小于30m</w:t>
                  </w:r>
                  <w:r>
                    <w:rPr>
                      <w:rFonts w:hint="eastAsia"/>
                      <w:color w:val="00B050"/>
                      <w:szCs w:val="21"/>
                      <w:vertAlign w:val="superscript"/>
                      <w:lang w:val="en-US" w:eastAsia="zh-CN"/>
                    </w:rPr>
                    <w:t>3</w:t>
                  </w:r>
                  <w:r>
                    <w:rPr>
                      <w:rFonts w:hint="eastAsia"/>
                      <w:color w:val="00B050"/>
                      <w:szCs w:val="21"/>
                      <w:vertAlign w:val="baseline"/>
                      <w:lang w:val="en-US" w:eastAsia="zh-CN"/>
                    </w:rPr>
                    <w:t>的消防事故池</w:t>
                  </w:r>
                </w:p>
              </w:tc>
              <w:tc>
                <w:tcPr>
                  <w:tcW w:w="968" w:type="pct"/>
                  <w:noWrap/>
                  <w:vAlign w:val="center"/>
                </w:tcPr>
                <w:p w14:paraId="4EBC4809">
                  <w:pPr>
                    <w:pageBreakBefore w:val="0"/>
                    <w:kinsoku/>
                    <w:wordWrap/>
                    <w:overflowPunct/>
                    <w:topLinePunct w:val="0"/>
                    <w:bidi w:val="0"/>
                    <w:jc w:val="center"/>
                    <w:rPr>
                      <w:rFonts w:hint="eastAsia" w:ascii="Times New Roman" w:hAnsi="Times New Roman" w:eastAsia="宋体" w:cs="Times New Roman"/>
                      <w:color w:val="00B050"/>
                      <w:kern w:val="2"/>
                      <w:sz w:val="21"/>
                      <w:szCs w:val="21"/>
                      <w:lang w:val="en-US" w:eastAsia="zh-CN" w:bidi="ar-SA"/>
                    </w:rPr>
                  </w:pPr>
                  <w:r>
                    <w:rPr>
                      <w:rFonts w:hint="eastAsia"/>
                      <w:color w:val="00B050"/>
                      <w:szCs w:val="21"/>
                      <w:lang w:val="en-US" w:eastAsia="zh-CN"/>
                    </w:rPr>
                    <w:t>8</w:t>
                  </w:r>
                </w:p>
              </w:tc>
            </w:tr>
            <w:tr w14:paraId="08F6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14585E4E">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17</w:t>
                  </w:r>
                </w:p>
              </w:tc>
              <w:tc>
                <w:tcPr>
                  <w:tcW w:w="646" w:type="pct"/>
                  <w:vMerge w:val="continue"/>
                  <w:noWrap/>
                  <w:vAlign w:val="center"/>
                </w:tcPr>
                <w:p w14:paraId="67F226CE">
                  <w:pPr>
                    <w:pageBreakBefore w:val="0"/>
                    <w:kinsoku/>
                    <w:wordWrap/>
                    <w:overflowPunct/>
                    <w:topLinePunct w:val="0"/>
                    <w:bidi w:val="0"/>
                    <w:jc w:val="center"/>
                    <w:rPr>
                      <w:rFonts w:hint="eastAsia"/>
                      <w:color w:val="000000" w:themeColor="text1"/>
                      <w:szCs w:val="21"/>
                      <w:lang w:val="en-US" w:eastAsia="zh-CN"/>
                      <w14:textFill>
                        <w14:solidFill>
                          <w14:schemeClr w14:val="tx1"/>
                        </w14:solidFill>
                      </w14:textFill>
                    </w:rPr>
                  </w:pPr>
                </w:p>
              </w:tc>
              <w:tc>
                <w:tcPr>
                  <w:tcW w:w="2797" w:type="pct"/>
                  <w:noWrap/>
                  <w:vAlign w:val="center"/>
                </w:tcPr>
                <w:p w14:paraId="2CC37165">
                  <w:pPr>
                    <w:pageBreakBefore w:val="0"/>
                    <w:kinsoku/>
                    <w:wordWrap/>
                    <w:overflowPunct/>
                    <w:topLinePunct w:val="0"/>
                    <w:bidi w:val="0"/>
                    <w:jc w:val="center"/>
                    <w:rPr>
                      <w:rFonts w:hint="default"/>
                      <w:color w:val="00B050"/>
                      <w:szCs w:val="21"/>
                      <w:vertAlign w:val="baseline"/>
                      <w:lang w:val="en-US" w:eastAsia="zh-CN"/>
                    </w:rPr>
                  </w:pPr>
                  <w:r>
                    <w:rPr>
                      <w:rFonts w:hint="eastAsia"/>
                      <w:color w:val="00B050"/>
                      <w:szCs w:val="21"/>
                      <w:vertAlign w:val="baseline"/>
                      <w:lang w:val="en-US" w:eastAsia="zh-CN"/>
                    </w:rPr>
                    <w:t>灌区围堰，1座</w:t>
                  </w:r>
                </w:p>
              </w:tc>
              <w:tc>
                <w:tcPr>
                  <w:tcW w:w="968" w:type="pct"/>
                  <w:noWrap/>
                  <w:vAlign w:val="center"/>
                </w:tcPr>
                <w:p w14:paraId="1B84D3C5">
                  <w:pPr>
                    <w:pageBreakBefore w:val="0"/>
                    <w:kinsoku/>
                    <w:wordWrap/>
                    <w:overflowPunct/>
                    <w:topLinePunct w:val="0"/>
                    <w:bidi w:val="0"/>
                    <w:jc w:val="center"/>
                    <w:rPr>
                      <w:rFonts w:hint="default"/>
                      <w:color w:val="00B050"/>
                      <w:szCs w:val="21"/>
                      <w:lang w:val="en-US" w:eastAsia="zh-CN"/>
                    </w:rPr>
                  </w:pPr>
                  <w:r>
                    <w:rPr>
                      <w:rFonts w:hint="eastAsia"/>
                      <w:color w:val="00B050"/>
                      <w:szCs w:val="21"/>
                      <w:lang w:val="en-US" w:eastAsia="zh-CN"/>
                    </w:rPr>
                    <w:t>2.2</w:t>
                  </w:r>
                </w:p>
              </w:tc>
            </w:tr>
            <w:tr w14:paraId="276C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28B417C0">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c>
                <w:tcPr>
                  <w:tcW w:w="646" w:type="pct"/>
                  <w:vMerge w:val="continue"/>
                  <w:noWrap/>
                  <w:vAlign w:val="center"/>
                </w:tcPr>
                <w:p w14:paraId="35E19A30">
                  <w:pPr>
                    <w:pageBreakBefore w:val="0"/>
                    <w:kinsoku/>
                    <w:wordWrap/>
                    <w:overflowPunct/>
                    <w:topLinePunct w:val="0"/>
                    <w:bidi w:val="0"/>
                    <w:jc w:val="center"/>
                    <w:rPr>
                      <w:rFonts w:hint="eastAsia"/>
                      <w:color w:val="000000" w:themeColor="text1"/>
                      <w:szCs w:val="21"/>
                      <w:lang w:val="en-US" w:eastAsia="zh-CN"/>
                      <w14:textFill>
                        <w14:solidFill>
                          <w14:schemeClr w14:val="tx1"/>
                        </w14:solidFill>
                      </w14:textFill>
                    </w:rPr>
                  </w:pPr>
                </w:p>
              </w:tc>
              <w:tc>
                <w:tcPr>
                  <w:tcW w:w="2797" w:type="pct"/>
                  <w:noWrap/>
                  <w:vAlign w:val="center"/>
                </w:tcPr>
                <w:p w14:paraId="77DE5EE0">
                  <w:pPr>
                    <w:pageBreakBefore w:val="0"/>
                    <w:kinsoku/>
                    <w:wordWrap/>
                    <w:overflowPunct/>
                    <w:topLinePunct w:val="0"/>
                    <w:bidi w:val="0"/>
                    <w:jc w:val="center"/>
                    <w:rPr>
                      <w:rFonts w:hint="default"/>
                      <w:color w:val="00B050"/>
                      <w:szCs w:val="21"/>
                      <w:vertAlign w:val="baseline"/>
                      <w:lang w:val="en-US" w:eastAsia="zh-CN"/>
                    </w:rPr>
                  </w:pPr>
                  <w:r>
                    <w:rPr>
                      <w:rFonts w:hint="eastAsia"/>
                      <w:color w:val="00B050"/>
                      <w:szCs w:val="21"/>
                      <w:vertAlign w:val="baseline"/>
                      <w:lang w:val="en-US" w:eastAsia="zh-CN"/>
                    </w:rPr>
                    <w:t>装卸区围堰，1座</w:t>
                  </w:r>
                </w:p>
              </w:tc>
              <w:tc>
                <w:tcPr>
                  <w:tcW w:w="968" w:type="pct"/>
                  <w:noWrap/>
                  <w:vAlign w:val="center"/>
                </w:tcPr>
                <w:p w14:paraId="71E56A95">
                  <w:pPr>
                    <w:pageBreakBefore w:val="0"/>
                    <w:kinsoku/>
                    <w:wordWrap/>
                    <w:overflowPunct/>
                    <w:topLinePunct w:val="0"/>
                    <w:bidi w:val="0"/>
                    <w:jc w:val="center"/>
                    <w:rPr>
                      <w:rFonts w:hint="default"/>
                      <w:color w:val="00B050"/>
                      <w:szCs w:val="21"/>
                      <w:lang w:val="en-US" w:eastAsia="zh-CN"/>
                    </w:rPr>
                  </w:pPr>
                  <w:r>
                    <w:rPr>
                      <w:rFonts w:hint="eastAsia"/>
                      <w:color w:val="00B050"/>
                      <w:szCs w:val="21"/>
                      <w:lang w:val="en-US" w:eastAsia="zh-CN"/>
                    </w:rPr>
                    <w:t>0.7</w:t>
                  </w:r>
                </w:p>
              </w:tc>
            </w:tr>
            <w:tr w14:paraId="749F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387706EC">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19</w:t>
                  </w:r>
                </w:p>
              </w:tc>
              <w:tc>
                <w:tcPr>
                  <w:tcW w:w="646" w:type="pct"/>
                  <w:vMerge w:val="continue"/>
                  <w:noWrap/>
                  <w:vAlign w:val="center"/>
                </w:tcPr>
                <w:p w14:paraId="3389A52E">
                  <w:pPr>
                    <w:pageBreakBefore w:val="0"/>
                    <w:kinsoku/>
                    <w:wordWrap/>
                    <w:overflowPunct/>
                    <w:topLinePunct w:val="0"/>
                    <w:bidi w:val="0"/>
                    <w:jc w:val="center"/>
                    <w:rPr>
                      <w:color w:val="000000" w:themeColor="text1"/>
                      <w:szCs w:val="21"/>
                      <w14:textFill>
                        <w14:solidFill>
                          <w14:schemeClr w14:val="tx1"/>
                        </w14:solidFill>
                      </w14:textFill>
                    </w:rPr>
                  </w:pPr>
                </w:p>
              </w:tc>
              <w:tc>
                <w:tcPr>
                  <w:tcW w:w="2797" w:type="pct"/>
                  <w:noWrap/>
                  <w:vAlign w:val="center"/>
                </w:tcPr>
                <w:p w14:paraId="4686BB73">
                  <w:pPr>
                    <w:pageBreakBefore w:val="0"/>
                    <w:kinsoku/>
                    <w:wordWrap/>
                    <w:overflowPunct/>
                    <w:topLinePunct w:val="0"/>
                    <w:bidi w:val="0"/>
                    <w:jc w:val="center"/>
                    <w:rPr>
                      <w:rFonts w:hint="default"/>
                      <w:color w:val="00B050"/>
                      <w:szCs w:val="21"/>
                      <w:vertAlign w:val="baseline"/>
                      <w:lang w:val="en-US" w:eastAsia="zh-CN"/>
                    </w:rPr>
                  </w:pPr>
                  <w:r>
                    <w:rPr>
                      <w:rFonts w:hint="eastAsia"/>
                      <w:color w:val="00B050"/>
                      <w:szCs w:val="21"/>
                      <w:lang w:val="en-US" w:eastAsia="zh-CN"/>
                    </w:rPr>
                    <w:t>0.1m</w:t>
                  </w:r>
                  <w:r>
                    <w:rPr>
                      <w:rFonts w:hint="eastAsia"/>
                      <w:color w:val="00B050"/>
                      <w:szCs w:val="21"/>
                      <w:vertAlign w:val="superscript"/>
                      <w:lang w:val="en-US" w:eastAsia="zh-CN"/>
                    </w:rPr>
                    <w:t>3</w:t>
                  </w:r>
                  <w:r>
                    <w:rPr>
                      <w:rFonts w:hint="eastAsia"/>
                      <w:color w:val="00B050"/>
                      <w:szCs w:val="21"/>
                      <w:vertAlign w:val="baseline"/>
                      <w:lang w:val="en-US" w:eastAsia="zh-CN"/>
                    </w:rPr>
                    <w:t>废液收集池，7座</w:t>
                  </w:r>
                </w:p>
              </w:tc>
              <w:tc>
                <w:tcPr>
                  <w:tcW w:w="968" w:type="pct"/>
                  <w:noWrap/>
                  <w:vAlign w:val="center"/>
                </w:tcPr>
                <w:p w14:paraId="1F9E1121">
                  <w:pPr>
                    <w:pageBreakBefore w:val="0"/>
                    <w:kinsoku/>
                    <w:wordWrap/>
                    <w:overflowPunct/>
                    <w:topLinePunct w:val="0"/>
                    <w:bidi w:val="0"/>
                    <w:jc w:val="center"/>
                    <w:rPr>
                      <w:rFonts w:hint="default"/>
                      <w:color w:val="00B050"/>
                      <w:szCs w:val="21"/>
                      <w:lang w:val="en-US" w:eastAsia="zh-CN"/>
                    </w:rPr>
                  </w:pPr>
                  <w:r>
                    <w:rPr>
                      <w:rFonts w:hint="eastAsia"/>
                      <w:color w:val="00B050"/>
                      <w:szCs w:val="21"/>
                      <w:lang w:val="en-US" w:eastAsia="zh-CN"/>
                    </w:rPr>
                    <w:t>2.5</w:t>
                  </w:r>
                </w:p>
              </w:tc>
            </w:tr>
            <w:tr w14:paraId="01F0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2557C59F">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646" w:type="pct"/>
                  <w:vMerge w:val="continue"/>
                  <w:noWrap/>
                  <w:vAlign w:val="center"/>
                </w:tcPr>
                <w:p w14:paraId="7962B281">
                  <w:pPr>
                    <w:pageBreakBefore w:val="0"/>
                    <w:kinsoku/>
                    <w:wordWrap/>
                    <w:overflowPunct/>
                    <w:topLinePunct w:val="0"/>
                    <w:bidi w:val="0"/>
                    <w:jc w:val="center"/>
                    <w:rPr>
                      <w:color w:val="000000" w:themeColor="text1"/>
                      <w:szCs w:val="21"/>
                      <w14:textFill>
                        <w14:solidFill>
                          <w14:schemeClr w14:val="tx1"/>
                        </w14:solidFill>
                      </w14:textFill>
                    </w:rPr>
                  </w:pPr>
                </w:p>
              </w:tc>
              <w:tc>
                <w:tcPr>
                  <w:tcW w:w="2797" w:type="pct"/>
                  <w:noWrap/>
                  <w:vAlign w:val="center"/>
                </w:tcPr>
                <w:p w14:paraId="1BFF13D0">
                  <w:pPr>
                    <w:pageBreakBefore w:val="0"/>
                    <w:kinsoku/>
                    <w:wordWrap/>
                    <w:overflowPunct/>
                    <w:topLinePunct w:val="0"/>
                    <w:bidi w:val="0"/>
                    <w:jc w:val="center"/>
                    <w:rPr>
                      <w:rFonts w:hint="default"/>
                      <w:color w:val="00B050"/>
                      <w:szCs w:val="21"/>
                      <w:lang w:val="en-US" w:eastAsia="zh-CN"/>
                    </w:rPr>
                  </w:pPr>
                  <w:r>
                    <w:rPr>
                      <w:rFonts w:hint="eastAsia"/>
                      <w:color w:val="00B050"/>
                      <w:szCs w:val="21"/>
                      <w:lang w:val="en-US" w:eastAsia="zh-CN"/>
                    </w:rPr>
                    <w:t>贮存分区内导流沟</w:t>
                  </w:r>
                </w:p>
              </w:tc>
              <w:tc>
                <w:tcPr>
                  <w:tcW w:w="968" w:type="pct"/>
                  <w:noWrap/>
                  <w:vAlign w:val="center"/>
                </w:tcPr>
                <w:p w14:paraId="0BD5F380">
                  <w:pPr>
                    <w:pageBreakBefore w:val="0"/>
                    <w:kinsoku/>
                    <w:wordWrap/>
                    <w:overflowPunct/>
                    <w:topLinePunct w:val="0"/>
                    <w:bidi w:val="0"/>
                    <w:jc w:val="center"/>
                    <w:rPr>
                      <w:rFonts w:hint="default"/>
                      <w:color w:val="00B050"/>
                      <w:szCs w:val="21"/>
                      <w:lang w:val="en-US" w:eastAsia="zh-CN"/>
                    </w:rPr>
                  </w:pPr>
                  <w:r>
                    <w:rPr>
                      <w:rFonts w:hint="eastAsia"/>
                      <w:color w:val="00B050"/>
                      <w:szCs w:val="21"/>
                      <w:lang w:val="en-US" w:eastAsia="zh-CN"/>
                    </w:rPr>
                    <w:t>0.8</w:t>
                  </w:r>
                </w:p>
              </w:tc>
            </w:tr>
            <w:tr w14:paraId="26A8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pct"/>
                  <w:shd w:val="clear" w:color="auto" w:fill="auto"/>
                  <w:noWrap/>
                  <w:vAlign w:val="center"/>
                </w:tcPr>
                <w:p w14:paraId="06183072">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21</w:t>
                  </w:r>
                </w:p>
              </w:tc>
              <w:tc>
                <w:tcPr>
                  <w:tcW w:w="646" w:type="pct"/>
                  <w:vMerge w:val="continue"/>
                  <w:noWrap/>
                  <w:vAlign w:val="center"/>
                </w:tcPr>
                <w:p w14:paraId="7E319DC4">
                  <w:pPr>
                    <w:pageBreakBefore w:val="0"/>
                    <w:kinsoku/>
                    <w:wordWrap/>
                    <w:overflowPunct/>
                    <w:topLinePunct w:val="0"/>
                    <w:bidi w:val="0"/>
                    <w:jc w:val="center"/>
                    <w:rPr>
                      <w:color w:val="000000" w:themeColor="text1"/>
                      <w:szCs w:val="21"/>
                      <w14:textFill>
                        <w14:solidFill>
                          <w14:schemeClr w14:val="tx1"/>
                        </w14:solidFill>
                      </w14:textFill>
                    </w:rPr>
                  </w:pPr>
                </w:p>
              </w:tc>
              <w:tc>
                <w:tcPr>
                  <w:tcW w:w="2797" w:type="pct"/>
                  <w:noWrap/>
                  <w:vAlign w:val="center"/>
                </w:tcPr>
                <w:p w14:paraId="5197D80C">
                  <w:pPr>
                    <w:pageBreakBefore w:val="0"/>
                    <w:kinsoku/>
                    <w:wordWrap/>
                    <w:overflowPunct/>
                    <w:topLinePunct w:val="0"/>
                    <w:bidi w:val="0"/>
                    <w:jc w:val="center"/>
                    <w:rPr>
                      <w:rFonts w:hint="default"/>
                      <w:color w:val="00B050"/>
                      <w:szCs w:val="21"/>
                      <w:lang w:val="en-US" w:eastAsia="zh-CN"/>
                    </w:rPr>
                  </w:pPr>
                  <w:r>
                    <w:rPr>
                      <w:rFonts w:hint="eastAsia"/>
                      <w:color w:val="00B050"/>
                      <w:szCs w:val="21"/>
                      <w:lang w:val="en-US" w:eastAsia="zh-CN"/>
                    </w:rPr>
                    <w:t>分区防渗</w:t>
                  </w:r>
                </w:p>
              </w:tc>
              <w:tc>
                <w:tcPr>
                  <w:tcW w:w="968" w:type="pct"/>
                  <w:noWrap/>
                  <w:vAlign w:val="center"/>
                </w:tcPr>
                <w:p w14:paraId="2ED974CA">
                  <w:pPr>
                    <w:pageBreakBefore w:val="0"/>
                    <w:kinsoku/>
                    <w:wordWrap/>
                    <w:overflowPunct/>
                    <w:topLinePunct w:val="0"/>
                    <w:bidi w:val="0"/>
                    <w:jc w:val="center"/>
                    <w:rPr>
                      <w:rFonts w:hint="default"/>
                      <w:color w:val="00B050"/>
                      <w:szCs w:val="21"/>
                      <w:lang w:val="en-US" w:eastAsia="zh-CN"/>
                    </w:rPr>
                  </w:pPr>
                  <w:r>
                    <w:rPr>
                      <w:rFonts w:hint="eastAsia"/>
                      <w:color w:val="00B050"/>
                      <w:szCs w:val="21"/>
                      <w:lang w:val="en-US" w:eastAsia="zh-CN"/>
                    </w:rPr>
                    <w:t>35</w:t>
                  </w:r>
                </w:p>
              </w:tc>
            </w:tr>
            <w:tr w14:paraId="7CA0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214DE02A">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22</w:t>
                  </w:r>
                </w:p>
              </w:tc>
              <w:tc>
                <w:tcPr>
                  <w:tcW w:w="646" w:type="pct"/>
                  <w:vMerge w:val="continue"/>
                  <w:noWrap/>
                  <w:vAlign w:val="center"/>
                </w:tcPr>
                <w:p w14:paraId="3F755158">
                  <w:pPr>
                    <w:pageBreakBefore w:val="0"/>
                    <w:kinsoku/>
                    <w:wordWrap/>
                    <w:overflowPunct/>
                    <w:topLinePunct w:val="0"/>
                    <w:bidi w:val="0"/>
                    <w:jc w:val="center"/>
                    <w:rPr>
                      <w:color w:val="000000" w:themeColor="text1"/>
                      <w:szCs w:val="21"/>
                      <w14:textFill>
                        <w14:solidFill>
                          <w14:schemeClr w14:val="tx1"/>
                        </w14:solidFill>
                      </w14:textFill>
                    </w:rPr>
                  </w:pPr>
                </w:p>
              </w:tc>
              <w:tc>
                <w:tcPr>
                  <w:tcW w:w="2797" w:type="pct"/>
                  <w:noWrap/>
                  <w:vAlign w:val="center"/>
                </w:tcPr>
                <w:p w14:paraId="3C79C0A8">
                  <w:pPr>
                    <w:pageBreakBefore w:val="0"/>
                    <w:kinsoku/>
                    <w:wordWrap/>
                    <w:overflowPunct/>
                    <w:topLinePunct w:val="0"/>
                    <w:bidi w:val="0"/>
                    <w:jc w:val="center"/>
                    <w:rPr>
                      <w:rFonts w:hint="default"/>
                      <w:b w:val="0"/>
                      <w:bCs w:val="0"/>
                      <w:color w:val="00B050"/>
                      <w:szCs w:val="21"/>
                      <w:lang w:val="en-US" w:eastAsia="zh-CN"/>
                    </w:rPr>
                  </w:pPr>
                  <w:r>
                    <w:rPr>
                      <w:rFonts w:hint="eastAsia"/>
                      <w:b w:val="0"/>
                      <w:bCs w:val="0"/>
                      <w:color w:val="00B050"/>
                      <w:szCs w:val="21"/>
                      <w:lang w:val="en-US" w:eastAsia="zh-CN"/>
                    </w:rPr>
                    <w:t>地下水污染监控井</w:t>
                  </w:r>
                </w:p>
              </w:tc>
              <w:tc>
                <w:tcPr>
                  <w:tcW w:w="968" w:type="pct"/>
                  <w:noWrap/>
                  <w:vAlign w:val="center"/>
                </w:tcPr>
                <w:p w14:paraId="70ACF8BE">
                  <w:pPr>
                    <w:pageBreakBefore w:val="0"/>
                    <w:kinsoku/>
                    <w:wordWrap/>
                    <w:overflowPunct/>
                    <w:topLinePunct w:val="0"/>
                    <w:bidi w:val="0"/>
                    <w:jc w:val="center"/>
                    <w:rPr>
                      <w:rFonts w:hint="default"/>
                      <w:b w:val="0"/>
                      <w:bCs w:val="0"/>
                      <w:color w:val="00B050"/>
                      <w:szCs w:val="21"/>
                      <w:lang w:val="en-US" w:eastAsia="zh-CN"/>
                    </w:rPr>
                  </w:pPr>
                  <w:r>
                    <w:rPr>
                      <w:rFonts w:hint="eastAsia"/>
                      <w:b w:val="0"/>
                      <w:bCs w:val="0"/>
                      <w:color w:val="00B050"/>
                      <w:szCs w:val="21"/>
                      <w:lang w:val="en-US" w:eastAsia="zh-CN"/>
                    </w:rPr>
                    <w:t>8</w:t>
                  </w:r>
                </w:p>
              </w:tc>
            </w:tr>
            <w:tr w14:paraId="56D3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240413D5">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23</w:t>
                  </w:r>
                </w:p>
              </w:tc>
              <w:tc>
                <w:tcPr>
                  <w:tcW w:w="646" w:type="pct"/>
                  <w:noWrap/>
                  <w:vAlign w:val="center"/>
                </w:tcPr>
                <w:p w14:paraId="23F12659">
                  <w:pPr>
                    <w:pageBreakBefore w:val="0"/>
                    <w:kinsoku/>
                    <w:wordWrap/>
                    <w:overflowPunct/>
                    <w:topLinePunct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噪声治理</w:t>
                  </w:r>
                </w:p>
              </w:tc>
              <w:tc>
                <w:tcPr>
                  <w:tcW w:w="2797" w:type="pct"/>
                  <w:noWrap/>
                  <w:vAlign w:val="center"/>
                </w:tcPr>
                <w:p w14:paraId="6119F337">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基础减震</w:t>
                  </w:r>
                </w:p>
              </w:tc>
              <w:tc>
                <w:tcPr>
                  <w:tcW w:w="968" w:type="pct"/>
                  <w:noWrap/>
                  <w:vAlign w:val="center"/>
                </w:tcPr>
                <w:p w14:paraId="6C3DCB88">
                  <w:pPr>
                    <w:pageBreakBefore w:val="0"/>
                    <w:kinsoku/>
                    <w:wordWrap/>
                    <w:overflowPunct/>
                    <w:topLinePunct w:val="0"/>
                    <w:bidi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w:t>
                  </w:r>
                </w:p>
              </w:tc>
            </w:tr>
            <w:tr w14:paraId="33B5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shd w:val="clear" w:color="auto" w:fill="auto"/>
                  <w:noWrap/>
                  <w:vAlign w:val="center"/>
                </w:tcPr>
                <w:p w14:paraId="2F8D7C36">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24</w:t>
                  </w:r>
                </w:p>
              </w:tc>
              <w:tc>
                <w:tcPr>
                  <w:tcW w:w="646" w:type="pct"/>
                  <w:noWrap/>
                  <w:vAlign w:val="center"/>
                </w:tcPr>
                <w:p w14:paraId="76FBE0E7">
                  <w:pPr>
                    <w:pageBreakBefore w:val="0"/>
                    <w:kinsoku/>
                    <w:wordWrap/>
                    <w:overflowPunct/>
                    <w:topLinePunct w:val="0"/>
                    <w:bidi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固废处理</w:t>
                  </w:r>
                </w:p>
              </w:tc>
              <w:tc>
                <w:tcPr>
                  <w:tcW w:w="2797" w:type="pct"/>
                  <w:noWrap/>
                  <w:vAlign w:val="center"/>
                </w:tcPr>
                <w:p w14:paraId="65DA5525">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生活垃圾收集桶</w:t>
                  </w:r>
                </w:p>
              </w:tc>
              <w:tc>
                <w:tcPr>
                  <w:tcW w:w="968" w:type="pct"/>
                  <w:noWrap/>
                  <w:vAlign w:val="center"/>
                </w:tcPr>
                <w:p w14:paraId="376A091E">
                  <w:pPr>
                    <w:pageBreakBefore w:val="0"/>
                    <w:kinsoku/>
                    <w:wordWrap/>
                    <w:overflowPunct/>
                    <w:topLinePunct w:val="0"/>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0.2</w:t>
                  </w:r>
                </w:p>
              </w:tc>
            </w:tr>
            <w:tr w14:paraId="4CBB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7" w:type="pct"/>
                  <w:noWrap/>
                  <w:vAlign w:val="center"/>
                </w:tcPr>
                <w:p w14:paraId="26B2C3EF">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3444" w:type="pct"/>
                  <w:gridSpan w:val="2"/>
                  <w:noWrap/>
                  <w:vAlign w:val="center"/>
                </w:tcPr>
                <w:p w14:paraId="2800CDA3">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环保标识标牌</w:t>
                  </w:r>
                </w:p>
              </w:tc>
              <w:tc>
                <w:tcPr>
                  <w:tcW w:w="968" w:type="pct"/>
                  <w:noWrap/>
                  <w:vAlign w:val="center"/>
                </w:tcPr>
                <w:p w14:paraId="13867D51">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0.6</w:t>
                  </w:r>
                </w:p>
              </w:tc>
            </w:tr>
            <w:tr w14:paraId="0537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1" w:type="pct"/>
                  <w:gridSpan w:val="3"/>
                  <w:noWrap/>
                  <w:vAlign w:val="center"/>
                </w:tcPr>
                <w:p w14:paraId="1A924B56">
                  <w:pPr>
                    <w:pageBreakBefore w:val="0"/>
                    <w:kinsoku/>
                    <w:wordWrap/>
                    <w:overflowPunct/>
                    <w:topLinePunct w:val="0"/>
                    <w:bidi w:val="0"/>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运营期环保投资</w:t>
                  </w:r>
                  <w:r>
                    <w:rPr>
                      <w:rFonts w:hint="eastAsia"/>
                      <w:b/>
                      <w:bCs/>
                      <w:color w:val="000000" w:themeColor="text1"/>
                      <w:szCs w:val="21"/>
                      <w14:textFill>
                        <w14:solidFill>
                          <w14:schemeClr w14:val="tx1"/>
                        </w14:solidFill>
                      </w14:textFill>
                    </w:rPr>
                    <w:t>合计</w:t>
                  </w:r>
                </w:p>
              </w:tc>
              <w:tc>
                <w:tcPr>
                  <w:tcW w:w="968" w:type="pct"/>
                  <w:noWrap/>
                  <w:vAlign w:val="center"/>
                </w:tcPr>
                <w:p w14:paraId="507494D1">
                  <w:pPr>
                    <w:pageBreakBefore w:val="0"/>
                    <w:kinsoku/>
                    <w:wordWrap/>
                    <w:overflowPunct/>
                    <w:topLinePunct w:val="0"/>
                    <w:bidi w:val="0"/>
                    <w:jc w:val="center"/>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84.4</w:t>
                  </w:r>
                </w:p>
              </w:tc>
            </w:tr>
            <w:tr w14:paraId="62A4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1" w:type="pct"/>
                  <w:gridSpan w:val="3"/>
                  <w:noWrap/>
                  <w:vAlign w:val="center"/>
                </w:tcPr>
                <w:p w14:paraId="57AB4E49">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环保总投资</w:t>
                  </w:r>
                </w:p>
              </w:tc>
              <w:tc>
                <w:tcPr>
                  <w:tcW w:w="968" w:type="pct"/>
                  <w:noWrap/>
                  <w:vAlign w:val="center"/>
                </w:tcPr>
                <w:p w14:paraId="154B2846">
                  <w:pPr>
                    <w:pageBreakBefore w:val="0"/>
                    <w:kinsoku/>
                    <w:wordWrap/>
                    <w:overflowPunct/>
                    <w:topLinePunct w:val="0"/>
                    <w:bidi w:val="0"/>
                    <w:jc w:val="center"/>
                    <w:rPr>
                      <w:rFonts w:hint="default"/>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87</w:t>
                  </w:r>
                </w:p>
              </w:tc>
            </w:tr>
          </w:tbl>
          <w:p w14:paraId="2142983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 xml:space="preserve">  </w:t>
            </w:r>
          </w:p>
        </w:tc>
      </w:tr>
      <w:tr w14:paraId="395AA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28" w:type="dxa"/>
            <w:vAlign w:val="center"/>
          </w:tcPr>
          <w:p w14:paraId="0DDDFD1C">
            <w:pPr>
              <w:pStyle w:val="22"/>
              <w:pageBreakBefore w:val="0"/>
              <w:kinsoku/>
              <w:wordWrap/>
              <w:overflowPunct/>
              <w:topLinePunct w:val="0"/>
              <w:bidi w:val="0"/>
              <w:adjustRightInd w:val="0"/>
              <w:snapToGrid w:val="0"/>
              <w:spacing w:before="0" w:beforeAutospacing="0" w:after="0" w:afterAutospacing="0"/>
              <w:jc w:val="center"/>
              <w:rPr>
                <w:rFonts w:cs="宋体"/>
                <w:color w:val="000000" w:themeColor="text1"/>
                <w:szCs w:val="24"/>
                <w14:textFill>
                  <w14:solidFill>
                    <w14:schemeClr w14:val="tx1"/>
                  </w14:solidFill>
                </w14:textFill>
              </w:rPr>
            </w:pPr>
            <w:r>
              <w:rPr>
                <w:rFonts w:hint="eastAsia" w:cs="宋体"/>
                <w:color w:val="000000" w:themeColor="text1"/>
                <w:szCs w:val="24"/>
                <w14:textFill>
                  <w14:solidFill>
                    <w14:schemeClr w14:val="tx1"/>
                  </w14:solidFill>
                </w14:textFill>
              </w:rPr>
              <w:t>工艺流程和产排污环节</w:t>
            </w:r>
          </w:p>
        </w:tc>
        <w:tc>
          <w:tcPr>
            <w:tcW w:w="8460" w:type="dxa"/>
          </w:tcPr>
          <w:p w14:paraId="46A6A2B5">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hAnsi="宋体"/>
                <w:bCs/>
                <w:color w:val="000000" w:themeColor="text1"/>
                <w:sz w:val="24"/>
                <w14:textFill>
                  <w14:solidFill>
                    <w14:schemeClr w14:val="tx1"/>
                  </w14:solidFill>
                </w14:textFill>
              </w:rPr>
            </w:pPr>
            <w:r>
              <w:rPr>
                <w:rFonts w:hint="eastAsia" w:ascii="宋体" w:hAnsi="宋体"/>
                <w:b/>
                <w:color w:val="000000" w:themeColor="text1"/>
                <w:sz w:val="24"/>
                <w:lang w:val="en-US" w:eastAsia="zh-CN"/>
                <w14:textFill>
                  <w14:solidFill>
                    <w14:schemeClr w14:val="tx1"/>
                  </w14:solidFill>
                </w14:textFill>
              </w:rPr>
              <w:t>2.2.1</w:t>
            </w:r>
            <w:r>
              <w:rPr>
                <w:rFonts w:hint="eastAsia" w:ascii="宋体" w:hAnsi="宋体"/>
                <w:b/>
                <w:color w:val="000000" w:themeColor="text1"/>
                <w:sz w:val="24"/>
                <w14:textFill>
                  <w14:solidFill>
                    <w14:schemeClr w14:val="tx1"/>
                  </w14:solidFill>
                </w14:textFill>
              </w:rPr>
              <w:t>施工期工艺流程及产排污环节</w:t>
            </w:r>
          </w:p>
          <w:p w14:paraId="78F1C55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1、施工期工艺流程</w:t>
            </w:r>
          </w:p>
          <w:p w14:paraId="55E2A4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建设单位拟租用</w:t>
            </w:r>
            <w:r>
              <w:rPr>
                <w:rFonts w:hint="eastAsia"/>
                <w:color w:val="000000" w:themeColor="text1"/>
                <w:sz w:val="24"/>
                <w:lang w:val="en-US" w:eastAsia="zh-CN"/>
                <w14:textFill>
                  <w14:solidFill>
                    <w14:schemeClr w14:val="tx1"/>
                  </w14:solidFill>
                </w14:textFill>
              </w:rPr>
              <w:t>曲靖市东五六供应链管理有限公司已建厂房改造建设危险废物贮存场所，</w:t>
            </w:r>
            <w:r>
              <w:rPr>
                <w:rFonts w:hint="default" w:ascii="Times New Roman" w:hAnsi="Times New Roman" w:cs="Times New Roman"/>
                <w:color w:val="000000" w:themeColor="text1"/>
                <w:sz w:val="24"/>
                <w:szCs w:val="24"/>
                <w:lang w:val="en-US" w:bidi="ar-SA"/>
                <w14:textFill>
                  <w14:solidFill>
                    <w14:schemeClr w14:val="tx1"/>
                  </w14:solidFill>
                </w14:textFill>
              </w:rPr>
              <w:t>无土建和外部装修工程施工，项目施工期主要是</w:t>
            </w:r>
            <w:r>
              <w:rPr>
                <w:rFonts w:hint="default" w:ascii="Times New Roman" w:hAnsi="Times New Roman" w:cs="Times New Roman"/>
                <w:color w:val="000000" w:themeColor="text1"/>
                <w:sz w:val="24"/>
                <w:szCs w:val="24"/>
                <w:lang w:val="en-US" w:eastAsia="zh-CN" w:bidi="ar-SA"/>
                <w14:textFill>
                  <w14:solidFill>
                    <w14:schemeClr w14:val="tx1"/>
                  </w14:solidFill>
                </w14:textFill>
              </w:rPr>
              <w:t>生产车间改造、</w:t>
            </w:r>
            <w:r>
              <w:rPr>
                <w:rFonts w:hint="default" w:ascii="Times New Roman" w:hAnsi="Times New Roman" w:cs="Times New Roman"/>
                <w:color w:val="000000" w:themeColor="text1"/>
                <w:sz w:val="24"/>
                <w:szCs w:val="24"/>
                <w:lang w:val="en-US" w:bidi="ar-SA"/>
                <w14:textFill>
                  <w14:solidFill>
                    <w14:schemeClr w14:val="tx1"/>
                  </w14:solidFill>
                </w14:textFill>
              </w:rPr>
              <w:t>生产设备安装及环保设施安装。项目施工期较短，以人力施工为主，机械施工为辅，使用的机械包括电钻、电锤等，项目施工期对环境的影响具有短暂性。</w:t>
            </w:r>
          </w:p>
          <w:p w14:paraId="14F8D2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施工期的工艺流程及产污</w:t>
            </w:r>
            <w:r>
              <w:rPr>
                <w:rFonts w:hint="eastAsia" w:ascii="Times New Roman" w:hAnsi="Times New Roman" w:cs="Times New Roman"/>
                <w:color w:val="000000" w:themeColor="text1"/>
                <w:kern w:val="0"/>
                <w:sz w:val="24"/>
                <w14:textFill>
                  <w14:solidFill>
                    <w14:schemeClr w14:val="tx1"/>
                  </w14:solidFill>
                </w14:textFill>
              </w:rPr>
              <w:t>环节见</w:t>
            </w:r>
            <w:r>
              <w:rPr>
                <w:rFonts w:ascii="Times New Roman" w:hAnsi="Times New Roman" w:cs="Times New Roman"/>
                <w:color w:val="000000" w:themeColor="text1"/>
                <w:kern w:val="0"/>
                <w:sz w:val="24"/>
                <w14:textFill>
                  <w14:solidFill>
                    <w14:schemeClr w14:val="tx1"/>
                  </w14:solidFill>
                </w14:textFill>
              </w:rPr>
              <w:t>图</w:t>
            </w:r>
            <w:r>
              <w:rPr>
                <w:rFonts w:hint="eastAsia" w:ascii="Times New Roman" w:hAnsi="Times New Roman" w:cs="Times New Roman"/>
                <w:color w:val="000000" w:themeColor="text1"/>
                <w:kern w:val="0"/>
                <w:sz w:val="24"/>
                <w14:textFill>
                  <w14:solidFill>
                    <w14:schemeClr w14:val="tx1"/>
                  </w14:solidFill>
                </w14:textFill>
              </w:rPr>
              <w:t>2</w:t>
            </w:r>
            <w:r>
              <w:rPr>
                <w:rFonts w:hint="eastAsia" w:cs="Times New Roman"/>
                <w:color w:val="000000" w:themeColor="text1"/>
                <w:kern w:val="0"/>
                <w:sz w:val="24"/>
                <w:lang w:val="en-US" w:eastAsia="zh-CN"/>
                <w14:textFill>
                  <w14:solidFill>
                    <w14:schemeClr w14:val="tx1"/>
                  </w14:solidFill>
                </w14:textFill>
              </w:rPr>
              <w:t>.2</w:t>
            </w:r>
            <w:r>
              <w:rPr>
                <w:rFonts w:hint="eastAsia" w:ascii="Times New Roman" w:hAnsi="Times New Roman" w:cs="Times New Roman"/>
                <w:color w:val="000000" w:themeColor="text1"/>
                <w:kern w:val="0"/>
                <w:sz w:val="24"/>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1所示</w:t>
            </w:r>
            <w:r>
              <w:rPr>
                <w:rFonts w:ascii="Times New Roman" w:hAnsi="Times New Roman" w:cs="Times New Roman"/>
                <w:color w:val="000000" w:themeColor="text1"/>
                <w:kern w:val="0"/>
                <w:sz w:val="24"/>
                <w14:textFill>
                  <w14:solidFill>
                    <w14:schemeClr w14:val="tx1"/>
                  </w14:solidFill>
                </w14:textFill>
              </w:rPr>
              <w:t>。</w:t>
            </w:r>
          </w:p>
          <w:p w14:paraId="32758E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szCs w:val="24"/>
                <w:lang w:val="en-US" w:bidi="ar-SA"/>
                <w14:textFill>
                  <w14:solidFill>
                    <w14:schemeClr w14:val="tx1"/>
                  </w14:solidFill>
                </w14:textFill>
              </w:rPr>
              <w:object>
                <v:shape id="_x0000_i1025" o:spt="75" type="#_x0000_t75" style="height:293.1pt;width:396.1pt;" o:ole="t" filled="f" o:preferrelative="t" stroked="f" coordsize="21600,21600">
                  <v:path/>
                  <v:fill on="f" focussize="0,0"/>
                  <v:stroke on="f"/>
                  <v:imagedata r:id="rId12" cropbottom="6549f" o:title=""/>
                  <o:lock v:ext="edit" aspectratio="f"/>
                  <w10:wrap type="none"/>
                  <w10:anchorlock/>
                </v:shape>
                <o:OLEObject Type="Embed" ProgID="Visio.Drawing.15" ShapeID="_x0000_i1025" DrawAspect="Content" ObjectID="_1468075725" r:id="rId11">
                  <o:LockedField>false</o:LockedField>
                </o:OLEObject>
              </w:object>
            </w:r>
          </w:p>
          <w:p w14:paraId="0DEE9679">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黑体" w:hAnsi="黑体" w:eastAsia="黑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图2</w:t>
            </w:r>
            <w:r>
              <w:rPr>
                <w:rFonts w:hint="eastAsia" w:cs="Times New Roman"/>
                <w:b/>
                <w:bCs w:val="0"/>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bCs w:val="0"/>
                <w:color w:val="000000" w:themeColor="text1"/>
                <w:kern w:val="0"/>
                <w:sz w:val="21"/>
                <w:szCs w:val="21"/>
                <w14:textFill>
                  <w14:solidFill>
                    <w14:schemeClr w14:val="tx1"/>
                  </w14:solidFill>
                </w14:textFill>
              </w:rPr>
              <w:t>-</w:t>
            </w:r>
            <w:r>
              <w:rPr>
                <w:rFonts w:hint="default" w:ascii="Times New Roman" w:hAnsi="Times New Roman" w:eastAsia="宋体" w:cs="Times New Roman"/>
                <w:b/>
                <w:bCs w:val="0"/>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b/>
                <w:bCs w:val="0"/>
                <w:color w:val="000000" w:themeColor="text1"/>
                <w:kern w:val="0"/>
                <w:sz w:val="21"/>
                <w:szCs w:val="21"/>
                <w14:textFill>
                  <w14:solidFill>
                    <w14:schemeClr w14:val="tx1"/>
                  </w14:solidFill>
                </w14:textFill>
              </w:rPr>
              <w:t xml:space="preserve">  </w:t>
            </w:r>
            <w:r>
              <w:rPr>
                <w:rFonts w:hint="default" w:ascii="Times New Roman" w:hAnsi="Times New Roman" w:eastAsia="宋体" w:cs="Times New Roman"/>
                <w:b/>
                <w:bCs w:val="0"/>
                <w:color w:val="000000" w:themeColor="text1"/>
                <w:kern w:val="0"/>
                <w:sz w:val="21"/>
                <w:szCs w:val="21"/>
                <w:lang w:val="en-US" w:eastAsia="zh-CN"/>
                <w14:textFill>
                  <w14:solidFill>
                    <w14:schemeClr w14:val="tx1"/>
                  </w14:solidFill>
                </w14:textFill>
              </w:rPr>
              <w:t>工程</w:t>
            </w:r>
            <w:r>
              <w:rPr>
                <w:rFonts w:hint="default" w:ascii="Times New Roman" w:hAnsi="Times New Roman" w:eastAsia="宋体" w:cs="Times New Roman"/>
                <w:b/>
                <w:bCs w:val="0"/>
                <w:color w:val="000000" w:themeColor="text1"/>
                <w:kern w:val="0"/>
                <w:sz w:val="21"/>
                <w:szCs w:val="21"/>
                <w14:textFill>
                  <w14:solidFill>
                    <w14:schemeClr w14:val="tx1"/>
                  </w14:solidFill>
                </w14:textFill>
              </w:rPr>
              <w:t>施工工艺流程及产污节点图</w:t>
            </w:r>
          </w:p>
          <w:p w14:paraId="7C09F9A0">
            <w:pPr>
              <w:pStyle w:val="50"/>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cs="Times New Roman"/>
                <w:b/>
                <w:bCs/>
                <w:color w:val="000000" w:themeColor="text1"/>
                <w:sz w:val="24"/>
                <w:szCs w:val="24"/>
                <w:lang w:val="en-US" w:bidi="ar-SA"/>
                <w14:textFill>
                  <w14:solidFill>
                    <w14:schemeClr w14:val="tx1"/>
                  </w14:solidFill>
                </w14:textFill>
              </w:rPr>
            </w:pPr>
            <w:r>
              <w:rPr>
                <w:rFonts w:hint="eastAsia" w:ascii="Times New Roman" w:hAnsi="Times New Roman" w:cs="Times New Roman"/>
                <w:b/>
                <w:bCs/>
                <w:color w:val="000000" w:themeColor="text1"/>
                <w:sz w:val="24"/>
                <w:szCs w:val="24"/>
                <w:lang w:val="en-US" w:eastAsia="zh-CN" w:bidi="ar-SA"/>
                <w14:textFill>
                  <w14:solidFill>
                    <w14:schemeClr w14:val="tx1"/>
                  </w14:solidFill>
                </w14:textFill>
              </w:rPr>
              <w:t>2、</w:t>
            </w:r>
            <w:r>
              <w:rPr>
                <w:rFonts w:hint="default" w:ascii="Times New Roman" w:hAnsi="Times New Roman" w:cs="Times New Roman"/>
                <w:b/>
                <w:bCs/>
                <w:color w:val="000000" w:themeColor="text1"/>
                <w:sz w:val="24"/>
                <w:szCs w:val="24"/>
                <w:lang w:val="en-US" w:bidi="ar-SA"/>
                <w14:textFill>
                  <w14:solidFill>
                    <w14:schemeClr w14:val="tx1"/>
                  </w14:solidFill>
                </w14:textFill>
              </w:rPr>
              <w:t>施工期产污环节简介</w:t>
            </w:r>
          </w:p>
          <w:p w14:paraId="5574741D">
            <w:pPr>
              <w:pStyle w:val="50"/>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bidi="ar-SA"/>
                <w14:textFill>
                  <w14:solidFill>
                    <w14:schemeClr w14:val="tx1"/>
                  </w14:solidFill>
                </w14:textFill>
              </w:rPr>
              <w:t>项目施工期主要对现有厂房</w:t>
            </w:r>
            <w:r>
              <w:rPr>
                <w:rFonts w:hint="default" w:ascii="Times New Roman" w:hAnsi="Times New Roman" w:cs="Times New Roman"/>
                <w:color w:val="000000" w:themeColor="text1"/>
                <w:sz w:val="24"/>
                <w:szCs w:val="24"/>
                <w:lang w:val="en-US" w:eastAsia="zh-CN" w:bidi="ar-SA"/>
                <w14:textFill>
                  <w14:solidFill>
                    <w14:schemeClr w14:val="tx1"/>
                  </w14:solidFill>
                </w14:textFill>
              </w:rPr>
              <w:t>内部</w:t>
            </w:r>
            <w:r>
              <w:rPr>
                <w:rFonts w:hint="default" w:ascii="Times New Roman" w:hAnsi="Times New Roman" w:eastAsia="宋体" w:cs="Times New Roman"/>
                <w:color w:val="000000" w:themeColor="text1"/>
                <w:sz w:val="24"/>
                <w:szCs w:val="24"/>
                <w:lang w:val="en-US" w:bidi="ar-SA"/>
                <w14:textFill>
                  <w14:solidFill>
                    <w14:schemeClr w14:val="tx1"/>
                  </w14:solidFill>
                </w14:textFill>
              </w:rPr>
              <w:t>进行改造、设备的安装及环保</w:t>
            </w:r>
            <w:r>
              <w:rPr>
                <w:rFonts w:hint="default" w:ascii="Times New Roman" w:hAnsi="Times New Roman" w:cs="Times New Roman"/>
                <w:color w:val="000000" w:themeColor="text1"/>
                <w:sz w:val="24"/>
                <w:szCs w:val="24"/>
                <w:lang w:val="en-US" w:eastAsia="zh-CN" w:bidi="ar-SA"/>
                <w14:textFill>
                  <w14:solidFill>
                    <w14:schemeClr w14:val="tx1"/>
                  </w14:solidFill>
                </w14:textFill>
              </w:rPr>
              <w:t>设备安装</w:t>
            </w:r>
            <w:r>
              <w:rPr>
                <w:rFonts w:hint="default" w:ascii="Times New Roman" w:hAnsi="Times New Roman" w:eastAsia="宋体" w:cs="Times New Roman"/>
                <w:color w:val="000000" w:themeColor="text1"/>
                <w:sz w:val="24"/>
                <w:szCs w:val="24"/>
                <w:lang w:val="en-US" w:bidi="ar-SA"/>
                <w14:textFill>
                  <w14:solidFill>
                    <w14:schemeClr w14:val="tx1"/>
                  </w14:solidFill>
                </w14:textFill>
              </w:rPr>
              <w:t>建设，主要产生的污染物为施工</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扬尘</w:t>
            </w:r>
            <w:r>
              <w:rPr>
                <w:rFonts w:hint="default" w:ascii="Times New Roman" w:hAnsi="Times New Roman" w:eastAsia="宋体" w:cs="Times New Roman"/>
                <w:color w:val="000000" w:themeColor="text1"/>
                <w:sz w:val="24"/>
                <w:szCs w:val="24"/>
                <w:lang w:val="en-US" w:bidi="ar-SA"/>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建筑垃圾</w:t>
            </w:r>
            <w:r>
              <w:rPr>
                <w:rFonts w:hint="default" w:ascii="Times New Roman" w:hAnsi="Times New Roman" w:eastAsia="宋体" w:cs="Times New Roman"/>
                <w:color w:val="000000" w:themeColor="text1"/>
                <w:sz w:val="24"/>
                <w:szCs w:val="24"/>
                <w:lang w:val="en-US" w:bidi="ar-SA"/>
                <w14:textFill>
                  <w14:solidFill>
                    <w14:schemeClr w14:val="tx1"/>
                  </w14:solidFill>
                </w14:textFill>
              </w:rPr>
              <w:t>、机械设备噪声等</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lang w:val="en-US" w:bidi="ar-SA"/>
                <w14:textFill>
                  <w14:solidFill>
                    <w14:schemeClr w14:val="tx1"/>
                  </w14:solidFill>
                </w14:textFill>
              </w:rPr>
              <w:t>施工人员</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施工过程中产生的</w:t>
            </w:r>
            <w:r>
              <w:rPr>
                <w:rFonts w:hint="default" w:ascii="Times New Roman" w:hAnsi="Times New Roman" w:eastAsia="宋体" w:cs="Times New Roman"/>
                <w:color w:val="000000" w:themeColor="text1"/>
                <w:sz w:val="24"/>
                <w:szCs w:val="24"/>
                <w:lang w:val="en-US" w:bidi="ar-SA"/>
                <w14:textFill>
                  <w14:solidFill>
                    <w14:schemeClr w14:val="tx1"/>
                  </w14:solidFill>
                </w14:textFill>
              </w:rPr>
              <w:t>生活废水</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、生活垃圾</w:t>
            </w:r>
            <w:r>
              <w:rPr>
                <w:rFonts w:hint="default" w:ascii="Times New Roman" w:hAnsi="Times New Roman" w:eastAsia="宋体" w:cs="Times New Roman"/>
                <w:color w:val="000000" w:themeColor="text1"/>
                <w:sz w:val="24"/>
                <w:szCs w:val="24"/>
                <w:lang w:val="en-US" w:bidi="ar-SA"/>
                <w14:textFill>
                  <w14:solidFill>
                    <w14:schemeClr w14:val="tx1"/>
                  </w14:solidFill>
                </w14:textFill>
              </w:rPr>
              <w:t xml:space="preserve">，污染物的排放量随工序和施工强度不同而变化，伴随着施工的结束而结束。 </w:t>
            </w:r>
          </w:p>
          <w:p w14:paraId="297AABDD">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b/>
                <w:color w:val="00B050"/>
                <w:sz w:val="24"/>
              </w:rPr>
            </w:pPr>
            <w:r>
              <w:rPr>
                <w:rFonts w:hint="eastAsia" w:ascii="宋体" w:hAnsi="宋体"/>
                <w:b/>
                <w:color w:val="00B050"/>
                <w:sz w:val="24"/>
                <w:lang w:val="en-US" w:eastAsia="zh-CN"/>
              </w:rPr>
              <w:t>2.2.2</w:t>
            </w:r>
            <w:r>
              <w:rPr>
                <w:rFonts w:hint="eastAsia" w:ascii="宋体" w:hAnsi="宋体"/>
                <w:b/>
                <w:color w:val="00B050"/>
                <w:sz w:val="24"/>
              </w:rPr>
              <w:t>运营期工艺流程</w:t>
            </w:r>
            <w:r>
              <w:rPr>
                <w:rFonts w:hint="eastAsia" w:ascii="宋体" w:hAnsi="宋体"/>
                <w:b/>
                <w:color w:val="00B050"/>
                <w:sz w:val="24"/>
                <w:lang w:eastAsia="zh-CN"/>
              </w:rPr>
              <w:t>及生</w:t>
            </w:r>
            <w:r>
              <w:rPr>
                <w:rFonts w:hint="eastAsia" w:ascii="宋体" w:hAnsi="宋体"/>
                <w:b/>
                <w:color w:val="00B050"/>
                <w:sz w:val="24"/>
              </w:rPr>
              <w:t>产排污环节</w:t>
            </w:r>
          </w:p>
          <w:p w14:paraId="11805D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B050"/>
                <w:sz w:val="24"/>
                <w:lang w:val="en-US" w:eastAsia="zh-CN"/>
              </w:rPr>
            </w:pPr>
            <w:r>
              <w:rPr>
                <w:rFonts w:hint="eastAsia"/>
                <w:color w:val="00B050"/>
                <w:sz w:val="24"/>
                <w:lang w:val="en-US" w:eastAsia="zh-CN"/>
              </w:rPr>
              <w:t>项目主要进行危险废物收集、贮存、转移活动，不涉及危险废物的运输及处置。运营期主要生产工艺包括危险废物接收前检查、入库前检验、卸车及贮存、打包转移等工序。其工艺流程及产污环节详见图2.2-2所示。</w:t>
            </w:r>
          </w:p>
          <w:p w14:paraId="6FC1F790">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rPr>
                <w:rFonts w:hint="default" w:ascii="Times New Roman" w:hAnsi="Times New Roman" w:eastAsia="宋体" w:cs="Times New Roman"/>
                <w:b/>
                <w:bCs w:val="0"/>
                <w:color w:val="00B050"/>
                <w:kern w:val="2"/>
                <w:sz w:val="21"/>
                <w:szCs w:val="21"/>
                <w:lang w:val="en-US" w:eastAsia="zh-CN" w:bidi="ar-SA"/>
              </w:rPr>
            </w:pPr>
            <w:r>
              <w:rPr>
                <w:rFonts w:ascii="Times New Roman" w:hAnsi="Times New Roman" w:eastAsia="宋体" w:cs="Times New Roman"/>
                <w:b/>
                <w:bCs/>
                <w:color w:val="00B050"/>
                <w:kern w:val="2"/>
                <w:sz w:val="24"/>
                <w:szCs w:val="24"/>
                <w:lang w:val="en-US" w:eastAsia="zh-CN" w:bidi="ar-SA"/>
              </w:rPr>
              <w:object>
                <v:shape id="_x0000_i1026" o:spt="75" type="#_x0000_t75" style="height:360.75pt;width:414.7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r>
              <w:rPr>
                <w:rFonts w:hint="default" w:ascii="Times New Roman" w:hAnsi="Times New Roman" w:eastAsia="宋体" w:cs="Times New Roman"/>
                <w:b/>
                <w:bCs w:val="0"/>
                <w:color w:val="00B050"/>
                <w:kern w:val="2"/>
                <w:sz w:val="21"/>
                <w:szCs w:val="21"/>
                <w:lang w:val="en-US" w:eastAsia="zh-CN" w:bidi="ar-SA"/>
              </w:rPr>
              <w:t>图2.2-2  运营期工艺流程及产污节点图</w:t>
            </w:r>
          </w:p>
          <w:p w14:paraId="34181AA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00B050"/>
                <w:kern w:val="0"/>
                <w:sz w:val="24"/>
                <w:szCs w:val="24"/>
                <w:lang w:val="en-US" w:eastAsia="zh-CN" w:bidi="ar-SA"/>
              </w:rPr>
            </w:pPr>
            <w:r>
              <w:rPr>
                <w:rFonts w:hint="default" w:ascii="Times New Roman" w:hAnsi="Times New Roman" w:cs="Times New Roman"/>
                <w:b/>
                <w:bCs/>
                <w:color w:val="00B050"/>
                <w:kern w:val="0"/>
                <w:sz w:val="24"/>
                <w:szCs w:val="24"/>
                <w:lang w:val="en-US" w:eastAsia="zh-CN" w:bidi="ar-SA"/>
              </w:rPr>
              <w:t>（1）接收前检查</w:t>
            </w:r>
          </w:p>
          <w:p w14:paraId="3386AF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B050"/>
                <w:kern w:val="0"/>
                <w:sz w:val="24"/>
                <w:szCs w:val="24"/>
                <w:lang w:val="en-US" w:eastAsia="zh-CN" w:bidi="ar-SA"/>
              </w:rPr>
            </w:pPr>
            <w:r>
              <w:rPr>
                <w:rFonts w:hint="eastAsia"/>
                <w:color w:val="00B050"/>
                <w:sz w:val="24"/>
                <w:lang w:val="en-US" w:eastAsia="zh-CN"/>
              </w:rPr>
              <w:t>项目运营期收集</w:t>
            </w:r>
            <w:r>
              <w:rPr>
                <w:rFonts w:hint="eastAsia" w:eastAsia="宋体"/>
                <w:color w:val="00B050"/>
                <w:sz w:val="24"/>
                <w:lang w:val="en-US" w:eastAsia="zh-CN"/>
              </w:rPr>
              <w:t>废旧电池及废矿物油</w:t>
            </w:r>
            <w:r>
              <w:rPr>
                <w:rFonts w:hint="eastAsia"/>
                <w:color w:val="00B050"/>
                <w:sz w:val="24"/>
                <w:lang w:val="en-US" w:eastAsia="zh-CN"/>
              </w:rPr>
              <w:t>主要收集范围</w:t>
            </w:r>
            <w:r>
              <w:rPr>
                <w:rFonts w:hint="eastAsia" w:ascii="Times New Roman" w:hAnsi="Times New Roman" w:eastAsia="宋体" w:cs="Times New Roman"/>
                <w:color w:val="00B050"/>
                <w:kern w:val="0"/>
                <w:sz w:val="24"/>
                <w:szCs w:val="20"/>
                <w:lang w:val="en-US" w:eastAsia="zh-CN"/>
              </w:rPr>
              <w:t>主要</w:t>
            </w:r>
            <w:r>
              <w:rPr>
                <w:rFonts w:hint="eastAsia" w:cs="Times New Roman"/>
                <w:color w:val="00B050"/>
                <w:kern w:val="0"/>
                <w:sz w:val="24"/>
                <w:szCs w:val="20"/>
                <w:lang w:val="en-US" w:eastAsia="zh-CN"/>
              </w:rPr>
              <w:t>来自</w:t>
            </w:r>
            <w:r>
              <w:rPr>
                <w:rFonts w:hint="eastAsia" w:ascii="Times New Roman" w:hAnsi="Times New Roman" w:eastAsia="宋体" w:cs="Times New Roman"/>
                <w:color w:val="00B050"/>
                <w:kern w:val="0"/>
                <w:sz w:val="24"/>
                <w:szCs w:val="20"/>
                <w:lang w:val="en-US" w:eastAsia="zh-CN"/>
              </w:rPr>
              <w:t>曲靖及曲靖周边</w:t>
            </w:r>
            <w:r>
              <w:rPr>
                <w:rFonts w:hint="eastAsia" w:cs="Times New Roman"/>
                <w:color w:val="00B050"/>
                <w:kern w:val="0"/>
                <w:sz w:val="24"/>
                <w:szCs w:val="20"/>
                <w:lang w:val="en-US" w:eastAsia="zh-CN"/>
              </w:rPr>
              <w:t>县市</w:t>
            </w:r>
            <w:r>
              <w:rPr>
                <w:rFonts w:hint="eastAsia" w:ascii="Times New Roman" w:hAnsi="Times New Roman" w:eastAsia="宋体" w:cs="Times New Roman"/>
                <w:color w:val="00B050"/>
                <w:kern w:val="0"/>
                <w:sz w:val="24"/>
                <w:szCs w:val="20"/>
                <w:lang w:val="en-US" w:eastAsia="zh-CN"/>
              </w:rPr>
              <w:t>产废单位</w:t>
            </w:r>
            <w:r>
              <w:rPr>
                <w:rFonts w:hint="eastAsia" w:ascii="Times New Roman" w:hAnsi="Times New Roman" w:eastAsia="宋体" w:cs="Times New Roman"/>
                <w:color w:val="00B050"/>
                <w:kern w:val="0"/>
                <w:sz w:val="24"/>
                <w:szCs w:val="20"/>
              </w:rPr>
              <w:t>，</w:t>
            </w:r>
            <w:r>
              <w:rPr>
                <w:rFonts w:hint="eastAsia" w:ascii="Times New Roman" w:hAnsi="Times New Roman" w:cs="Times New Roman"/>
                <w:color w:val="00B050"/>
                <w:kern w:val="0"/>
                <w:sz w:val="24"/>
                <w:szCs w:val="20"/>
                <w:lang w:val="en-US" w:eastAsia="zh-CN"/>
              </w:rPr>
              <w:t>产废单位</w:t>
            </w:r>
            <w:r>
              <w:rPr>
                <w:rFonts w:hint="eastAsia" w:cs="Times New Roman"/>
                <w:color w:val="00B050"/>
                <w:kern w:val="0"/>
                <w:sz w:val="24"/>
                <w:szCs w:val="20"/>
                <w:lang w:val="en-US" w:eastAsia="zh-CN"/>
              </w:rPr>
              <w:t>危险废物</w:t>
            </w:r>
            <w:r>
              <w:rPr>
                <w:rFonts w:hint="eastAsia" w:ascii="Times New Roman" w:hAnsi="Times New Roman" w:cs="Times New Roman"/>
                <w:color w:val="00B050"/>
                <w:kern w:val="0"/>
                <w:sz w:val="24"/>
                <w:szCs w:val="20"/>
                <w:lang w:val="en-US" w:eastAsia="zh-CN"/>
              </w:rPr>
              <w:t>的</w:t>
            </w:r>
            <w:r>
              <w:rPr>
                <w:rFonts w:hint="eastAsia" w:ascii="Times New Roman" w:hAnsi="Times New Roman" w:eastAsia="宋体" w:cs="Times New Roman"/>
                <w:color w:val="00B050"/>
                <w:kern w:val="0"/>
                <w:sz w:val="24"/>
                <w:szCs w:val="20"/>
              </w:rPr>
              <w:t>厂内收集、</w:t>
            </w:r>
            <w:r>
              <w:rPr>
                <w:rFonts w:hint="eastAsia" w:ascii="Times New Roman" w:hAnsi="Times New Roman" w:eastAsia="宋体" w:cs="Times New Roman"/>
                <w:color w:val="00B050"/>
                <w:kern w:val="0"/>
                <w:sz w:val="24"/>
                <w:szCs w:val="20"/>
                <w:lang w:val="en-US" w:eastAsia="zh-CN"/>
              </w:rPr>
              <w:t>暂</w:t>
            </w:r>
            <w:r>
              <w:rPr>
                <w:rFonts w:hint="eastAsia" w:ascii="Times New Roman" w:hAnsi="Times New Roman" w:eastAsia="宋体" w:cs="Times New Roman"/>
                <w:color w:val="00B050"/>
                <w:kern w:val="0"/>
                <w:sz w:val="24"/>
                <w:szCs w:val="20"/>
              </w:rPr>
              <w:t>存</w:t>
            </w:r>
            <w:r>
              <w:rPr>
                <w:rFonts w:hint="eastAsia" w:cs="Times New Roman"/>
                <w:color w:val="00B050"/>
                <w:kern w:val="0"/>
                <w:sz w:val="24"/>
                <w:szCs w:val="20"/>
                <w:lang w:eastAsia="zh-CN"/>
              </w:rPr>
              <w:t>、</w:t>
            </w:r>
            <w:r>
              <w:rPr>
                <w:rFonts w:hint="eastAsia" w:cs="Times New Roman"/>
                <w:color w:val="00B050"/>
                <w:kern w:val="0"/>
                <w:sz w:val="24"/>
                <w:szCs w:val="20"/>
                <w:lang w:val="en-US" w:eastAsia="zh-CN"/>
              </w:rPr>
              <w:t>消毒（感染性废物）</w:t>
            </w:r>
            <w:r>
              <w:rPr>
                <w:rFonts w:hint="eastAsia" w:ascii="Times New Roman" w:hAnsi="Times New Roman" w:eastAsia="宋体" w:cs="Times New Roman"/>
                <w:color w:val="00B050"/>
                <w:kern w:val="0"/>
                <w:sz w:val="24"/>
                <w:szCs w:val="20"/>
              </w:rPr>
              <w:t>工作由</w:t>
            </w:r>
            <w:r>
              <w:rPr>
                <w:rFonts w:hint="eastAsia" w:ascii="Times New Roman" w:hAnsi="Times New Roman" w:cs="Times New Roman"/>
                <w:color w:val="00B050"/>
                <w:kern w:val="0"/>
                <w:sz w:val="24"/>
                <w:szCs w:val="20"/>
                <w:lang w:val="en-US" w:eastAsia="zh-CN"/>
              </w:rPr>
              <w:t>产废</w:t>
            </w:r>
            <w:r>
              <w:rPr>
                <w:rFonts w:hint="eastAsia" w:ascii="Times New Roman" w:hAnsi="Times New Roman" w:eastAsia="宋体" w:cs="Times New Roman"/>
                <w:color w:val="00B050"/>
                <w:kern w:val="0"/>
                <w:sz w:val="24"/>
                <w:szCs w:val="20"/>
              </w:rPr>
              <w:t>单位负责，</w:t>
            </w:r>
            <w:r>
              <w:rPr>
                <w:rFonts w:hint="eastAsia" w:cs="Times New Roman"/>
                <w:color w:val="00B050"/>
                <w:kern w:val="0"/>
                <w:sz w:val="24"/>
                <w:szCs w:val="20"/>
                <w:lang w:val="en-US" w:eastAsia="zh-CN"/>
              </w:rPr>
              <w:t>达到一定量后</w:t>
            </w:r>
            <w:r>
              <w:rPr>
                <w:rFonts w:hint="eastAsia" w:ascii="Times New Roman" w:hAnsi="Times New Roman" w:eastAsia="宋体" w:cs="Times New Roman"/>
                <w:color w:val="00B050"/>
                <w:kern w:val="0"/>
                <w:sz w:val="24"/>
                <w:szCs w:val="20"/>
              </w:rPr>
              <w:t>预约建设单位进行</w:t>
            </w:r>
            <w:r>
              <w:rPr>
                <w:rFonts w:hint="eastAsia" w:ascii="Times New Roman" w:hAnsi="Times New Roman" w:cs="Times New Roman"/>
                <w:color w:val="00B050"/>
                <w:kern w:val="0"/>
                <w:sz w:val="24"/>
                <w:szCs w:val="20"/>
                <w:lang w:val="en-US" w:eastAsia="zh-CN"/>
              </w:rPr>
              <w:t>收集</w:t>
            </w:r>
            <w:r>
              <w:rPr>
                <w:rFonts w:hint="eastAsia" w:ascii="Times New Roman" w:hAnsi="Times New Roman" w:eastAsia="宋体" w:cs="Times New Roman"/>
                <w:color w:val="00B050"/>
                <w:kern w:val="0"/>
                <w:sz w:val="24"/>
                <w:szCs w:val="20"/>
              </w:rPr>
              <w:t>。</w:t>
            </w:r>
            <w:r>
              <w:rPr>
                <w:rFonts w:hint="eastAsia" w:cs="Times New Roman"/>
                <w:color w:val="00B050"/>
                <w:kern w:val="0"/>
                <w:sz w:val="24"/>
                <w:szCs w:val="20"/>
                <w:lang w:val="en-US" w:eastAsia="zh-CN"/>
              </w:rPr>
              <w:t>危险废物</w:t>
            </w:r>
            <w:r>
              <w:rPr>
                <w:rFonts w:hint="default" w:ascii="Times New Roman" w:hAnsi="Times New Roman" w:cs="Times New Roman"/>
                <w:color w:val="00B050"/>
                <w:kern w:val="0"/>
                <w:sz w:val="24"/>
                <w:szCs w:val="20"/>
                <w:lang w:val="en-US" w:eastAsia="zh-CN"/>
              </w:rPr>
              <w:t>在</w:t>
            </w:r>
            <w:r>
              <w:rPr>
                <w:rFonts w:hint="default" w:ascii="Times New Roman" w:hAnsi="Times New Roman" w:cs="Times New Roman"/>
                <w:color w:val="00B050"/>
                <w:kern w:val="0"/>
                <w:sz w:val="24"/>
                <w:szCs w:val="24"/>
                <w:lang w:val="en-US" w:eastAsia="zh-CN" w:bidi="ar-SA"/>
              </w:rPr>
              <w:t>接收前先进行检查，确认危险废物类别与收集类别一致，同时对包装物、标签进行检查，检查后进行称重，填写转移</w:t>
            </w:r>
            <w:r>
              <w:rPr>
                <w:rFonts w:hint="eastAsia" w:cs="Times New Roman"/>
                <w:color w:val="00B050"/>
                <w:kern w:val="0"/>
                <w:sz w:val="24"/>
                <w:szCs w:val="24"/>
                <w:lang w:val="en-US" w:eastAsia="zh-CN" w:bidi="ar-SA"/>
              </w:rPr>
              <w:t>清单</w:t>
            </w:r>
            <w:r>
              <w:rPr>
                <w:rFonts w:hint="default" w:ascii="Times New Roman" w:hAnsi="Times New Roman" w:cs="Times New Roman"/>
                <w:color w:val="00B050"/>
                <w:kern w:val="0"/>
                <w:sz w:val="24"/>
                <w:szCs w:val="24"/>
                <w:lang w:val="en-US" w:eastAsia="zh-CN" w:bidi="ar-SA"/>
              </w:rPr>
              <w:t>。</w:t>
            </w:r>
          </w:p>
          <w:p w14:paraId="2E7019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B050"/>
                <w:kern w:val="0"/>
                <w:sz w:val="24"/>
                <w:szCs w:val="24"/>
                <w:lang w:val="en-US" w:eastAsia="zh-CN" w:bidi="ar-SA"/>
              </w:rPr>
            </w:pPr>
            <w:r>
              <w:rPr>
                <w:rFonts w:hint="eastAsia" w:cs="Times New Roman"/>
                <w:color w:val="00B050"/>
                <w:kern w:val="0"/>
                <w:sz w:val="24"/>
                <w:szCs w:val="24"/>
                <w:lang w:val="en-US" w:eastAsia="zh-CN" w:bidi="ar-SA"/>
              </w:rPr>
              <w:t>经检查发现废物不满足要求时，建设单位拒绝装运</w:t>
            </w:r>
            <w:r>
              <w:rPr>
                <w:rFonts w:hint="default" w:ascii="Times New Roman" w:hAnsi="Times New Roman" w:cs="Times New Roman"/>
                <w:color w:val="00B050"/>
                <w:kern w:val="0"/>
                <w:sz w:val="24"/>
                <w:szCs w:val="24"/>
                <w:lang w:val="en-US" w:eastAsia="zh-CN" w:bidi="ar-SA"/>
              </w:rPr>
              <w:t>。</w:t>
            </w:r>
          </w:p>
          <w:p w14:paraId="380D17F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B050"/>
                <w:kern w:val="0"/>
                <w:sz w:val="24"/>
                <w:szCs w:val="24"/>
                <w:lang w:val="en-US" w:eastAsia="zh-CN" w:bidi="ar-SA"/>
              </w:rPr>
            </w:pPr>
            <w:r>
              <w:rPr>
                <w:rFonts w:hint="default" w:ascii="Times New Roman" w:hAnsi="Times New Roman" w:cs="Times New Roman"/>
                <w:b/>
                <w:bCs/>
                <w:color w:val="00B050"/>
                <w:kern w:val="0"/>
                <w:sz w:val="24"/>
                <w:szCs w:val="24"/>
                <w:lang w:val="en-US" w:eastAsia="zh-CN" w:bidi="ar-SA"/>
              </w:rPr>
              <w:t>（2）</w:t>
            </w:r>
            <w:r>
              <w:rPr>
                <w:rFonts w:hint="default" w:ascii="Times New Roman" w:hAnsi="Times New Roman" w:eastAsia="宋体" w:cs="Times New Roman"/>
                <w:b/>
                <w:bCs/>
                <w:color w:val="00B050"/>
                <w:kern w:val="0"/>
                <w:sz w:val="24"/>
                <w:szCs w:val="24"/>
                <w:lang w:val="en-US" w:eastAsia="zh-CN" w:bidi="ar-SA"/>
              </w:rPr>
              <w:t>入库前检查</w:t>
            </w:r>
          </w:p>
          <w:p w14:paraId="304A53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B050"/>
                <w:kern w:val="0"/>
                <w:sz w:val="24"/>
                <w:szCs w:val="24"/>
                <w:lang w:val="en-US" w:eastAsia="zh-CN" w:bidi="ar-SA"/>
              </w:rPr>
            </w:pPr>
            <w:r>
              <w:rPr>
                <w:rFonts w:hint="eastAsia" w:eastAsia="宋体"/>
                <w:color w:val="00B050"/>
                <w:sz w:val="24"/>
                <w:lang w:val="en-US" w:eastAsia="zh-CN"/>
              </w:rPr>
              <w:t>废旧电池及废矿物油</w:t>
            </w:r>
            <w:r>
              <w:rPr>
                <w:rFonts w:hint="eastAsia"/>
                <w:color w:val="00B050"/>
                <w:sz w:val="24"/>
                <w:lang w:val="en-US" w:eastAsia="zh-CN"/>
              </w:rPr>
              <w:t>委托曲靖市马龙区鹏泉运输服务有限公司</w:t>
            </w:r>
            <w:r>
              <w:rPr>
                <w:rFonts w:hint="default" w:ascii="Times New Roman" w:hAnsi="Times New Roman" w:eastAsia="宋体" w:cs="Times New Roman"/>
                <w:color w:val="00B050"/>
                <w:kern w:val="0"/>
                <w:sz w:val="24"/>
                <w:szCs w:val="24"/>
                <w:lang w:val="en-US" w:eastAsia="zh-CN" w:bidi="ar-SA"/>
              </w:rPr>
              <w:t>运输至</w:t>
            </w:r>
            <w:r>
              <w:rPr>
                <w:rFonts w:hint="eastAsia" w:ascii="Times New Roman" w:hAnsi="Times New Roman" w:cs="Times New Roman"/>
                <w:color w:val="00B050"/>
                <w:kern w:val="0"/>
                <w:sz w:val="24"/>
                <w:szCs w:val="24"/>
                <w:lang w:val="en-US" w:eastAsia="zh-CN" w:bidi="ar-SA"/>
              </w:rPr>
              <w:t>项目区</w:t>
            </w:r>
            <w:r>
              <w:rPr>
                <w:rFonts w:hint="default" w:ascii="Times New Roman" w:hAnsi="Times New Roman" w:eastAsia="宋体" w:cs="Times New Roman"/>
                <w:color w:val="00B050"/>
                <w:kern w:val="0"/>
                <w:sz w:val="24"/>
                <w:szCs w:val="24"/>
                <w:lang w:val="en-US" w:eastAsia="zh-CN" w:bidi="ar-SA"/>
              </w:rPr>
              <w:t>后，</w:t>
            </w:r>
            <w:r>
              <w:rPr>
                <w:rFonts w:hint="eastAsia" w:ascii="Times New Roman" w:hAnsi="Times New Roman" w:cs="Times New Roman"/>
                <w:color w:val="00B050"/>
                <w:kern w:val="0"/>
                <w:sz w:val="24"/>
                <w:szCs w:val="24"/>
                <w:lang w:val="en-US" w:eastAsia="zh-CN" w:bidi="ar-SA"/>
              </w:rPr>
              <w:t>建设单位</w:t>
            </w:r>
            <w:r>
              <w:rPr>
                <w:rFonts w:hint="eastAsia" w:cs="Times New Roman"/>
                <w:color w:val="00B050"/>
                <w:kern w:val="0"/>
                <w:sz w:val="24"/>
                <w:szCs w:val="24"/>
                <w:lang w:val="en-US" w:eastAsia="zh-CN" w:bidi="ar-SA"/>
              </w:rPr>
              <w:t>对危险废物</w:t>
            </w:r>
            <w:r>
              <w:rPr>
                <w:rFonts w:hint="eastAsia" w:ascii="Times New Roman" w:hAnsi="Times New Roman" w:cs="Times New Roman"/>
                <w:color w:val="00B050"/>
                <w:kern w:val="0"/>
                <w:sz w:val="24"/>
                <w:szCs w:val="24"/>
                <w:lang w:val="en-US" w:eastAsia="zh-CN" w:bidi="ar-SA"/>
              </w:rPr>
              <w:t>进行检查</w:t>
            </w:r>
            <w:r>
              <w:rPr>
                <w:rFonts w:hint="default" w:ascii="Times New Roman" w:hAnsi="Times New Roman" w:eastAsia="宋体" w:cs="Times New Roman"/>
                <w:color w:val="00B050"/>
                <w:kern w:val="0"/>
                <w:sz w:val="24"/>
                <w:szCs w:val="24"/>
                <w:lang w:val="en-US" w:eastAsia="zh-CN" w:bidi="ar-SA"/>
              </w:rPr>
              <w:t>，核实</w:t>
            </w:r>
            <w:r>
              <w:rPr>
                <w:rFonts w:hint="eastAsia" w:eastAsia="宋体"/>
                <w:color w:val="00B050"/>
                <w:sz w:val="24"/>
                <w:lang w:val="en-US" w:eastAsia="zh-CN"/>
              </w:rPr>
              <w:t>废旧电池及废矿物油</w:t>
            </w:r>
            <w:r>
              <w:rPr>
                <w:rFonts w:hint="eastAsia" w:ascii="Times New Roman" w:hAnsi="Times New Roman" w:cs="Times New Roman"/>
                <w:color w:val="00B050"/>
                <w:kern w:val="0"/>
                <w:sz w:val="24"/>
                <w:szCs w:val="24"/>
                <w:lang w:val="en-US" w:eastAsia="zh-CN" w:bidi="ar-SA"/>
              </w:rPr>
              <w:t>标签、</w:t>
            </w:r>
            <w:r>
              <w:rPr>
                <w:rFonts w:hint="default" w:ascii="Times New Roman" w:hAnsi="Times New Roman" w:eastAsia="宋体" w:cs="Times New Roman"/>
                <w:color w:val="00B050"/>
                <w:kern w:val="0"/>
                <w:sz w:val="24"/>
                <w:szCs w:val="24"/>
                <w:lang w:val="en-US" w:eastAsia="zh-CN" w:bidi="ar-SA"/>
              </w:rPr>
              <w:t>转移联单与预定接收的危险废物</w:t>
            </w:r>
            <w:r>
              <w:rPr>
                <w:rFonts w:hint="eastAsia" w:cs="Times New Roman"/>
                <w:color w:val="00B050"/>
                <w:kern w:val="0"/>
                <w:sz w:val="24"/>
                <w:szCs w:val="24"/>
                <w:lang w:val="en-US" w:eastAsia="zh-CN" w:bidi="ar-SA"/>
              </w:rPr>
              <w:t>和一般固体废物</w:t>
            </w:r>
            <w:r>
              <w:rPr>
                <w:rFonts w:hint="default" w:ascii="Times New Roman" w:hAnsi="Times New Roman" w:eastAsia="宋体" w:cs="Times New Roman"/>
                <w:color w:val="00B050"/>
                <w:kern w:val="0"/>
                <w:sz w:val="24"/>
                <w:szCs w:val="24"/>
                <w:lang w:val="en-US" w:eastAsia="zh-CN" w:bidi="ar-SA"/>
              </w:rPr>
              <w:t>是否一致</w:t>
            </w:r>
            <w:r>
              <w:rPr>
                <w:rFonts w:hint="eastAsia" w:ascii="Times New Roman" w:hAnsi="Times New Roman" w:cs="Times New Roman"/>
                <w:color w:val="00B050"/>
                <w:kern w:val="0"/>
                <w:sz w:val="24"/>
                <w:szCs w:val="24"/>
                <w:lang w:val="en-US" w:eastAsia="zh-CN" w:bidi="ar-SA"/>
              </w:rPr>
              <w:t>、重量是否一致，</w:t>
            </w:r>
            <w:r>
              <w:rPr>
                <w:rFonts w:hint="default" w:ascii="Times New Roman" w:hAnsi="Times New Roman" w:eastAsia="宋体" w:cs="Times New Roman"/>
                <w:color w:val="00B050"/>
                <w:kern w:val="0"/>
                <w:sz w:val="24"/>
                <w:szCs w:val="24"/>
                <w:lang w:val="en-US" w:eastAsia="zh-CN" w:bidi="ar-SA"/>
              </w:rPr>
              <w:t>不符合要求的退回原单位。</w:t>
            </w:r>
            <w:r>
              <w:rPr>
                <w:rFonts w:hint="eastAsia" w:cs="Times New Roman"/>
                <w:color w:val="00B050"/>
                <w:kern w:val="0"/>
                <w:sz w:val="24"/>
                <w:szCs w:val="24"/>
                <w:lang w:val="en-US" w:eastAsia="zh-CN" w:bidi="ar-SA"/>
              </w:rPr>
              <w:t>若有发生泄漏情况，立即进行应急收集。</w:t>
            </w:r>
          </w:p>
          <w:p w14:paraId="1D5B6DB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B050"/>
                <w:kern w:val="0"/>
                <w:sz w:val="24"/>
                <w:szCs w:val="24"/>
                <w:lang w:val="en-US" w:eastAsia="zh-CN" w:bidi="ar-SA"/>
              </w:rPr>
            </w:pPr>
            <w:r>
              <w:rPr>
                <w:rFonts w:hint="eastAsia" w:ascii="Times New Roman" w:hAnsi="Times New Roman" w:cs="Times New Roman"/>
                <w:b/>
                <w:bCs/>
                <w:color w:val="00B050"/>
                <w:kern w:val="0"/>
                <w:sz w:val="24"/>
                <w:szCs w:val="24"/>
                <w:lang w:val="en-US" w:eastAsia="zh-CN" w:bidi="ar-SA"/>
              </w:rPr>
              <w:t>（3）</w:t>
            </w:r>
            <w:r>
              <w:rPr>
                <w:rFonts w:hint="default" w:ascii="Times New Roman" w:hAnsi="Times New Roman" w:eastAsia="宋体" w:cs="Times New Roman"/>
                <w:b/>
                <w:bCs/>
                <w:color w:val="00B050"/>
                <w:kern w:val="0"/>
                <w:sz w:val="24"/>
                <w:szCs w:val="24"/>
                <w:lang w:val="en-US" w:eastAsia="zh-CN" w:bidi="ar-SA"/>
              </w:rPr>
              <w:t>卸车</w:t>
            </w:r>
            <w:r>
              <w:rPr>
                <w:rFonts w:hint="eastAsia" w:ascii="Times New Roman" w:hAnsi="Times New Roman" w:cs="Times New Roman"/>
                <w:b/>
                <w:bCs/>
                <w:color w:val="00B050"/>
                <w:kern w:val="0"/>
                <w:sz w:val="24"/>
                <w:szCs w:val="24"/>
                <w:lang w:val="en-US" w:eastAsia="zh-CN" w:bidi="ar-SA"/>
              </w:rPr>
              <w:t>及入库贮存</w:t>
            </w:r>
          </w:p>
          <w:p w14:paraId="402F5C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B050"/>
                <w:kern w:val="0"/>
                <w:sz w:val="24"/>
                <w:szCs w:val="24"/>
                <w:lang w:val="en-US" w:eastAsia="zh-CN" w:bidi="ar-SA"/>
              </w:rPr>
            </w:pPr>
            <w:r>
              <w:rPr>
                <w:rFonts w:hint="default" w:ascii="Times New Roman" w:hAnsi="Times New Roman" w:eastAsia="宋体" w:cs="Times New Roman"/>
                <w:color w:val="00B050"/>
                <w:kern w:val="0"/>
                <w:sz w:val="24"/>
                <w:szCs w:val="24"/>
                <w:lang w:val="en-US" w:eastAsia="zh-CN" w:bidi="ar-SA"/>
              </w:rPr>
              <w:t>经</w:t>
            </w:r>
            <w:r>
              <w:rPr>
                <w:rFonts w:hint="eastAsia" w:ascii="Times New Roman" w:hAnsi="Times New Roman" w:cs="Times New Roman"/>
                <w:color w:val="00B050"/>
                <w:kern w:val="0"/>
                <w:sz w:val="24"/>
                <w:szCs w:val="24"/>
                <w:lang w:val="en-US" w:eastAsia="zh-CN" w:bidi="ar-SA"/>
              </w:rPr>
              <w:t>核实</w:t>
            </w:r>
            <w:r>
              <w:rPr>
                <w:rFonts w:hint="default" w:ascii="Times New Roman" w:hAnsi="Times New Roman" w:eastAsia="宋体" w:cs="Times New Roman"/>
                <w:color w:val="00B050"/>
                <w:kern w:val="0"/>
                <w:sz w:val="24"/>
                <w:szCs w:val="24"/>
                <w:lang w:val="en-US" w:eastAsia="zh-CN" w:bidi="ar-SA"/>
              </w:rPr>
              <w:t>符合贮存要求的危险废物，由运输车辆直接送至</w:t>
            </w:r>
            <w:r>
              <w:rPr>
                <w:rFonts w:hint="eastAsia" w:ascii="Times New Roman" w:hAnsi="Times New Roman" w:cs="Times New Roman"/>
                <w:color w:val="00B050"/>
                <w:kern w:val="0"/>
                <w:sz w:val="24"/>
                <w:szCs w:val="24"/>
                <w:lang w:val="en-US" w:eastAsia="zh-CN" w:bidi="ar-SA"/>
              </w:rPr>
              <w:t>库内卸车，卸车采用叉车卸载，并转移至贮存分区。其中，废矿物油运输车辆停靠于废矿物油装卸区，经油泵送至储罐内；废铅蓄</w:t>
            </w:r>
            <w:r>
              <w:rPr>
                <w:rFonts w:hint="eastAsia" w:cs="Times New Roman"/>
                <w:color w:val="00B050"/>
                <w:kern w:val="0"/>
                <w:sz w:val="24"/>
                <w:szCs w:val="24"/>
                <w:lang w:val="en-US" w:eastAsia="zh-CN" w:bidi="ar-SA"/>
              </w:rPr>
              <w:t>电池贮存于专用分区内。其他类别的危险废物和一般固体废物</w:t>
            </w:r>
            <w:r>
              <w:rPr>
                <w:rFonts w:hint="default" w:ascii="Times New Roman" w:hAnsi="Times New Roman" w:eastAsia="宋体" w:cs="Times New Roman"/>
                <w:color w:val="00B050"/>
                <w:kern w:val="0"/>
                <w:sz w:val="24"/>
                <w:szCs w:val="24"/>
                <w:lang w:val="en-US" w:eastAsia="zh-CN" w:bidi="ar-SA"/>
              </w:rPr>
              <w:t>入库包装方式不变，固态危险废物仍以桶装或袋装暂存，液态和半固态危险废物仍以桶装保存。</w:t>
            </w:r>
          </w:p>
          <w:p w14:paraId="7E2A1A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B050"/>
                <w:kern w:val="0"/>
                <w:sz w:val="24"/>
                <w:szCs w:val="24"/>
                <w:lang w:val="en-US" w:eastAsia="zh-CN" w:bidi="ar-SA"/>
              </w:rPr>
            </w:pPr>
            <w:r>
              <w:rPr>
                <w:rFonts w:hint="eastAsia" w:ascii="Times New Roman" w:hAnsi="Times New Roman" w:cs="Times New Roman"/>
                <w:color w:val="00B050"/>
                <w:kern w:val="0"/>
                <w:sz w:val="24"/>
                <w:szCs w:val="24"/>
                <w:lang w:val="en-US" w:eastAsia="zh-CN" w:bidi="ar-SA"/>
              </w:rPr>
              <w:t>卸车及入库贮存过程中主要产生运输车辆噪声、搬运噪声以及储罐呼吸废气等。</w:t>
            </w:r>
            <w:r>
              <w:rPr>
                <w:rFonts w:hint="eastAsia" w:cs="Times New Roman"/>
                <w:color w:val="FF0000"/>
                <w:sz w:val="24"/>
                <w:szCs w:val="24"/>
                <w:lang w:val="en-US" w:eastAsia="zh-CN" w:bidi="ar-SA"/>
              </w:rPr>
              <w:t>储罐</w:t>
            </w:r>
            <w:r>
              <w:rPr>
                <w:rFonts w:hint="eastAsia" w:ascii="Times New Roman" w:hAnsi="Times New Roman" w:eastAsia="宋体" w:cs="Times New Roman"/>
                <w:color w:val="FF0000"/>
                <w:sz w:val="24"/>
                <w:szCs w:val="24"/>
                <w:lang w:val="en-US" w:eastAsia="zh-CN" w:bidi="ar-SA"/>
              </w:rPr>
              <w:t>呼吸废气经收集后</w:t>
            </w:r>
            <w:r>
              <w:rPr>
                <w:rFonts w:hint="eastAsia" w:cs="Times New Roman"/>
                <w:color w:val="FF0000"/>
                <w:sz w:val="24"/>
                <w:szCs w:val="24"/>
                <w:lang w:val="en-US" w:eastAsia="zh-CN" w:bidi="ar-SA"/>
              </w:rPr>
              <w:t>通过引风机</w:t>
            </w:r>
            <w:r>
              <w:rPr>
                <w:rFonts w:hint="eastAsia" w:cs="Times New Roman"/>
                <w:b w:val="0"/>
                <w:bCs w:val="0"/>
                <w:color w:val="FF0000"/>
                <w:sz w:val="24"/>
                <w:szCs w:val="24"/>
                <w:lang w:val="en-US" w:eastAsia="zh-CN" w:bidi="ar-SA"/>
              </w:rPr>
              <w:t>（</w:t>
            </w:r>
            <w:r>
              <w:rPr>
                <w:rFonts w:hint="eastAsia" w:ascii="Times New Roman" w:hAnsi="Times New Roman" w:eastAsia="宋体" w:cs="Times New Roman"/>
                <w:b w:val="0"/>
                <w:bCs w:val="0"/>
                <w:color w:val="FF0000"/>
                <w:sz w:val="24"/>
                <w:szCs w:val="24"/>
                <w:lang w:val="en-US" w:eastAsia="zh-CN" w:bidi="ar-SA"/>
              </w:rPr>
              <w:t>设计风量2</w:t>
            </w:r>
            <w:r>
              <w:rPr>
                <w:rFonts w:hint="eastAsia" w:cs="Times New Roman"/>
                <w:b w:val="0"/>
                <w:bCs w:val="0"/>
                <w:color w:val="FF0000"/>
                <w:sz w:val="24"/>
                <w:szCs w:val="24"/>
                <w:lang w:val="en-US" w:eastAsia="zh-CN" w:bidi="ar-SA"/>
              </w:rPr>
              <w:t>0</w:t>
            </w:r>
            <w:r>
              <w:rPr>
                <w:rFonts w:hint="eastAsia" w:ascii="Times New Roman" w:hAnsi="Times New Roman" w:eastAsia="宋体" w:cs="Times New Roman"/>
                <w:b w:val="0"/>
                <w:bCs w:val="0"/>
                <w:color w:val="FF0000"/>
                <w:sz w:val="24"/>
                <w:szCs w:val="24"/>
                <w:lang w:val="en-US" w:eastAsia="zh-CN" w:bidi="ar-SA"/>
              </w:rPr>
              <w:t>00m</w:t>
            </w:r>
            <w:r>
              <w:rPr>
                <w:rFonts w:hint="eastAsia" w:ascii="Times New Roman" w:hAnsi="Times New Roman" w:eastAsia="宋体" w:cs="Times New Roman"/>
                <w:b w:val="0"/>
                <w:bCs w:val="0"/>
                <w:color w:val="FF0000"/>
                <w:sz w:val="24"/>
                <w:szCs w:val="24"/>
                <w:vertAlign w:val="superscript"/>
                <w:lang w:val="en-US" w:eastAsia="zh-CN" w:bidi="ar-SA"/>
              </w:rPr>
              <w:t>3</w:t>
            </w:r>
            <w:r>
              <w:rPr>
                <w:rFonts w:hint="eastAsia" w:ascii="Times New Roman" w:hAnsi="Times New Roman" w:eastAsia="宋体" w:cs="Times New Roman"/>
                <w:b w:val="0"/>
                <w:bCs w:val="0"/>
                <w:color w:val="FF0000"/>
                <w:sz w:val="24"/>
                <w:szCs w:val="24"/>
                <w:lang w:val="en-US" w:eastAsia="zh-CN" w:bidi="ar-SA"/>
              </w:rPr>
              <w:t>/h</w:t>
            </w:r>
            <w:r>
              <w:rPr>
                <w:rFonts w:hint="eastAsia" w:cs="Times New Roman"/>
                <w:b w:val="0"/>
                <w:bCs w:val="0"/>
                <w:color w:val="FF0000"/>
                <w:sz w:val="24"/>
                <w:szCs w:val="24"/>
                <w:lang w:val="en-US" w:eastAsia="zh-CN" w:bidi="ar-SA"/>
              </w:rPr>
              <w:t>）</w:t>
            </w:r>
            <w:r>
              <w:rPr>
                <w:rFonts w:hint="eastAsia" w:ascii="Times New Roman" w:hAnsi="Times New Roman" w:eastAsia="宋体" w:cs="Times New Roman"/>
                <w:color w:val="FF0000"/>
                <w:sz w:val="24"/>
                <w:szCs w:val="24"/>
                <w:lang w:val="en-US" w:eastAsia="zh-CN" w:bidi="ar-SA"/>
              </w:rPr>
              <w:t>引至</w:t>
            </w:r>
            <w:r>
              <w:rPr>
                <w:rFonts w:hint="eastAsia" w:cs="Times New Roman"/>
                <w:color w:val="FF0000"/>
                <w:sz w:val="24"/>
                <w:szCs w:val="24"/>
                <w:lang w:val="en-US" w:eastAsia="zh-CN" w:bidi="ar-SA"/>
              </w:rPr>
              <w:t>1套活性炭吸附装置</w:t>
            </w:r>
            <w:r>
              <w:rPr>
                <w:rFonts w:hint="eastAsia" w:ascii="Times New Roman" w:hAnsi="Times New Roman" w:eastAsia="宋体" w:cs="Times New Roman"/>
                <w:color w:val="FF0000"/>
                <w:sz w:val="24"/>
                <w:szCs w:val="24"/>
                <w:lang w:val="en-US" w:eastAsia="zh-CN" w:bidi="ar-SA"/>
              </w:rPr>
              <w:t>处理；</w:t>
            </w:r>
            <w:r>
              <w:rPr>
                <w:rFonts w:hint="eastAsia"/>
                <w:b w:val="0"/>
                <w:bCs w:val="0"/>
                <w:color w:val="FF0000"/>
                <w:sz w:val="24"/>
                <w:szCs w:val="24"/>
                <w:lang w:val="en-US" w:eastAsia="zh-CN"/>
              </w:rPr>
              <w:t>废铅蓄电池破损泄漏产生的酸性废气由集气罩收集后</w:t>
            </w:r>
            <w:r>
              <w:rPr>
                <w:rFonts w:hint="eastAsia" w:cs="Times New Roman"/>
                <w:b w:val="0"/>
                <w:bCs w:val="0"/>
                <w:color w:val="FF0000"/>
                <w:sz w:val="24"/>
                <w:szCs w:val="24"/>
                <w:lang w:val="en-US" w:eastAsia="zh-CN" w:bidi="ar-SA"/>
              </w:rPr>
              <w:t>通过引风机（</w:t>
            </w:r>
            <w:r>
              <w:rPr>
                <w:rFonts w:hint="eastAsia" w:ascii="Times New Roman" w:hAnsi="Times New Roman" w:eastAsia="宋体" w:cs="Times New Roman"/>
                <w:b w:val="0"/>
                <w:bCs w:val="0"/>
                <w:color w:val="FF0000"/>
                <w:sz w:val="24"/>
                <w:szCs w:val="24"/>
                <w:lang w:val="en-US" w:eastAsia="zh-CN" w:bidi="ar-SA"/>
              </w:rPr>
              <w:t>设计风量2</w:t>
            </w:r>
            <w:r>
              <w:rPr>
                <w:rFonts w:hint="eastAsia" w:cs="Times New Roman"/>
                <w:b w:val="0"/>
                <w:bCs w:val="0"/>
                <w:color w:val="FF0000"/>
                <w:sz w:val="24"/>
                <w:szCs w:val="24"/>
                <w:lang w:val="en-US" w:eastAsia="zh-CN" w:bidi="ar-SA"/>
              </w:rPr>
              <w:t>0</w:t>
            </w:r>
            <w:r>
              <w:rPr>
                <w:rFonts w:hint="eastAsia" w:ascii="Times New Roman" w:hAnsi="Times New Roman" w:eastAsia="宋体" w:cs="Times New Roman"/>
                <w:b w:val="0"/>
                <w:bCs w:val="0"/>
                <w:color w:val="FF0000"/>
                <w:sz w:val="24"/>
                <w:szCs w:val="24"/>
                <w:lang w:val="en-US" w:eastAsia="zh-CN" w:bidi="ar-SA"/>
              </w:rPr>
              <w:t>00m</w:t>
            </w:r>
            <w:r>
              <w:rPr>
                <w:rFonts w:hint="eastAsia" w:ascii="Times New Roman" w:hAnsi="Times New Roman" w:eastAsia="宋体" w:cs="Times New Roman"/>
                <w:b w:val="0"/>
                <w:bCs w:val="0"/>
                <w:color w:val="FF0000"/>
                <w:sz w:val="24"/>
                <w:szCs w:val="24"/>
                <w:vertAlign w:val="superscript"/>
                <w:lang w:val="en-US" w:eastAsia="zh-CN" w:bidi="ar-SA"/>
              </w:rPr>
              <w:t>3</w:t>
            </w:r>
            <w:r>
              <w:rPr>
                <w:rFonts w:hint="eastAsia" w:ascii="Times New Roman" w:hAnsi="Times New Roman" w:eastAsia="宋体" w:cs="Times New Roman"/>
                <w:b w:val="0"/>
                <w:bCs w:val="0"/>
                <w:color w:val="FF0000"/>
                <w:sz w:val="24"/>
                <w:szCs w:val="24"/>
                <w:lang w:val="en-US" w:eastAsia="zh-CN" w:bidi="ar-SA"/>
              </w:rPr>
              <w:t>/h</w:t>
            </w:r>
            <w:r>
              <w:rPr>
                <w:rFonts w:hint="eastAsia" w:cs="Times New Roman"/>
                <w:b w:val="0"/>
                <w:bCs w:val="0"/>
                <w:color w:val="FF0000"/>
                <w:sz w:val="24"/>
                <w:szCs w:val="24"/>
                <w:lang w:val="en-US" w:eastAsia="zh-CN" w:bidi="ar-SA"/>
              </w:rPr>
              <w:t>）</w:t>
            </w:r>
            <w:r>
              <w:rPr>
                <w:rFonts w:hint="eastAsia" w:ascii="Times New Roman" w:hAnsi="Times New Roman" w:eastAsia="宋体" w:cs="Times New Roman"/>
                <w:b w:val="0"/>
                <w:bCs w:val="0"/>
                <w:color w:val="FF0000"/>
                <w:sz w:val="24"/>
                <w:szCs w:val="24"/>
                <w:lang w:val="en-US" w:eastAsia="zh-CN" w:bidi="ar-SA"/>
              </w:rPr>
              <w:t>引至</w:t>
            </w:r>
            <w:r>
              <w:rPr>
                <w:rFonts w:hint="eastAsia"/>
                <w:b w:val="0"/>
                <w:bCs w:val="0"/>
                <w:color w:val="FF0000"/>
                <w:sz w:val="24"/>
                <w:szCs w:val="24"/>
                <w:lang w:val="en-US" w:eastAsia="zh-CN"/>
              </w:rPr>
              <w:t>1座碱洗塔处理；</w:t>
            </w:r>
            <w:r>
              <w:rPr>
                <w:rFonts w:hint="eastAsia" w:cs="Times New Roman"/>
                <w:color w:val="FF0000"/>
                <w:sz w:val="24"/>
                <w:szCs w:val="24"/>
                <w:lang w:val="en-US" w:eastAsia="zh-CN" w:bidi="ar-SA"/>
              </w:rPr>
              <w:t>储罐</w:t>
            </w:r>
            <w:r>
              <w:rPr>
                <w:rFonts w:hint="eastAsia" w:ascii="Times New Roman" w:hAnsi="Times New Roman" w:eastAsia="宋体" w:cs="Times New Roman"/>
                <w:color w:val="FF0000"/>
                <w:sz w:val="24"/>
                <w:szCs w:val="24"/>
                <w:lang w:val="en-US" w:eastAsia="zh-CN" w:bidi="ar-SA"/>
              </w:rPr>
              <w:t>呼吸废气</w:t>
            </w:r>
            <w:r>
              <w:rPr>
                <w:rFonts w:hint="eastAsia"/>
                <w:b w:val="0"/>
                <w:bCs w:val="0"/>
                <w:color w:val="FF0000"/>
                <w:sz w:val="24"/>
                <w:szCs w:val="24"/>
                <w:lang w:val="en-US" w:eastAsia="zh-CN"/>
              </w:rPr>
              <w:t>和酸性废气经处理后合并通过一根15m高排气筒（编号：DA001）排放。</w:t>
            </w:r>
          </w:p>
          <w:p w14:paraId="37FBEB7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b/>
                <w:bCs/>
                <w:color w:val="00B050"/>
                <w:kern w:val="0"/>
                <w:sz w:val="24"/>
                <w:szCs w:val="24"/>
                <w:lang w:val="en-US" w:eastAsia="zh-CN" w:bidi="ar-SA"/>
              </w:rPr>
            </w:pPr>
            <w:r>
              <w:rPr>
                <w:rFonts w:hint="eastAsia" w:ascii="Times New Roman" w:hAnsi="Times New Roman" w:cs="Times New Roman"/>
                <w:b/>
                <w:bCs/>
                <w:color w:val="00B050"/>
                <w:kern w:val="0"/>
                <w:sz w:val="24"/>
                <w:szCs w:val="24"/>
                <w:lang w:val="en-US" w:eastAsia="zh-CN" w:bidi="ar-SA"/>
              </w:rPr>
              <w:t>（4）</w:t>
            </w:r>
            <w:r>
              <w:rPr>
                <w:rFonts w:hint="eastAsia" w:cs="Times New Roman"/>
                <w:b/>
                <w:bCs/>
                <w:color w:val="00B050"/>
                <w:kern w:val="0"/>
                <w:sz w:val="24"/>
                <w:szCs w:val="24"/>
                <w:lang w:val="en-US" w:eastAsia="zh-CN" w:bidi="ar-SA"/>
              </w:rPr>
              <w:t>危废、固废</w:t>
            </w:r>
            <w:r>
              <w:rPr>
                <w:rFonts w:hint="eastAsia" w:ascii="Times New Roman" w:hAnsi="Times New Roman" w:cs="Times New Roman"/>
                <w:b/>
                <w:bCs/>
                <w:color w:val="00B050"/>
                <w:kern w:val="0"/>
                <w:sz w:val="24"/>
                <w:szCs w:val="24"/>
                <w:lang w:val="en-US" w:eastAsia="zh-CN" w:bidi="ar-SA"/>
              </w:rPr>
              <w:t>转移</w:t>
            </w:r>
          </w:p>
          <w:p w14:paraId="193CF7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B050"/>
                <w:kern w:val="0"/>
                <w:sz w:val="24"/>
                <w:szCs w:val="24"/>
                <w:lang w:val="en-US" w:eastAsia="zh-CN" w:bidi="ar-SA"/>
              </w:rPr>
            </w:pPr>
            <w:r>
              <w:rPr>
                <w:rFonts w:hint="eastAsia" w:cs="Times New Roman"/>
                <w:color w:val="00B050"/>
                <w:kern w:val="0"/>
                <w:sz w:val="24"/>
                <w:szCs w:val="24"/>
                <w:lang w:val="en-US" w:eastAsia="zh-CN" w:bidi="ar-SA"/>
              </w:rPr>
              <w:t>当贮存的危险废物达到单次周转量或贮存时间达到90天时，废旧电池及废矿物油委托曲靖市马龙区鹏泉运输服务有限公司进行运输（详见附件7）；废旧电池及废矿物油委托云南大地丰源环保有限公司进行</w:t>
            </w:r>
            <w:r>
              <w:rPr>
                <w:rFonts w:hint="default" w:ascii="Times New Roman" w:hAnsi="Times New Roman" w:eastAsia="宋体" w:cs="Times New Roman"/>
                <w:color w:val="00B050"/>
                <w:kern w:val="0"/>
                <w:sz w:val="24"/>
                <w:szCs w:val="24"/>
                <w:lang w:val="en-US" w:eastAsia="zh-CN" w:bidi="ar-SA"/>
              </w:rPr>
              <w:t>综合利用或无害化处置</w:t>
            </w:r>
            <w:r>
              <w:rPr>
                <w:rFonts w:hint="eastAsia" w:cs="Times New Roman"/>
                <w:color w:val="00B050"/>
                <w:kern w:val="0"/>
                <w:sz w:val="24"/>
                <w:szCs w:val="24"/>
                <w:lang w:val="en-US" w:eastAsia="zh-CN" w:bidi="ar-SA"/>
              </w:rPr>
              <w:t>（详见附件8）。转移时</w:t>
            </w:r>
            <w:r>
              <w:rPr>
                <w:rFonts w:hint="default" w:ascii="Times New Roman" w:hAnsi="Times New Roman" w:eastAsia="宋体" w:cs="Times New Roman"/>
                <w:color w:val="00B050"/>
                <w:kern w:val="0"/>
                <w:sz w:val="24"/>
                <w:szCs w:val="24"/>
                <w:lang w:val="en-US" w:eastAsia="zh-CN" w:bidi="ar-SA"/>
              </w:rPr>
              <w:t>办理转移联单。</w:t>
            </w:r>
          </w:p>
          <w:p w14:paraId="13F202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Cs/>
                <w:color w:val="000000" w:themeColor="text1"/>
                <w:sz w:val="24"/>
                <w14:textFill>
                  <w14:solidFill>
                    <w14:schemeClr w14:val="tx1"/>
                  </w14:solidFill>
                </w14:textFill>
              </w:rPr>
            </w:pPr>
            <w:r>
              <w:rPr>
                <w:rFonts w:hint="eastAsia" w:cs="Times New Roman"/>
                <w:color w:val="00B050"/>
                <w:kern w:val="0"/>
                <w:sz w:val="24"/>
                <w:szCs w:val="24"/>
                <w:lang w:val="en-US" w:eastAsia="zh-CN" w:bidi="ar-SA"/>
              </w:rPr>
              <w:t>打包转移过程主要产生搬运噪声、运输车辆噪声。</w:t>
            </w:r>
          </w:p>
        </w:tc>
      </w:tr>
      <w:tr w14:paraId="54EDF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828" w:type="dxa"/>
            <w:vAlign w:val="center"/>
          </w:tcPr>
          <w:p w14:paraId="3891E540">
            <w:pPr>
              <w:pStyle w:val="22"/>
              <w:pageBreakBefore w:val="0"/>
              <w:kinsoku/>
              <w:wordWrap/>
              <w:overflowPunct/>
              <w:topLinePunct w:val="0"/>
              <w:bidi w:val="0"/>
              <w:adjustRightInd w:val="0"/>
              <w:snapToGrid w:val="0"/>
              <w:spacing w:before="0" w:beforeAutospacing="0" w:after="0" w:afterAutospacing="0"/>
              <w:jc w:val="center"/>
              <w:rPr>
                <w:rFonts w:cs="宋体"/>
                <w:color w:val="000000" w:themeColor="text1"/>
                <w:szCs w:val="24"/>
                <w14:textFill>
                  <w14:solidFill>
                    <w14:schemeClr w14:val="tx1"/>
                  </w14:solidFill>
                </w14:textFill>
              </w:rPr>
            </w:pPr>
            <w:r>
              <w:rPr>
                <w:rFonts w:hint="eastAsia" w:cs="宋体"/>
                <w:bCs/>
                <w:color w:val="000000" w:themeColor="text1"/>
                <w:kern w:val="2"/>
                <w:szCs w:val="24"/>
                <w14:textFill>
                  <w14:solidFill>
                    <w14:schemeClr w14:val="tx1"/>
                  </w14:solidFill>
                </w14:textFill>
              </w:rPr>
              <w:t>与项目有关的原有环境污染问题</w:t>
            </w:r>
          </w:p>
        </w:tc>
        <w:tc>
          <w:tcPr>
            <w:tcW w:w="8460" w:type="dxa"/>
            <w:vAlign w:val="center"/>
          </w:tcPr>
          <w:p w14:paraId="5BD88C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建设单位拟租用曲靖市东五六供应链管理有限公司已建厂房改造建设危险废物贮存场所，曲靖市东五六供应链管理有限公司厂房目前阶段处于建设中，暂未投入运营。</w:t>
            </w:r>
          </w:p>
          <w:p w14:paraId="5B400D94">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不存在与项目有关的原有环境污染问题。</w:t>
            </w:r>
          </w:p>
        </w:tc>
      </w:tr>
    </w:tbl>
    <w:p w14:paraId="678EDCAC">
      <w:pPr>
        <w:pageBreakBefore w:val="0"/>
        <w:kinsoku/>
        <w:wordWrap/>
        <w:overflowPunct/>
        <w:topLinePunct w:val="0"/>
        <w:bidi w:val="0"/>
        <w:rPr>
          <w:color w:val="000000" w:themeColor="text1"/>
          <w14:textFill>
            <w14:solidFill>
              <w14:schemeClr w14:val="tx1"/>
            </w14:solidFill>
          </w14:textFill>
        </w:rPr>
      </w:pPr>
    </w:p>
    <w:p w14:paraId="612C4D2B">
      <w:pPr>
        <w:pStyle w:val="22"/>
        <w:pageBreakBefore w:val="0"/>
        <w:kinsoku/>
        <w:wordWrap/>
        <w:overflowPunct/>
        <w:topLinePunct w:val="0"/>
        <w:bidi w:val="0"/>
        <w:jc w:val="both"/>
        <w:rPr>
          <w:rFonts w:ascii="黑体" w:hAnsi="黑体" w:eastAsia="黑体"/>
          <w:snapToGrid w:val="0"/>
          <w:color w:val="000000" w:themeColor="text1"/>
          <w:sz w:val="36"/>
          <w:szCs w:val="36"/>
          <w14:textFill>
            <w14:solidFill>
              <w14:schemeClr w14:val="tx1"/>
            </w14:solidFill>
          </w14:textFill>
        </w:rPr>
        <w:sectPr>
          <w:pgSz w:w="11906" w:h="16838"/>
          <w:pgMar w:top="1701"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21DF1DF3">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right="0" w:rightChars="0" w:firstLine="0" w:firstLineChars="0"/>
        <w:jc w:val="both"/>
        <w:textAlignment w:val="auto"/>
        <w:outlineLvl w:val="0"/>
        <w:rPr>
          <w:rFonts w:hint="eastAsia" w:ascii="宋体" w:hAnsi="宋体" w:eastAsia="宋体" w:cs="宋体"/>
          <w:b/>
          <w:bCs/>
          <w:color w:val="000000" w:themeColor="text1"/>
          <w:sz w:val="32"/>
          <w:szCs w:val="32"/>
          <w14:textFill>
            <w14:solidFill>
              <w14:schemeClr w14:val="tx1"/>
            </w14:solidFill>
          </w14:textFill>
        </w:rPr>
      </w:pPr>
      <w:bookmarkStart w:id="20" w:name="_Toc21128"/>
      <w:r>
        <w:rPr>
          <w:rFonts w:hint="eastAsia" w:ascii="宋体" w:hAnsi="宋体" w:eastAsia="宋体" w:cs="宋体"/>
          <w:b/>
          <w:bCs/>
          <w:color w:val="000000" w:themeColor="text1"/>
          <w:sz w:val="32"/>
          <w:szCs w:val="32"/>
          <w14:textFill>
            <w14:solidFill>
              <w14:schemeClr w14:val="tx1"/>
            </w14:solidFill>
          </w14:textFill>
        </w:rPr>
        <w:t>三、区域环境质量现状、环境保护目标及评价标准</w:t>
      </w:r>
      <w:bookmarkEnd w:id="20"/>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461"/>
      </w:tblGrid>
      <w:tr w14:paraId="0C8BE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85" w:hRule="atLeast"/>
          <w:jc w:val="center"/>
        </w:trPr>
        <w:tc>
          <w:tcPr>
            <w:tcW w:w="827" w:type="dxa"/>
            <w:vAlign w:val="center"/>
          </w:tcPr>
          <w:p w14:paraId="25EAD002">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区域</w:t>
            </w:r>
          </w:p>
          <w:p w14:paraId="0FDD5067">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环境</w:t>
            </w:r>
          </w:p>
          <w:p w14:paraId="3A56A793">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质量</w:t>
            </w:r>
          </w:p>
          <w:p w14:paraId="43B93DD5">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现状</w:t>
            </w:r>
          </w:p>
        </w:tc>
        <w:tc>
          <w:tcPr>
            <w:tcW w:w="8461" w:type="dxa"/>
            <w:vAlign w:val="center"/>
          </w:tcPr>
          <w:p w14:paraId="13D53043">
            <w:pPr>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color w:val="000000" w:themeColor="text1"/>
                <w:kern w:val="21"/>
                <w:sz w:val="28"/>
                <w:szCs w:val="28"/>
                <w:lang w:val="en-US" w:eastAsia="zh-CN"/>
                <w14:textFill>
                  <w14:solidFill>
                    <w14:schemeClr w14:val="tx1"/>
                  </w14:solidFill>
                </w14:textFill>
              </w:rPr>
            </w:pPr>
            <w:r>
              <w:rPr>
                <w:rFonts w:hint="eastAsia" w:ascii="Times New Roman" w:hAnsi="Times New Roman" w:eastAsia="宋体" w:cs="Times New Roman"/>
                <w:b/>
                <w:color w:val="000000" w:themeColor="text1"/>
                <w:kern w:val="21"/>
                <w:sz w:val="28"/>
                <w:szCs w:val="28"/>
                <w:lang w:val="en-US" w:eastAsia="zh-CN"/>
                <w14:textFill>
                  <w14:solidFill>
                    <w14:schemeClr w14:val="tx1"/>
                  </w14:solidFill>
                </w14:textFill>
              </w:rPr>
              <w:t>3.1环境空气质量现状</w:t>
            </w:r>
          </w:p>
          <w:p w14:paraId="536CA49F">
            <w:pPr>
              <w:pageBreakBefore w:val="0"/>
              <w:kinsoku/>
              <w:wordWrap/>
              <w:overflowPunct/>
              <w:topLinePunct w:val="0"/>
              <w:bidi w:val="0"/>
              <w:spacing w:line="360" w:lineRule="auto"/>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3.1.1</w:t>
            </w:r>
            <w:r>
              <w:rPr>
                <w:b/>
                <w:bCs/>
                <w:color w:val="000000" w:themeColor="text1"/>
                <w:kern w:val="0"/>
                <w:sz w:val="24"/>
                <w14:textFill>
                  <w14:solidFill>
                    <w14:schemeClr w14:val="tx1"/>
                  </w14:solidFill>
                </w14:textFill>
              </w:rPr>
              <w:t>环境空气质量标准</w:t>
            </w:r>
          </w:p>
          <w:p w14:paraId="229C97C1">
            <w:pPr>
              <w:pageBreakBefore w:val="0"/>
              <w:kinsoku/>
              <w:wordWrap/>
              <w:overflowPunct/>
              <w:topLinePunct w:val="0"/>
              <w:bidi w:val="0"/>
              <w:spacing w:line="360" w:lineRule="auto"/>
              <w:ind w:firstLine="482" w:firstLineChars="200"/>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1、区域环境质量现状</w:t>
            </w:r>
          </w:p>
          <w:p w14:paraId="2A84729C">
            <w:pPr>
              <w:pageBreakBefore w:val="0"/>
              <w:kinsoku/>
              <w:wordWrap/>
              <w:overflowPunct/>
              <w:topLinePunct w:val="0"/>
              <w:bidi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项目位于</w:t>
            </w:r>
            <w:r>
              <w:rPr>
                <w:rFonts w:hint="eastAsia"/>
                <w:color w:val="000000" w:themeColor="text1"/>
                <w:sz w:val="24"/>
                <w:szCs w:val="24"/>
                <w:lang w:val="en-US" w:eastAsia="zh-CN"/>
                <w14:textFill>
                  <w14:solidFill>
                    <w14:schemeClr w14:val="tx1"/>
                  </w14:solidFill>
                </w14:textFill>
              </w:rPr>
              <w:t>曲靖市麒麟区珠街街道办事处珠街社区珠街村666号2栋18-19-20</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属于大气环境质量二类功能区，项目区域环境空气执行《环境空气质量标准》（</w:t>
            </w:r>
            <w:r>
              <w:rPr>
                <w:color w:val="000000" w:themeColor="text1"/>
                <w:sz w:val="24"/>
                <w:szCs w:val="24"/>
                <w14:textFill>
                  <w14:solidFill>
                    <w14:schemeClr w14:val="tx1"/>
                  </w14:solidFill>
                </w14:textFill>
              </w:rPr>
              <w:t>GB3095-2012</w:t>
            </w:r>
            <w:r>
              <w:rPr>
                <w:rFonts w:hint="eastAsia"/>
                <w:color w:val="000000" w:themeColor="text1"/>
                <w:sz w:val="24"/>
                <w:szCs w:val="24"/>
                <w14:textFill>
                  <w14:solidFill>
                    <w14:schemeClr w14:val="tx1"/>
                  </w14:solidFill>
                </w14:textFill>
              </w:rPr>
              <w:t>）及其修改单（生态环境部公告2018第29号）二级标准，标准值见下表</w:t>
            </w:r>
            <w:r>
              <w:rPr>
                <w:rFonts w:hint="eastAsia"/>
                <w:color w:val="000000" w:themeColor="text1"/>
                <w:sz w:val="24"/>
                <w:szCs w:val="24"/>
                <w:lang w:val="en-US" w:eastAsia="zh-CN"/>
                <w14:textFill>
                  <w14:solidFill>
                    <w14:schemeClr w14:val="tx1"/>
                  </w14:solidFill>
                </w14:textFill>
              </w:rPr>
              <w:t>3.1-1所示</w:t>
            </w:r>
            <w:r>
              <w:rPr>
                <w:rFonts w:hint="eastAsia"/>
                <w:color w:val="000000" w:themeColor="text1"/>
                <w:sz w:val="24"/>
                <w:szCs w:val="24"/>
                <w14:textFill>
                  <w14:solidFill>
                    <w14:schemeClr w14:val="tx1"/>
                  </w14:solidFill>
                </w14:textFill>
              </w:rPr>
              <w:t>。</w:t>
            </w:r>
          </w:p>
          <w:p w14:paraId="1BD7F270">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eastAsiaTheme="minorEastAsia"/>
                <w:b/>
                <w:bCs w:val="0"/>
                <w:color w:val="000000" w:themeColor="text1"/>
                <w:kern w:val="0"/>
                <w:sz w:val="21"/>
                <w:szCs w:val="20"/>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kern w:val="0"/>
                <w:sz w:val="21"/>
                <w:szCs w:val="20"/>
                <w:lang w:val="en-US" w:eastAsia="zh-CN" w:bidi="ar-SA"/>
                <w14:textFill>
                  <w14:solidFill>
                    <w14:schemeClr w14:val="tx1"/>
                  </w14:solidFill>
                </w14:textFill>
              </w:rPr>
              <w:t>表3.1-1  环境空气质量标准 单位：μg/m</w:t>
            </w:r>
            <w:r>
              <w:rPr>
                <w:rFonts w:hint="default" w:ascii="Times New Roman" w:hAnsi="Times New Roman" w:cs="Times New Roman" w:eastAsiaTheme="minorEastAsia"/>
                <w:b/>
                <w:bCs w:val="0"/>
                <w:color w:val="000000" w:themeColor="text1"/>
                <w:kern w:val="0"/>
                <w:sz w:val="21"/>
                <w:szCs w:val="20"/>
                <w:vertAlign w:val="superscript"/>
                <w:lang w:val="en-US" w:eastAsia="zh-CN" w:bidi="ar-SA"/>
                <w14:textFill>
                  <w14:solidFill>
                    <w14:schemeClr w14:val="tx1"/>
                  </w14:solidFill>
                </w14:textFill>
              </w:rPr>
              <w:t>3</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
            <w:tblGrid>
              <w:gridCol w:w="1645"/>
              <w:gridCol w:w="2111"/>
              <w:gridCol w:w="1535"/>
              <w:gridCol w:w="2944"/>
            </w:tblGrid>
            <w:tr w14:paraId="6783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noWrap/>
                  <w:vAlign w:val="center"/>
                </w:tcPr>
                <w:p w14:paraId="55252681">
                  <w:pPr>
                    <w:pageBreakBefore w:val="0"/>
                    <w:widowControl w:val="0"/>
                    <w:kinsoku/>
                    <w:wordWrap/>
                    <w:overflowPunct/>
                    <w:topLinePunct w:val="0"/>
                    <w:bidi w:val="0"/>
                    <w:spacing w:line="240" w:lineRule="auto"/>
                    <w:ind w:firstLine="422" w:firstLineChars="200"/>
                    <w:jc w:val="center"/>
                    <w:rPr>
                      <w:rFonts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污染物名称</w:t>
                  </w:r>
                </w:p>
              </w:tc>
              <w:tc>
                <w:tcPr>
                  <w:tcW w:w="2111" w:type="dxa"/>
                  <w:noWrap/>
                  <w:vAlign w:val="center"/>
                </w:tcPr>
                <w:p w14:paraId="6C888D10">
                  <w:pPr>
                    <w:pageBreakBefore w:val="0"/>
                    <w:kinsoku/>
                    <w:wordWrap/>
                    <w:overflowPunct/>
                    <w:topLinePunct w:val="0"/>
                    <w:bidi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取值时间</w:t>
                  </w:r>
                </w:p>
              </w:tc>
              <w:tc>
                <w:tcPr>
                  <w:tcW w:w="1535" w:type="dxa"/>
                  <w:noWrap/>
                  <w:vAlign w:val="center"/>
                </w:tcPr>
                <w:p w14:paraId="3FEF39A1">
                  <w:pPr>
                    <w:pageBreakBefore w:val="0"/>
                    <w:kinsoku/>
                    <w:wordWrap/>
                    <w:overflowPunct/>
                    <w:topLinePunct w:val="0"/>
                    <w:bidi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标准浓度限值</w:t>
                  </w:r>
                </w:p>
              </w:tc>
              <w:tc>
                <w:tcPr>
                  <w:tcW w:w="2944" w:type="dxa"/>
                  <w:noWrap/>
                  <w:vAlign w:val="center"/>
                </w:tcPr>
                <w:p w14:paraId="1FA732D8">
                  <w:pPr>
                    <w:pageBreakBefore w:val="0"/>
                    <w:kinsoku/>
                    <w:wordWrap/>
                    <w:overflowPunct/>
                    <w:topLinePunct w:val="0"/>
                    <w:bidi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执行标准</w:t>
                  </w:r>
                </w:p>
              </w:tc>
            </w:tr>
            <w:tr w14:paraId="32EB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04" w:hRule="atLeast"/>
                <w:jc w:val="center"/>
              </w:trPr>
              <w:tc>
                <w:tcPr>
                  <w:tcW w:w="1645" w:type="dxa"/>
                  <w:vMerge w:val="restart"/>
                  <w:noWrap/>
                  <w:vAlign w:val="center"/>
                </w:tcPr>
                <w:p w14:paraId="7CD43AB1">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SO</w:t>
                  </w:r>
                  <w:r>
                    <w:rPr>
                      <w:bCs/>
                      <w:color w:val="000000" w:themeColor="text1"/>
                      <w:sz w:val="21"/>
                      <w:szCs w:val="21"/>
                      <w:vertAlign w:val="subscript"/>
                      <w14:textFill>
                        <w14:solidFill>
                          <w14:schemeClr w14:val="tx1"/>
                        </w14:solidFill>
                      </w14:textFill>
                    </w:rPr>
                    <w:t>2</w:t>
                  </w:r>
                </w:p>
              </w:tc>
              <w:tc>
                <w:tcPr>
                  <w:tcW w:w="2111" w:type="dxa"/>
                  <w:noWrap/>
                  <w:vAlign w:val="center"/>
                </w:tcPr>
                <w:p w14:paraId="22DCF307">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年平均</w:t>
                  </w:r>
                </w:p>
              </w:tc>
              <w:tc>
                <w:tcPr>
                  <w:tcW w:w="1535" w:type="dxa"/>
                  <w:noWrap/>
                  <w:vAlign w:val="center"/>
                </w:tcPr>
                <w:p w14:paraId="1A9D25CE">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60</w:t>
                  </w:r>
                </w:p>
              </w:tc>
              <w:tc>
                <w:tcPr>
                  <w:tcW w:w="2944" w:type="dxa"/>
                  <w:vMerge w:val="restart"/>
                  <w:noWrap/>
                  <w:vAlign w:val="center"/>
                </w:tcPr>
                <w:p w14:paraId="71313B53">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《环境空气质量标准》（GB3095-2012）及其修改单（生态环境部公告2018第29号）二级标准</w:t>
                  </w:r>
                </w:p>
              </w:tc>
            </w:tr>
            <w:tr w14:paraId="12A4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vMerge w:val="continue"/>
                  <w:noWrap/>
                  <w:vAlign w:val="center"/>
                </w:tcPr>
                <w:p w14:paraId="6C5D560E">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c>
                <w:tcPr>
                  <w:tcW w:w="2111" w:type="dxa"/>
                  <w:noWrap/>
                  <w:vAlign w:val="center"/>
                </w:tcPr>
                <w:p w14:paraId="7DF65B85">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24小时平均</w:t>
                  </w:r>
                </w:p>
              </w:tc>
              <w:tc>
                <w:tcPr>
                  <w:tcW w:w="1535" w:type="dxa"/>
                  <w:noWrap/>
                  <w:vAlign w:val="center"/>
                </w:tcPr>
                <w:p w14:paraId="25EC521F">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150</w:t>
                  </w:r>
                </w:p>
              </w:tc>
              <w:tc>
                <w:tcPr>
                  <w:tcW w:w="2944" w:type="dxa"/>
                  <w:vMerge w:val="continue"/>
                  <w:noWrap/>
                  <w:vAlign w:val="center"/>
                </w:tcPr>
                <w:p w14:paraId="627790A6">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12BD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90" w:hRule="atLeast"/>
                <w:jc w:val="center"/>
              </w:trPr>
              <w:tc>
                <w:tcPr>
                  <w:tcW w:w="1645" w:type="dxa"/>
                  <w:vMerge w:val="continue"/>
                  <w:noWrap/>
                  <w:vAlign w:val="center"/>
                </w:tcPr>
                <w:p w14:paraId="28C7819B">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c>
                <w:tcPr>
                  <w:tcW w:w="2111" w:type="dxa"/>
                  <w:noWrap/>
                  <w:vAlign w:val="center"/>
                </w:tcPr>
                <w:p w14:paraId="18D8FCEA">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1小时平均</w:t>
                  </w:r>
                </w:p>
              </w:tc>
              <w:tc>
                <w:tcPr>
                  <w:tcW w:w="1535" w:type="dxa"/>
                  <w:noWrap/>
                  <w:vAlign w:val="center"/>
                </w:tcPr>
                <w:p w14:paraId="31610F93">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500</w:t>
                  </w:r>
                </w:p>
              </w:tc>
              <w:tc>
                <w:tcPr>
                  <w:tcW w:w="2944" w:type="dxa"/>
                  <w:vMerge w:val="continue"/>
                  <w:noWrap/>
                  <w:vAlign w:val="center"/>
                </w:tcPr>
                <w:p w14:paraId="1C6279A8">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7566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vMerge w:val="restart"/>
                  <w:noWrap/>
                  <w:vAlign w:val="center"/>
                </w:tcPr>
                <w:p w14:paraId="3844B4A8">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NO</w:t>
                  </w:r>
                  <w:r>
                    <w:rPr>
                      <w:bCs/>
                      <w:color w:val="000000" w:themeColor="text1"/>
                      <w:sz w:val="21"/>
                      <w:szCs w:val="21"/>
                      <w:vertAlign w:val="subscript"/>
                      <w14:textFill>
                        <w14:solidFill>
                          <w14:schemeClr w14:val="tx1"/>
                        </w14:solidFill>
                      </w14:textFill>
                    </w:rPr>
                    <w:t>2</w:t>
                  </w:r>
                </w:p>
              </w:tc>
              <w:tc>
                <w:tcPr>
                  <w:tcW w:w="2111" w:type="dxa"/>
                  <w:noWrap/>
                  <w:vAlign w:val="center"/>
                </w:tcPr>
                <w:p w14:paraId="36F14353">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年平均</w:t>
                  </w:r>
                </w:p>
              </w:tc>
              <w:tc>
                <w:tcPr>
                  <w:tcW w:w="1535" w:type="dxa"/>
                  <w:noWrap/>
                  <w:vAlign w:val="center"/>
                </w:tcPr>
                <w:p w14:paraId="4D300C68">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40</w:t>
                  </w:r>
                </w:p>
              </w:tc>
              <w:tc>
                <w:tcPr>
                  <w:tcW w:w="2944" w:type="dxa"/>
                  <w:vMerge w:val="continue"/>
                  <w:noWrap/>
                  <w:vAlign w:val="center"/>
                </w:tcPr>
                <w:p w14:paraId="7A448119">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7FAE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vMerge w:val="continue"/>
                  <w:noWrap/>
                  <w:vAlign w:val="center"/>
                </w:tcPr>
                <w:p w14:paraId="2F9BED0F">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c>
                <w:tcPr>
                  <w:tcW w:w="2111" w:type="dxa"/>
                  <w:noWrap/>
                  <w:vAlign w:val="center"/>
                </w:tcPr>
                <w:p w14:paraId="346DB061">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24小时平均</w:t>
                  </w:r>
                </w:p>
              </w:tc>
              <w:tc>
                <w:tcPr>
                  <w:tcW w:w="1535" w:type="dxa"/>
                  <w:noWrap/>
                  <w:vAlign w:val="center"/>
                </w:tcPr>
                <w:p w14:paraId="59FDDF00">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80</w:t>
                  </w:r>
                </w:p>
              </w:tc>
              <w:tc>
                <w:tcPr>
                  <w:tcW w:w="2944" w:type="dxa"/>
                  <w:vMerge w:val="continue"/>
                  <w:noWrap/>
                  <w:vAlign w:val="center"/>
                </w:tcPr>
                <w:p w14:paraId="40499D16">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1B5D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vMerge w:val="continue"/>
                  <w:noWrap/>
                  <w:vAlign w:val="center"/>
                </w:tcPr>
                <w:p w14:paraId="1565C9DE">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c>
                <w:tcPr>
                  <w:tcW w:w="2111" w:type="dxa"/>
                  <w:noWrap/>
                  <w:vAlign w:val="center"/>
                </w:tcPr>
                <w:p w14:paraId="59339284">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1小时平均</w:t>
                  </w:r>
                </w:p>
              </w:tc>
              <w:tc>
                <w:tcPr>
                  <w:tcW w:w="1535" w:type="dxa"/>
                  <w:noWrap/>
                  <w:vAlign w:val="center"/>
                </w:tcPr>
                <w:p w14:paraId="69A38733">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200</w:t>
                  </w:r>
                </w:p>
              </w:tc>
              <w:tc>
                <w:tcPr>
                  <w:tcW w:w="2944" w:type="dxa"/>
                  <w:vMerge w:val="continue"/>
                  <w:noWrap/>
                  <w:vAlign w:val="center"/>
                </w:tcPr>
                <w:p w14:paraId="310C2EB9">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5DDB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5" w:hRule="atLeast"/>
                <w:jc w:val="center"/>
              </w:trPr>
              <w:tc>
                <w:tcPr>
                  <w:tcW w:w="1645" w:type="dxa"/>
                  <w:vMerge w:val="restart"/>
                  <w:noWrap/>
                  <w:vAlign w:val="center"/>
                </w:tcPr>
                <w:p w14:paraId="321DA1A5">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O</w:t>
                  </w:r>
                  <w:r>
                    <w:rPr>
                      <w:bCs/>
                      <w:color w:val="000000" w:themeColor="text1"/>
                      <w:sz w:val="21"/>
                      <w:szCs w:val="21"/>
                      <w:vertAlign w:val="subscript"/>
                      <w14:textFill>
                        <w14:solidFill>
                          <w14:schemeClr w14:val="tx1"/>
                        </w14:solidFill>
                      </w14:textFill>
                    </w:rPr>
                    <w:t>3</w:t>
                  </w:r>
                </w:p>
              </w:tc>
              <w:tc>
                <w:tcPr>
                  <w:tcW w:w="2111" w:type="dxa"/>
                  <w:noWrap/>
                  <w:vAlign w:val="center"/>
                </w:tcPr>
                <w:p w14:paraId="2128AA49">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日最大8小时平均</w:t>
                  </w:r>
                </w:p>
              </w:tc>
              <w:tc>
                <w:tcPr>
                  <w:tcW w:w="1535" w:type="dxa"/>
                  <w:noWrap/>
                  <w:vAlign w:val="center"/>
                </w:tcPr>
                <w:p w14:paraId="26BEB4A8">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160</w:t>
                  </w:r>
                </w:p>
              </w:tc>
              <w:tc>
                <w:tcPr>
                  <w:tcW w:w="2944" w:type="dxa"/>
                  <w:vMerge w:val="continue"/>
                  <w:noWrap/>
                  <w:vAlign w:val="center"/>
                </w:tcPr>
                <w:p w14:paraId="746DB75A">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27FA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vMerge w:val="continue"/>
                  <w:noWrap/>
                  <w:vAlign w:val="center"/>
                </w:tcPr>
                <w:p w14:paraId="5A77079A">
                  <w:pPr>
                    <w:pageBreakBefore w:val="0"/>
                    <w:widowControl w:val="0"/>
                    <w:kinsoku/>
                    <w:wordWrap/>
                    <w:overflowPunct/>
                    <w:topLinePunct w:val="0"/>
                    <w:bidi w:val="0"/>
                    <w:spacing w:line="240" w:lineRule="auto"/>
                    <w:ind w:firstLine="420" w:firstLineChars="20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2111" w:type="dxa"/>
                  <w:noWrap/>
                  <w:vAlign w:val="center"/>
                </w:tcPr>
                <w:p w14:paraId="5DCB45B4">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1小时平均</w:t>
                  </w:r>
                </w:p>
              </w:tc>
              <w:tc>
                <w:tcPr>
                  <w:tcW w:w="1535" w:type="dxa"/>
                  <w:noWrap/>
                  <w:vAlign w:val="center"/>
                </w:tcPr>
                <w:p w14:paraId="3F53B37A">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200</w:t>
                  </w:r>
                </w:p>
              </w:tc>
              <w:tc>
                <w:tcPr>
                  <w:tcW w:w="2944" w:type="dxa"/>
                  <w:vMerge w:val="continue"/>
                  <w:noWrap/>
                  <w:vAlign w:val="center"/>
                </w:tcPr>
                <w:p w14:paraId="6C7839AE">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2959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vMerge w:val="restart"/>
                  <w:noWrap/>
                  <w:vAlign w:val="center"/>
                </w:tcPr>
                <w:p w14:paraId="1C4DB011">
                  <w:pPr>
                    <w:pageBreakBefore w:val="0"/>
                    <w:kinsoku/>
                    <w:wordWrap/>
                    <w:overflowPunct/>
                    <w:topLinePunct w:val="0"/>
                    <w:bidi w:val="0"/>
                    <w:spacing w:line="240" w:lineRule="auto"/>
                    <w:ind w:firstLine="0" w:firstLineChars="0"/>
                    <w:jc w:val="center"/>
                    <w:rPr>
                      <w:bCs/>
                      <w:color w:val="000000" w:themeColor="text1"/>
                      <w:sz w:val="21"/>
                      <w:szCs w:val="21"/>
                      <w:vertAlign w:val="subscript"/>
                      <w14:textFill>
                        <w14:solidFill>
                          <w14:schemeClr w14:val="tx1"/>
                        </w14:solidFill>
                      </w14:textFill>
                    </w:rPr>
                  </w:pPr>
                  <w:r>
                    <w:rPr>
                      <w:rFonts w:hint="eastAsia"/>
                      <w:bCs/>
                      <w:color w:val="000000" w:themeColor="text1"/>
                      <w:sz w:val="21"/>
                      <w:szCs w:val="21"/>
                      <w14:textFill>
                        <w14:solidFill>
                          <w14:schemeClr w14:val="tx1"/>
                        </w14:solidFill>
                      </w14:textFill>
                    </w:rPr>
                    <w:t>PM</w:t>
                  </w:r>
                  <w:r>
                    <w:rPr>
                      <w:rFonts w:hint="eastAsia"/>
                      <w:bCs/>
                      <w:color w:val="000000" w:themeColor="text1"/>
                      <w:sz w:val="21"/>
                      <w:szCs w:val="21"/>
                      <w:vertAlign w:val="subscript"/>
                      <w14:textFill>
                        <w14:solidFill>
                          <w14:schemeClr w14:val="tx1"/>
                        </w14:solidFill>
                      </w14:textFill>
                    </w:rPr>
                    <w:t>10</w:t>
                  </w:r>
                </w:p>
              </w:tc>
              <w:tc>
                <w:tcPr>
                  <w:tcW w:w="2111" w:type="dxa"/>
                  <w:noWrap/>
                  <w:vAlign w:val="center"/>
                </w:tcPr>
                <w:p w14:paraId="56650DC2">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年平均</w:t>
                  </w:r>
                </w:p>
              </w:tc>
              <w:tc>
                <w:tcPr>
                  <w:tcW w:w="1535" w:type="dxa"/>
                  <w:noWrap/>
                  <w:vAlign w:val="center"/>
                </w:tcPr>
                <w:p w14:paraId="58C74241">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70</w:t>
                  </w:r>
                </w:p>
              </w:tc>
              <w:tc>
                <w:tcPr>
                  <w:tcW w:w="2944" w:type="dxa"/>
                  <w:vMerge w:val="continue"/>
                  <w:noWrap/>
                  <w:vAlign w:val="center"/>
                </w:tcPr>
                <w:p w14:paraId="18EB5039">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26D5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vMerge w:val="continue"/>
                  <w:noWrap/>
                  <w:vAlign w:val="center"/>
                </w:tcPr>
                <w:p w14:paraId="66DCB4DD">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c>
                <w:tcPr>
                  <w:tcW w:w="2111" w:type="dxa"/>
                  <w:noWrap/>
                  <w:vAlign w:val="center"/>
                </w:tcPr>
                <w:p w14:paraId="6A4323D2">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24小时平均</w:t>
                  </w:r>
                </w:p>
              </w:tc>
              <w:tc>
                <w:tcPr>
                  <w:tcW w:w="1535" w:type="dxa"/>
                  <w:noWrap/>
                  <w:vAlign w:val="center"/>
                </w:tcPr>
                <w:p w14:paraId="3D7E7F6C">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150</w:t>
                  </w:r>
                </w:p>
              </w:tc>
              <w:tc>
                <w:tcPr>
                  <w:tcW w:w="2944" w:type="dxa"/>
                  <w:vMerge w:val="continue"/>
                  <w:noWrap/>
                  <w:vAlign w:val="center"/>
                </w:tcPr>
                <w:p w14:paraId="20131053">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0149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5" w:hRule="atLeast"/>
                <w:jc w:val="center"/>
              </w:trPr>
              <w:tc>
                <w:tcPr>
                  <w:tcW w:w="1645" w:type="dxa"/>
                  <w:vMerge w:val="restart"/>
                  <w:noWrap/>
                  <w:vAlign w:val="center"/>
                </w:tcPr>
                <w:p w14:paraId="11042115">
                  <w:pPr>
                    <w:pageBreakBefore w:val="0"/>
                    <w:kinsoku/>
                    <w:wordWrap/>
                    <w:overflowPunct/>
                    <w:topLinePunct w:val="0"/>
                    <w:bidi w:val="0"/>
                    <w:spacing w:line="240" w:lineRule="auto"/>
                    <w:ind w:firstLine="0" w:firstLineChars="0"/>
                    <w:jc w:val="center"/>
                    <w:rPr>
                      <w:bCs/>
                      <w:color w:val="000000" w:themeColor="text1"/>
                      <w:sz w:val="21"/>
                      <w:szCs w:val="21"/>
                      <w:vertAlign w:val="subscript"/>
                      <w14:textFill>
                        <w14:solidFill>
                          <w14:schemeClr w14:val="tx1"/>
                        </w14:solidFill>
                      </w14:textFill>
                    </w:rPr>
                  </w:pPr>
                  <w:r>
                    <w:rPr>
                      <w:rFonts w:hint="eastAsia"/>
                      <w:bCs/>
                      <w:color w:val="000000" w:themeColor="text1"/>
                      <w:sz w:val="21"/>
                      <w:szCs w:val="21"/>
                      <w14:textFill>
                        <w14:solidFill>
                          <w14:schemeClr w14:val="tx1"/>
                        </w14:solidFill>
                      </w14:textFill>
                    </w:rPr>
                    <w:t>PM</w:t>
                  </w:r>
                  <w:r>
                    <w:rPr>
                      <w:rFonts w:hint="eastAsia"/>
                      <w:bCs/>
                      <w:color w:val="000000" w:themeColor="text1"/>
                      <w:sz w:val="21"/>
                      <w:szCs w:val="21"/>
                      <w:vertAlign w:val="subscript"/>
                      <w14:textFill>
                        <w14:solidFill>
                          <w14:schemeClr w14:val="tx1"/>
                        </w14:solidFill>
                      </w14:textFill>
                    </w:rPr>
                    <w:t>2.5</w:t>
                  </w:r>
                </w:p>
              </w:tc>
              <w:tc>
                <w:tcPr>
                  <w:tcW w:w="2111" w:type="dxa"/>
                  <w:noWrap/>
                  <w:vAlign w:val="center"/>
                </w:tcPr>
                <w:p w14:paraId="3B624C72">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年平均</w:t>
                  </w:r>
                </w:p>
              </w:tc>
              <w:tc>
                <w:tcPr>
                  <w:tcW w:w="1535" w:type="dxa"/>
                  <w:noWrap/>
                  <w:vAlign w:val="center"/>
                </w:tcPr>
                <w:p w14:paraId="07279532">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35</w:t>
                  </w:r>
                </w:p>
              </w:tc>
              <w:tc>
                <w:tcPr>
                  <w:tcW w:w="2944" w:type="dxa"/>
                  <w:vMerge w:val="continue"/>
                  <w:noWrap/>
                  <w:vAlign w:val="center"/>
                </w:tcPr>
                <w:p w14:paraId="209ACA46">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7D47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1645" w:type="dxa"/>
                  <w:vMerge w:val="continue"/>
                  <w:noWrap/>
                  <w:vAlign w:val="center"/>
                </w:tcPr>
                <w:p w14:paraId="7E34026D">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c>
                <w:tcPr>
                  <w:tcW w:w="2111" w:type="dxa"/>
                  <w:noWrap/>
                  <w:vAlign w:val="center"/>
                </w:tcPr>
                <w:p w14:paraId="52323D74">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24小时平均</w:t>
                  </w:r>
                </w:p>
              </w:tc>
              <w:tc>
                <w:tcPr>
                  <w:tcW w:w="1535" w:type="dxa"/>
                  <w:noWrap/>
                  <w:vAlign w:val="center"/>
                </w:tcPr>
                <w:p w14:paraId="35F69D73">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75</w:t>
                  </w:r>
                </w:p>
              </w:tc>
              <w:tc>
                <w:tcPr>
                  <w:tcW w:w="2944" w:type="dxa"/>
                  <w:vMerge w:val="continue"/>
                  <w:noWrap/>
                  <w:vAlign w:val="center"/>
                </w:tcPr>
                <w:p w14:paraId="3244F654">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3B23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90" w:hRule="atLeast"/>
                <w:jc w:val="center"/>
              </w:trPr>
              <w:tc>
                <w:tcPr>
                  <w:tcW w:w="1645" w:type="dxa"/>
                  <w:vMerge w:val="restart"/>
                  <w:noWrap/>
                  <w:vAlign w:val="center"/>
                </w:tcPr>
                <w:p w14:paraId="7FF8FACE">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CO</w:t>
                  </w:r>
                </w:p>
              </w:tc>
              <w:tc>
                <w:tcPr>
                  <w:tcW w:w="2111" w:type="dxa"/>
                  <w:noWrap/>
                  <w:vAlign w:val="center"/>
                </w:tcPr>
                <w:p w14:paraId="02A7E3DA">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24小时平均</w:t>
                  </w:r>
                </w:p>
              </w:tc>
              <w:tc>
                <w:tcPr>
                  <w:tcW w:w="1535" w:type="dxa"/>
                  <w:noWrap/>
                  <w:vAlign w:val="center"/>
                </w:tcPr>
                <w:p w14:paraId="066EDE5C">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4000</w:t>
                  </w:r>
                </w:p>
              </w:tc>
              <w:tc>
                <w:tcPr>
                  <w:tcW w:w="2944" w:type="dxa"/>
                  <w:vMerge w:val="continue"/>
                  <w:noWrap/>
                  <w:vAlign w:val="center"/>
                </w:tcPr>
                <w:p w14:paraId="360B4C12">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7BEB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90" w:hRule="atLeast"/>
                <w:jc w:val="center"/>
              </w:trPr>
              <w:tc>
                <w:tcPr>
                  <w:tcW w:w="1645" w:type="dxa"/>
                  <w:vMerge w:val="continue"/>
                  <w:noWrap/>
                  <w:vAlign w:val="center"/>
                </w:tcPr>
                <w:p w14:paraId="5A4EE827">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c>
                <w:tcPr>
                  <w:tcW w:w="2111" w:type="dxa"/>
                  <w:noWrap/>
                  <w:vAlign w:val="center"/>
                </w:tcPr>
                <w:p w14:paraId="4DEB6076">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1小时平均</w:t>
                  </w:r>
                </w:p>
              </w:tc>
              <w:tc>
                <w:tcPr>
                  <w:tcW w:w="1535" w:type="dxa"/>
                  <w:noWrap/>
                  <w:vAlign w:val="center"/>
                </w:tcPr>
                <w:p w14:paraId="55FD54A5">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10</w:t>
                  </w:r>
                  <w:r>
                    <w:rPr>
                      <w:rFonts w:hint="eastAsia"/>
                      <w:bCs/>
                      <w:color w:val="000000" w:themeColor="text1"/>
                      <w:sz w:val="21"/>
                      <w:szCs w:val="21"/>
                      <w14:textFill>
                        <w14:solidFill>
                          <w14:schemeClr w14:val="tx1"/>
                        </w14:solidFill>
                      </w14:textFill>
                    </w:rPr>
                    <w:t>000</w:t>
                  </w:r>
                </w:p>
              </w:tc>
              <w:tc>
                <w:tcPr>
                  <w:tcW w:w="2944" w:type="dxa"/>
                  <w:vMerge w:val="continue"/>
                  <w:noWrap/>
                  <w:vAlign w:val="center"/>
                </w:tcPr>
                <w:p w14:paraId="315E78A9">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p>
              </w:tc>
            </w:tr>
            <w:tr w14:paraId="35E3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noWrap/>
                  <w:vAlign w:val="center"/>
                </w:tcPr>
                <w:p w14:paraId="39003118">
                  <w:pPr>
                    <w:pageBreakBefore w:val="0"/>
                    <w:kinsoku/>
                    <w:wordWrap/>
                    <w:overflowPunct/>
                    <w:topLinePunct w:val="0"/>
                    <w:bidi w:val="0"/>
                    <w:spacing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TVOC</w:t>
                  </w:r>
                </w:p>
              </w:tc>
              <w:tc>
                <w:tcPr>
                  <w:tcW w:w="2111" w:type="dxa"/>
                  <w:noWrap/>
                  <w:vAlign w:val="center"/>
                </w:tcPr>
                <w:p w14:paraId="0CBB4734">
                  <w:pPr>
                    <w:pageBreakBefore w:val="0"/>
                    <w:kinsoku/>
                    <w:wordWrap/>
                    <w:overflowPunct/>
                    <w:topLinePunct w:val="0"/>
                    <w:bidi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8</w:t>
                  </w:r>
                  <w:r>
                    <w:rPr>
                      <w:bCs/>
                      <w:color w:val="000000" w:themeColor="text1"/>
                      <w:sz w:val="21"/>
                      <w:szCs w:val="21"/>
                      <w14:textFill>
                        <w14:solidFill>
                          <w14:schemeClr w14:val="tx1"/>
                        </w14:solidFill>
                      </w14:textFill>
                    </w:rPr>
                    <w:t>小时平均</w:t>
                  </w:r>
                </w:p>
              </w:tc>
              <w:tc>
                <w:tcPr>
                  <w:tcW w:w="1535" w:type="dxa"/>
                  <w:noWrap/>
                  <w:vAlign w:val="center"/>
                </w:tcPr>
                <w:p w14:paraId="20B2E93D">
                  <w:pPr>
                    <w:pageBreakBefore w:val="0"/>
                    <w:kinsoku/>
                    <w:wordWrap/>
                    <w:overflowPunct/>
                    <w:topLinePunct w:val="0"/>
                    <w:bidi w:val="0"/>
                    <w:spacing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600</w:t>
                  </w:r>
                </w:p>
              </w:tc>
              <w:tc>
                <w:tcPr>
                  <w:tcW w:w="2944" w:type="dxa"/>
                  <w:vMerge w:val="restart"/>
                  <w:noWrap/>
                  <w:vAlign w:val="center"/>
                </w:tcPr>
                <w:p w14:paraId="2C98563C">
                  <w:pPr>
                    <w:pageBreakBefore w:val="0"/>
                    <w:kinsoku/>
                    <w:wordWrap/>
                    <w:overflowPunct/>
                    <w:topLinePunct w:val="0"/>
                    <w:bidi w:val="0"/>
                    <w:spacing w:line="240" w:lineRule="auto"/>
                    <w:ind w:firstLine="0" w:firstLineChars="0"/>
                    <w:jc w:val="center"/>
                    <w:rPr>
                      <w:rFonts w:hint="default"/>
                      <w:bCs/>
                      <w:color w:val="000000" w:themeColor="text1"/>
                      <w:sz w:val="21"/>
                      <w:szCs w:val="21"/>
                      <w:lang w:val="en-US"/>
                      <w14:textFill>
                        <w14:solidFill>
                          <w14:schemeClr w14:val="tx1"/>
                        </w14:solidFill>
                      </w14:textFill>
                    </w:rPr>
                  </w:pP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环境影响评价技术导则 大气环境</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HJ2.2-2018</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lang w:val="en-US" w:eastAsia="zh-CN"/>
                      <w14:textFill>
                        <w14:solidFill>
                          <w14:schemeClr w14:val="tx1"/>
                        </w14:solidFill>
                      </w14:textFill>
                    </w:rPr>
                    <w:t>附录D</w:t>
                  </w:r>
                </w:p>
              </w:tc>
            </w:tr>
            <w:tr w14:paraId="160C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noWrap/>
                  <w:vAlign w:val="center"/>
                </w:tcPr>
                <w:p w14:paraId="7558658D">
                  <w:pPr>
                    <w:pageBreakBefore w:val="0"/>
                    <w:kinsoku/>
                    <w:wordWrap/>
                    <w:overflowPunct/>
                    <w:topLinePunct w:val="0"/>
                    <w:bidi w:val="0"/>
                    <w:spacing w:line="240" w:lineRule="auto"/>
                    <w:ind w:firstLine="0" w:firstLineChars="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氨</w:t>
                  </w:r>
                </w:p>
              </w:tc>
              <w:tc>
                <w:tcPr>
                  <w:tcW w:w="2111" w:type="dxa"/>
                  <w:noWrap/>
                  <w:vAlign w:val="center"/>
                </w:tcPr>
                <w:p w14:paraId="68760247">
                  <w:pPr>
                    <w:pageBreakBefore w:val="0"/>
                    <w:kinsoku/>
                    <w:wordWrap/>
                    <w:overflowPunct/>
                    <w:topLinePunct w:val="0"/>
                    <w:bidi w:val="0"/>
                    <w:spacing w:line="240" w:lineRule="auto"/>
                    <w:ind w:firstLine="0" w:firstLineChars="0"/>
                    <w:jc w:val="center"/>
                    <w:rPr>
                      <w:rFonts w:hint="eastAsia"/>
                      <w:bCs/>
                      <w:color w:val="000000" w:themeColor="text1"/>
                      <w:sz w:val="21"/>
                      <w:szCs w:val="21"/>
                      <w:lang w:val="en-US" w:eastAsia="zh-CN"/>
                      <w14:textFill>
                        <w14:solidFill>
                          <w14:schemeClr w14:val="tx1"/>
                        </w14:solidFill>
                      </w14:textFill>
                    </w:rPr>
                  </w:pPr>
                  <w:r>
                    <w:rPr>
                      <w:bCs/>
                      <w:color w:val="000000" w:themeColor="text1"/>
                      <w:sz w:val="21"/>
                      <w:szCs w:val="21"/>
                      <w14:textFill>
                        <w14:solidFill>
                          <w14:schemeClr w14:val="tx1"/>
                        </w14:solidFill>
                      </w14:textFill>
                    </w:rPr>
                    <w:t>1小时平均</w:t>
                  </w:r>
                </w:p>
              </w:tc>
              <w:tc>
                <w:tcPr>
                  <w:tcW w:w="1535" w:type="dxa"/>
                  <w:noWrap/>
                  <w:vAlign w:val="center"/>
                </w:tcPr>
                <w:p w14:paraId="78EFE481">
                  <w:pPr>
                    <w:pageBreakBefore w:val="0"/>
                    <w:kinsoku/>
                    <w:wordWrap/>
                    <w:overflowPunct/>
                    <w:topLinePunct w:val="0"/>
                    <w:bidi w:val="0"/>
                    <w:spacing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200</w:t>
                  </w:r>
                </w:p>
              </w:tc>
              <w:tc>
                <w:tcPr>
                  <w:tcW w:w="2944" w:type="dxa"/>
                  <w:vMerge w:val="continue"/>
                  <w:noWrap/>
                  <w:vAlign w:val="center"/>
                </w:tcPr>
                <w:p w14:paraId="0C294249">
                  <w:pPr>
                    <w:pageBreakBefore w:val="0"/>
                    <w:kinsoku/>
                    <w:wordWrap/>
                    <w:overflowPunct/>
                    <w:topLinePunct w:val="0"/>
                    <w:bidi w:val="0"/>
                    <w:spacing w:line="240" w:lineRule="auto"/>
                    <w:ind w:firstLine="0" w:firstLineChars="0"/>
                    <w:jc w:val="center"/>
                    <w:rPr>
                      <w:rFonts w:hint="eastAsia"/>
                      <w:bCs/>
                      <w:color w:val="000000" w:themeColor="text1"/>
                      <w:sz w:val="21"/>
                      <w:szCs w:val="21"/>
                      <w:lang w:eastAsia="zh-CN"/>
                      <w14:textFill>
                        <w14:solidFill>
                          <w14:schemeClr w14:val="tx1"/>
                        </w14:solidFill>
                      </w14:textFill>
                    </w:rPr>
                  </w:pPr>
                </w:p>
              </w:tc>
            </w:tr>
            <w:tr w14:paraId="0C64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1645" w:type="dxa"/>
                  <w:noWrap/>
                  <w:vAlign w:val="center"/>
                </w:tcPr>
                <w:p w14:paraId="47DBB262">
                  <w:pPr>
                    <w:pageBreakBefore w:val="0"/>
                    <w:kinsoku/>
                    <w:wordWrap/>
                    <w:overflowPunct/>
                    <w:topLinePunct w:val="0"/>
                    <w:bidi w:val="0"/>
                    <w:spacing w:line="240" w:lineRule="auto"/>
                    <w:ind w:firstLine="0" w:firstLineChars="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硫化氢</w:t>
                  </w:r>
                </w:p>
              </w:tc>
              <w:tc>
                <w:tcPr>
                  <w:tcW w:w="2111" w:type="dxa"/>
                  <w:noWrap/>
                  <w:vAlign w:val="center"/>
                </w:tcPr>
                <w:p w14:paraId="4C1AB4DC">
                  <w:pPr>
                    <w:pageBreakBefore w:val="0"/>
                    <w:kinsoku/>
                    <w:wordWrap/>
                    <w:overflowPunct/>
                    <w:topLinePunct w:val="0"/>
                    <w:bidi w:val="0"/>
                    <w:spacing w:line="240" w:lineRule="auto"/>
                    <w:ind w:firstLine="0" w:firstLineChars="0"/>
                    <w:jc w:val="center"/>
                    <w:rPr>
                      <w:rFonts w:hint="eastAsia"/>
                      <w:bCs/>
                      <w:color w:val="000000" w:themeColor="text1"/>
                      <w:sz w:val="21"/>
                      <w:szCs w:val="21"/>
                      <w:lang w:val="en-US" w:eastAsia="zh-CN"/>
                      <w14:textFill>
                        <w14:solidFill>
                          <w14:schemeClr w14:val="tx1"/>
                        </w14:solidFill>
                      </w14:textFill>
                    </w:rPr>
                  </w:pPr>
                  <w:r>
                    <w:rPr>
                      <w:bCs/>
                      <w:color w:val="000000" w:themeColor="text1"/>
                      <w:sz w:val="21"/>
                      <w:szCs w:val="21"/>
                      <w14:textFill>
                        <w14:solidFill>
                          <w14:schemeClr w14:val="tx1"/>
                        </w14:solidFill>
                      </w14:textFill>
                    </w:rPr>
                    <w:t>1小时平均</w:t>
                  </w:r>
                </w:p>
              </w:tc>
              <w:tc>
                <w:tcPr>
                  <w:tcW w:w="1535" w:type="dxa"/>
                  <w:noWrap/>
                  <w:vAlign w:val="center"/>
                </w:tcPr>
                <w:p w14:paraId="5E16BE6A">
                  <w:pPr>
                    <w:pageBreakBefore w:val="0"/>
                    <w:kinsoku/>
                    <w:wordWrap/>
                    <w:overflowPunct/>
                    <w:topLinePunct w:val="0"/>
                    <w:bidi w:val="0"/>
                    <w:spacing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10</w:t>
                  </w:r>
                </w:p>
              </w:tc>
              <w:tc>
                <w:tcPr>
                  <w:tcW w:w="2944" w:type="dxa"/>
                  <w:vMerge w:val="continue"/>
                  <w:noWrap/>
                  <w:vAlign w:val="center"/>
                </w:tcPr>
                <w:p w14:paraId="3BD1DBFA">
                  <w:pPr>
                    <w:pageBreakBefore w:val="0"/>
                    <w:kinsoku/>
                    <w:wordWrap/>
                    <w:overflowPunct/>
                    <w:topLinePunct w:val="0"/>
                    <w:bidi w:val="0"/>
                    <w:spacing w:line="240" w:lineRule="auto"/>
                    <w:ind w:firstLine="0" w:firstLineChars="0"/>
                    <w:jc w:val="center"/>
                    <w:rPr>
                      <w:rFonts w:hint="eastAsia"/>
                      <w:bCs/>
                      <w:color w:val="000000" w:themeColor="text1"/>
                      <w:sz w:val="21"/>
                      <w:szCs w:val="21"/>
                      <w:lang w:eastAsia="zh-CN"/>
                      <w14:textFill>
                        <w14:solidFill>
                          <w14:schemeClr w14:val="tx1"/>
                        </w14:solidFill>
                      </w14:textFill>
                    </w:rPr>
                  </w:pPr>
                </w:p>
              </w:tc>
            </w:tr>
          </w:tbl>
          <w:p w14:paraId="46485A1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Times New Roman" w:hAnsi="Times New Roman" w:eastAsia="宋体" w:cs="Times New Roman"/>
                <w:b/>
                <w:bCs w:val="0"/>
                <w:color w:val="000000" w:themeColor="text1"/>
                <w:kern w:val="0"/>
                <w:sz w:val="24"/>
                <w:szCs w:val="24"/>
                <w:lang w:val="en-US" w:eastAsia="zh-CN" w:bidi="ar-SA"/>
                <w14:textFill>
                  <w14:solidFill>
                    <w14:schemeClr w14:val="tx1"/>
                  </w14:solidFill>
                </w14:textFill>
              </w:rPr>
            </w:pPr>
            <w:r>
              <w:rPr>
                <w:rFonts w:hint="eastAsia" w:cs="Times New Roman"/>
                <w:b/>
                <w:bCs w:val="0"/>
                <w:color w:val="000000" w:themeColor="text1"/>
                <w:kern w:val="0"/>
                <w:sz w:val="24"/>
                <w:szCs w:val="24"/>
                <w:lang w:val="en-US" w:eastAsia="zh-CN" w:bidi="ar-SA"/>
                <w14:textFill>
                  <w14:solidFill>
                    <w14:schemeClr w14:val="tx1"/>
                  </w14:solidFill>
                </w14:textFill>
              </w:rPr>
              <w:t>2、</w:t>
            </w:r>
            <w:r>
              <w:rPr>
                <w:rFonts w:ascii="Times New Roman" w:hAnsi="Times New Roman" w:eastAsia="宋体" w:cs="Times New Roman"/>
                <w:b/>
                <w:bCs w:val="0"/>
                <w:color w:val="000000" w:themeColor="text1"/>
                <w:kern w:val="0"/>
                <w:sz w:val="24"/>
                <w:szCs w:val="24"/>
                <w:lang w:val="en-US" w:eastAsia="zh-CN" w:bidi="ar-SA"/>
                <w14:textFill>
                  <w14:solidFill>
                    <w14:schemeClr w14:val="tx1"/>
                  </w14:solidFill>
                </w14:textFill>
              </w:rPr>
              <w:t>达标区判定</w:t>
            </w:r>
          </w:p>
          <w:p w14:paraId="5FB5E86D">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根据《曲靖市环境质量年报</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2023年</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》的数据和结论，判定评价区域的环境质量达标情况。曲靖市2023年主城区环境空气质量自动监测有效天数365天优181天、良174天、轻度污染10天，环境空气质量优良率97.3%，环境空气质量日达标率为97.3%</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环境空气质量综合指数2.7</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首要污染物天数为0</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3-8h</w:t>
            </w:r>
            <w:r>
              <w:rPr>
                <w:rFonts w:hint="default" w:ascii="Times New Roman" w:hAnsi="Times New Roman" w:cs="Times New Roman" w:eastAsiaTheme="minorEastAsia"/>
                <w:color w:val="000000" w:themeColor="text1"/>
                <w:sz w:val="24"/>
                <w:szCs w:val="24"/>
                <w14:textFill>
                  <w14:solidFill>
                    <w14:schemeClr w14:val="tx1"/>
                  </w14:solidFill>
                </w14:textFill>
              </w:rPr>
              <w:t>165天PM</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14:textFill>
                  <w14:solidFill>
                    <w14:schemeClr w14:val="tx1"/>
                  </w14:solidFill>
                </w14:textFill>
              </w:rPr>
              <w:t>16 天、PM</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0</w:t>
            </w:r>
            <w:r>
              <w:rPr>
                <w:rFonts w:hint="default" w:ascii="Times New Roman" w:hAnsi="Times New Roman" w:cs="Times New Roman" w:eastAsiaTheme="minorEastAsia"/>
                <w:color w:val="000000" w:themeColor="text1"/>
                <w:sz w:val="24"/>
                <w:szCs w:val="24"/>
                <w14:textFill>
                  <w14:solidFill>
                    <w14:schemeClr w14:val="tx1"/>
                  </w14:solidFill>
                </w14:textFill>
              </w:rPr>
              <w:t>11天。详见表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所示</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2E35BF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vertAlign w:val="superscript"/>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表3.</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   曲靖市中心城区2023年环境空气质量现状评价表    单位：μg/m</w:t>
            </w:r>
            <w:r>
              <w:rPr>
                <w:rFonts w:hint="default" w:ascii="Times New Roman" w:hAnsi="Times New Roman" w:cs="Times New Roman"/>
                <w:b/>
                <w:bCs/>
                <w:color w:val="000000" w:themeColor="text1"/>
                <w:sz w:val="21"/>
                <w:szCs w:val="21"/>
                <w:highlight w:val="none"/>
                <w:vertAlign w:val="superscript"/>
                <w:lang w:val="en-US" w:eastAsia="zh-CN"/>
                <w14:textFill>
                  <w14:solidFill>
                    <w14:schemeClr w14:val="tx1"/>
                  </w14:solidFill>
                </w14:textFill>
              </w:rPr>
              <w:t>3</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1387"/>
              <w:gridCol w:w="1156"/>
              <w:gridCol w:w="960"/>
              <w:gridCol w:w="1156"/>
              <w:gridCol w:w="1158"/>
            </w:tblGrid>
            <w:tr w14:paraId="7477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66" w:type="pct"/>
                  <w:vAlign w:val="center"/>
                </w:tcPr>
                <w:p w14:paraId="6A14CB2F">
                  <w:pPr>
                    <w:pStyle w:val="96"/>
                    <w:rPr>
                      <w:rFonts w:hint="default" w:ascii="Times New Roman" w:hAnsi="Times New Roman" w:cs="Times New Roman"/>
                      <w:b/>
                      <w:bCs/>
                      <w:snapToGrid w:val="0"/>
                      <w:color w:val="000000" w:themeColor="text1"/>
                      <w14:textFill>
                        <w14:solidFill>
                          <w14:schemeClr w14:val="tx1"/>
                        </w14:solidFill>
                      </w14:textFill>
                    </w:rPr>
                  </w:pPr>
                  <w:r>
                    <w:rPr>
                      <w:rFonts w:hint="default" w:ascii="Times New Roman" w:hAnsi="Times New Roman" w:cs="Times New Roman"/>
                      <w:b/>
                      <w:bCs/>
                      <w:snapToGrid w:val="0"/>
                      <w:color w:val="000000" w:themeColor="text1"/>
                      <w14:textFill>
                        <w14:solidFill>
                          <w14:schemeClr w14:val="tx1"/>
                        </w14:solidFill>
                      </w14:textFill>
                    </w:rPr>
                    <w:t>污染物</w:t>
                  </w:r>
                </w:p>
              </w:tc>
              <w:tc>
                <w:tcPr>
                  <w:tcW w:w="842" w:type="pct"/>
                  <w:vAlign w:val="center"/>
                </w:tcPr>
                <w:p w14:paraId="26ED4B47">
                  <w:pPr>
                    <w:pStyle w:val="96"/>
                    <w:rPr>
                      <w:rFonts w:hint="default" w:ascii="Times New Roman" w:hAnsi="Times New Roman" w:cs="Times New Roman"/>
                      <w:b/>
                      <w:bCs/>
                      <w:snapToGrid w:val="0"/>
                      <w:color w:val="000000" w:themeColor="text1"/>
                      <w14:textFill>
                        <w14:solidFill>
                          <w14:schemeClr w14:val="tx1"/>
                        </w14:solidFill>
                      </w14:textFill>
                    </w:rPr>
                  </w:pPr>
                  <w:r>
                    <w:rPr>
                      <w:rFonts w:hint="eastAsia" w:cs="Times New Roman"/>
                      <w:b/>
                      <w:bCs/>
                      <w:snapToGrid w:val="0"/>
                      <w:color w:val="000000" w:themeColor="text1"/>
                      <w:lang w:eastAsia="zh-CN"/>
                      <w14:textFill>
                        <w14:solidFill>
                          <w14:schemeClr w14:val="tx1"/>
                        </w14:solidFill>
                      </w14:textFill>
                    </w:rPr>
                    <w:t>年</w:t>
                  </w:r>
                  <w:r>
                    <w:rPr>
                      <w:rFonts w:hint="default" w:ascii="Times New Roman" w:hAnsi="Times New Roman" w:cs="Times New Roman"/>
                      <w:b/>
                      <w:bCs/>
                      <w:snapToGrid w:val="0"/>
                      <w:color w:val="000000" w:themeColor="text1"/>
                      <w14:textFill>
                        <w14:solidFill>
                          <w14:schemeClr w14:val="tx1"/>
                        </w14:solidFill>
                      </w14:textFill>
                    </w:rPr>
                    <w:t>评价指标</w:t>
                  </w:r>
                </w:p>
              </w:tc>
              <w:tc>
                <w:tcPr>
                  <w:tcW w:w="702" w:type="pct"/>
                  <w:vAlign w:val="center"/>
                </w:tcPr>
                <w:p w14:paraId="743E9F05">
                  <w:pPr>
                    <w:pStyle w:val="96"/>
                    <w:rPr>
                      <w:rFonts w:hint="default" w:ascii="Times New Roman" w:hAnsi="Times New Roman" w:cs="Times New Roman"/>
                      <w:b/>
                      <w:bCs/>
                      <w:snapToGrid w:val="0"/>
                      <w:color w:val="000000" w:themeColor="text1"/>
                      <w14:textFill>
                        <w14:solidFill>
                          <w14:schemeClr w14:val="tx1"/>
                        </w14:solidFill>
                      </w14:textFill>
                    </w:rPr>
                  </w:pPr>
                  <w:r>
                    <w:rPr>
                      <w:rFonts w:hint="default" w:ascii="Times New Roman" w:hAnsi="Times New Roman" w:cs="Times New Roman"/>
                      <w:b/>
                      <w:bCs/>
                      <w:snapToGrid w:val="0"/>
                      <w:color w:val="000000" w:themeColor="text1"/>
                      <w14:textFill>
                        <w14:solidFill>
                          <w14:schemeClr w14:val="tx1"/>
                        </w14:solidFill>
                      </w14:textFill>
                    </w:rPr>
                    <w:t>现状浓度</w:t>
                  </w:r>
                </w:p>
              </w:tc>
              <w:tc>
                <w:tcPr>
                  <w:tcW w:w="583" w:type="pct"/>
                  <w:vAlign w:val="center"/>
                </w:tcPr>
                <w:p w14:paraId="7A230542">
                  <w:pPr>
                    <w:pStyle w:val="96"/>
                    <w:rPr>
                      <w:rFonts w:hint="default" w:ascii="Times New Roman" w:hAnsi="Times New Roman" w:cs="Times New Roman"/>
                      <w:b/>
                      <w:bCs/>
                      <w:snapToGrid w:val="0"/>
                      <w:color w:val="000000" w:themeColor="text1"/>
                      <w14:textFill>
                        <w14:solidFill>
                          <w14:schemeClr w14:val="tx1"/>
                        </w14:solidFill>
                      </w14:textFill>
                    </w:rPr>
                  </w:pPr>
                  <w:r>
                    <w:rPr>
                      <w:rFonts w:hint="default" w:ascii="Times New Roman" w:hAnsi="Times New Roman" w:cs="Times New Roman"/>
                      <w:b/>
                      <w:bCs/>
                      <w:snapToGrid w:val="0"/>
                      <w:color w:val="000000" w:themeColor="text1"/>
                      <w14:textFill>
                        <w14:solidFill>
                          <w14:schemeClr w14:val="tx1"/>
                        </w14:solidFill>
                      </w14:textFill>
                    </w:rPr>
                    <w:t>标准值</w:t>
                  </w:r>
                </w:p>
              </w:tc>
              <w:tc>
                <w:tcPr>
                  <w:tcW w:w="702" w:type="pct"/>
                  <w:vAlign w:val="center"/>
                </w:tcPr>
                <w:p w14:paraId="452B0334">
                  <w:pPr>
                    <w:pStyle w:val="96"/>
                    <w:rPr>
                      <w:rFonts w:hint="default" w:ascii="Times New Roman" w:hAnsi="Times New Roman" w:cs="Times New Roman"/>
                      <w:b/>
                      <w:bCs/>
                      <w:snapToGrid w:val="0"/>
                      <w:color w:val="000000" w:themeColor="text1"/>
                      <w14:textFill>
                        <w14:solidFill>
                          <w14:schemeClr w14:val="tx1"/>
                        </w14:solidFill>
                      </w14:textFill>
                    </w:rPr>
                  </w:pPr>
                  <w:r>
                    <w:rPr>
                      <w:rFonts w:hint="default" w:ascii="Times New Roman" w:hAnsi="Times New Roman" w:cs="Times New Roman"/>
                      <w:b/>
                      <w:bCs/>
                      <w:snapToGrid w:val="0"/>
                      <w:color w:val="000000" w:themeColor="text1"/>
                      <w14:textFill>
                        <w14:solidFill>
                          <w14:schemeClr w14:val="tx1"/>
                        </w14:solidFill>
                      </w14:textFill>
                    </w:rPr>
                    <w:t>占标率%</w:t>
                  </w:r>
                </w:p>
              </w:tc>
              <w:tc>
                <w:tcPr>
                  <w:tcW w:w="703" w:type="pct"/>
                  <w:vAlign w:val="center"/>
                </w:tcPr>
                <w:p w14:paraId="41B3CD5C">
                  <w:pPr>
                    <w:pStyle w:val="96"/>
                    <w:rPr>
                      <w:rFonts w:hint="default" w:ascii="Times New Roman" w:hAnsi="Times New Roman" w:cs="Times New Roman"/>
                      <w:b/>
                      <w:bCs/>
                      <w:snapToGrid w:val="0"/>
                      <w:color w:val="000000" w:themeColor="text1"/>
                      <w14:textFill>
                        <w14:solidFill>
                          <w14:schemeClr w14:val="tx1"/>
                        </w14:solidFill>
                      </w14:textFill>
                    </w:rPr>
                  </w:pPr>
                  <w:r>
                    <w:rPr>
                      <w:rFonts w:hint="default" w:ascii="Times New Roman" w:hAnsi="Times New Roman" w:cs="Times New Roman"/>
                      <w:b/>
                      <w:bCs/>
                      <w:snapToGrid w:val="0"/>
                      <w:color w:val="000000" w:themeColor="text1"/>
                      <w14:textFill>
                        <w14:solidFill>
                          <w14:schemeClr w14:val="tx1"/>
                        </w14:solidFill>
                      </w14:textFill>
                    </w:rPr>
                    <w:t>达标情况</w:t>
                  </w:r>
                </w:p>
              </w:tc>
            </w:tr>
            <w:tr w14:paraId="5160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66" w:type="pct"/>
                  <w:vAlign w:val="center"/>
                </w:tcPr>
                <w:p w14:paraId="04D4EE6C">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PM</w:t>
                  </w:r>
                  <w:r>
                    <w:rPr>
                      <w:rFonts w:hint="default" w:ascii="Times New Roman" w:hAnsi="Times New Roman" w:eastAsia="宋体" w:cs="Times New Roman"/>
                      <w:b w:val="0"/>
                      <w:bCs w:val="0"/>
                      <w:snapToGrid w:val="0"/>
                      <w:color w:val="000000" w:themeColor="text1"/>
                      <w:vertAlign w:val="subscript"/>
                      <w:lang w:val="en-US" w:eastAsia="zh-CN"/>
                      <w14:textFill>
                        <w14:solidFill>
                          <w14:schemeClr w14:val="tx1"/>
                        </w14:solidFill>
                      </w14:textFill>
                    </w:rPr>
                    <w:t>2.5</w:t>
                  </w:r>
                </w:p>
              </w:tc>
              <w:tc>
                <w:tcPr>
                  <w:tcW w:w="842" w:type="pct"/>
                  <w:vAlign w:val="center"/>
                </w:tcPr>
                <w:p w14:paraId="02B65F21">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年均浓度</w:t>
                  </w:r>
                </w:p>
              </w:tc>
              <w:tc>
                <w:tcPr>
                  <w:tcW w:w="702" w:type="pct"/>
                  <w:vAlign w:val="center"/>
                </w:tcPr>
                <w:p w14:paraId="3F09D876">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22</w:t>
                  </w:r>
                </w:p>
              </w:tc>
              <w:tc>
                <w:tcPr>
                  <w:tcW w:w="583" w:type="pct"/>
                  <w:vAlign w:val="center"/>
                </w:tcPr>
                <w:p w14:paraId="2F38BD4D">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35</w:t>
                  </w:r>
                </w:p>
              </w:tc>
              <w:tc>
                <w:tcPr>
                  <w:tcW w:w="702" w:type="pct"/>
                  <w:vAlign w:val="center"/>
                </w:tcPr>
                <w:p w14:paraId="2E33EEF4">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62.9</w:t>
                  </w:r>
                </w:p>
              </w:tc>
              <w:tc>
                <w:tcPr>
                  <w:tcW w:w="703" w:type="pct"/>
                  <w:vAlign w:val="center"/>
                </w:tcPr>
                <w:p w14:paraId="4EF4426D">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达标</w:t>
                  </w:r>
                </w:p>
              </w:tc>
            </w:tr>
            <w:tr w14:paraId="5CF4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66" w:type="pct"/>
                  <w:vAlign w:val="center"/>
                </w:tcPr>
                <w:p w14:paraId="12D2DE13">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PM</w:t>
                  </w:r>
                  <w:r>
                    <w:rPr>
                      <w:rFonts w:hint="default" w:ascii="Times New Roman" w:hAnsi="Times New Roman" w:eastAsia="宋体" w:cs="Times New Roman"/>
                      <w:b w:val="0"/>
                      <w:bCs w:val="0"/>
                      <w:snapToGrid w:val="0"/>
                      <w:color w:val="000000" w:themeColor="text1"/>
                      <w:vertAlign w:val="subscript"/>
                      <w:lang w:val="en-US" w:eastAsia="zh-CN"/>
                      <w14:textFill>
                        <w14:solidFill>
                          <w14:schemeClr w14:val="tx1"/>
                        </w14:solidFill>
                      </w14:textFill>
                    </w:rPr>
                    <w:t>10</w:t>
                  </w:r>
                </w:p>
              </w:tc>
              <w:tc>
                <w:tcPr>
                  <w:tcW w:w="842" w:type="pct"/>
                  <w:vAlign w:val="center"/>
                </w:tcPr>
                <w:p w14:paraId="0E704EB3">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年均浓度</w:t>
                  </w:r>
                </w:p>
              </w:tc>
              <w:tc>
                <w:tcPr>
                  <w:tcW w:w="702" w:type="pct"/>
                  <w:vAlign w:val="center"/>
                </w:tcPr>
                <w:p w14:paraId="79D39878">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37</w:t>
                  </w:r>
                </w:p>
              </w:tc>
              <w:tc>
                <w:tcPr>
                  <w:tcW w:w="583" w:type="pct"/>
                  <w:vAlign w:val="center"/>
                </w:tcPr>
                <w:p w14:paraId="497C7641">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70</w:t>
                  </w:r>
                </w:p>
              </w:tc>
              <w:tc>
                <w:tcPr>
                  <w:tcW w:w="702" w:type="pct"/>
                  <w:vAlign w:val="center"/>
                </w:tcPr>
                <w:p w14:paraId="4D0DEFF3">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52.9</w:t>
                  </w:r>
                </w:p>
              </w:tc>
              <w:tc>
                <w:tcPr>
                  <w:tcW w:w="703" w:type="pct"/>
                  <w:vAlign w:val="center"/>
                </w:tcPr>
                <w:p w14:paraId="169D70A9">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达标</w:t>
                  </w:r>
                </w:p>
              </w:tc>
            </w:tr>
            <w:tr w14:paraId="1758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66" w:type="pct"/>
                  <w:vAlign w:val="center"/>
                </w:tcPr>
                <w:p w14:paraId="7C802759">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SO</w:t>
                  </w:r>
                  <w:r>
                    <w:rPr>
                      <w:rFonts w:hint="default" w:ascii="Times New Roman" w:hAnsi="Times New Roman" w:eastAsia="宋体" w:cs="Times New Roman"/>
                      <w:b w:val="0"/>
                      <w:bCs w:val="0"/>
                      <w:snapToGrid w:val="0"/>
                      <w:color w:val="000000" w:themeColor="text1"/>
                      <w:vertAlign w:val="subscript"/>
                      <w:lang w:val="en-US" w:eastAsia="zh-CN"/>
                      <w14:textFill>
                        <w14:solidFill>
                          <w14:schemeClr w14:val="tx1"/>
                        </w14:solidFill>
                      </w14:textFill>
                    </w:rPr>
                    <w:t>2</w:t>
                  </w:r>
                </w:p>
              </w:tc>
              <w:tc>
                <w:tcPr>
                  <w:tcW w:w="842" w:type="pct"/>
                  <w:vAlign w:val="center"/>
                </w:tcPr>
                <w:p w14:paraId="6EBA692C">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年均浓度</w:t>
                  </w:r>
                </w:p>
              </w:tc>
              <w:tc>
                <w:tcPr>
                  <w:tcW w:w="702" w:type="pct"/>
                  <w:vAlign w:val="center"/>
                </w:tcPr>
                <w:p w14:paraId="1FFD2DE3">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8</w:t>
                  </w:r>
                </w:p>
              </w:tc>
              <w:tc>
                <w:tcPr>
                  <w:tcW w:w="583" w:type="pct"/>
                  <w:vAlign w:val="center"/>
                </w:tcPr>
                <w:p w14:paraId="5DD1DDF6">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60</w:t>
                  </w:r>
                </w:p>
              </w:tc>
              <w:tc>
                <w:tcPr>
                  <w:tcW w:w="702" w:type="pct"/>
                  <w:vAlign w:val="center"/>
                </w:tcPr>
                <w:p w14:paraId="6A81225C">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13.3</w:t>
                  </w:r>
                </w:p>
              </w:tc>
              <w:tc>
                <w:tcPr>
                  <w:tcW w:w="703" w:type="pct"/>
                  <w:vAlign w:val="center"/>
                </w:tcPr>
                <w:p w14:paraId="764AED52">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达标</w:t>
                  </w:r>
                </w:p>
              </w:tc>
            </w:tr>
            <w:tr w14:paraId="2ACB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66" w:type="pct"/>
                  <w:vAlign w:val="center"/>
                </w:tcPr>
                <w:p w14:paraId="78A1FA5B">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NO</w:t>
                  </w:r>
                  <w:r>
                    <w:rPr>
                      <w:rFonts w:hint="default" w:ascii="Times New Roman" w:hAnsi="Times New Roman" w:eastAsia="宋体" w:cs="Times New Roman"/>
                      <w:b w:val="0"/>
                      <w:bCs w:val="0"/>
                      <w:snapToGrid w:val="0"/>
                      <w:color w:val="000000" w:themeColor="text1"/>
                      <w:vertAlign w:val="subscript"/>
                      <w:lang w:val="en-US" w:eastAsia="zh-CN"/>
                      <w14:textFill>
                        <w14:solidFill>
                          <w14:schemeClr w14:val="tx1"/>
                        </w14:solidFill>
                      </w14:textFill>
                    </w:rPr>
                    <w:t>2</w:t>
                  </w:r>
                </w:p>
              </w:tc>
              <w:tc>
                <w:tcPr>
                  <w:tcW w:w="842" w:type="pct"/>
                  <w:vAlign w:val="center"/>
                </w:tcPr>
                <w:p w14:paraId="00A1A849">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年均浓度</w:t>
                  </w:r>
                </w:p>
              </w:tc>
              <w:tc>
                <w:tcPr>
                  <w:tcW w:w="702" w:type="pct"/>
                  <w:vAlign w:val="center"/>
                </w:tcPr>
                <w:p w14:paraId="662D8740">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13</w:t>
                  </w:r>
                </w:p>
              </w:tc>
              <w:tc>
                <w:tcPr>
                  <w:tcW w:w="583" w:type="pct"/>
                  <w:vAlign w:val="center"/>
                </w:tcPr>
                <w:p w14:paraId="152EADF8">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40</w:t>
                  </w:r>
                </w:p>
              </w:tc>
              <w:tc>
                <w:tcPr>
                  <w:tcW w:w="702" w:type="pct"/>
                  <w:vAlign w:val="center"/>
                </w:tcPr>
                <w:p w14:paraId="25C3C7FB">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32.5</w:t>
                  </w:r>
                </w:p>
              </w:tc>
              <w:tc>
                <w:tcPr>
                  <w:tcW w:w="703" w:type="pct"/>
                  <w:vAlign w:val="center"/>
                </w:tcPr>
                <w:p w14:paraId="252B4122">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达标</w:t>
                  </w:r>
                </w:p>
              </w:tc>
            </w:tr>
            <w:tr w14:paraId="4F3B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66" w:type="pct"/>
                  <w:vAlign w:val="center"/>
                </w:tcPr>
                <w:p w14:paraId="3F1E7817">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CO（第95百位数）</w:t>
                  </w:r>
                </w:p>
              </w:tc>
              <w:tc>
                <w:tcPr>
                  <w:tcW w:w="842" w:type="pct"/>
                  <w:vAlign w:val="center"/>
                </w:tcPr>
                <w:p w14:paraId="350D0B7F">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年均浓度</w:t>
                  </w:r>
                </w:p>
              </w:tc>
              <w:tc>
                <w:tcPr>
                  <w:tcW w:w="702" w:type="pct"/>
                  <w:vAlign w:val="center"/>
                </w:tcPr>
                <w:p w14:paraId="6F0A7D78">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0.9mg/m</w:t>
                  </w:r>
                  <w:r>
                    <w:rPr>
                      <w:rFonts w:hint="default" w:ascii="Times New Roman" w:hAnsi="Times New Roman" w:eastAsia="宋体" w:cs="Times New Roman"/>
                      <w:b w:val="0"/>
                      <w:bCs w:val="0"/>
                      <w:snapToGrid w:val="0"/>
                      <w:color w:val="000000" w:themeColor="text1"/>
                      <w:vertAlign w:val="superscript"/>
                      <w:lang w:val="en-US" w:eastAsia="zh-CN"/>
                      <w14:textFill>
                        <w14:solidFill>
                          <w14:schemeClr w14:val="tx1"/>
                        </w14:solidFill>
                      </w14:textFill>
                    </w:rPr>
                    <w:t>3</w:t>
                  </w:r>
                </w:p>
              </w:tc>
              <w:tc>
                <w:tcPr>
                  <w:tcW w:w="583" w:type="pct"/>
                  <w:vAlign w:val="center"/>
                </w:tcPr>
                <w:p w14:paraId="36E05DE7">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4mg/m</w:t>
                  </w:r>
                  <w:r>
                    <w:rPr>
                      <w:rFonts w:hint="default" w:ascii="Times New Roman" w:hAnsi="Times New Roman" w:eastAsia="宋体" w:cs="Times New Roman"/>
                      <w:b w:val="0"/>
                      <w:bCs w:val="0"/>
                      <w:snapToGrid w:val="0"/>
                      <w:color w:val="000000" w:themeColor="text1"/>
                      <w:vertAlign w:val="superscript"/>
                      <w:lang w:val="en-US" w:eastAsia="zh-CN"/>
                      <w14:textFill>
                        <w14:solidFill>
                          <w14:schemeClr w14:val="tx1"/>
                        </w14:solidFill>
                      </w14:textFill>
                    </w:rPr>
                    <w:t>3</w:t>
                  </w:r>
                </w:p>
              </w:tc>
              <w:tc>
                <w:tcPr>
                  <w:tcW w:w="702" w:type="pct"/>
                  <w:vAlign w:val="center"/>
                </w:tcPr>
                <w:p w14:paraId="37B56382">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22.5</w:t>
                  </w:r>
                </w:p>
              </w:tc>
              <w:tc>
                <w:tcPr>
                  <w:tcW w:w="703" w:type="pct"/>
                  <w:vAlign w:val="center"/>
                </w:tcPr>
                <w:p w14:paraId="3C4A7B0A">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达标</w:t>
                  </w:r>
                </w:p>
              </w:tc>
            </w:tr>
            <w:tr w14:paraId="02BD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66" w:type="pct"/>
                  <w:vAlign w:val="center"/>
                </w:tcPr>
                <w:p w14:paraId="1A2D7AFA">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O</w:t>
                  </w:r>
                  <w:r>
                    <w:rPr>
                      <w:rFonts w:hint="default" w:ascii="Times New Roman" w:hAnsi="Times New Roman" w:eastAsia="宋体" w:cs="Times New Roman"/>
                      <w:b w:val="0"/>
                      <w:bCs w:val="0"/>
                      <w:snapToGrid w:val="0"/>
                      <w:color w:val="000000" w:themeColor="text1"/>
                      <w:vertAlign w:val="subscript"/>
                      <w:lang w:val="en-US" w:eastAsia="zh-CN"/>
                      <w14:textFill>
                        <w14:solidFill>
                          <w14:schemeClr w14:val="tx1"/>
                        </w14:solidFill>
                      </w14:textFill>
                    </w:rPr>
                    <w:t>3</w:t>
                  </w: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（第90百分位数）</w:t>
                  </w:r>
                </w:p>
              </w:tc>
              <w:tc>
                <w:tcPr>
                  <w:tcW w:w="842" w:type="pct"/>
                  <w:vAlign w:val="center"/>
                </w:tcPr>
                <w:p w14:paraId="7ACA7AFB">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年均浓度</w:t>
                  </w:r>
                </w:p>
              </w:tc>
              <w:tc>
                <w:tcPr>
                  <w:tcW w:w="702" w:type="pct"/>
                  <w:vAlign w:val="center"/>
                </w:tcPr>
                <w:p w14:paraId="276148EE">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139</w:t>
                  </w:r>
                </w:p>
              </w:tc>
              <w:tc>
                <w:tcPr>
                  <w:tcW w:w="583" w:type="pct"/>
                  <w:vAlign w:val="center"/>
                </w:tcPr>
                <w:p w14:paraId="0A39C31B">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160</w:t>
                  </w:r>
                </w:p>
              </w:tc>
              <w:tc>
                <w:tcPr>
                  <w:tcW w:w="702" w:type="pct"/>
                  <w:vAlign w:val="center"/>
                </w:tcPr>
                <w:p w14:paraId="5F6FB521">
                  <w:pPr>
                    <w:pStyle w:val="96"/>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86.9</w:t>
                  </w:r>
                </w:p>
              </w:tc>
              <w:tc>
                <w:tcPr>
                  <w:tcW w:w="703" w:type="pct"/>
                  <w:vAlign w:val="center"/>
                </w:tcPr>
                <w:p w14:paraId="1D4CA966">
                  <w:pPr>
                    <w:pStyle w:val="96"/>
                    <w:rPr>
                      <w:rFonts w:hint="default" w:ascii="Times New Roman" w:hAnsi="Times New Roman" w:cs="Times New Roman"/>
                      <w:b w:val="0"/>
                      <w:bCs w:val="0"/>
                      <w:snapToGrid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t>达标</w:t>
                  </w:r>
                </w:p>
              </w:tc>
            </w:tr>
          </w:tbl>
          <w:p w14:paraId="77261228">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曲靖市主城区2023年环境空气中SO</w:t>
            </w:r>
            <w:r>
              <w:rPr>
                <w:rFonts w:hint="default" w:ascii="Times New Roman" w:hAnsi="Times New Roman" w:eastAsia="宋体" w:cs="Times New Roman"/>
                <w:color w:val="000000" w:themeColor="text1"/>
                <w:kern w:val="0"/>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、NO</w:t>
            </w:r>
            <w:r>
              <w:rPr>
                <w:rFonts w:hint="default" w:ascii="Times New Roman" w:hAnsi="Times New Roman" w:eastAsia="宋体" w:cs="Times New Roman"/>
                <w:color w:val="000000" w:themeColor="text1"/>
                <w:kern w:val="0"/>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、PM</w:t>
            </w:r>
            <w:r>
              <w:rPr>
                <w:rFonts w:hint="default" w:ascii="Times New Roman" w:hAnsi="Times New Roman" w:eastAsia="宋体" w:cs="Times New Roman"/>
                <w:color w:val="000000" w:themeColor="text1"/>
                <w:kern w:val="0"/>
                <w:sz w:val="24"/>
                <w:szCs w:val="24"/>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、PM</w:t>
            </w:r>
            <w:r>
              <w:rPr>
                <w:rFonts w:hint="default" w:ascii="Times New Roman" w:hAnsi="Times New Roman" w:eastAsia="宋体" w:cs="Times New Roman"/>
                <w:color w:val="000000" w:themeColor="text1"/>
                <w:kern w:val="0"/>
                <w:sz w:val="24"/>
                <w:szCs w:val="24"/>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年均浓度、CO24小时平均第95百分位数浓度及O</w:t>
            </w:r>
            <w:r>
              <w:rPr>
                <w:rFonts w:hint="default" w:ascii="Times New Roman" w:hAnsi="Times New Roman" w:eastAsia="宋体" w:cs="Times New Roman"/>
                <w:color w:val="000000" w:themeColor="text1"/>
                <w:kern w:val="0"/>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日最大8小时平均第90百分位数浓度均小于《环境空气质量标准》（GB3095-2012）二级标准，项目所在区域为环境空气质量达标区。</w:t>
            </w:r>
          </w:p>
          <w:p w14:paraId="607B788B">
            <w:pPr>
              <w:keepNext w:val="0"/>
              <w:keepLines w:val="0"/>
              <w:pageBreakBefore w:val="0"/>
              <w:widowControl w:val="0"/>
              <w:tabs>
                <w:tab w:val="left" w:pos="6300"/>
              </w:tabs>
              <w:kinsoku/>
              <w:wordWrap/>
              <w:overflowPunct/>
              <w:topLinePunct w:val="0"/>
              <w:bidi w:val="0"/>
              <w:adjustRightInd/>
              <w:snapToGrid/>
              <w:spacing w:line="360" w:lineRule="auto"/>
              <w:ind w:left="0" w:leftChars="0" w:right="0" w:rightChars="0" w:firstLine="482" w:firstLineChars="200"/>
              <w:textAlignment w:val="auto"/>
              <w:rPr>
                <w:rFonts w:hint="eastAsia" w:ascii="Times New Roman" w:hAnsi="Times New Roman" w:eastAsia="宋体" w:cs="Times New Roman"/>
                <w:b/>
                <w:bCs w:val="0"/>
                <w:color w:val="00B050"/>
                <w:kern w:val="0"/>
                <w:sz w:val="24"/>
                <w:szCs w:val="20"/>
                <w:lang w:val="en-US" w:eastAsia="zh-CN"/>
              </w:rPr>
            </w:pPr>
            <w:r>
              <w:rPr>
                <w:rFonts w:hint="eastAsia" w:hAnsi="宋体" w:cs="Times New Roman"/>
                <w:b/>
                <w:bCs w:val="0"/>
                <w:color w:val="00B050"/>
                <w:kern w:val="0"/>
                <w:sz w:val="24"/>
                <w:szCs w:val="20"/>
                <w:lang w:val="en-US" w:eastAsia="zh-CN"/>
              </w:rPr>
              <w:t>3、特征污染物补充</w:t>
            </w:r>
            <w:r>
              <w:rPr>
                <w:rFonts w:ascii="Times New Roman" w:hAnsi="宋体" w:eastAsia="宋体" w:cs="Times New Roman"/>
                <w:b/>
                <w:bCs w:val="0"/>
                <w:color w:val="00B050"/>
                <w:kern w:val="0"/>
                <w:sz w:val="24"/>
                <w:szCs w:val="20"/>
              </w:rPr>
              <w:t>现状监测</w:t>
            </w:r>
            <w:r>
              <w:rPr>
                <w:rFonts w:hint="eastAsia" w:hAnsi="宋体" w:cs="Times New Roman"/>
                <w:b/>
                <w:bCs w:val="0"/>
                <w:color w:val="00B050"/>
                <w:kern w:val="0"/>
                <w:sz w:val="24"/>
                <w:szCs w:val="20"/>
                <w:lang w:val="en-US" w:eastAsia="zh-CN"/>
              </w:rPr>
              <w:t>情况</w:t>
            </w:r>
          </w:p>
          <w:p w14:paraId="463202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B050"/>
                <w:kern w:val="0"/>
                <w:sz w:val="24"/>
                <w:szCs w:val="24"/>
                <w:highlight w:val="none"/>
                <w:lang w:val="en-US" w:eastAsia="zh-CN" w:bidi="ar-SA"/>
              </w:rPr>
            </w:pPr>
            <w:r>
              <w:rPr>
                <w:rFonts w:hint="eastAsia" w:ascii="Times New Roman" w:hAnsi="Times New Roman" w:eastAsia="宋体" w:cs="Times New Roman"/>
                <w:b w:val="0"/>
                <w:bCs w:val="0"/>
                <w:color w:val="00B050"/>
                <w:kern w:val="0"/>
                <w:sz w:val="24"/>
                <w:szCs w:val="24"/>
                <w:highlight w:val="none"/>
                <w:lang w:val="en-US" w:eastAsia="zh-CN" w:bidi="ar-SA"/>
              </w:rPr>
              <w:t>建设单位委托云南中科检测技术有限公司2024年12月12日—12月14日，对项目区东侧麒麟区珠街乡基督教救恩堂开展了特征污染物补充监测，监测报告详见附件</w:t>
            </w:r>
            <w:r>
              <w:rPr>
                <w:rFonts w:hint="eastAsia" w:cs="Times New Roman"/>
                <w:b w:val="0"/>
                <w:bCs w:val="0"/>
                <w:color w:val="00B050"/>
                <w:kern w:val="0"/>
                <w:sz w:val="24"/>
                <w:szCs w:val="24"/>
                <w:highlight w:val="none"/>
                <w:lang w:val="en-US" w:eastAsia="zh-CN" w:bidi="ar-SA"/>
              </w:rPr>
              <w:t>11</w:t>
            </w:r>
            <w:r>
              <w:rPr>
                <w:rFonts w:hint="eastAsia" w:ascii="Times New Roman" w:hAnsi="Times New Roman" w:eastAsia="宋体" w:cs="Times New Roman"/>
                <w:b w:val="0"/>
                <w:bCs w:val="0"/>
                <w:color w:val="00B050"/>
                <w:kern w:val="0"/>
                <w:sz w:val="24"/>
                <w:szCs w:val="24"/>
                <w:highlight w:val="none"/>
                <w:lang w:val="en-US" w:eastAsia="zh-CN" w:bidi="ar-SA"/>
              </w:rPr>
              <w:t>。</w:t>
            </w:r>
          </w:p>
          <w:p w14:paraId="15E57FE2">
            <w:pPr>
              <w:pStyle w:val="54"/>
              <w:keepNext w:val="0"/>
              <w:keepLines w:val="0"/>
              <w:pageBreakBefore w:val="0"/>
              <w:widowControl w:val="0"/>
              <w:numPr>
                <w:ilvl w:val="0"/>
                <w:numId w:val="5"/>
              </w:numPr>
              <w:kinsoku/>
              <w:wordWrap/>
              <w:overflowPunct/>
              <w:topLinePunct w:val="0"/>
              <w:autoSpaceDE/>
              <w:autoSpaceDN/>
              <w:bidi w:val="0"/>
              <w:adjustRightInd/>
              <w:snapToGrid/>
              <w:textAlignment w:val="auto"/>
              <w:rPr>
                <w:rFonts w:hint="eastAsia"/>
                <w:b/>
                <w:bCs/>
                <w:color w:val="00B050"/>
                <w:kern w:val="0"/>
                <w:sz w:val="24"/>
                <w:lang w:val="en-US" w:eastAsia="zh-CN"/>
              </w:rPr>
            </w:pPr>
            <w:r>
              <w:rPr>
                <w:rFonts w:hint="eastAsia"/>
                <w:b/>
                <w:bCs/>
                <w:color w:val="00B050"/>
                <w:kern w:val="0"/>
                <w:sz w:val="24"/>
                <w:lang w:val="en-US" w:eastAsia="zh-CN"/>
              </w:rPr>
              <w:t>TVOC环境质量现状监测</w:t>
            </w:r>
          </w:p>
          <w:p w14:paraId="79B7D8E0">
            <w:pPr>
              <w:pStyle w:val="5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eastAsia="宋体"/>
                <w:color w:val="00B050"/>
                <w:kern w:val="0"/>
                <w:sz w:val="24"/>
                <w:lang w:val="en-US" w:eastAsia="zh-CN"/>
              </w:rPr>
            </w:pPr>
            <w:r>
              <w:rPr>
                <w:rFonts w:hint="eastAsia"/>
                <w:color w:val="00B050"/>
                <w:kern w:val="0"/>
                <w:sz w:val="24"/>
                <w:lang w:val="en-US" w:eastAsia="zh-CN"/>
              </w:rPr>
              <w:t>TVOC环境质量现状监测数据见表3.1-3所示。</w:t>
            </w:r>
          </w:p>
          <w:p w14:paraId="1137931F">
            <w:pPr>
              <w:pageBreakBefore w:val="0"/>
              <w:widowControl/>
              <w:kinsoku/>
              <w:wordWrap/>
              <w:overflowPunct/>
              <w:topLinePunct w:val="0"/>
              <w:bidi w:val="0"/>
              <w:snapToGrid/>
              <w:spacing w:before="0" w:after="0" w:line="240" w:lineRule="auto"/>
              <w:ind w:right="0"/>
              <w:jc w:val="center"/>
              <w:rPr>
                <w:rFonts w:hint="default" w:ascii="Times New Roman" w:hAnsi="Times New Roman" w:eastAsia="宋体" w:cs="Times New Roman"/>
                <w:b/>
                <w:bCs/>
                <w:color w:val="00B050"/>
                <w:kern w:val="0"/>
                <w:sz w:val="21"/>
                <w:szCs w:val="20"/>
                <w:vertAlign w:val="baseline"/>
                <w:lang w:val="en-US" w:eastAsia="zh-CN" w:bidi="ar-SA"/>
              </w:rPr>
            </w:pPr>
            <w:r>
              <w:rPr>
                <w:rFonts w:hint="default" w:ascii="Times New Roman" w:hAnsi="Times New Roman" w:eastAsia="宋体" w:cs="Times New Roman"/>
                <w:b/>
                <w:bCs/>
                <w:color w:val="00B050"/>
                <w:kern w:val="0"/>
                <w:sz w:val="21"/>
                <w:szCs w:val="20"/>
                <w:vertAlign w:val="baseline"/>
                <w:lang w:val="en-US" w:eastAsia="zh-CN" w:bidi="ar-SA"/>
              </w:rPr>
              <w:t>表</w:t>
            </w:r>
            <w:r>
              <w:rPr>
                <w:rFonts w:hint="default" w:ascii="Times New Roman" w:hAnsi="Times New Roman" w:cs="Times New Roman"/>
                <w:b/>
                <w:bCs/>
                <w:color w:val="00B050"/>
                <w:kern w:val="0"/>
                <w:sz w:val="21"/>
                <w:szCs w:val="20"/>
                <w:vertAlign w:val="baseline"/>
                <w:lang w:val="en-US" w:eastAsia="zh-CN" w:bidi="ar-SA"/>
              </w:rPr>
              <w:t>3.1</w:t>
            </w:r>
            <w:r>
              <w:rPr>
                <w:rFonts w:hint="default" w:ascii="Times New Roman" w:hAnsi="Times New Roman" w:eastAsia="宋体" w:cs="Times New Roman"/>
                <w:b/>
                <w:bCs/>
                <w:color w:val="00B050"/>
                <w:kern w:val="0"/>
                <w:sz w:val="21"/>
                <w:szCs w:val="20"/>
                <w:vertAlign w:val="baseline"/>
                <w:lang w:val="en-US" w:eastAsia="zh-CN" w:bidi="ar-SA"/>
              </w:rPr>
              <w:t>-</w:t>
            </w:r>
            <w:r>
              <w:rPr>
                <w:rFonts w:hint="default" w:ascii="Times New Roman" w:hAnsi="Times New Roman" w:cs="Times New Roman"/>
                <w:b/>
                <w:bCs/>
                <w:color w:val="00B050"/>
                <w:kern w:val="0"/>
                <w:sz w:val="21"/>
                <w:szCs w:val="20"/>
                <w:vertAlign w:val="baseline"/>
                <w:lang w:val="en-US" w:eastAsia="zh-CN" w:bidi="ar-SA"/>
              </w:rPr>
              <w:t xml:space="preserve">3 </w:t>
            </w:r>
            <w:r>
              <w:rPr>
                <w:rFonts w:hint="default" w:ascii="Times New Roman" w:hAnsi="Times New Roman" w:eastAsia="宋体" w:cs="Times New Roman"/>
                <w:b/>
                <w:bCs/>
                <w:color w:val="00B050"/>
                <w:kern w:val="0"/>
                <w:sz w:val="21"/>
                <w:szCs w:val="20"/>
                <w:vertAlign w:val="baseline"/>
                <w:lang w:val="en-US" w:eastAsia="zh-CN" w:bidi="ar-SA"/>
              </w:rPr>
              <w:t xml:space="preserve"> 环境空气质量现状监测结果一览表（日均值） 单位：mg/m</w:t>
            </w:r>
            <w:r>
              <w:rPr>
                <w:rFonts w:hint="default" w:ascii="Times New Roman" w:hAnsi="Times New Roman" w:eastAsia="宋体" w:cs="Times New Roman"/>
                <w:b/>
                <w:bCs/>
                <w:color w:val="00B050"/>
                <w:kern w:val="0"/>
                <w:sz w:val="21"/>
                <w:szCs w:val="20"/>
                <w:vertAlign w:val="superscript"/>
                <w:lang w:val="en-US" w:eastAsia="zh-CN" w:bidi="ar-SA"/>
              </w:rPr>
              <w:t>3</w:t>
            </w:r>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100"/>
              <w:gridCol w:w="1327"/>
              <w:gridCol w:w="1726"/>
              <w:gridCol w:w="796"/>
              <w:gridCol w:w="651"/>
              <w:gridCol w:w="916"/>
              <w:gridCol w:w="745"/>
            </w:tblGrid>
            <w:tr w14:paraId="19E8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4" w:type="dxa"/>
                  <w:vAlign w:val="center"/>
                </w:tcPr>
                <w:p w14:paraId="41687D94">
                  <w:pPr>
                    <w:pageBreakBefore w:val="0"/>
                    <w:kinsoku/>
                    <w:wordWrap/>
                    <w:overflowPunct/>
                    <w:topLinePunct w:val="0"/>
                    <w:bidi w:val="0"/>
                    <w:ind w:left="0" w:leftChars="0" w:right="0" w:rightChars="0" w:firstLine="0" w:firstLineChars="0"/>
                    <w:jc w:val="center"/>
                    <w:rPr>
                      <w:rFonts w:hint="eastAsia" w:ascii="Times New Roman" w:hAnsi="Times New Roman" w:eastAsia="宋体" w:cs="Times New Roman"/>
                      <w:b/>
                      <w:bCs/>
                      <w:snapToGrid/>
                      <w:color w:val="00B050"/>
                      <w:spacing w:val="0"/>
                      <w:position w:val="0"/>
                      <w:sz w:val="21"/>
                      <w:szCs w:val="21"/>
                      <w:lang w:eastAsia="zh-CN"/>
                    </w:rPr>
                  </w:pPr>
                  <w:r>
                    <w:rPr>
                      <w:rFonts w:hint="eastAsia" w:ascii="Times New Roman" w:hAnsi="Times New Roman" w:eastAsia="宋体" w:cs="Times New Roman"/>
                      <w:b/>
                      <w:bCs/>
                      <w:snapToGrid/>
                      <w:color w:val="00B050"/>
                      <w:spacing w:val="0"/>
                      <w:position w:val="0"/>
                      <w:sz w:val="21"/>
                      <w:szCs w:val="21"/>
                      <w:lang w:val="en-US" w:eastAsia="zh-CN"/>
                    </w:rPr>
                    <w:t>监测</w:t>
                  </w:r>
                  <w:r>
                    <w:rPr>
                      <w:rFonts w:hint="eastAsia" w:cs="Times New Roman"/>
                      <w:b/>
                      <w:bCs/>
                      <w:snapToGrid/>
                      <w:color w:val="00B050"/>
                      <w:spacing w:val="0"/>
                      <w:position w:val="0"/>
                      <w:sz w:val="21"/>
                      <w:szCs w:val="21"/>
                      <w:lang w:val="en-US" w:eastAsia="zh-CN"/>
                    </w:rPr>
                    <w:t>因子</w:t>
                  </w:r>
                </w:p>
              </w:tc>
              <w:tc>
                <w:tcPr>
                  <w:tcW w:w="1100" w:type="dxa"/>
                  <w:vAlign w:val="center"/>
                </w:tcPr>
                <w:p w14:paraId="3B4EE8AB">
                  <w:pPr>
                    <w:pageBreakBefore w:val="0"/>
                    <w:kinsoku/>
                    <w:wordWrap/>
                    <w:overflowPunct/>
                    <w:topLinePunct w:val="0"/>
                    <w:bidi w:val="0"/>
                    <w:ind w:left="0" w:leftChars="0" w:right="0" w:rightChars="0" w:firstLine="0" w:firstLineChars="0"/>
                    <w:jc w:val="center"/>
                    <w:rPr>
                      <w:rFonts w:hint="default" w:ascii="Times New Roman" w:hAnsi="Times New Roman" w:eastAsia="宋体" w:cs="Times New Roman"/>
                      <w:b/>
                      <w:bCs/>
                      <w:snapToGrid/>
                      <w:color w:val="00B050"/>
                      <w:spacing w:val="0"/>
                      <w:position w:val="0"/>
                      <w:sz w:val="21"/>
                      <w:szCs w:val="21"/>
                      <w:lang w:val="en-US" w:eastAsia="zh-CN"/>
                    </w:rPr>
                  </w:pPr>
                  <w:r>
                    <w:rPr>
                      <w:rFonts w:hint="eastAsia" w:cs="Times New Roman"/>
                      <w:b/>
                      <w:bCs/>
                      <w:snapToGrid/>
                      <w:color w:val="00B050"/>
                      <w:spacing w:val="0"/>
                      <w:position w:val="0"/>
                      <w:sz w:val="21"/>
                      <w:szCs w:val="21"/>
                      <w:lang w:val="en-US" w:eastAsia="zh-CN"/>
                    </w:rPr>
                    <w:t>监测点位</w:t>
                  </w:r>
                </w:p>
              </w:tc>
              <w:tc>
                <w:tcPr>
                  <w:tcW w:w="1327" w:type="dxa"/>
                  <w:vAlign w:val="center"/>
                </w:tcPr>
                <w:p w14:paraId="0A514FAC">
                  <w:pPr>
                    <w:pageBreakBefore w:val="0"/>
                    <w:kinsoku/>
                    <w:wordWrap/>
                    <w:overflowPunct/>
                    <w:topLinePunct w:val="0"/>
                    <w:bidi w:val="0"/>
                    <w:ind w:left="0" w:leftChars="0" w:right="0" w:rightChars="0" w:firstLine="0" w:firstLineChars="0"/>
                    <w:jc w:val="center"/>
                    <w:rPr>
                      <w:rFonts w:hint="default" w:ascii="Times New Roman" w:hAnsi="Times New Roman" w:cs="Times New Roman"/>
                      <w:b/>
                      <w:bCs/>
                      <w:snapToGrid/>
                      <w:color w:val="00B050"/>
                      <w:spacing w:val="0"/>
                      <w:position w:val="0"/>
                      <w:sz w:val="21"/>
                      <w:szCs w:val="21"/>
                    </w:rPr>
                  </w:pPr>
                  <w:r>
                    <w:rPr>
                      <w:rFonts w:hint="eastAsia" w:cs="Times New Roman"/>
                      <w:b/>
                      <w:bCs/>
                      <w:snapToGrid/>
                      <w:color w:val="00B050"/>
                      <w:spacing w:val="0"/>
                      <w:position w:val="0"/>
                      <w:sz w:val="21"/>
                      <w:szCs w:val="21"/>
                      <w:lang w:val="en-US" w:eastAsia="zh-CN"/>
                    </w:rPr>
                    <w:t>采样日期</w:t>
                  </w:r>
                </w:p>
              </w:tc>
              <w:tc>
                <w:tcPr>
                  <w:tcW w:w="1726" w:type="dxa"/>
                  <w:vAlign w:val="center"/>
                </w:tcPr>
                <w:p w14:paraId="16D9B1A1">
                  <w:pPr>
                    <w:pageBreakBefore w:val="0"/>
                    <w:kinsoku/>
                    <w:wordWrap/>
                    <w:overflowPunct/>
                    <w:topLinePunct w:val="0"/>
                    <w:bidi w:val="0"/>
                    <w:ind w:left="0" w:leftChars="0" w:right="0" w:rightChars="0" w:firstLine="0" w:firstLineChars="0"/>
                    <w:jc w:val="center"/>
                    <w:rPr>
                      <w:rFonts w:hint="default" w:cs="Times New Roman"/>
                      <w:b/>
                      <w:bCs/>
                      <w:snapToGrid/>
                      <w:color w:val="00B050"/>
                      <w:spacing w:val="0"/>
                      <w:position w:val="0"/>
                      <w:sz w:val="21"/>
                      <w:szCs w:val="21"/>
                      <w:lang w:val="en-US" w:eastAsia="zh-CN"/>
                    </w:rPr>
                  </w:pPr>
                  <w:r>
                    <w:rPr>
                      <w:rFonts w:hint="eastAsia" w:cs="Times New Roman"/>
                      <w:b/>
                      <w:bCs/>
                      <w:snapToGrid/>
                      <w:color w:val="00B050"/>
                      <w:spacing w:val="0"/>
                      <w:position w:val="0"/>
                      <w:sz w:val="21"/>
                      <w:szCs w:val="21"/>
                      <w:lang w:val="en-US" w:eastAsia="zh-CN"/>
                    </w:rPr>
                    <w:t>监测值类别</w:t>
                  </w:r>
                </w:p>
              </w:tc>
              <w:tc>
                <w:tcPr>
                  <w:tcW w:w="796" w:type="dxa"/>
                  <w:vAlign w:val="center"/>
                </w:tcPr>
                <w:p w14:paraId="3D276F2A">
                  <w:pPr>
                    <w:pageBreakBefore w:val="0"/>
                    <w:kinsoku/>
                    <w:wordWrap/>
                    <w:overflowPunct/>
                    <w:topLinePunct w:val="0"/>
                    <w:bidi w:val="0"/>
                    <w:ind w:left="0" w:leftChars="0" w:right="0" w:rightChars="0" w:firstLine="0" w:firstLineChars="0"/>
                    <w:jc w:val="center"/>
                    <w:rPr>
                      <w:rFonts w:hint="default" w:ascii="Times New Roman" w:hAnsi="Times New Roman" w:cs="Times New Roman"/>
                      <w:b/>
                      <w:bCs/>
                      <w:snapToGrid/>
                      <w:color w:val="00B050"/>
                      <w:spacing w:val="0"/>
                      <w:position w:val="0"/>
                      <w:sz w:val="21"/>
                      <w:szCs w:val="21"/>
                    </w:rPr>
                  </w:pPr>
                  <w:r>
                    <w:rPr>
                      <w:rFonts w:hint="eastAsia" w:cs="Times New Roman"/>
                      <w:b/>
                      <w:bCs/>
                      <w:snapToGrid/>
                      <w:color w:val="00B050"/>
                      <w:spacing w:val="0"/>
                      <w:position w:val="0"/>
                      <w:sz w:val="21"/>
                      <w:szCs w:val="21"/>
                      <w:lang w:val="en-US" w:eastAsia="zh-CN"/>
                    </w:rPr>
                    <w:t>浓度值</w:t>
                  </w:r>
                </w:p>
              </w:tc>
              <w:tc>
                <w:tcPr>
                  <w:tcW w:w="651" w:type="dxa"/>
                  <w:vAlign w:val="center"/>
                </w:tcPr>
                <w:p w14:paraId="6634214F">
                  <w:pPr>
                    <w:pageBreakBefore w:val="0"/>
                    <w:kinsoku/>
                    <w:wordWrap/>
                    <w:overflowPunct/>
                    <w:topLinePunct w:val="0"/>
                    <w:bidi w:val="0"/>
                    <w:ind w:left="0" w:leftChars="0" w:right="0" w:rightChars="0" w:firstLine="0" w:firstLineChars="0"/>
                    <w:jc w:val="center"/>
                    <w:rPr>
                      <w:rFonts w:hint="eastAsia" w:ascii="Times New Roman" w:hAnsi="Times New Roman" w:eastAsia="宋体" w:cs="Times New Roman"/>
                      <w:b/>
                      <w:bCs/>
                      <w:snapToGrid/>
                      <w:color w:val="00B050"/>
                      <w:spacing w:val="0"/>
                      <w:position w:val="0"/>
                      <w:sz w:val="21"/>
                      <w:szCs w:val="21"/>
                      <w:lang w:val="en-US" w:eastAsia="zh-CN"/>
                    </w:rPr>
                  </w:pPr>
                  <w:r>
                    <w:rPr>
                      <w:rFonts w:hint="eastAsia" w:ascii="Times New Roman" w:hAnsi="Times New Roman" w:eastAsia="宋体" w:cs="Times New Roman"/>
                      <w:b/>
                      <w:bCs/>
                      <w:snapToGrid/>
                      <w:color w:val="00B050"/>
                      <w:spacing w:val="0"/>
                      <w:position w:val="0"/>
                      <w:sz w:val="21"/>
                      <w:szCs w:val="21"/>
                      <w:lang w:val="en-US" w:eastAsia="zh-CN"/>
                    </w:rPr>
                    <w:t>标准值</w:t>
                  </w:r>
                </w:p>
              </w:tc>
              <w:tc>
                <w:tcPr>
                  <w:tcW w:w="916" w:type="dxa"/>
                  <w:vAlign w:val="center"/>
                </w:tcPr>
                <w:p w14:paraId="48835015">
                  <w:pPr>
                    <w:pageBreakBefore w:val="0"/>
                    <w:kinsoku/>
                    <w:wordWrap/>
                    <w:overflowPunct/>
                    <w:topLinePunct w:val="0"/>
                    <w:bidi w:val="0"/>
                    <w:ind w:left="0" w:leftChars="0" w:right="0" w:rightChars="0" w:firstLine="0" w:firstLineChars="0"/>
                    <w:jc w:val="center"/>
                    <w:rPr>
                      <w:rFonts w:hint="default" w:ascii="Times New Roman" w:hAnsi="Times New Roman" w:eastAsia="宋体" w:cs="Times New Roman"/>
                      <w:b/>
                      <w:bCs/>
                      <w:snapToGrid/>
                      <w:color w:val="00B050"/>
                      <w:spacing w:val="0"/>
                      <w:position w:val="0"/>
                      <w:sz w:val="21"/>
                      <w:szCs w:val="21"/>
                      <w:lang w:val="en-US" w:eastAsia="zh-CN"/>
                    </w:rPr>
                  </w:pPr>
                  <w:r>
                    <w:rPr>
                      <w:rFonts w:hint="eastAsia" w:cs="Times New Roman"/>
                      <w:b/>
                      <w:bCs/>
                      <w:snapToGrid/>
                      <w:color w:val="00B050"/>
                      <w:spacing w:val="0"/>
                      <w:position w:val="0"/>
                      <w:sz w:val="21"/>
                      <w:szCs w:val="21"/>
                      <w:lang w:val="en-US" w:eastAsia="zh-CN"/>
                    </w:rPr>
                    <w:t>最大</w:t>
                  </w:r>
                  <w:r>
                    <w:rPr>
                      <w:rFonts w:hint="eastAsia" w:ascii="Times New Roman" w:hAnsi="Times New Roman" w:eastAsia="宋体" w:cs="Times New Roman"/>
                      <w:b/>
                      <w:bCs/>
                      <w:snapToGrid/>
                      <w:color w:val="00B050"/>
                      <w:spacing w:val="0"/>
                      <w:position w:val="0"/>
                      <w:sz w:val="21"/>
                      <w:szCs w:val="21"/>
                      <w:lang w:val="en-US" w:eastAsia="zh-CN"/>
                    </w:rPr>
                    <w:t>占标率%</w:t>
                  </w:r>
                </w:p>
              </w:tc>
              <w:tc>
                <w:tcPr>
                  <w:tcW w:w="745" w:type="dxa"/>
                  <w:vAlign w:val="center"/>
                </w:tcPr>
                <w:p w14:paraId="668B8755">
                  <w:pPr>
                    <w:pageBreakBefore w:val="0"/>
                    <w:kinsoku/>
                    <w:wordWrap/>
                    <w:overflowPunct/>
                    <w:topLinePunct w:val="0"/>
                    <w:bidi w:val="0"/>
                    <w:ind w:left="0" w:leftChars="0" w:right="0" w:rightChars="0" w:firstLine="0" w:firstLineChars="0"/>
                    <w:jc w:val="center"/>
                    <w:rPr>
                      <w:rFonts w:hint="eastAsia" w:ascii="Times New Roman" w:hAnsi="Times New Roman" w:eastAsia="宋体" w:cs="Times New Roman"/>
                      <w:b/>
                      <w:bCs/>
                      <w:snapToGrid/>
                      <w:color w:val="00B050"/>
                      <w:spacing w:val="0"/>
                      <w:position w:val="0"/>
                      <w:sz w:val="21"/>
                      <w:szCs w:val="21"/>
                      <w:lang w:val="en-US" w:eastAsia="zh-CN"/>
                    </w:rPr>
                  </w:pPr>
                  <w:r>
                    <w:rPr>
                      <w:rFonts w:hint="eastAsia" w:ascii="Times New Roman" w:hAnsi="Times New Roman" w:eastAsia="宋体" w:cs="Times New Roman"/>
                      <w:b/>
                      <w:bCs/>
                      <w:snapToGrid/>
                      <w:color w:val="00B050"/>
                      <w:spacing w:val="0"/>
                      <w:position w:val="0"/>
                      <w:sz w:val="21"/>
                      <w:szCs w:val="21"/>
                      <w:lang w:val="en-US" w:eastAsia="zh-CN"/>
                    </w:rPr>
                    <w:t>达标</w:t>
                  </w:r>
                  <w:r>
                    <w:rPr>
                      <w:rFonts w:hint="eastAsia" w:cs="Times New Roman"/>
                      <w:b/>
                      <w:bCs/>
                      <w:snapToGrid/>
                      <w:color w:val="00B050"/>
                      <w:spacing w:val="0"/>
                      <w:position w:val="0"/>
                      <w:sz w:val="21"/>
                      <w:szCs w:val="21"/>
                      <w:lang w:val="en-US" w:eastAsia="zh-CN"/>
                    </w:rPr>
                    <w:t>情况</w:t>
                  </w:r>
                </w:p>
              </w:tc>
            </w:tr>
            <w:tr w14:paraId="0FAD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74" w:type="dxa"/>
                  <w:vMerge w:val="restart"/>
                  <w:vAlign w:val="center"/>
                </w:tcPr>
                <w:p w14:paraId="6DD15A8C">
                  <w:pPr>
                    <w:pStyle w:val="78"/>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cs="Times New Roman"/>
                      <w:snapToGrid/>
                      <w:color w:val="00B050"/>
                      <w:spacing w:val="0"/>
                      <w:position w:val="0"/>
                      <w:sz w:val="21"/>
                      <w:szCs w:val="21"/>
                      <w:lang w:val="en-US" w:eastAsia="zh-CN"/>
                    </w:rPr>
                    <w:t>总挥发性有机物（TVOC）</w:t>
                  </w:r>
                </w:p>
              </w:tc>
              <w:tc>
                <w:tcPr>
                  <w:tcW w:w="1100" w:type="dxa"/>
                  <w:vMerge w:val="restart"/>
                  <w:vAlign w:val="center"/>
                </w:tcPr>
                <w:p w14:paraId="5FC56A06">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A1：麒麟</w:t>
                  </w:r>
                </w:p>
                <w:p w14:paraId="50E43173">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区珠街乡</w:t>
                  </w:r>
                </w:p>
                <w:p w14:paraId="52551702">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基督教救</w:t>
                  </w:r>
                </w:p>
                <w:p w14:paraId="75EECF1B">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恩堂</w:t>
                  </w:r>
                </w:p>
              </w:tc>
              <w:tc>
                <w:tcPr>
                  <w:tcW w:w="1327" w:type="dxa"/>
                  <w:vAlign w:val="center"/>
                </w:tcPr>
                <w:p w14:paraId="77A8F5C3">
                  <w:pPr>
                    <w:pageBreakBefore w:val="0"/>
                    <w:kinsoku/>
                    <w:wordWrap/>
                    <w:overflowPunct/>
                    <w:topLinePunct w:val="0"/>
                    <w:bidi w:val="0"/>
                    <w:ind w:left="0" w:leftChars="0"/>
                    <w:jc w:val="center"/>
                    <w:rPr>
                      <w:rFonts w:hint="eastAsia" w:ascii="Times New Roman" w:hAnsi="Times New Roman" w:eastAsia="宋体"/>
                      <w:bCs/>
                      <w:color w:val="00B050"/>
                      <w:sz w:val="21"/>
                      <w:szCs w:val="21"/>
                      <w:lang w:val="en-US" w:eastAsia="zh-CN"/>
                    </w:rPr>
                  </w:pPr>
                  <w:r>
                    <w:rPr>
                      <w:rFonts w:hint="eastAsia" w:ascii="Times New Roman" w:hAnsi="Times New Roman" w:eastAsia="宋体"/>
                      <w:bCs/>
                      <w:color w:val="00B050"/>
                      <w:sz w:val="21"/>
                      <w:szCs w:val="21"/>
                      <w:lang w:val="en-US" w:eastAsia="zh-CN"/>
                    </w:rPr>
                    <w:t>2024.12.12</w:t>
                  </w:r>
                </w:p>
              </w:tc>
              <w:tc>
                <w:tcPr>
                  <w:tcW w:w="1726" w:type="dxa"/>
                  <w:vAlign w:val="center"/>
                </w:tcPr>
                <w:p w14:paraId="418C86B7">
                  <w:pPr>
                    <w:jc w:val="center"/>
                    <w:rPr>
                      <w:rFonts w:hint="default" w:ascii="Times New Roman" w:hAnsi="Times New Roman" w:eastAsia="宋体"/>
                      <w:color w:val="00B050"/>
                      <w:szCs w:val="21"/>
                      <w:lang w:val="en-US" w:eastAsia="zh-CN"/>
                    </w:rPr>
                  </w:pPr>
                  <w:r>
                    <w:rPr>
                      <w:rFonts w:hint="eastAsia"/>
                      <w:color w:val="00B050"/>
                      <w:szCs w:val="21"/>
                      <w:lang w:val="en-US" w:eastAsia="zh-CN"/>
                    </w:rPr>
                    <w:t>8小时平均值</w:t>
                  </w:r>
                </w:p>
              </w:tc>
              <w:tc>
                <w:tcPr>
                  <w:tcW w:w="796" w:type="dxa"/>
                  <w:vAlign w:val="center"/>
                </w:tcPr>
                <w:p w14:paraId="1C5EE8F7">
                  <w:pPr>
                    <w:jc w:val="center"/>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0.398</w:t>
                  </w:r>
                </w:p>
              </w:tc>
              <w:tc>
                <w:tcPr>
                  <w:tcW w:w="651" w:type="dxa"/>
                  <w:vAlign w:val="center"/>
                </w:tcPr>
                <w:p w14:paraId="203702C5">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0.6</w:t>
                  </w:r>
                </w:p>
              </w:tc>
              <w:tc>
                <w:tcPr>
                  <w:tcW w:w="916" w:type="dxa"/>
                  <w:vAlign w:val="center"/>
                </w:tcPr>
                <w:p w14:paraId="350E1749">
                  <w:pPr>
                    <w:jc w:val="center"/>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66.33</w:t>
                  </w:r>
                </w:p>
              </w:tc>
              <w:tc>
                <w:tcPr>
                  <w:tcW w:w="745" w:type="dxa"/>
                  <w:vAlign w:val="center"/>
                </w:tcPr>
                <w:p w14:paraId="77CA9A37">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eastAsia" w:ascii="Times New Roman" w:hAnsi="Times New Roman" w:eastAsia="宋体" w:cs="Times New Roman"/>
                      <w:snapToGrid/>
                      <w:color w:val="00B050"/>
                      <w:spacing w:val="0"/>
                      <w:position w:val="0"/>
                      <w:sz w:val="21"/>
                      <w:szCs w:val="21"/>
                      <w:lang w:val="en-US" w:eastAsia="zh-CN"/>
                    </w:rPr>
                    <w:t>达标</w:t>
                  </w:r>
                </w:p>
              </w:tc>
            </w:tr>
            <w:tr w14:paraId="5706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74" w:type="dxa"/>
                  <w:vMerge w:val="continue"/>
                  <w:vAlign w:val="center"/>
                </w:tcPr>
                <w:p w14:paraId="57D6660E">
                  <w:pPr>
                    <w:pStyle w:val="78"/>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cs="Times New Roman"/>
                      <w:snapToGrid/>
                      <w:color w:val="00B050"/>
                      <w:spacing w:val="0"/>
                      <w:position w:val="0"/>
                      <w:sz w:val="21"/>
                      <w:szCs w:val="21"/>
                      <w:lang w:val="en-US" w:eastAsia="zh-CN"/>
                    </w:rPr>
                  </w:pPr>
                </w:p>
              </w:tc>
              <w:tc>
                <w:tcPr>
                  <w:tcW w:w="1100" w:type="dxa"/>
                  <w:vMerge w:val="continue"/>
                  <w:vAlign w:val="center"/>
                </w:tcPr>
                <w:p w14:paraId="27F62C0B">
                  <w:pPr>
                    <w:pageBreakBefore w:val="0"/>
                    <w:kinsoku/>
                    <w:wordWrap/>
                    <w:overflowPunct/>
                    <w:topLinePunct w:val="0"/>
                    <w:bidi w:val="0"/>
                    <w:ind w:left="0" w:leftChars="0"/>
                    <w:jc w:val="center"/>
                    <w:rPr>
                      <w:rFonts w:hint="eastAsia"/>
                      <w:bCs/>
                      <w:color w:val="00B050"/>
                      <w:sz w:val="21"/>
                      <w:szCs w:val="21"/>
                      <w:lang w:val="en-US" w:eastAsia="zh-CN"/>
                    </w:rPr>
                  </w:pPr>
                </w:p>
              </w:tc>
              <w:tc>
                <w:tcPr>
                  <w:tcW w:w="1327" w:type="dxa"/>
                  <w:vAlign w:val="center"/>
                </w:tcPr>
                <w:p w14:paraId="4ECD646E">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eastAsia" w:ascii="Times New Roman" w:hAnsi="Times New Roman" w:eastAsia="宋体"/>
                      <w:bCs/>
                      <w:color w:val="00B050"/>
                      <w:sz w:val="21"/>
                      <w:szCs w:val="21"/>
                      <w:lang w:val="en-US" w:eastAsia="zh-CN"/>
                    </w:rPr>
                    <w:t>2024.12.1</w:t>
                  </w:r>
                  <w:r>
                    <w:rPr>
                      <w:rFonts w:hint="eastAsia"/>
                      <w:bCs/>
                      <w:color w:val="00B050"/>
                      <w:sz w:val="21"/>
                      <w:szCs w:val="21"/>
                      <w:lang w:val="en-US" w:eastAsia="zh-CN"/>
                    </w:rPr>
                    <w:t>3</w:t>
                  </w:r>
                </w:p>
              </w:tc>
              <w:tc>
                <w:tcPr>
                  <w:tcW w:w="1726" w:type="dxa"/>
                  <w:vAlign w:val="center"/>
                </w:tcPr>
                <w:p w14:paraId="2B7A195D">
                  <w:pPr>
                    <w:jc w:val="center"/>
                    <w:rPr>
                      <w:rFonts w:hint="eastAsia"/>
                      <w:color w:val="00B050"/>
                      <w:szCs w:val="21"/>
                      <w:lang w:val="en-US" w:eastAsia="zh-CN"/>
                    </w:rPr>
                  </w:pPr>
                  <w:r>
                    <w:rPr>
                      <w:rFonts w:hint="eastAsia"/>
                      <w:color w:val="00B050"/>
                      <w:szCs w:val="21"/>
                      <w:lang w:val="en-US" w:eastAsia="zh-CN"/>
                    </w:rPr>
                    <w:t>8 小时平均值</w:t>
                  </w:r>
                </w:p>
              </w:tc>
              <w:tc>
                <w:tcPr>
                  <w:tcW w:w="796" w:type="dxa"/>
                  <w:vAlign w:val="center"/>
                </w:tcPr>
                <w:p w14:paraId="59088834">
                  <w:pPr>
                    <w:jc w:val="center"/>
                    <w:rPr>
                      <w:rFonts w:hint="default" w:ascii="Times New Roman" w:hAnsi="Times New Roman" w:eastAsia="宋体"/>
                      <w:color w:val="00B050"/>
                      <w:szCs w:val="21"/>
                      <w:lang w:val="en-US" w:eastAsia="zh-CN"/>
                    </w:rPr>
                  </w:pPr>
                  <w:r>
                    <w:rPr>
                      <w:rFonts w:hint="eastAsia"/>
                      <w:color w:val="00B050"/>
                      <w:szCs w:val="21"/>
                      <w:lang w:val="en-US" w:eastAsia="zh-CN"/>
                    </w:rPr>
                    <w:t>0.464</w:t>
                  </w:r>
                </w:p>
              </w:tc>
              <w:tc>
                <w:tcPr>
                  <w:tcW w:w="651" w:type="dxa"/>
                  <w:vAlign w:val="center"/>
                </w:tcPr>
                <w:p w14:paraId="7114E0C5">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0.6</w:t>
                  </w:r>
                </w:p>
              </w:tc>
              <w:tc>
                <w:tcPr>
                  <w:tcW w:w="916" w:type="dxa"/>
                  <w:vAlign w:val="center"/>
                </w:tcPr>
                <w:p w14:paraId="06057527">
                  <w:pPr>
                    <w:jc w:val="center"/>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77.33</w:t>
                  </w:r>
                </w:p>
              </w:tc>
              <w:tc>
                <w:tcPr>
                  <w:tcW w:w="745" w:type="dxa"/>
                  <w:vAlign w:val="center"/>
                </w:tcPr>
                <w:p w14:paraId="72F9EC94">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20B5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74" w:type="dxa"/>
                  <w:vMerge w:val="continue"/>
                  <w:vAlign w:val="center"/>
                </w:tcPr>
                <w:p w14:paraId="0832D6F1">
                  <w:pPr>
                    <w:pStyle w:val="78"/>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cs="Times New Roman"/>
                      <w:snapToGrid/>
                      <w:color w:val="00B050"/>
                      <w:spacing w:val="0"/>
                      <w:position w:val="0"/>
                      <w:sz w:val="21"/>
                      <w:szCs w:val="21"/>
                      <w:lang w:val="en-US" w:eastAsia="zh-CN"/>
                    </w:rPr>
                  </w:pPr>
                </w:p>
              </w:tc>
              <w:tc>
                <w:tcPr>
                  <w:tcW w:w="1100" w:type="dxa"/>
                  <w:vMerge w:val="continue"/>
                  <w:vAlign w:val="center"/>
                </w:tcPr>
                <w:p w14:paraId="3A4BFA26">
                  <w:pPr>
                    <w:pageBreakBefore w:val="0"/>
                    <w:kinsoku/>
                    <w:wordWrap/>
                    <w:overflowPunct/>
                    <w:topLinePunct w:val="0"/>
                    <w:bidi w:val="0"/>
                    <w:ind w:left="0" w:leftChars="0"/>
                    <w:jc w:val="center"/>
                    <w:rPr>
                      <w:rFonts w:hint="eastAsia"/>
                      <w:bCs/>
                      <w:color w:val="00B050"/>
                      <w:sz w:val="21"/>
                      <w:szCs w:val="21"/>
                      <w:lang w:val="en-US" w:eastAsia="zh-CN"/>
                    </w:rPr>
                  </w:pPr>
                </w:p>
              </w:tc>
              <w:tc>
                <w:tcPr>
                  <w:tcW w:w="1327" w:type="dxa"/>
                  <w:vAlign w:val="center"/>
                </w:tcPr>
                <w:p w14:paraId="234B0512">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eastAsia" w:ascii="Times New Roman" w:hAnsi="Times New Roman" w:eastAsia="宋体"/>
                      <w:bCs/>
                      <w:color w:val="00B050"/>
                      <w:sz w:val="21"/>
                      <w:szCs w:val="21"/>
                      <w:lang w:val="en-US" w:eastAsia="zh-CN"/>
                    </w:rPr>
                    <w:t>2024.12.1</w:t>
                  </w:r>
                  <w:r>
                    <w:rPr>
                      <w:rFonts w:hint="eastAsia"/>
                      <w:bCs/>
                      <w:color w:val="00B050"/>
                      <w:sz w:val="21"/>
                      <w:szCs w:val="21"/>
                      <w:lang w:val="en-US" w:eastAsia="zh-CN"/>
                    </w:rPr>
                    <w:t>4</w:t>
                  </w:r>
                </w:p>
              </w:tc>
              <w:tc>
                <w:tcPr>
                  <w:tcW w:w="1726" w:type="dxa"/>
                  <w:vAlign w:val="center"/>
                </w:tcPr>
                <w:p w14:paraId="7121C578">
                  <w:pPr>
                    <w:jc w:val="center"/>
                    <w:rPr>
                      <w:rFonts w:hint="eastAsia"/>
                      <w:color w:val="00B050"/>
                      <w:szCs w:val="21"/>
                      <w:lang w:val="en-US" w:eastAsia="zh-CN"/>
                    </w:rPr>
                  </w:pPr>
                  <w:r>
                    <w:rPr>
                      <w:rFonts w:hint="eastAsia"/>
                      <w:color w:val="00B050"/>
                      <w:szCs w:val="21"/>
                      <w:lang w:val="en-US" w:eastAsia="zh-CN"/>
                    </w:rPr>
                    <w:t>8 小时平均值</w:t>
                  </w:r>
                </w:p>
              </w:tc>
              <w:tc>
                <w:tcPr>
                  <w:tcW w:w="796" w:type="dxa"/>
                  <w:vAlign w:val="center"/>
                </w:tcPr>
                <w:p w14:paraId="7B17574D">
                  <w:pPr>
                    <w:jc w:val="center"/>
                    <w:rPr>
                      <w:rFonts w:hint="default" w:ascii="Times New Roman" w:hAnsi="Times New Roman" w:eastAsia="宋体"/>
                      <w:color w:val="00B050"/>
                      <w:szCs w:val="21"/>
                      <w:lang w:val="en-US" w:eastAsia="zh-CN"/>
                    </w:rPr>
                  </w:pPr>
                  <w:r>
                    <w:rPr>
                      <w:rFonts w:hint="eastAsia"/>
                      <w:color w:val="00B050"/>
                      <w:szCs w:val="21"/>
                      <w:lang w:val="en-US" w:eastAsia="zh-CN"/>
                    </w:rPr>
                    <w:t>0.414</w:t>
                  </w:r>
                </w:p>
              </w:tc>
              <w:tc>
                <w:tcPr>
                  <w:tcW w:w="651" w:type="dxa"/>
                  <w:vAlign w:val="center"/>
                </w:tcPr>
                <w:p w14:paraId="676435B3">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0.6</w:t>
                  </w:r>
                </w:p>
              </w:tc>
              <w:tc>
                <w:tcPr>
                  <w:tcW w:w="916" w:type="dxa"/>
                  <w:vAlign w:val="center"/>
                </w:tcPr>
                <w:p w14:paraId="33346150">
                  <w:pPr>
                    <w:jc w:val="center"/>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69.00</w:t>
                  </w:r>
                </w:p>
              </w:tc>
              <w:tc>
                <w:tcPr>
                  <w:tcW w:w="745" w:type="dxa"/>
                  <w:vAlign w:val="center"/>
                </w:tcPr>
                <w:p w14:paraId="4E4ABBDE">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bl>
          <w:p w14:paraId="18B89B99">
            <w:pPr>
              <w:pStyle w:val="54"/>
              <w:keepNext w:val="0"/>
              <w:keepLines w:val="0"/>
              <w:pageBreakBefore w:val="0"/>
              <w:widowControl w:val="0"/>
              <w:kinsoku/>
              <w:wordWrap/>
              <w:overflowPunct/>
              <w:topLinePunct w:val="0"/>
              <w:autoSpaceDE w:val="0"/>
              <w:autoSpaceDN w:val="0"/>
              <w:bidi w:val="0"/>
              <w:adjustRightInd/>
              <w:snapToGrid/>
              <w:textAlignment w:val="auto"/>
              <w:rPr>
                <w:rFonts w:hint="eastAsia"/>
                <w:b/>
                <w:bCs/>
                <w:color w:val="00B050"/>
                <w:kern w:val="0"/>
                <w:sz w:val="24"/>
                <w:lang w:val="en-US" w:eastAsia="zh-CN"/>
              </w:rPr>
            </w:pPr>
            <w:r>
              <w:rPr>
                <w:rFonts w:hint="eastAsia"/>
                <w:color w:val="00B050"/>
                <w:kern w:val="0"/>
              </w:rPr>
              <w:t>根据以上监测及评价结果可知，</w:t>
            </w:r>
            <w:r>
              <w:rPr>
                <w:rFonts w:hint="eastAsia"/>
                <w:color w:val="00B050"/>
                <w:kern w:val="0"/>
                <w:lang w:val="en-US" w:eastAsia="zh-CN"/>
              </w:rPr>
              <w:t>项目所在区域总挥发性有机物环境质量现状浓度</w:t>
            </w:r>
            <w:r>
              <w:rPr>
                <w:rFonts w:hint="eastAsia"/>
                <w:color w:val="00B050"/>
                <w:kern w:val="0"/>
              </w:rPr>
              <w:t>满足</w:t>
            </w:r>
            <w:r>
              <w:rPr>
                <w:rFonts w:hint="eastAsia"/>
                <w:color w:val="00B050"/>
                <w:sz w:val="24"/>
              </w:rPr>
              <w:t>《环境影响评价技术导则 大气环境》</w:t>
            </w:r>
            <w:r>
              <w:rPr>
                <w:rFonts w:hint="eastAsia"/>
                <w:color w:val="00B050"/>
                <w:sz w:val="24"/>
                <w:lang w:eastAsia="zh-CN"/>
              </w:rPr>
              <w:t>（</w:t>
            </w:r>
            <w:r>
              <w:rPr>
                <w:rFonts w:hint="eastAsia"/>
                <w:color w:val="00B050"/>
                <w:sz w:val="24"/>
              </w:rPr>
              <w:t>HJ2.2-2018</w:t>
            </w:r>
            <w:r>
              <w:rPr>
                <w:rFonts w:hint="eastAsia"/>
                <w:color w:val="00B050"/>
                <w:sz w:val="24"/>
                <w:lang w:eastAsia="zh-CN"/>
              </w:rPr>
              <w:t>）</w:t>
            </w:r>
            <w:r>
              <w:rPr>
                <w:rFonts w:hint="eastAsia"/>
                <w:color w:val="00B050"/>
                <w:sz w:val="24"/>
                <w:lang w:val="en-US" w:eastAsia="zh-CN"/>
              </w:rPr>
              <w:t>附录D中污染物</w:t>
            </w:r>
            <w:r>
              <w:rPr>
                <w:rFonts w:hint="eastAsia"/>
                <w:color w:val="00B050"/>
                <w:kern w:val="0"/>
              </w:rPr>
              <w:t>浓度限值要求。</w:t>
            </w:r>
          </w:p>
          <w:p w14:paraId="79918974">
            <w:pPr>
              <w:pStyle w:val="54"/>
              <w:keepNext w:val="0"/>
              <w:keepLines w:val="0"/>
              <w:pageBreakBefore w:val="0"/>
              <w:widowControl w:val="0"/>
              <w:numPr>
                <w:ilvl w:val="0"/>
                <w:numId w:val="0"/>
              </w:numPr>
              <w:kinsoku/>
              <w:wordWrap/>
              <w:overflowPunct/>
              <w:topLinePunct w:val="0"/>
              <w:autoSpaceDE w:val="0"/>
              <w:autoSpaceDN w:val="0"/>
              <w:bidi w:val="0"/>
              <w:adjustRightInd/>
              <w:snapToGrid/>
              <w:ind w:firstLine="482" w:firstLineChars="200"/>
              <w:textAlignment w:val="auto"/>
              <w:rPr>
                <w:rFonts w:hint="eastAsia"/>
                <w:b/>
                <w:bCs/>
                <w:color w:val="00B050"/>
                <w:kern w:val="0"/>
                <w:sz w:val="24"/>
                <w:lang w:val="en-US" w:eastAsia="zh-CN"/>
              </w:rPr>
            </w:pPr>
            <w:r>
              <w:rPr>
                <w:rFonts w:hint="eastAsia"/>
                <w:b/>
                <w:bCs/>
                <w:color w:val="00B050"/>
                <w:kern w:val="0"/>
                <w:lang w:val="en-US" w:eastAsia="zh-CN"/>
              </w:rPr>
              <w:t>（2）氨、硫化氢</w:t>
            </w:r>
            <w:r>
              <w:rPr>
                <w:rFonts w:hint="eastAsia"/>
                <w:b/>
                <w:bCs/>
                <w:color w:val="00B050"/>
                <w:kern w:val="0"/>
                <w:sz w:val="24"/>
                <w:lang w:val="en-US" w:eastAsia="zh-CN"/>
              </w:rPr>
              <w:t>环境质量现状监测</w:t>
            </w:r>
          </w:p>
          <w:p w14:paraId="65C086BB">
            <w:pPr>
              <w:pStyle w:val="54"/>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color w:val="00B050"/>
                <w:kern w:val="0"/>
              </w:rPr>
            </w:pPr>
            <w:r>
              <w:rPr>
                <w:rFonts w:hint="eastAsia"/>
                <w:color w:val="00B050"/>
                <w:kern w:val="0"/>
                <w:sz w:val="24"/>
                <w:lang w:val="en-US" w:eastAsia="zh-CN"/>
              </w:rPr>
              <w:t>氨、硫化氢环境质量现状监测数据见表3.1-4所示</w:t>
            </w:r>
            <w:r>
              <w:rPr>
                <w:rFonts w:hint="eastAsia"/>
                <w:color w:val="00B050"/>
                <w:kern w:val="0"/>
              </w:rPr>
              <w:t>。</w:t>
            </w:r>
          </w:p>
          <w:p w14:paraId="7BEBA996">
            <w:pPr>
              <w:pStyle w:val="11"/>
              <w:snapToGrid/>
              <w:spacing w:before="0" w:after="0" w:line="240" w:lineRule="auto"/>
              <w:ind w:right="0"/>
              <w:jc w:val="center"/>
              <w:rPr>
                <w:rFonts w:hint="default" w:ascii="Times New Roman" w:hAnsi="Times New Roman" w:eastAsia="宋体" w:cs="Times New Roman"/>
                <w:b/>
                <w:bCs/>
                <w:color w:val="00B050"/>
                <w:sz w:val="21"/>
                <w:lang w:val="en-US" w:eastAsia="zh-CN"/>
              </w:rPr>
            </w:pPr>
            <w:r>
              <w:rPr>
                <w:rFonts w:hint="default" w:ascii="Times New Roman" w:hAnsi="Times New Roman" w:eastAsia="宋体" w:cs="Times New Roman"/>
                <w:b/>
                <w:bCs/>
                <w:color w:val="00B050"/>
                <w:sz w:val="21"/>
                <w:lang w:val="en-US" w:eastAsia="zh-CN"/>
              </w:rPr>
              <w:t>表3.1-4  环境空气质量现状监测结果统计一览表 单位：mg/m</w:t>
            </w:r>
            <w:r>
              <w:rPr>
                <w:rFonts w:hint="default" w:ascii="Times New Roman" w:hAnsi="Times New Roman" w:eastAsia="宋体" w:cs="Times New Roman"/>
                <w:b/>
                <w:bCs/>
                <w:color w:val="00B050"/>
                <w:sz w:val="21"/>
                <w:vertAlign w:val="superscript"/>
                <w:lang w:val="en-US" w:eastAsia="zh-CN"/>
              </w:rPr>
              <w:t>3</w:t>
            </w:r>
          </w:p>
          <w:tbl>
            <w:tblPr>
              <w:tblStyle w:val="5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104"/>
              <w:gridCol w:w="1114"/>
              <w:gridCol w:w="1545"/>
              <w:gridCol w:w="969"/>
              <w:gridCol w:w="924"/>
              <w:gridCol w:w="1033"/>
              <w:gridCol w:w="674"/>
            </w:tblGrid>
            <w:tr w14:paraId="4EAD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Align w:val="center"/>
                </w:tcPr>
                <w:p w14:paraId="54C6F6DA">
                  <w:pPr>
                    <w:ind w:left="0" w:leftChars="0" w:right="0" w:rightChars="0" w:firstLine="0" w:firstLineChars="0"/>
                    <w:jc w:val="center"/>
                    <w:rPr>
                      <w:rFonts w:hint="default" w:ascii="Times New Roman" w:hAnsi="Times New Roman" w:cs="Times New Roman"/>
                      <w:b/>
                      <w:bCs/>
                      <w:snapToGrid/>
                      <w:color w:val="00B050"/>
                      <w:spacing w:val="0"/>
                      <w:position w:val="0"/>
                      <w:sz w:val="21"/>
                      <w:szCs w:val="21"/>
                    </w:rPr>
                  </w:pPr>
                  <w:r>
                    <w:rPr>
                      <w:rFonts w:hint="eastAsia" w:ascii="Times New Roman" w:hAnsi="Times New Roman" w:eastAsia="宋体" w:cs="Times New Roman"/>
                      <w:b/>
                      <w:bCs/>
                      <w:snapToGrid/>
                      <w:color w:val="00B050"/>
                      <w:spacing w:val="0"/>
                      <w:position w:val="0"/>
                      <w:sz w:val="21"/>
                      <w:szCs w:val="21"/>
                      <w:lang w:val="en-US" w:eastAsia="zh-CN"/>
                    </w:rPr>
                    <w:t>监测</w:t>
                  </w:r>
                  <w:r>
                    <w:rPr>
                      <w:rFonts w:hint="default" w:ascii="Times New Roman" w:hAnsi="Times New Roman" w:cs="Times New Roman"/>
                      <w:b/>
                      <w:bCs/>
                      <w:snapToGrid/>
                      <w:color w:val="00B050"/>
                      <w:spacing w:val="0"/>
                      <w:position w:val="0"/>
                      <w:sz w:val="21"/>
                      <w:szCs w:val="21"/>
                    </w:rPr>
                    <w:t>项目</w:t>
                  </w:r>
                </w:p>
              </w:tc>
              <w:tc>
                <w:tcPr>
                  <w:tcW w:w="670" w:type="pct"/>
                  <w:vAlign w:val="center"/>
                </w:tcPr>
                <w:p w14:paraId="1AC44464">
                  <w:pPr>
                    <w:ind w:left="0" w:leftChars="0" w:right="0" w:rightChars="0" w:firstLine="0" w:firstLineChars="0"/>
                    <w:jc w:val="center"/>
                    <w:rPr>
                      <w:rFonts w:hint="default" w:ascii="Times New Roman" w:hAnsi="Times New Roman" w:eastAsia="宋体" w:cs="Times New Roman"/>
                      <w:b/>
                      <w:bCs/>
                      <w:snapToGrid/>
                      <w:color w:val="00B050"/>
                      <w:spacing w:val="0"/>
                      <w:position w:val="0"/>
                      <w:sz w:val="21"/>
                      <w:szCs w:val="21"/>
                      <w:lang w:val="en-US" w:eastAsia="zh-CN"/>
                    </w:rPr>
                  </w:pPr>
                  <w:r>
                    <w:rPr>
                      <w:rFonts w:hint="eastAsia" w:cs="Times New Roman"/>
                      <w:b/>
                      <w:bCs/>
                      <w:snapToGrid/>
                      <w:color w:val="00B050"/>
                      <w:spacing w:val="0"/>
                      <w:position w:val="0"/>
                      <w:sz w:val="21"/>
                      <w:szCs w:val="21"/>
                      <w:lang w:val="en-US" w:eastAsia="zh-CN"/>
                    </w:rPr>
                    <w:t>监测点位</w:t>
                  </w:r>
                </w:p>
              </w:tc>
              <w:tc>
                <w:tcPr>
                  <w:tcW w:w="676" w:type="pct"/>
                  <w:vAlign w:val="center"/>
                </w:tcPr>
                <w:p w14:paraId="6A45A24F">
                  <w:pPr>
                    <w:ind w:left="0" w:leftChars="0" w:right="0" w:rightChars="0" w:firstLine="0" w:firstLineChars="0"/>
                    <w:jc w:val="center"/>
                    <w:rPr>
                      <w:rFonts w:hint="default" w:ascii="Times New Roman" w:hAnsi="Times New Roman" w:cs="Times New Roman"/>
                      <w:b/>
                      <w:bCs/>
                      <w:snapToGrid/>
                      <w:color w:val="00B050"/>
                      <w:spacing w:val="0"/>
                      <w:position w:val="0"/>
                      <w:sz w:val="21"/>
                      <w:szCs w:val="21"/>
                    </w:rPr>
                  </w:pPr>
                  <w:r>
                    <w:rPr>
                      <w:rFonts w:hint="eastAsia" w:ascii="Times New Roman" w:hAnsi="Times New Roman" w:eastAsia="宋体" w:cs="Times New Roman"/>
                      <w:b/>
                      <w:bCs/>
                      <w:snapToGrid/>
                      <w:color w:val="00B050"/>
                      <w:spacing w:val="0"/>
                      <w:position w:val="0"/>
                      <w:sz w:val="21"/>
                      <w:szCs w:val="21"/>
                      <w:lang w:val="en-US" w:eastAsia="zh-CN"/>
                    </w:rPr>
                    <w:t>监测</w:t>
                  </w:r>
                  <w:r>
                    <w:rPr>
                      <w:rFonts w:hint="default" w:ascii="Times New Roman" w:hAnsi="Times New Roman" w:cs="Times New Roman"/>
                      <w:b/>
                      <w:bCs/>
                      <w:snapToGrid/>
                      <w:color w:val="00B050"/>
                      <w:spacing w:val="0"/>
                      <w:position w:val="0"/>
                      <w:sz w:val="21"/>
                      <w:szCs w:val="21"/>
                    </w:rPr>
                    <w:t>日期</w:t>
                  </w:r>
                </w:p>
              </w:tc>
              <w:tc>
                <w:tcPr>
                  <w:tcW w:w="938" w:type="pct"/>
                  <w:vAlign w:val="center"/>
                </w:tcPr>
                <w:p w14:paraId="3705E7EE">
                  <w:pPr>
                    <w:ind w:left="0" w:leftChars="0" w:right="0" w:rightChars="0" w:firstLine="0" w:firstLineChars="0"/>
                    <w:jc w:val="center"/>
                    <w:rPr>
                      <w:rFonts w:hint="default" w:ascii="Times New Roman" w:hAnsi="Times New Roman" w:eastAsia="宋体" w:cs="Times New Roman"/>
                      <w:b/>
                      <w:bCs/>
                      <w:snapToGrid/>
                      <w:color w:val="00B050"/>
                      <w:spacing w:val="0"/>
                      <w:position w:val="0"/>
                      <w:sz w:val="21"/>
                      <w:szCs w:val="21"/>
                      <w:lang w:val="en-US" w:eastAsia="zh-CN"/>
                    </w:rPr>
                  </w:pPr>
                  <w:r>
                    <w:rPr>
                      <w:rFonts w:hint="eastAsia" w:ascii="Times New Roman" w:hAnsi="Times New Roman" w:eastAsia="宋体" w:cs="Times New Roman"/>
                      <w:b/>
                      <w:bCs/>
                      <w:snapToGrid/>
                      <w:color w:val="00B050"/>
                      <w:spacing w:val="0"/>
                      <w:position w:val="0"/>
                      <w:sz w:val="21"/>
                      <w:szCs w:val="21"/>
                      <w:lang w:val="en-US" w:eastAsia="zh-CN"/>
                    </w:rPr>
                    <w:t>监测时段</w:t>
                  </w:r>
                </w:p>
              </w:tc>
              <w:tc>
                <w:tcPr>
                  <w:tcW w:w="588" w:type="pct"/>
                  <w:vAlign w:val="center"/>
                </w:tcPr>
                <w:p w14:paraId="4C666F82">
                  <w:pPr>
                    <w:ind w:left="0" w:leftChars="0" w:right="0" w:rightChars="0" w:firstLine="0" w:firstLineChars="0"/>
                    <w:jc w:val="center"/>
                    <w:rPr>
                      <w:rFonts w:hint="default" w:ascii="Times New Roman" w:hAnsi="Times New Roman" w:cs="Times New Roman"/>
                      <w:b/>
                      <w:bCs/>
                      <w:snapToGrid/>
                      <w:color w:val="00B050"/>
                      <w:spacing w:val="0"/>
                      <w:position w:val="0"/>
                      <w:sz w:val="21"/>
                      <w:szCs w:val="21"/>
                    </w:rPr>
                  </w:pPr>
                  <w:r>
                    <w:rPr>
                      <w:rFonts w:hint="eastAsia" w:ascii="Times New Roman" w:hAnsi="Times New Roman" w:eastAsia="宋体" w:cs="Times New Roman"/>
                      <w:b/>
                      <w:bCs/>
                      <w:snapToGrid/>
                      <w:color w:val="00B050"/>
                      <w:spacing w:val="0"/>
                      <w:position w:val="0"/>
                      <w:sz w:val="21"/>
                      <w:szCs w:val="21"/>
                      <w:lang w:val="en-US" w:eastAsia="zh-CN"/>
                    </w:rPr>
                    <w:t>监测</w:t>
                  </w:r>
                  <w:r>
                    <w:rPr>
                      <w:rFonts w:hint="default" w:ascii="Times New Roman" w:hAnsi="Times New Roman" w:cs="Times New Roman"/>
                      <w:b/>
                      <w:bCs/>
                      <w:snapToGrid/>
                      <w:color w:val="00B050"/>
                      <w:spacing w:val="0"/>
                      <w:position w:val="0"/>
                      <w:sz w:val="21"/>
                      <w:szCs w:val="21"/>
                    </w:rPr>
                    <w:t>结果</w:t>
                  </w:r>
                </w:p>
              </w:tc>
              <w:tc>
                <w:tcPr>
                  <w:tcW w:w="561" w:type="pct"/>
                  <w:vAlign w:val="center"/>
                </w:tcPr>
                <w:p w14:paraId="2DD9A6F9">
                  <w:pPr>
                    <w:ind w:left="0" w:leftChars="0" w:right="0" w:rightChars="0" w:firstLine="0" w:firstLineChars="0"/>
                    <w:jc w:val="center"/>
                    <w:rPr>
                      <w:rFonts w:hint="eastAsia" w:ascii="Times New Roman" w:hAnsi="Times New Roman" w:eastAsia="宋体" w:cs="Times New Roman"/>
                      <w:b/>
                      <w:bCs/>
                      <w:snapToGrid/>
                      <w:color w:val="00B050"/>
                      <w:spacing w:val="0"/>
                      <w:position w:val="0"/>
                      <w:sz w:val="21"/>
                      <w:szCs w:val="21"/>
                      <w:lang w:val="en-US" w:eastAsia="zh-CN"/>
                    </w:rPr>
                  </w:pPr>
                  <w:r>
                    <w:rPr>
                      <w:rFonts w:hint="eastAsia" w:ascii="Times New Roman" w:hAnsi="Times New Roman" w:eastAsia="宋体" w:cs="Times New Roman"/>
                      <w:b/>
                      <w:bCs/>
                      <w:snapToGrid/>
                      <w:color w:val="00B050"/>
                      <w:spacing w:val="0"/>
                      <w:position w:val="0"/>
                      <w:sz w:val="21"/>
                      <w:szCs w:val="21"/>
                      <w:lang w:val="en-US" w:eastAsia="zh-CN"/>
                    </w:rPr>
                    <w:t>标准值</w:t>
                  </w:r>
                </w:p>
              </w:tc>
              <w:tc>
                <w:tcPr>
                  <w:tcW w:w="627" w:type="pct"/>
                  <w:vAlign w:val="center"/>
                </w:tcPr>
                <w:p w14:paraId="33DFF67C">
                  <w:pPr>
                    <w:ind w:left="0" w:leftChars="0" w:right="0" w:rightChars="0" w:firstLine="0" w:firstLineChars="0"/>
                    <w:jc w:val="center"/>
                    <w:rPr>
                      <w:rFonts w:hint="default" w:ascii="Times New Roman" w:hAnsi="Times New Roman" w:eastAsia="宋体" w:cs="Times New Roman"/>
                      <w:b/>
                      <w:bCs/>
                      <w:snapToGrid/>
                      <w:color w:val="00B050"/>
                      <w:spacing w:val="0"/>
                      <w:position w:val="0"/>
                      <w:sz w:val="21"/>
                      <w:szCs w:val="21"/>
                      <w:lang w:val="en-US" w:eastAsia="zh-CN"/>
                    </w:rPr>
                  </w:pPr>
                  <w:r>
                    <w:rPr>
                      <w:rFonts w:hint="eastAsia" w:ascii="Times New Roman" w:hAnsi="Times New Roman" w:eastAsia="宋体" w:cs="Times New Roman"/>
                      <w:b/>
                      <w:bCs/>
                      <w:snapToGrid/>
                      <w:color w:val="00B050"/>
                      <w:spacing w:val="0"/>
                      <w:position w:val="0"/>
                      <w:sz w:val="21"/>
                      <w:szCs w:val="21"/>
                      <w:lang w:val="en-US" w:eastAsia="zh-CN"/>
                    </w:rPr>
                    <w:t>占标率%</w:t>
                  </w:r>
                </w:p>
              </w:tc>
              <w:tc>
                <w:tcPr>
                  <w:tcW w:w="409" w:type="pct"/>
                  <w:vAlign w:val="center"/>
                </w:tcPr>
                <w:p w14:paraId="375D9A05">
                  <w:pPr>
                    <w:ind w:left="0" w:leftChars="0" w:right="0" w:rightChars="0" w:firstLine="0" w:firstLineChars="0"/>
                    <w:jc w:val="center"/>
                    <w:rPr>
                      <w:rFonts w:hint="eastAsia" w:ascii="Times New Roman" w:hAnsi="Times New Roman" w:eastAsia="宋体" w:cs="Times New Roman"/>
                      <w:b/>
                      <w:bCs/>
                      <w:snapToGrid/>
                      <w:color w:val="00B050"/>
                      <w:spacing w:val="0"/>
                      <w:position w:val="0"/>
                      <w:sz w:val="21"/>
                      <w:szCs w:val="21"/>
                      <w:lang w:val="en-US" w:eastAsia="zh-CN"/>
                    </w:rPr>
                  </w:pPr>
                  <w:r>
                    <w:rPr>
                      <w:rFonts w:hint="eastAsia" w:ascii="Times New Roman" w:hAnsi="Times New Roman" w:eastAsia="宋体" w:cs="Times New Roman"/>
                      <w:b/>
                      <w:bCs/>
                      <w:snapToGrid/>
                      <w:color w:val="00B050"/>
                      <w:spacing w:val="0"/>
                      <w:position w:val="0"/>
                      <w:sz w:val="21"/>
                      <w:szCs w:val="21"/>
                      <w:lang w:val="en-US" w:eastAsia="zh-CN"/>
                    </w:rPr>
                    <w:t>达标分析</w:t>
                  </w:r>
                </w:p>
              </w:tc>
            </w:tr>
            <w:tr w14:paraId="50D4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restart"/>
                  <w:vAlign w:val="center"/>
                </w:tcPr>
                <w:p w14:paraId="16966C17">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cs="Times New Roman"/>
                      <w:snapToGrid/>
                      <w:color w:val="00B050"/>
                      <w:spacing w:val="0"/>
                      <w:position w:val="0"/>
                      <w:sz w:val="21"/>
                      <w:szCs w:val="21"/>
                      <w:lang w:val="en-US" w:eastAsia="zh-CN"/>
                    </w:rPr>
                    <w:t>硫化氢</w:t>
                  </w:r>
                </w:p>
              </w:tc>
              <w:tc>
                <w:tcPr>
                  <w:tcW w:w="670" w:type="pct"/>
                  <w:vMerge w:val="restart"/>
                  <w:vAlign w:val="center"/>
                </w:tcPr>
                <w:p w14:paraId="46F7B540">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A1：麒麟</w:t>
                  </w:r>
                </w:p>
                <w:p w14:paraId="3CDDA048">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区珠街乡</w:t>
                  </w:r>
                </w:p>
                <w:p w14:paraId="31BC2FEF">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基督教救</w:t>
                  </w:r>
                </w:p>
                <w:p w14:paraId="733BF6AF">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cs="Times New Roman"/>
                      <w:snapToGrid/>
                      <w:color w:val="00B050"/>
                      <w:spacing w:val="0"/>
                      <w:position w:val="0"/>
                      <w:sz w:val="21"/>
                      <w:szCs w:val="21"/>
                      <w:lang w:val="en-US" w:eastAsia="zh-CN"/>
                    </w:rPr>
                  </w:pPr>
                  <w:r>
                    <w:rPr>
                      <w:rFonts w:hint="default" w:ascii="Times New Roman" w:hAnsi="Times New Roman" w:eastAsia="宋体"/>
                      <w:bCs/>
                      <w:color w:val="00B050"/>
                      <w:sz w:val="21"/>
                      <w:szCs w:val="21"/>
                      <w:lang w:val="en-US" w:eastAsia="zh-CN"/>
                    </w:rPr>
                    <w:t>恩堂</w:t>
                  </w:r>
                </w:p>
              </w:tc>
              <w:tc>
                <w:tcPr>
                  <w:tcW w:w="676" w:type="pct"/>
                  <w:vMerge w:val="restart"/>
                  <w:vAlign w:val="center"/>
                </w:tcPr>
                <w:p w14:paraId="4C703ACB">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2024.</w:t>
                  </w:r>
                  <w:r>
                    <w:rPr>
                      <w:rFonts w:hint="eastAsia" w:cs="Times New Roman"/>
                      <w:snapToGrid/>
                      <w:color w:val="00B050"/>
                      <w:spacing w:val="0"/>
                      <w:position w:val="0"/>
                      <w:sz w:val="21"/>
                      <w:szCs w:val="21"/>
                      <w:lang w:val="en-US" w:eastAsia="zh-CN"/>
                    </w:rPr>
                    <w:t>12</w:t>
                  </w:r>
                  <w:r>
                    <w:rPr>
                      <w:rFonts w:hint="eastAsia" w:ascii="Times New Roman" w:hAnsi="Times New Roman" w:eastAsia="宋体" w:cs="Times New Roman"/>
                      <w:snapToGrid/>
                      <w:color w:val="00B050"/>
                      <w:spacing w:val="0"/>
                      <w:position w:val="0"/>
                      <w:sz w:val="21"/>
                      <w:szCs w:val="21"/>
                      <w:lang w:val="en-US" w:eastAsia="zh-CN"/>
                    </w:rPr>
                    <w:t>.12</w:t>
                  </w:r>
                </w:p>
              </w:tc>
              <w:tc>
                <w:tcPr>
                  <w:tcW w:w="938" w:type="pct"/>
                  <w:vAlign w:val="center"/>
                </w:tcPr>
                <w:p w14:paraId="5C94F2AD">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default" w:ascii="Times New Roman" w:hAnsi="Times New Roman" w:eastAsia="宋体" w:cs="Times New Roman"/>
                      <w:snapToGrid/>
                      <w:color w:val="00B050"/>
                      <w:spacing w:val="0"/>
                      <w:position w:val="0"/>
                      <w:sz w:val="21"/>
                      <w:szCs w:val="21"/>
                      <w:lang w:val="en-US" w:eastAsia="zh-CN"/>
                    </w:rPr>
                    <w:t>02:00-03:00</w:t>
                  </w:r>
                </w:p>
              </w:tc>
              <w:tc>
                <w:tcPr>
                  <w:tcW w:w="588" w:type="pct"/>
                  <w:vAlign w:val="center"/>
                </w:tcPr>
                <w:p w14:paraId="6670CCC3">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0.006</w:t>
                  </w:r>
                </w:p>
              </w:tc>
              <w:tc>
                <w:tcPr>
                  <w:tcW w:w="561" w:type="pct"/>
                  <w:vAlign w:val="center"/>
                </w:tcPr>
                <w:p w14:paraId="25141497">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69F72509">
                  <w:pPr>
                    <w:keepNext w:val="0"/>
                    <w:keepLines w:val="0"/>
                    <w:widowControl/>
                    <w:suppressLineNumbers w:val="0"/>
                    <w:jc w:val="center"/>
                    <w:textAlignment w:val="center"/>
                    <w:rPr>
                      <w:rFonts w:hint="default" w:ascii="Times New Roman" w:hAnsi="Times New Roman" w:eastAsia="Times New Roman" w:cs="Times New Roman"/>
                      <w:snapToGrid/>
                      <w:color w:val="00B050"/>
                      <w:spacing w:val="0"/>
                      <w:position w:val="0"/>
                      <w:sz w:val="21"/>
                      <w:szCs w:val="21"/>
                    </w:rPr>
                  </w:pPr>
                  <w:r>
                    <w:rPr>
                      <w:rFonts w:hint="default" w:ascii="Times New Roman" w:hAnsi="Times New Roman" w:eastAsia="宋体" w:cs="Times New Roman"/>
                      <w:i w:val="0"/>
                      <w:iCs w:val="0"/>
                      <w:color w:val="00B050"/>
                      <w:kern w:val="0"/>
                      <w:sz w:val="21"/>
                      <w:szCs w:val="21"/>
                      <w:u w:val="none"/>
                      <w:lang w:val="en-US" w:eastAsia="zh-CN" w:bidi="ar"/>
                    </w:rPr>
                    <w:t>60.00</w:t>
                  </w:r>
                </w:p>
              </w:tc>
              <w:tc>
                <w:tcPr>
                  <w:tcW w:w="409" w:type="pct"/>
                  <w:vAlign w:val="center"/>
                </w:tcPr>
                <w:p w14:paraId="5CE2F573">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eastAsia" w:ascii="Times New Roman" w:hAnsi="Times New Roman" w:eastAsia="宋体" w:cs="Times New Roman"/>
                      <w:snapToGrid/>
                      <w:color w:val="00B050"/>
                      <w:spacing w:val="0"/>
                      <w:position w:val="0"/>
                      <w:sz w:val="21"/>
                      <w:szCs w:val="21"/>
                      <w:lang w:val="en-US" w:eastAsia="zh-CN"/>
                    </w:rPr>
                    <w:t>达标</w:t>
                  </w:r>
                </w:p>
              </w:tc>
            </w:tr>
            <w:tr w14:paraId="229B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527" w:type="pct"/>
                  <w:vMerge w:val="continue"/>
                  <w:vAlign w:val="center"/>
                </w:tcPr>
                <w:p w14:paraId="1A43D0D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358848F2">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6C7BFA1C">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vAlign w:val="center"/>
                </w:tcPr>
                <w:p w14:paraId="249C4B05">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default" w:ascii="Times New Roman" w:hAnsi="Times New Roman" w:eastAsia="Times New Roman" w:cs="Times New Roman"/>
                      <w:snapToGrid/>
                      <w:color w:val="00B050"/>
                      <w:spacing w:val="0"/>
                      <w:position w:val="0"/>
                      <w:sz w:val="21"/>
                      <w:szCs w:val="21"/>
                    </w:rPr>
                    <w:t>08:00-09:00</w:t>
                  </w:r>
                </w:p>
              </w:tc>
              <w:tc>
                <w:tcPr>
                  <w:tcW w:w="588" w:type="pct"/>
                  <w:vAlign w:val="center"/>
                </w:tcPr>
                <w:p w14:paraId="6341DAAF">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0.007</w:t>
                  </w:r>
                </w:p>
              </w:tc>
              <w:tc>
                <w:tcPr>
                  <w:tcW w:w="561" w:type="pct"/>
                  <w:vAlign w:val="center"/>
                </w:tcPr>
                <w:p w14:paraId="08D3C894">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5A91BAB3">
                  <w:pPr>
                    <w:keepNext w:val="0"/>
                    <w:keepLines w:val="0"/>
                    <w:widowControl/>
                    <w:suppressLineNumbers w:val="0"/>
                    <w:jc w:val="center"/>
                    <w:textAlignment w:val="center"/>
                    <w:rPr>
                      <w:rFonts w:hint="default" w:ascii="Times New Roman" w:hAnsi="Times New Roman" w:eastAsia="Times New Roman" w:cs="Times New Roman"/>
                      <w:snapToGrid/>
                      <w:color w:val="00B050"/>
                      <w:spacing w:val="0"/>
                      <w:position w:val="0"/>
                      <w:sz w:val="21"/>
                      <w:szCs w:val="21"/>
                    </w:rPr>
                  </w:pPr>
                  <w:r>
                    <w:rPr>
                      <w:rFonts w:hint="default" w:ascii="Times New Roman" w:hAnsi="Times New Roman" w:eastAsia="宋体" w:cs="Times New Roman"/>
                      <w:i w:val="0"/>
                      <w:iCs w:val="0"/>
                      <w:color w:val="00B050"/>
                      <w:kern w:val="0"/>
                      <w:sz w:val="21"/>
                      <w:szCs w:val="21"/>
                      <w:u w:val="none"/>
                      <w:lang w:val="en-US" w:eastAsia="zh-CN" w:bidi="ar"/>
                    </w:rPr>
                    <w:t>70.00</w:t>
                  </w:r>
                </w:p>
              </w:tc>
              <w:tc>
                <w:tcPr>
                  <w:tcW w:w="409" w:type="pct"/>
                  <w:vAlign w:val="center"/>
                </w:tcPr>
                <w:p w14:paraId="1EC7DD6F">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eastAsia" w:ascii="Times New Roman" w:hAnsi="Times New Roman" w:eastAsia="宋体" w:cs="Times New Roman"/>
                      <w:snapToGrid/>
                      <w:color w:val="00B050"/>
                      <w:spacing w:val="0"/>
                      <w:position w:val="0"/>
                      <w:sz w:val="21"/>
                      <w:szCs w:val="21"/>
                      <w:lang w:val="en-US" w:eastAsia="zh-CN"/>
                    </w:rPr>
                    <w:t>达标</w:t>
                  </w:r>
                </w:p>
              </w:tc>
            </w:tr>
            <w:tr w14:paraId="3071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56A68F15">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6FE448AE">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66423FDA">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vAlign w:val="center"/>
                </w:tcPr>
                <w:p w14:paraId="519A7D01">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default" w:ascii="Times New Roman" w:hAnsi="Times New Roman" w:eastAsia="Times New Roman" w:cs="Times New Roman"/>
                      <w:snapToGrid/>
                      <w:color w:val="00B050"/>
                      <w:spacing w:val="0"/>
                      <w:position w:val="0"/>
                      <w:sz w:val="21"/>
                      <w:szCs w:val="21"/>
                    </w:rPr>
                    <w:t>14:00-15:00</w:t>
                  </w:r>
                </w:p>
              </w:tc>
              <w:tc>
                <w:tcPr>
                  <w:tcW w:w="588" w:type="pct"/>
                  <w:vAlign w:val="center"/>
                </w:tcPr>
                <w:p w14:paraId="4EB2ECB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0.008</w:t>
                  </w:r>
                </w:p>
              </w:tc>
              <w:tc>
                <w:tcPr>
                  <w:tcW w:w="561" w:type="pct"/>
                  <w:vAlign w:val="center"/>
                </w:tcPr>
                <w:p w14:paraId="26C8970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650A5B3A">
                  <w:pPr>
                    <w:keepNext w:val="0"/>
                    <w:keepLines w:val="0"/>
                    <w:widowControl/>
                    <w:suppressLineNumbers w:val="0"/>
                    <w:jc w:val="center"/>
                    <w:textAlignment w:val="center"/>
                    <w:rPr>
                      <w:rFonts w:hint="default" w:ascii="Times New Roman" w:hAnsi="Times New Roman" w:eastAsia="Times New Roman" w:cs="Times New Roman"/>
                      <w:snapToGrid/>
                      <w:color w:val="00B050"/>
                      <w:spacing w:val="0"/>
                      <w:position w:val="0"/>
                      <w:sz w:val="21"/>
                      <w:szCs w:val="21"/>
                    </w:rPr>
                  </w:pPr>
                  <w:r>
                    <w:rPr>
                      <w:rFonts w:hint="default" w:ascii="Times New Roman" w:hAnsi="Times New Roman" w:eastAsia="宋体" w:cs="Times New Roman"/>
                      <w:i w:val="0"/>
                      <w:iCs w:val="0"/>
                      <w:color w:val="00B050"/>
                      <w:kern w:val="0"/>
                      <w:sz w:val="21"/>
                      <w:szCs w:val="21"/>
                      <w:u w:val="none"/>
                      <w:lang w:val="en-US" w:eastAsia="zh-CN" w:bidi="ar"/>
                    </w:rPr>
                    <w:t>80.00</w:t>
                  </w:r>
                </w:p>
              </w:tc>
              <w:tc>
                <w:tcPr>
                  <w:tcW w:w="409" w:type="pct"/>
                  <w:vAlign w:val="center"/>
                </w:tcPr>
                <w:p w14:paraId="6CBB7636">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eastAsia" w:ascii="Times New Roman" w:hAnsi="Times New Roman" w:eastAsia="宋体" w:cs="Times New Roman"/>
                      <w:snapToGrid/>
                      <w:color w:val="00B050"/>
                      <w:spacing w:val="0"/>
                      <w:position w:val="0"/>
                      <w:sz w:val="21"/>
                      <w:szCs w:val="21"/>
                      <w:lang w:val="en-US" w:eastAsia="zh-CN"/>
                    </w:rPr>
                    <w:t>达标</w:t>
                  </w:r>
                </w:p>
              </w:tc>
            </w:tr>
            <w:tr w14:paraId="17A9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32E2F4D5">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79BF2B01">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48526535">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vAlign w:val="center"/>
                </w:tcPr>
                <w:p w14:paraId="5877A91D">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default" w:ascii="Times New Roman" w:hAnsi="Times New Roman" w:eastAsia="Times New Roman" w:cs="Times New Roman"/>
                      <w:snapToGrid/>
                      <w:color w:val="00B050"/>
                      <w:spacing w:val="0"/>
                      <w:position w:val="0"/>
                      <w:sz w:val="21"/>
                      <w:szCs w:val="21"/>
                    </w:rPr>
                    <w:t>20:00-21:00</w:t>
                  </w:r>
                </w:p>
              </w:tc>
              <w:tc>
                <w:tcPr>
                  <w:tcW w:w="588" w:type="pct"/>
                  <w:vAlign w:val="center"/>
                </w:tcPr>
                <w:p w14:paraId="2CD7366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0.006</w:t>
                  </w:r>
                </w:p>
              </w:tc>
              <w:tc>
                <w:tcPr>
                  <w:tcW w:w="561" w:type="pct"/>
                  <w:vAlign w:val="center"/>
                </w:tcPr>
                <w:p w14:paraId="61E95A0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2477D29E">
                  <w:pPr>
                    <w:keepNext w:val="0"/>
                    <w:keepLines w:val="0"/>
                    <w:widowControl/>
                    <w:suppressLineNumbers w:val="0"/>
                    <w:jc w:val="center"/>
                    <w:textAlignment w:val="center"/>
                    <w:rPr>
                      <w:rFonts w:hint="default" w:ascii="Times New Roman" w:hAnsi="Times New Roman" w:eastAsia="宋体" w:cs="Times New Roman"/>
                      <w:i w:val="0"/>
                      <w:iCs w:val="0"/>
                      <w:snapToGrid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60.00</w:t>
                  </w:r>
                </w:p>
              </w:tc>
              <w:tc>
                <w:tcPr>
                  <w:tcW w:w="409" w:type="pct"/>
                  <w:vAlign w:val="center"/>
                </w:tcPr>
                <w:p w14:paraId="345E1548">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4CF5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06E29334">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restart"/>
                  <w:vAlign w:val="center"/>
                </w:tcPr>
                <w:p w14:paraId="7D4D471D">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A1：麒麟</w:t>
                  </w:r>
                </w:p>
                <w:p w14:paraId="243B4F1F">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区珠街乡</w:t>
                  </w:r>
                </w:p>
                <w:p w14:paraId="18744809">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基督教救</w:t>
                  </w:r>
                </w:p>
                <w:p w14:paraId="48C3FF68">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r>
                    <w:rPr>
                      <w:rFonts w:hint="default" w:ascii="Times New Roman" w:hAnsi="Times New Roman" w:eastAsia="宋体"/>
                      <w:bCs/>
                      <w:color w:val="00B050"/>
                      <w:sz w:val="21"/>
                      <w:szCs w:val="21"/>
                      <w:lang w:val="en-US" w:eastAsia="zh-CN"/>
                    </w:rPr>
                    <w:t>恩堂</w:t>
                  </w:r>
                </w:p>
              </w:tc>
              <w:tc>
                <w:tcPr>
                  <w:tcW w:w="676" w:type="pct"/>
                  <w:vMerge w:val="restart"/>
                  <w:vAlign w:val="center"/>
                </w:tcPr>
                <w:p w14:paraId="2A150C27">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lang w:val="en-US"/>
                    </w:rPr>
                  </w:pPr>
                  <w:r>
                    <w:rPr>
                      <w:rFonts w:hint="eastAsia" w:ascii="Times New Roman" w:hAnsi="Times New Roman" w:eastAsia="宋体" w:cs="Times New Roman"/>
                      <w:snapToGrid/>
                      <w:color w:val="00B050"/>
                      <w:spacing w:val="0"/>
                      <w:position w:val="0"/>
                      <w:sz w:val="21"/>
                      <w:szCs w:val="21"/>
                      <w:lang w:val="en-US" w:eastAsia="zh-CN"/>
                    </w:rPr>
                    <w:t>2024.</w:t>
                  </w:r>
                  <w:r>
                    <w:rPr>
                      <w:rFonts w:hint="eastAsia" w:cs="Times New Roman"/>
                      <w:snapToGrid/>
                      <w:color w:val="00B050"/>
                      <w:spacing w:val="0"/>
                      <w:position w:val="0"/>
                      <w:sz w:val="21"/>
                      <w:szCs w:val="21"/>
                      <w:lang w:val="en-US" w:eastAsia="zh-CN"/>
                    </w:rPr>
                    <w:t>12</w:t>
                  </w:r>
                  <w:r>
                    <w:rPr>
                      <w:rFonts w:hint="eastAsia" w:ascii="Times New Roman" w:hAnsi="Times New Roman" w:eastAsia="宋体" w:cs="Times New Roman"/>
                      <w:snapToGrid/>
                      <w:color w:val="00B050"/>
                      <w:spacing w:val="0"/>
                      <w:position w:val="0"/>
                      <w:sz w:val="21"/>
                      <w:szCs w:val="21"/>
                      <w:lang w:val="en-US" w:eastAsia="zh-CN"/>
                    </w:rPr>
                    <w:t>.13</w:t>
                  </w:r>
                </w:p>
              </w:tc>
              <w:tc>
                <w:tcPr>
                  <w:tcW w:w="938" w:type="pct"/>
                  <w:shd w:val="clear" w:color="auto" w:fill="auto"/>
                  <w:vAlign w:val="center"/>
                </w:tcPr>
                <w:p w14:paraId="2DD699C9">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kern w:val="2"/>
                      <w:position w:val="0"/>
                      <w:sz w:val="21"/>
                      <w:szCs w:val="21"/>
                      <w:lang w:val="en-US" w:eastAsia="zh-CN" w:bidi="ar-SA"/>
                    </w:rPr>
                  </w:pPr>
                  <w:r>
                    <w:rPr>
                      <w:rFonts w:hint="default" w:ascii="Times New Roman" w:hAnsi="Times New Roman" w:eastAsia="宋体" w:cs="Times New Roman"/>
                      <w:snapToGrid/>
                      <w:color w:val="00B050"/>
                      <w:spacing w:val="0"/>
                      <w:position w:val="0"/>
                      <w:sz w:val="21"/>
                      <w:szCs w:val="21"/>
                      <w:lang w:val="en-US" w:eastAsia="zh-CN"/>
                    </w:rPr>
                    <w:t>02:00-03:00</w:t>
                  </w:r>
                </w:p>
              </w:tc>
              <w:tc>
                <w:tcPr>
                  <w:tcW w:w="588" w:type="pct"/>
                  <w:vAlign w:val="center"/>
                </w:tcPr>
                <w:p w14:paraId="074D6EBB">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0.005</w:t>
                  </w:r>
                </w:p>
              </w:tc>
              <w:tc>
                <w:tcPr>
                  <w:tcW w:w="561" w:type="pct"/>
                  <w:vAlign w:val="center"/>
                </w:tcPr>
                <w:p w14:paraId="04DB63EE">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644249F1">
                  <w:pPr>
                    <w:keepNext w:val="0"/>
                    <w:keepLines w:val="0"/>
                    <w:widowControl/>
                    <w:suppressLineNumbers w:val="0"/>
                    <w:jc w:val="center"/>
                    <w:textAlignment w:val="center"/>
                    <w:rPr>
                      <w:rFonts w:hint="default" w:ascii="Times New Roman" w:hAnsi="Times New Roman" w:eastAsia="宋体" w:cs="Times New Roman"/>
                      <w:i w:val="0"/>
                      <w:iCs w:val="0"/>
                      <w:snapToGrid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50.00</w:t>
                  </w:r>
                </w:p>
              </w:tc>
              <w:tc>
                <w:tcPr>
                  <w:tcW w:w="409" w:type="pct"/>
                  <w:vAlign w:val="center"/>
                </w:tcPr>
                <w:p w14:paraId="5CA830C7">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399F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74C8AA1C">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10B3B684">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796AE797">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4C0E7C36">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08:00-09:00</w:t>
                  </w:r>
                </w:p>
              </w:tc>
              <w:tc>
                <w:tcPr>
                  <w:tcW w:w="588" w:type="pct"/>
                  <w:vAlign w:val="center"/>
                </w:tcPr>
                <w:p w14:paraId="154F9CA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0.008</w:t>
                  </w:r>
                </w:p>
              </w:tc>
              <w:tc>
                <w:tcPr>
                  <w:tcW w:w="561" w:type="pct"/>
                  <w:vAlign w:val="center"/>
                </w:tcPr>
                <w:p w14:paraId="04A8FE5A">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06B4ECC4">
                  <w:pPr>
                    <w:keepNext w:val="0"/>
                    <w:keepLines w:val="0"/>
                    <w:widowControl/>
                    <w:suppressLineNumbers w:val="0"/>
                    <w:jc w:val="center"/>
                    <w:textAlignment w:val="center"/>
                    <w:rPr>
                      <w:rFonts w:hint="default" w:ascii="Times New Roman" w:hAnsi="Times New Roman" w:eastAsia="宋体" w:cs="Times New Roman"/>
                      <w:i w:val="0"/>
                      <w:iCs w:val="0"/>
                      <w:snapToGrid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80.00</w:t>
                  </w:r>
                </w:p>
              </w:tc>
              <w:tc>
                <w:tcPr>
                  <w:tcW w:w="409" w:type="pct"/>
                  <w:vAlign w:val="center"/>
                </w:tcPr>
                <w:p w14:paraId="5382ACC4">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0B06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76884991">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2EAAC604">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79C3D713">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3D3549C6">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14:00-15:00</w:t>
                  </w:r>
                </w:p>
              </w:tc>
              <w:tc>
                <w:tcPr>
                  <w:tcW w:w="588" w:type="pct"/>
                  <w:vAlign w:val="center"/>
                </w:tcPr>
                <w:p w14:paraId="680CC74E">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0.006</w:t>
                  </w:r>
                </w:p>
              </w:tc>
              <w:tc>
                <w:tcPr>
                  <w:tcW w:w="561" w:type="pct"/>
                  <w:vAlign w:val="center"/>
                </w:tcPr>
                <w:p w14:paraId="04C5AA8C">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52E1CF35">
                  <w:pPr>
                    <w:keepNext w:val="0"/>
                    <w:keepLines w:val="0"/>
                    <w:widowControl/>
                    <w:suppressLineNumbers w:val="0"/>
                    <w:jc w:val="center"/>
                    <w:textAlignment w:val="center"/>
                    <w:rPr>
                      <w:rFonts w:hint="default" w:ascii="Times New Roman" w:hAnsi="Times New Roman" w:eastAsia="宋体" w:cs="Times New Roman"/>
                      <w:i w:val="0"/>
                      <w:iCs w:val="0"/>
                      <w:snapToGrid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60.00</w:t>
                  </w:r>
                </w:p>
              </w:tc>
              <w:tc>
                <w:tcPr>
                  <w:tcW w:w="409" w:type="pct"/>
                  <w:vAlign w:val="center"/>
                </w:tcPr>
                <w:p w14:paraId="2642006A">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449B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39E42A0D">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175981E7">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4425D4B8">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0BAAAF5A">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20:00-21:00</w:t>
                  </w:r>
                </w:p>
              </w:tc>
              <w:tc>
                <w:tcPr>
                  <w:tcW w:w="588" w:type="pct"/>
                  <w:vAlign w:val="center"/>
                </w:tcPr>
                <w:p w14:paraId="3F1A1010">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0.007</w:t>
                  </w:r>
                </w:p>
              </w:tc>
              <w:tc>
                <w:tcPr>
                  <w:tcW w:w="561" w:type="pct"/>
                  <w:vAlign w:val="center"/>
                </w:tcPr>
                <w:p w14:paraId="445A190C">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5F4C5E77">
                  <w:pPr>
                    <w:keepNext w:val="0"/>
                    <w:keepLines w:val="0"/>
                    <w:widowControl/>
                    <w:suppressLineNumbers w:val="0"/>
                    <w:jc w:val="center"/>
                    <w:textAlignment w:val="center"/>
                    <w:rPr>
                      <w:rFonts w:hint="default" w:ascii="Times New Roman" w:hAnsi="Times New Roman" w:eastAsia="宋体" w:cs="Times New Roman"/>
                      <w:i w:val="0"/>
                      <w:iCs w:val="0"/>
                      <w:snapToGrid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70.00</w:t>
                  </w:r>
                </w:p>
              </w:tc>
              <w:tc>
                <w:tcPr>
                  <w:tcW w:w="409" w:type="pct"/>
                  <w:vAlign w:val="center"/>
                </w:tcPr>
                <w:p w14:paraId="4B85643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7487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599B762B">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restart"/>
                  <w:vAlign w:val="center"/>
                </w:tcPr>
                <w:p w14:paraId="05F9354A">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A1：麒麟</w:t>
                  </w:r>
                </w:p>
                <w:p w14:paraId="08C15D04">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区珠街乡</w:t>
                  </w:r>
                </w:p>
                <w:p w14:paraId="6EAD2B3C">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基督教救</w:t>
                  </w:r>
                </w:p>
                <w:p w14:paraId="3931FB1E">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r>
                    <w:rPr>
                      <w:rFonts w:hint="default" w:ascii="Times New Roman" w:hAnsi="Times New Roman" w:eastAsia="宋体"/>
                      <w:bCs/>
                      <w:color w:val="00B050"/>
                      <w:sz w:val="21"/>
                      <w:szCs w:val="21"/>
                      <w:lang w:val="en-US" w:eastAsia="zh-CN"/>
                    </w:rPr>
                    <w:t>恩堂</w:t>
                  </w:r>
                </w:p>
              </w:tc>
              <w:tc>
                <w:tcPr>
                  <w:tcW w:w="676" w:type="pct"/>
                  <w:vMerge w:val="restart"/>
                  <w:vAlign w:val="center"/>
                </w:tcPr>
                <w:p w14:paraId="0A72D0A5">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lang w:val="en-US"/>
                    </w:rPr>
                  </w:pPr>
                  <w:r>
                    <w:rPr>
                      <w:rFonts w:hint="eastAsia" w:ascii="Times New Roman" w:hAnsi="Times New Roman" w:eastAsia="宋体" w:cs="Times New Roman"/>
                      <w:snapToGrid/>
                      <w:color w:val="00B050"/>
                      <w:spacing w:val="0"/>
                      <w:position w:val="0"/>
                      <w:sz w:val="21"/>
                      <w:szCs w:val="21"/>
                      <w:lang w:val="en-US" w:eastAsia="zh-CN"/>
                    </w:rPr>
                    <w:t>2024.</w:t>
                  </w:r>
                  <w:r>
                    <w:rPr>
                      <w:rFonts w:hint="eastAsia" w:cs="Times New Roman"/>
                      <w:snapToGrid/>
                      <w:color w:val="00B050"/>
                      <w:spacing w:val="0"/>
                      <w:position w:val="0"/>
                      <w:sz w:val="21"/>
                      <w:szCs w:val="21"/>
                      <w:lang w:val="en-US" w:eastAsia="zh-CN"/>
                    </w:rPr>
                    <w:t>12</w:t>
                  </w:r>
                  <w:r>
                    <w:rPr>
                      <w:rFonts w:hint="eastAsia" w:ascii="Times New Roman" w:hAnsi="Times New Roman" w:eastAsia="宋体" w:cs="Times New Roman"/>
                      <w:snapToGrid/>
                      <w:color w:val="00B050"/>
                      <w:spacing w:val="0"/>
                      <w:position w:val="0"/>
                      <w:sz w:val="21"/>
                      <w:szCs w:val="21"/>
                      <w:lang w:val="en-US" w:eastAsia="zh-CN"/>
                    </w:rPr>
                    <w:t>.14</w:t>
                  </w:r>
                </w:p>
              </w:tc>
              <w:tc>
                <w:tcPr>
                  <w:tcW w:w="938" w:type="pct"/>
                  <w:shd w:val="clear" w:color="auto" w:fill="auto"/>
                  <w:vAlign w:val="center"/>
                </w:tcPr>
                <w:p w14:paraId="04EC5D90">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kern w:val="2"/>
                      <w:position w:val="0"/>
                      <w:sz w:val="21"/>
                      <w:szCs w:val="21"/>
                      <w:lang w:val="en-US" w:eastAsia="zh-CN" w:bidi="ar-SA"/>
                    </w:rPr>
                  </w:pPr>
                  <w:r>
                    <w:rPr>
                      <w:rFonts w:hint="default" w:ascii="Times New Roman" w:hAnsi="Times New Roman" w:eastAsia="宋体" w:cs="Times New Roman"/>
                      <w:snapToGrid/>
                      <w:color w:val="00B050"/>
                      <w:spacing w:val="0"/>
                      <w:position w:val="0"/>
                      <w:sz w:val="21"/>
                      <w:szCs w:val="21"/>
                      <w:lang w:val="en-US" w:eastAsia="zh-CN"/>
                    </w:rPr>
                    <w:t>02:00-03:00</w:t>
                  </w:r>
                </w:p>
              </w:tc>
              <w:tc>
                <w:tcPr>
                  <w:tcW w:w="588" w:type="pct"/>
                  <w:vAlign w:val="center"/>
                </w:tcPr>
                <w:p w14:paraId="21028F07">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0.007</w:t>
                  </w:r>
                </w:p>
              </w:tc>
              <w:tc>
                <w:tcPr>
                  <w:tcW w:w="561" w:type="pct"/>
                  <w:vAlign w:val="center"/>
                </w:tcPr>
                <w:p w14:paraId="24C8FE8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29255100">
                  <w:pPr>
                    <w:keepNext w:val="0"/>
                    <w:keepLines w:val="0"/>
                    <w:widowControl/>
                    <w:suppressLineNumbers w:val="0"/>
                    <w:jc w:val="center"/>
                    <w:textAlignment w:val="center"/>
                    <w:rPr>
                      <w:rFonts w:hint="default" w:ascii="Times New Roman" w:hAnsi="Times New Roman" w:eastAsia="宋体" w:cs="Times New Roman"/>
                      <w:i w:val="0"/>
                      <w:iCs w:val="0"/>
                      <w:snapToGrid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70.00</w:t>
                  </w:r>
                </w:p>
              </w:tc>
              <w:tc>
                <w:tcPr>
                  <w:tcW w:w="409" w:type="pct"/>
                  <w:vAlign w:val="center"/>
                </w:tcPr>
                <w:p w14:paraId="5B498229">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772F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21895C57">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46A769ED">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2C3F8D94">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23FCD503">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08:00-09:00</w:t>
                  </w:r>
                </w:p>
              </w:tc>
              <w:tc>
                <w:tcPr>
                  <w:tcW w:w="588" w:type="pct"/>
                  <w:vAlign w:val="center"/>
                </w:tcPr>
                <w:p w14:paraId="7FC7B658">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0.006</w:t>
                  </w:r>
                </w:p>
              </w:tc>
              <w:tc>
                <w:tcPr>
                  <w:tcW w:w="561" w:type="pct"/>
                  <w:vAlign w:val="center"/>
                </w:tcPr>
                <w:p w14:paraId="6747793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129F8F8B">
                  <w:pPr>
                    <w:keepNext w:val="0"/>
                    <w:keepLines w:val="0"/>
                    <w:widowControl/>
                    <w:suppressLineNumbers w:val="0"/>
                    <w:jc w:val="center"/>
                    <w:textAlignment w:val="center"/>
                    <w:rPr>
                      <w:rFonts w:hint="default" w:ascii="Times New Roman" w:hAnsi="Times New Roman" w:eastAsia="宋体" w:cs="Times New Roman"/>
                      <w:i w:val="0"/>
                      <w:iCs w:val="0"/>
                      <w:snapToGrid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60.00</w:t>
                  </w:r>
                </w:p>
              </w:tc>
              <w:tc>
                <w:tcPr>
                  <w:tcW w:w="409" w:type="pct"/>
                  <w:vAlign w:val="center"/>
                </w:tcPr>
                <w:p w14:paraId="2EBA5BA9">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484F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49741046">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18AA245C">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4A95E6AA">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67579EF7">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14:00-15:00</w:t>
                  </w:r>
                </w:p>
              </w:tc>
              <w:tc>
                <w:tcPr>
                  <w:tcW w:w="588" w:type="pct"/>
                  <w:vAlign w:val="center"/>
                </w:tcPr>
                <w:p w14:paraId="33A8E98B">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0.008</w:t>
                  </w:r>
                </w:p>
              </w:tc>
              <w:tc>
                <w:tcPr>
                  <w:tcW w:w="561" w:type="pct"/>
                  <w:vAlign w:val="center"/>
                </w:tcPr>
                <w:p w14:paraId="6EDEAB40">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76E8EEF5">
                  <w:pPr>
                    <w:keepNext w:val="0"/>
                    <w:keepLines w:val="0"/>
                    <w:widowControl/>
                    <w:suppressLineNumbers w:val="0"/>
                    <w:jc w:val="center"/>
                    <w:textAlignment w:val="center"/>
                    <w:rPr>
                      <w:rFonts w:hint="default" w:ascii="Times New Roman" w:hAnsi="Times New Roman" w:eastAsia="宋体" w:cs="Times New Roman"/>
                      <w:i w:val="0"/>
                      <w:iCs w:val="0"/>
                      <w:snapToGrid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80.00</w:t>
                  </w:r>
                </w:p>
              </w:tc>
              <w:tc>
                <w:tcPr>
                  <w:tcW w:w="409" w:type="pct"/>
                  <w:vAlign w:val="center"/>
                </w:tcPr>
                <w:p w14:paraId="7ACD3327">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5BF9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1E18864B">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22155BCF">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47F24E0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27B86014">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20:00-21:00</w:t>
                  </w:r>
                </w:p>
              </w:tc>
              <w:tc>
                <w:tcPr>
                  <w:tcW w:w="588" w:type="pct"/>
                  <w:vAlign w:val="center"/>
                </w:tcPr>
                <w:p w14:paraId="01E16600">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0.006</w:t>
                  </w:r>
                </w:p>
              </w:tc>
              <w:tc>
                <w:tcPr>
                  <w:tcW w:w="561" w:type="pct"/>
                  <w:vAlign w:val="center"/>
                </w:tcPr>
                <w:p w14:paraId="75F85944">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0.01</w:t>
                  </w:r>
                </w:p>
              </w:tc>
              <w:tc>
                <w:tcPr>
                  <w:tcW w:w="627" w:type="pct"/>
                  <w:vAlign w:val="center"/>
                </w:tcPr>
                <w:p w14:paraId="1F578613">
                  <w:pPr>
                    <w:keepNext w:val="0"/>
                    <w:keepLines w:val="0"/>
                    <w:widowControl/>
                    <w:suppressLineNumbers w:val="0"/>
                    <w:jc w:val="center"/>
                    <w:textAlignment w:val="center"/>
                    <w:rPr>
                      <w:rFonts w:hint="default" w:ascii="Times New Roman" w:hAnsi="Times New Roman" w:eastAsia="宋体" w:cs="Times New Roman"/>
                      <w:i w:val="0"/>
                      <w:iCs w:val="0"/>
                      <w:snapToGrid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60.00</w:t>
                  </w:r>
                </w:p>
              </w:tc>
              <w:tc>
                <w:tcPr>
                  <w:tcW w:w="409" w:type="pct"/>
                  <w:vAlign w:val="center"/>
                </w:tcPr>
                <w:p w14:paraId="14428DEA">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3E5B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restart"/>
                  <w:vAlign w:val="center"/>
                </w:tcPr>
                <w:p w14:paraId="1E6439D5">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氨</w:t>
                  </w:r>
                </w:p>
              </w:tc>
              <w:tc>
                <w:tcPr>
                  <w:tcW w:w="670" w:type="pct"/>
                  <w:vMerge w:val="restart"/>
                  <w:vAlign w:val="center"/>
                </w:tcPr>
                <w:p w14:paraId="2C9CE88C">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A1：麒麟</w:t>
                  </w:r>
                </w:p>
                <w:p w14:paraId="3F2BC65D">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区珠街乡</w:t>
                  </w:r>
                </w:p>
                <w:p w14:paraId="75B5F00D">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基督教救</w:t>
                  </w:r>
                </w:p>
                <w:p w14:paraId="1798ADD2">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default" w:ascii="Times New Roman" w:hAnsi="Times New Roman" w:eastAsia="宋体"/>
                      <w:bCs/>
                      <w:color w:val="00B050"/>
                      <w:sz w:val="21"/>
                      <w:szCs w:val="21"/>
                      <w:lang w:val="en-US" w:eastAsia="zh-CN"/>
                    </w:rPr>
                    <w:t>恩堂</w:t>
                  </w:r>
                </w:p>
              </w:tc>
              <w:tc>
                <w:tcPr>
                  <w:tcW w:w="676" w:type="pct"/>
                  <w:vMerge w:val="restart"/>
                  <w:vAlign w:val="center"/>
                </w:tcPr>
                <w:p w14:paraId="7F24516A">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2024.</w:t>
                  </w:r>
                  <w:r>
                    <w:rPr>
                      <w:rFonts w:hint="eastAsia" w:cs="Times New Roman"/>
                      <w:snapToGrid/>
                      <w:color w:val="00B050"/>
                      <w:spacing w:val="0"/>
                      <w:position w:val="0"/>
                      <w:sz w:val="21"/>
                      <w:szCs w:val="21"/>
                      <w:lang w:val="en-US" w:eastAsia="zh-CN"/>
                    </w:rPr>
                    <w:t>12</w:t>
                  </w:r>
                  <w:r>
                    <w:rPr>
                      <w:rFonts w:hint="eastAsia" w:ascii="Times New Roman" w:hAnsi="Times New Roman" w:eastAsia="宋体" w:cs="Times New Roman"/>
                      <w:snapToGrid/>
                      <w:color w:val="00B050"/>
                      <w:spacing w:val="0"/>
                      <w:position w:val="0"/>
                      <w:sz w:val="21"/>
                      <w:szCs w:val="21"/>
                      <w:lang w:val="en-US" w:eastAsia="zh-CN"/>
                    </w:rPr>
                    <w:t>.12</w:t>
                  </w:r>
                </w:p>
              </w:tc>
              <w:tc>
                <w:tcPr>
                  <w:tcW w:w="938" w:type="pct"/>
                  <w:shd w:val="clear" w:color="auto" w:fill="auto"/>
                  <w:vAlign w:val="center"/>
                </w:tcPr>
                <w:p w14:paraId="07C7C6A7">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kern w:val="2"/>
                      <w:position w:val="0"/>
                      <w:sz w:val="21"/>
                      <w:szCs w:val="21"/>
                      <w:lang w:val="en-US" w:eastAsia="zh-CN" w:bidi="ar-SA"/>
                    </w:rPr>
                  </w:pPr>
                  <w:r>
                    <w:rPr>
                      <w:rFonts w:hint="default" w:ascii="Times New Roman" w:hAnsi="Times New Roman" w:eastAsia="宋体" w:cs="Times New Roman"/>
                      <w:snapToGrid/>
                      <w:color w:val="00B050"/>
                      <w:spacing w:val="0"/>
                      <w:position w:val="0"/>
                      <w:sz w:val="21"/>
                      <w:szCs w:val="21"/>
                      <w:lang w:val="en-US" w:eastAsia="zh-CN"/>
                    </w:rPr>
                    <w:t>02:00-03:00</w:t>
                  </w:r>
                </w:p>
              </w:tc>
              <w:tc>
                <w:tcPr>
                  <w:tcW w:w="588" w:type="pct"/>
                  <w:vAlign w:val="center"/>
                </w:tcPr>
                <w:p w14:paraId="7C36BA5E">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0.03</w:t>
                  </w:r>
                </w:p>
              </w:tc>
              <w:tc>
                <w:tcPr>
                  <w:tcW w:w="561" w:type="pct"/>
                  <w:vAlign w:val="center"/>
                </w:tcPr>
                <w:p w14:paraId="5CCBCE79">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5F440D9F">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15.00</w:t>
                  </w:r>
                </w:p>
              </w:tc>
              <w:tc>
                <w:tcPr>
                  <w:tcW w:w="409" w:type="pct"/>
                  <w:vAlign w:val="center"/>
                </w:tcPr>
                <w:p w14:paraId="77D9DFFA">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eastAsia" w:ascii="Times New Roman" w:hAnsi="Times New Roman" w:eastAsia="宋体" w:cs="Times New Roman"/>
                      <w:snapToGrid/>
                      <w:color w:val="00B050"/>
                      <w:spacing w:val="0"/>
                      <w:position w:val="0"/>
                      <w:sz w:val="21"/>
                      <w:szCs w:val="21"/>
                      <w:lang w:val="en-US" w:eastAsia="zh-CN"/>
                    </w:rPr>
                    <w:t>达标</w:t>
                  </w:r>
                </w:p>
              </w:tc>
            </w:tr>
            <w:tr w14:paraId="3DB6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527" w:type="pct"/>
                  <w:vMerge w:val="continue"/>
                  <w:vAlign w:val="center"/>
                </w:tcPr>
                <w:p w14:paraId="555FC10B">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15FCCEB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4FBAF7A7">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2303311C">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08:00-09:00</w:t>
                  </w:r>
                </w:p>
              </w:tc>
              <w:tc>
                <w:tcPr>
                  <w:tcW w:w="588" w:type="pct"/>
                  <w:vAlign w:val="center"/>
                </w:tcPr>
                <w:p w14:paraId="593FC518">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0.05</w:t>
                  </w:r>
                </w:p>
              </w:tc>
              <w:tc>
                <w:tcPr>
                  <w:tcW w:w="561" w:type="pct"/>
                  <w:vAlign w:val="center"/>
                </w:tcPr>
                <w:p w14:paraId="621D5D3F">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77B12D26">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25.00</w:t>
                  </w:r>
                </w:p>
              </w:tc>
              <w:tc>
                <w:tcPr>
                  <w:tcW w:w="409" w:type="pct"/>
                  <w:vAlign w:val="center"/>
                </w:tcPr>
                <w:p w14:paraId="11139C06">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eastAsia" w:ascii="Times New Roman" w:hAnsi="Times New Roman" w:eastAsia="宋体" w:cs="Times New Roman"/>
                      <w:snapToGrid/>
                      <w:color w:val="00B050"/>
                      <w:spacing w:val="0"/>
                      <w:position w:val="0"/>
                      <w:sz w:val="21"/>
                      <w:szCs w:val="21"/>
                      <w:lang w:val="en-US" w:eastAsia="zh-CN"/>
                    </w:rPr>
                    <w:t>达标</w:t>
                  </w:r>
                </w:p>
              </w:tc>
            </w:tr>
            <w:tr w14:paraId="5147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3E944FC6">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4D46B323">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1FD77C4C">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7240F770">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14:00-15:00</w:t>
                  </w:r>
                </w:p>
              </w:tc>
              <w:tc>
                <w:tcPr>
                  <w:tcW w:w="588" w:type="pct"/>
                  <w:vAlign w:val="center"/>
                </w:tcPr>
                <w:p w14:paraId="03059E92">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0.02</w:t>
                  </w:r>
                </w:p>
              </w:tc>
              <w:tc>
                <w:tcPr>
                  <w:tcW w:w="561" w:type="pct"/>
                  <w:vAlign w:val="center"/>
                </w:tcPr>
                <w:p w14:paraId="5E42E8F5">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562F4FD0">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10.00</w:t>
                  </w:r>
                </w:p>
              </w:tc>
              <w:tc>
                <w:tcPr>
                  <w:tcW w:w="409" w:type="pct"/>
                  <w:vAlign w:val="center"/>
                </w:tcPr>
                <w:p w14:paraId="7482162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r>
                    <w:rPr>
                      <w:rFonts w:hint="eastAsia" w:ascii="Times New Roman" w:hAnsi="Times New Roman" w:eastAsia="宋体" w:cs="Times New Roman"/>
                      <w:snapToGrid/>
                      <w:color w:val="00B050"/>
                      <w:spacing w:val="0"/>
                      <w:position w:val="0"/>
                      <w:sz w:val="21"/>
                      <w:szCs w:val="21"/>
                      <w:lang w:val="en-US" w:eastAsia="zh-CN"/>
                    </w:rPr>
                    <w:t>达标</w:t>
                  </w:r>
                </w:p>
              </w:tc>
            </w:tr>
            <w:tr w14:paraId="590B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79120536">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31CEDCD7">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4D13EA70">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3E1DEEF8">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20:00-21:00</w:t>
                  </w:r>
                </w:p>
              </w:tc>
              <w:tc>
                <w:tcPr>
                  <w:tcW w:w="588" w:type="pct"/>
                  <w:vAlign w:val="center"/>
                </w:tcPr>
                <w:p w14:paraId="21D1130C">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0.04</w:t>
                  </w:r>
                </w:p>
              </w:tc>
              <w:tc>
                <w:tcPr>
                  <w:tcW w:w="561" w:type="pct"/>
                  <w:vAlign w:val="center"/>
                </w:tcPr>
                <w:p w14:paraId="488978E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195099BB">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20.00</w:t>
                  </w:r>
                </w:p>
              </w:tc>
              <w:tc>
                <w:tcPr>
                  <w:tcW w:w="409" w:type="pct"/>
                  <w:vAlign w:val="center"/>
                </w:tcPr>
                <w:p w14:paraId="10AC399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61AF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3CDBA8E4">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restart"/>
                  <w:vAlign w:val="center"/>
                </w:tcPr>
                <w:p w14:paraId="3F5D169C">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A1：麒麟</w:t>
                  </w:r>
                </w:p>
                <w:p w14:paraId="561AF741">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区珠街乡</w:t>
                  </w:r>
                </w:p>
                <w:p w14:paraId="7C10ED9E">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基督教救</w:t>
                  </w:r>
                </w:p>
                <w:p w14:paraId="58182EFB">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r>
                    <w:rPr>
                      <w:rFonts w:hint="default" w:ascii="Times New Roman" w:hAnsi="Times New Roman" w:eastAsia="宋体"/>
                      <w:bCs/>
                      <w:color w:val="00B050"/>
                      <w:sz w:val="21"/>
                      <w:szCs w:val="21"/>
                      <w:lang w:val="en-US" w:eastAsia="zh-CN"/>
                    </w:rPr>
                    <w:t>恩堂</w:t>
                  </w:r>
                </w:p>
              </w:tc>
              <w:tc>
                <w:tcPr>
                  <w:tcW w:w="676" w:type="pct"/>
                  <w:vMerge w:val="restart"/>
                  <w:vAlign w:val="center"/>
                </w:tcPr>
                <w:p w14:paraId="029E5CBF">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lang w:val="en-US"/>
                    </w:rPr>
                  </w:pPr>
                  <w:r>
                    <w:rPr>
                      <w:rFonts w:hint="eastAsia" w:ascii="Times New Roman" w:hAnsi="Times New Roman" w:eastAsia="宋体" w:cs="Times New Roman"/>
                      <w:snapToGrid/>
                      <w:color w:val="00B050"/>
                      <w:spacing w:val="0"/>
                      <w:position w:val="0"/>
                      <w:sz w:val="21"/>
                      <w:szCs w:val="21"/>
                      <w:lang w:val="en-US" w:eastAsia="zh-CN"/>
                    </w:rPr>
                    <w:t>2024.</w:t>
                  </w:r>
                  <w:r>
                    <w:rPr>
                      <w:rFonts w:hint="eastAsia" w:cs="Times New Roman"/>
                      <w:snapToGrid/>
                      <w:color w:val="00B050"/>
                      <w:spacing w:val="0"/>
                      <w:position w:val="0"/>
                      <w:sz w:val="21"/>
                      <w:szCs w:val="21"/>
                      <w:lang w:val="en-US" w:eastAsia="zh-CN"/>
                    </w:rPr>
                    <w:t>12</w:t>
                  </w:r>
                  <w:r>
                    <w:rPr>
                      <w:rFonts w:hint="eastAsia" w:ascii="Times New Roman" w:hAnsi="Times New Roman" w:eastAsia="宋体" w:cs="Times New Roman"/>
                      <w:snapToGrid/>
                      <w:color w:val="00B050"/>
                      <w:spacing w:val="0"/>
                      <w:position w:val="0"/>
                      <w:sz w:val="21"/>
                      <w:szCs w:val="21"/>
                      <w:lang w:val="en-US" w:eastAsia="zh-CN"/>
                    </w:rPr>
                    <w:t>.13</w:t>
                  </w:r>
                </w:p>
              </w:tc>
              <w:tc>
                <w:tcPr>
                  <w:tcW w:w="938" w:type="pct"/>
                  <w:shd w:val="clear" w:color="auto" w:fill="auto"/>
                  <w:vAlign w:val="center"/>
                </w:tcPr>
                <w:p w14:paraId="649112C6">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kern w:val="2"/>
                      <w:position w:val="0"/>
                      <w:sz w:val="21"/>
                      <w:szCs w:val="21"/>
                      <w:lang w:val="en-US" w:eastAsia="zh-CN" w:bidi="ar-SA"/>
                    </w:rPr>
                  </w:pPr>
                  <w:r>
                    <w:rPr>
                      <w:rFonts w:hint="default" w:ascii="Times New Roman" w:hAnsi="Times New Roman" w:eastAsia="宋体" w:cs="Times New Roman"/>
                      <w:snapToGrid/>
                      <w:color w:val="00B050"/>
                      <w:spacing w:val="0"/>
                      <w:position w:val="0"/>
                      <w:sz w:val="21"/>
                      <w:szCs w:val="21"/>
                      <w:lang w:val="en-US" w:eastAsia="zh-CN"/>
                    </w:rPr>
                    <w:t>02:00-03:00</w:t>
                  </w:r>
                </w:p>
              </w:tc>
              <w:tc>
                <w:tcPr>
                  <w:tcW w:w="588" w:type="pct"/>
                  <w:vAlign w:val="center"/>
                </w:tcPr>
                <w:p w14:paraId="5EFCEFFB">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0.02</w:t>
                  </w:r>
                </w:p>
              </w:tc>
              <w:tc>
                <w:tcPr>
                  <w:tcW w:w="561" w:type="pct"/>
                  <w:vAlign w:val="center"/>
                </w:tcPr>
                <w:p w14:paraId="71992E13">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1DD816A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10.00</w:t>
                  </w:r>
                </w:p>
              </w:tc>
              <w:tc>
                <w:tcPr>
                  <w:tcW w:w="409" w:type="pct"/>
                  <w:vAlign w:val="center"/>
                </w:tcPr>
                <w:p w14:paraId="49C86653">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7941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021C4EEA">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7E906ECB">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5C923C9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2CBEF609">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08:00-09:00</w:t>
                  </w:r>
                </w:p>
              </w:tc>
              <w:tc>
                <w:tcPr>
                  <w:tcW w:w="588" w:type="pct"/>
                  <w:vAlign w:val="center"/>
                </w:tcPr>
                <w:p w14:paraId="3695429E">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0.03</w:t>
                  </w:r>
                </w:p>
              </w:tc>
              <w:tc>
                <w:tcPr>
                  <w:tcW w:w="561" w:type="pct"/>
                  <w:vAlign w:val="center"/>
                </w:tcPr>
                <w:p w14:paraId="321785E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0C3462F7">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15.00</w:t>
                  </w:r>
                </w:p>
              </w:tc>
              <w:tc>
                <w:tcPr>
                  <w:tcW w:w="409" w:type="pct"/>
                  <w:vAlign w:val="center"/>
                </w:tcPr>
                <w:p w14:paraId="28DF9AEC">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5939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1CDBC343">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672996E9">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48CE5EF5">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3F7326BE">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14:00-15:00</w:t>
                  </w:r>
                </w:p>
              </w:tc>
              <w:tc>
                <w:tcPr>
                  <w:tcW w:w="588" w:type="pct"/>
                  <w:vAlign w:val="center"/>
                </w:tcPr>
                <w:p w14:paraId="7C0E36AC">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0.05</w:t>
                  </w:r>
                </w:p>
              </w:tc>
              <w:tc>
                <w:tcPr>
                  <w:tcW w:w="561" w:type="pct"/>
                  <w:vAlign w:val="center"/>
                </w:tcPr>
                <w:p w14:paraId="69F9B921">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00262FCB">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25.00</w:t>
                  </w:r>
                </w:p>
              </w:tc>
              <w:tc>
                <w:tcPr>
                  <w:tcW w:w="409" w:type="pct"/>
                  <w:vAlign w:val="center"/>
                </w:tcPr>
                <w:p w14:paraId="55264BD6">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69B4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36E340A4">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0AED3B73">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57F90504">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73DC4159">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20:00-21:00</w:t>
                  </w:r>
                </w:p>
              </w:tc>
              <w:tc>
                <w:tcPr>
                  <w:tcW w:w="588" w:type="pct"/>
                  <w:vAlign w:val="center"/>
                </w:tcPr>
                <w:p w14:paraId="1F91978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0.02</w:t>
                  </w:r>
                </w:p>
              </w:tc>
              <w:tc>
                <w:tcPr>
                  <w:tcW w:w="561" w:type="pct"/>
                  <w:vAlign w:val="center"/>
                </w:tcPr>
                <w:p w14:paraId="070D7A46">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6E13CA5E">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10.00</w:t>
                  </w:r>
                </w:p>
              </w:tc>
              <w:tc>
                <w:tcPr>
                  <w:tcW w:w="409" w:type="pct"/>
                  <w:vAlign w:val="center"/>
                </w:tcPr>
                <w:p w14:paraId="436E4D84">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2636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013CDDF7">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restart"/>
                  <w:vAlign w:val="center"/>
                </w:tcPr>
                <w:p w14:paraId="2363B20A">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A1：麒麟</w:t>
                  </w:r>
                </w:p>
                <w:p w14:paraId="5413872B">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区珠街乡</w:t>
                  </w:r>
                </w:p>
                <w:p w14:paraId="7B7B5876">
                  <w:pPr>
                    <w:pageBreakBefore w:val="0"/>
                    <w:kinsoku/>
                    <w:wordWrap/>
                    <w:overflowPunct/>
                    <w:topLinePunct w:val="0"/>
                    <w:bidi w:val="0"/>
                    <w:ind w:left="0" w:leftChars="0"/>
                    <w:jc w:val="center"/>
                    <w:rPr>
                      <w:rFonts w:hint="default" w:ascii="Times New Roman" w:hAnsi="Times New Roman" w:eastAsia="宋体"/>
                      <w:bCs/>
                      <w:color w:val="00B050"/>
                      <w:sz w:val="21"/>
                      <w:szCs w:val="21"/>
                      <w:lang w:val="en-US" w:eastAsia="zh-CN"/>
                    </w:rPr>
                  </w:pPr>
                  <w:r>
                    <w:rPr>
                      <w:rFonts w:hint="default" w:ascii="Times New Roman" w:hAnsi="Times New Roman" w:eastAsia="宋体"/>
                      <w:bCs/>
                      <w:color w:val="00B050"/>
                      <w:sz w:val="21"/>
                      <w:szCs w:val="21"/>
                      <w:lang w:val="en-US" w:eastAsia="zh-CN"/>
                    </w:rPr>
                    <w:t>基督教救</w:t>
                  </w:r>
                </w:p>
                <w:p w14:paraId="2673BF8D">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r>
                    <w:rPr>
                      <w:rFonts w:hint="default" w:ascii="Times New Roman" w:hAnsi="Times New Roman" w:eastAsia="宋体"/>
                      <w:bCs/>
                      <w:color w:val="00B050"/>
                      <w:sz w:val="21"/>
                      <w:szCs w:val="21"/>
                      <w:lang w:val="en-US" w:eastAsia="zh-CN"/>
                    </w:rPr>
                    <w:t>恩堂</w:t>
                  </w:r>
                </w:p>
              </w:tc>
              <w:tc>
                <w:tcPr>
                  <w:tcW w:w="676" w:type="pct"/>
                  <w:vMerge w:val="restart"/>
                  <w:vAlign w:val="center"/>
                </w:tcPr>
                <w:p w14:paraId="3E5B50CB">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lang w:val="en-US"/>
                    </w:rPr>
                  </w:pPr>
                  <w:r>
                    <w:rPr>
                      <w:rFonts w:hint="eastAsia" w:ascii="Times New Roman" w:hAnsi="Times New Roman" w:eastAsia="宋体" w:cs="Times New Roman"/>
                      <w:snapToGrid/>
                      <w:color w:val="00B050"/>
                      <w:spacing w:val="0"/>
                      <w:position w:val="0"/>
                      <w:sz w:val="21"/>
                      <w:szCs w:val="21"/>
                      <w:lang w:val="en-US" w:eastAsia="zh-CN"/>
                    </w:rPr>
                    <w:t>2024.</w:t>
                  </w:r>
                  <w:r>
                    <w:rPr>
                      <w:rFonts w:hint="eastAsia" w:cs="Times New Roman"/>
                      <w:snapToGrid/>
                      <w:color w:val="00B050"/>
                      <w:spacing w:val="0"/>
                      <w:position w:val="0"/>
                      <w:sz w:val="21"/>
                      <w:szCs w:val="21"/>
                      <w:lang w:val="en-US" w:eastAsia="zh-CN"/>
                    </w:rPr>
                    <w:t>12</w:t>
                  </w:r>
                  <w:r>
                    <w:rPr>
                      <w:rFonts w:hint="eastAsia" w:ascii="Times New Roman" w:hAnsi="Times New Roman" w:eastAsia="宋体" w:cs="Times New Roman"/>
                      <w:snapToGrid/>
                      <w:color w:val="00B050"/>
                      <w:spacing w:val="0"/>
                      <w:position w:val="0"/>
                      <w:sz w:val="21"/>
                      <w:szCs w:val="21"/>
                      <w:lang w:val="en-US" w:eastAsia="zh-CN"/>
                    </w:rPr>
                    <w:t>.14</w:t>
                  </w:r>
                </w:p>
              </w:tc>
              <w:tc>
                <w:tcPr>
                  <w:tcW w:w="938" w:type="pct"/>
                  <w:shd w:val="clear" w:color="auto" w:fill="auto"/>
                  <w:vAlign w:val="center"/>
                </w:tcPr>
                <w:p w14:paraId="1842C6F7">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kern w:val="2"/>
                      <w:position w:val="0"/>
                      <w:sz w:val="21"/>
                      <w:szCs w:val="21"/>
                      <w:lang w:val="en-US" w:eastAsia="zh-CN" w:bidi="ar-SA"/>
                    </w:rPr>
                  </w:pPr>
                  <w:r>
                    <w:rPr>
                      <w:rFonts w:hint="default" w:ascii="Times New Roman" w:hAnsi="Times New Roman" w:eastAsia="宋体" w:cs="Times New Roman"/>
                      <w:snapToGrid/>
                      <w:color w:val="00B050"/>
                      <w:spacing w:val="0"/>
                      <w:position w:val="0"/>
                      <w:sz w:val="21"/>
                      <w:szCs w:val="21"/>
                      <w:lang w:val="en-US" w:eastAsia="zh-CN"/>
                    </w:rPr>
                    <w:t>02:00-03:00</w:t>
                  </w:r>
                </w:p>
              </w:tc>
              <w:tc>
                <w:tcPr>
                  <w:tcW w:w="588" w:type="pct"/>
                  <w:vAlign w:val="center"/>
                </w:tcPr>
                <w:p w14:paraId="30895AE9">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cs="Times New Roman"/>
                      <w:snapToGrid/>
                      <w:color w:val="00B050"/>
                      <w:spacing w:val="0"/>
                      <w:position w:val="0"/>
                      <w:sz w:val="21"/>
                      <w:szCs w:val="21"/>
                      <w:lang w:val="en-US" w:eastAsia="zh-CN"/>
                    </w:rPr>
                    <w:t>0.03</w:t>
                  </w:r>
                </w:p>
              </w:tc>
              <w:tc>
                <w:tcPr>
                  <w:tcW w:w="561" w:type="pct"/>
                  <w:vAlign w:val="center"/>
                </w:tcPr>
                <w:p w14:paraId="656CA2C8">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059B5396">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15.00</w:t>
                  </w:r>
                </w:p>
              </w:tc>
              <w:tc>
                <w:tcPr>
                  <w:tcW w:w="409" w:type="pct"/>
                  <w:vAlign w:val="center"/>
                </w:tcPr>
                <w:p w14:paraId="05A306A9">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5CCA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616AC39F">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515F00B1">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46F0ADCF">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5FE3D7E2">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08:00-09:00</w:t>
                  </w:r>
                </w:p>
              </w:tc>
              <w:tc>
                <w:tcPr>
                  <w:tcW w:w="588" w:type="pct"/>
                  <w:vAlign w:val="center"/>
                </w:tcPr>
                <w:p w14:paraId="1F5ABDB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0.02</w:t>
                  </w:r>
                </w:p>
              </w:tc>
              <w:tc>
                <w:tcPr>
                  <w:tcW w:w="561" w:type="pct"/>
                  <w:vAlign w:val="center"/>
                </w:tcPr>
                <w:p w14:paraId="0FD10510">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2B6690B2">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10.00</w:t>
                  </w:r>
                </w:p>
              </w:tc>
              <w:tc>
                <w:tcPr>
                  <w:tcW w:w="409" w:type="pct"/>
                  <w:vAlign w:val="center"/>
                </w:tcPr>
                <w:p w14:paraId="436DC8B6">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06EB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116CA350">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5D409F0B">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43AAD6D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2B0185AC">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14:00-15:00</w:t>
                  </w:r>
                </w:p>
              </w:tc>
              <w:tc>
                <w:tcPr>
                  <w:tcW w:w="588" w:type="pct"/>
                  <w:vAlign w:val="center"/>
                </w:tcPr>
                <w:p w14:paraId="67F7E6AF">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0.03</w:t>
                  </w:r>
                </w:p>
              </w:tc>
              <w:tc>
                <w:tcPr>
                  <w:tcW w:w="561" w:type="pct"/>
                  <w:vAlign w:val="center"/>
                </w:tcPr>
                <w:p w14:paraId="61609597">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0553B785">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15.00</w:t>
                  </w:r>
                </w:p>
              </w:tc>
              <w:tc>
                <w:tcPr>
                  <w:tcW w:w="409" w:type="pct"/>
                  <w:vAlign w:val="center"/>
                </w:tcPr>
                <w:p w14:paraId="6BF6E934">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r w14:paraId="1F73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vMerge w:val="continue"/>
                  <w:vAlign w:val="center"/>
                </w:tcPr>
                <w:p w14:paraId="7DF9BD11">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0" w:type="pct"/>
                  <w:vMerge w:val="continue"/>
                  <w:vAlign w:val="center"/>
                </w:tcPr>
                <w:p w14:paraId="6682568C">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snapToGrid/>
                      <w:color w:val="00B050"/>
                      <w:spacing w:val="0"/>
                      <w:position w:val="0"/>
                      <w:sz w:val="21"/>
                      <w:szCs w:val="21"/>
                    </w:rPr>
                  </w:pPr>
                </w:p>
              </w:tc>
              <w:tc>
                <w:tcPr>
                  <w:tcW w:w="676" w:type="pct"/>
                  <w:vMerge w:val="continue"/>
                  <w:vAlign w:val="center"/>
                </w:tcPr>
                <w:p w14:paraId="1C5513CC">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position w:val="0"/>
                      <w:sz w:val="21"/>
                      <w:szCs w:val="21"/>
                    </w:rPr>
                  </w:pPr>
                </w:p>
              </w:tc>
              <w:tc>
                <w:tcPr>
                  <w:tcW w:w="938" w:type="pct"/>
                  <w:shd w:val="clear" w:color="auto" w:fill="auto"/>
                  <w:vAlign w:val="center"/>
                </w:tcPr>
                <w:p w14:paraId="373CA9C4">
                  <w:pPr>
                    <w:pStyle w:val="78"/>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Times New Roman" w:cs="Times New Roman"/>
                      <w:snapToGrid/>
                      <w:color w:val="00B050"/>
                      <w:spacing w:val="0"/>
                      <w:kern w:val="2"/>
                      <w:position w:val="0"/>
                      <w:sz w:val="21"/>
                      <w:szCs w:val="21"/>
                      <w:lang w:val="en-US" w:eastAsia="en-US" w:bidi="ar-SA"/>
                    </w:rPr>
                  </w:pPr>
                  <w:r>
                    <w:rPr>
                      <w:rFonts w:hint="default" w:ascii="Times New Roman" w:hAnsi="Times New Roman" w:eastAsia="Times New Roman" w:cs="Times New Roman"/>
                      <w:snapToGrid/>
                      <w:color w:val="00B050"/>
                      <w:spacing w:val="0"/>
                      <w:position w:val="0"/>
                      <w:sz w:val="21"/>
                      <w:szCs w:val="21"/>
                    </w:rPr>
                    <w:t>20:00-21:00</w:t>
                  </w:r>
                </w:p>
              </w:tc>
              <w:tc>
                <w:tcPr>
                  <w:tcW w:w="588" w:type="pct"/>
                  <w:vAlign w:val="center"/>
                </w:tcPr>
                <w:p w14:paraId="4FCCEF0C">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0.05</w:t>
                  </w:r>
                </w:p>
              </w:tc>
              <w:tc>
                <w:tcPr>
                  <w:tcW w:w="561" w:type="pct"/>
                  <w:vAlign w:val="center"/>
                </w:tcPr>
                <w:p w14:paraId="38B6AB84">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0.2</w:t>
                  </w:r>
                </w:p>
              </w:tc>
              <w:tc>
                <w:tcPr>
                  <w:tcW w:w="627" w:type="pct"/>
                  <w:vAlign w:val="center"/>
                </w:tcPr>
                <w:p w14:paraId="30D2C945">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25.00</w:t>
                  </w:r>
                </w:p>
              </w:tc>
              <w:tc>
                <w:tcPr>
                  <w:tcW w:w="409" w:type="pct"/>
                  <w:vAlign w:val="center"/>
                </w:tcPr>
                <w:p w14:paraId="4E7F9E7D">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snapToGrid/>
                      <w:color w:val="00B050"/>
                      <w:spacing w:val="0"/>
                      <w:position w:val="0"/>
                      <w:sz w:val="21"/>
                      <w:szCs w:val="21"/>
                      <w:lang w:val="en-US" w:eastAsia="zh-CN"/>
                    </w:rPr>
                  </w:pPr>
                  <w:r>
                    <w:rPr>
                      <w:rFonts w:hint="eastAsia" w:ascii="Times New Roman" w:hAnsi="Times New Roman" w:eastAsia="宋体" w:cs="Times New Roman"/>
                      <w:snapToGrid/>
                      <w:color w:val="00B050"/>
                      <w:spacing w:val="0"/>
                      <w:position w:val="0"/>
                      <w:sz w:val="21"/>
                      <w:szCs w:val="21"/>
                      <w:lang w:val="en-US" w:eastAsia="zh-CN"/>
                    </w:rPr>
                    <w:t>达标</w:t>
                  </w:r>
                </w:p>
              </w:tc>
            </w:tr>
          </w:tbl>
          <w:p w14:paraId="64923083">
            <w:pPr>
              <w:pStyle w:val="54"/>
              <w:keepNext w:val="0"/>
              <w:keepLines w:val="0"/>
              <w:pageBreakBefore w:val="0"/>
              <w:widowControl w:val="0"/>
              <w:kinsoku/>
              <w:wordWrap/>
              <w:overflowPunct/>
              <w:topLinePunct w:val="0"/>
              <w:autoSpaceDE w:val="0"/>
              <w:autoSpaceDN w:val="0"/>
              <w:bidi w:val="0"/>
              <w:adjustRightInd/>
              <w:snapToGrid/>
              <w:textAlignment w:val="auto"/>
              <w:rPr>
                <w:rFonts w:hint="eastAsia"/>
                <w:color w:val="00B050"/>
                <w:kern w:val="0"/>
              </w:rPr>
            </w:pPr>
            <w:r>
              <w:rPr>
                <w:rFonts w:hint="eastAsia"/>
                <w:color w:val="00B050"/>
                <w:kern w:val="0"/>
              </w:rPr>
              <w:t>根据以上监测及评价结果可知，</w:t>
            </w:r>
            <w:r>
              <w:rPr>
                <w:rFonts w:hint="eastAsia"/>
                <w:color w:val="00B050"/>
                <w:kern w:val="0"/>
                <w:lang w:val="en-US" w:eastAsia="zh-CN"/>
              </w:rPr>
              <w:t>项目所在区域硫化氢、氨环境质量现状浓度</w:t>
            </w:r>
            <w:r>
              <w:rPr>
                <w:rFonts w:hint="eastAsia"/>
                <w:color w:val="00B050"/>
                <w:kern w:val="0"/>
              </w:rPr>
              <w:t>满足</w:t>
            </w:r>
            <w:r>
              <w:rPr>
                <w:rFonts w:hint="eastAsia"/>
                <w:color w:val="00B050"/>
                <w:sz w:val="24"/>
              </w:rPr>
              <w:t>《环境影响评价技术导则 大气环境》</w:t>
            </w:r>
            <w:r>
              <w:rPr>
                <w:rFonts w:hint="eastAsia"/>
                <w:color w:val="00B050"/>
                <w:sz w:val="24"/>
                <w:lang w:eastAsia="zh-CN"/>
              </w:rPr>
              <w:t>（</w:t>
            </w:r>
            <w:r>
              <w:rPr>
                <w:rFonts w:hint="eastAsia"/>
                <w:color w:val="00B050"/>
                <w:sz w:val="24"/>
              </w:rPr>
              <w:t>HJ2.2-2018</w:t>
            </w:r>
            <w:r>
              <w:rPr>
                <w:rFonts w:hint="eastAsia"/>
                <w:color w:val="00B050"/>
                <w:sz w:val="24"/>
                <w:lang w:eastAsia="zh-CN"/>
              </w:rPr>
              <w:t>）</w:t>
            </w:r>
            <w:r>
              <w:rPr>
                <w:rFonts w:hint="eastAsia"/>
                <w:color w:val="00B050"/>
                <w:sz w:val="24"/>
                <w:lang w:val="en-US" w:eastAsia="zh-CN"/>
              </w:rPr>
              <w:t>附录D中污染物</w:t>
            </w:r>
            <w:r>
              <w:rPr>
                <w:rFonts w:hint="eastAsia"/>
                <w:color w:val="00B050"/>
                <w:kern w:val="0"/>
              </w:rPr>
              <w:t>浓度限值要求。</w:t>
            </w:r>
          </w:p>
          <w:p w14:paraId="4D458F9D">
            <w:pPr>
              <w:pStyle w:val="54"/>
              <w:keepNext w:val="0"/>
              <w:keepLines w:val="0"/>
              <w:pageBreakBefore w:val="0"/>
              <w:widowControl w:val="0"/>
              <w:kinsoku/>
              <w:wordWrap/>
              <w:overflowPunct/>
              <w:topLinePunct w:val="0"/>
              <w:autoSpaceDE w:val="0"/>
              <w:autoSpaceDN w:val="0"/>
              <w:bidi w:val="0"/>
              <w:adjustRightInd/>
              <w:snapToGrid/>
              <w:ind w:left="0" w:leftChars="0" w:firstLine="0" w:firstLineChars="0"/>
              <w:textAlignment w:val="auto"/>
              <w:rPr>
                <w:b/>
                <w:bCs/>
                <w:color w:val="000000" w:themeColor="text1"/>
                <w:sz w:val="24"/>
                <w14:textFill>
                  <w14:solidFill>
                    <w14:schemeClr w14:val="tx1"/>
                  </w14:solidFill>
                </w14:textFill>
              </w:rPr>
            </w:pPr>
            <w:r>
              <w:rPr>
                <w:rFonts w:hint="eastAsia"/>
                <w:b/>
                <w:bCs/>
                <w:color w:val="000000" w:themeColor="text1"/>
                <w:kern w:val="0"/>
                <w:lang w:val="en-US" w:eastAsia="zh-CN"/>
                <w14:textFill>
                  <w14:solidFill>
                    <w14:schemeClr w14:val="tx1"/>
                  </w14:solidFill>
                </w14:textFill>
              </w:rPr>
              <w:t>3.1.2</w:t>
            </w:r>
            <w:r>
              <w:rPr>
                <w:b/>
                <w:bCs/>
                <w:color w:val="000000" w:themeColor="text1"/>
                <w:sz w:val="24"/>
                <w14:textFill>
                  <w14:solidFill>
                    <w14:schemeClr w14:val="tx1"/>
                  </w14:solidFill>
                </w14:textFill>
              </w:rPr>
              <w:t>地表水环境质量现状</w:t>
            </w:r>
          </w:p>
          <w:p w14:paraId="24C771C5">
            <w:pPr>
              <w:pageBreakBefore w:val="0"/>
              <w:kinsoku/>
              <w:wordWrap/>
              <w:overflowPunct/>
              <w:topLinePunct w:val="0"/>
              <w:bidi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1、</w:t>
            </w:r>
            <w:r>
              <w:rPr>
                <w:b/>
                <w:bCs/>
                <w:color w:val="000000" w:themeColor="text1"/>
                <w:kern w:val="0"/>
                <w:sz w:val="24"/>
                <w14:textFill>
                  <w14:solidFill>
                    <w14:schemeClr w14:val="tx1"/>
                  </w14:solidFill>
                </w14:textFill>
              </w:rPr>
              <w:t>地表水环境质量标准</w:t>
            </w:r>
          </w:p>
          <w:p w14:paraId="667C82C6">
            <w:pPr>
              <w:keepNext w:val="0"/>
              <w:keepLines w:val="0"/>
              <w:pageBreakBefore w:val="0"/>
              <w:widowControl/>
              <w:kinsoku/>
              <w:wordWrap/>
              <w:overflowPunct/>
              <w:topLinePunct w:val="0"/>
              <w:autoSpaceDE w:val="0"/>
              <w:autoSpaceDN w:val="0"/>
              <w:bidi w:val="0"/>
              <w:adjustRightInd/>
              <w:snapToGrid/>
              <w:spacing w:line="360" w:lineRule="auto"/>
              <w:ind w:left="0" w:firstLine="480" w:firstLineChars="200"/>
              <w:jc w:val="both"/>
              <w:textAlignment w:val="baseline"/>
              <w:rPr>
                <w:rFonts w:hint="default" w:ascii="Times New Roman" w:hAnsi="Times New Roman" w:eastAsia="宋体" w:cs="Times New Roman"/>
                <w:snapToGrid/>
                <w:color w:val="000000" w:themeColor="text1"/>
                <w:spacing w:val="0"/>
                <w:sz w:val="24"/>
                <w:szCs w:val="24"/>
                <w14:textFill>
                  <w14:solidFill>
                    <w14:schemeClr w14:val="tx1"/>
                  </w14:solidFill>
                </w14:textFill>
              </w:rPr>
            </w:pPr>
            <w:r>
              <w:rPr>
                <w:rFonts w:hint="eastAsia" w:cs="Times New Roman"/>
                <w:snapToGrid/>
                <w:color w:val="000000" w:themeColor="text1"/>
                <w:spacing w:val="0"/>
                <w:sz w:val="24"/>
                <w:szCs w:val="24"/>
                <w:lang w:val="en-US" w:eastAsia="zh-CN"/>
                <w14:textFill>
                  <w14:solidFill>
                    <w14:schemeClr w14:val="tx1"/>
                  </w14:solidFill>
                </w14:textFill>
              </w:rPr>
              <w:t>项目区周边主要</w:t>
            </w:r>
            <w:r>
              <w:rPr>
                <w:rFonts w:hint="default" w:ascii="Times New Roman" w:hAnsi="Times New Roman" w:eastAsia="宋体" w:cs="Times New Roman"/>
                <w:snapToGrid/>
                <w:color w:val="000000" w:themeColor="text1"/>
                <w:spacing w:val="0"/>
                <w:sz w:val="24"/>
                <w:szCs w:val="24"/>
                <w14:textFill>
                  <w14:solidFill>
                    <w14:schemeClr w14:val="tx1"/>
                  </w14:solidFill>
                </w14:textFill>
              </w:rPr>
              <w:t>地表水体为</w:t>
            </w:r>
            <w:r>
              <w:rPr>
                <w:rFonts w:hint="eastAsia" w:cs="Times New Roman"/>
                <w:snapToGrid/>
                <w:color w:val="000000" w:themeColor="text1"/>
                <w:spacing w:val="0"/>
                <w:sz w:val="24"/>
                <w:szCs w:val="24"/>
                <w:lang w:val="en-US" w:eastAsia="zh-CN"/>
                <w14:textFill>
                  <w14:solidFill>
                    <w14:schemeClr w14:val="tx1"/>
                  </w14:solidFill>
                </w14:textFill>
              </w:rPr>
              <w:t>位于项目区西侧约1.9km处的南盘江</w:t>
            </w:r>
            <w:r>
              <w:rPr>
                <w:rFonts w:hint="eastAsia" w:cs="Times New Roman"/>
                <w:snapToGrid/>
                <w:color w:val="000000" w:themeColor="text1"/>
                <w:spacing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sz w:val="24"/>
                <w:szCs w:val="24"/>
                <w14:textFill>
                  <w14:solidFill>
                    <w14:schemeClr w14:val="tx1"/>
                  </w14:solidFill>
                </w14:textFill>
              </w:rPr>
              <w:t>根据《云南省水功能区划（2014年修订）》，项目所在区域为南盘江沾益-陆良农业、工业用水区，水质目标为Ⅲ类，执行《地表水环境质量标准》（GB3838-2002）中</w:t>
            </w:r>
            <w:r>
              <w:rPr>
                <w:rFonts w:hint="eastAsia" w:cs="Times New Roman"/>
                <w:snapToGrid/>
                <w:color w:val="000000" w:themeColor="text1"/>
                <w:spacing w:val="0"/>
                <w:sz w:val="24"/>
                <w:szCs w:val="24"/>
                <w:lang w:eastAsia="zh-CN"/>
                <w14:textFill>
                  <w14:solidFill>
                    <w14:schemeClr w14:val="tx1"/>
                  </w14:solidFill>
                </w14:textFill>
              </w:rPr>
              <w:t>Ⅲ</w:t>
            </w:r>
            <w:r>
              <w:rPr>
                <w:rFonts w:hint="default" w:ascii="Times New Roman" w:hAnsi="Times New Roman" w:eastAsia="宋体" w:cs="Times New Roman"/>
                <w:snapToGrid/>
                <w:color w:val="000000" w:themeColor="text1"/>
                <w:spacing w:val="0"/>
                <w:sz w:val="24"/>
                <w:szCs w:val="24"/>
                <w14:textFill>
                  <w14:solidFill>
                    <w14:schemeClr w14:val="tx1"/>
                  </w14:solidFill>
                </w14:textFill>
              </w:rPr>
              <w:t>类标准。标准值</w:t>
            </w:r>
            <w:r>
              <w:rPr>
                <w:rFonts w:hint="eastAsia" w:ascii="Times New Roman" w:hAnsi="Times New Roman" w:eastAsia="宋体" w:cs="Times New Roman"/>
                <w:snapToGrid/>
                <w:color w:val="000000" w:themeColor="text1"/>
                <w:spacing w:val="0"/>
                <w:sz w:val="24"/>
                <w:szCs w:val="24"/>
                <w:lang w:val="en-US" w:eastAsia="zh-CN"/>
                <w14:textFill>
                  <w14:solidFill>
                    <w14:schemeClr w14:val="tx1"/>
                  </w14:solidFill>
                </w14:textFill>
              </w:rPr>
              <w:t>见</w:t>
            </w:r>
            <w:r>
              <w:rPr>
                <w:rFonts w:hint="default" w:ascii="Times New Roman" w:hAnsi="Times New Roman" w:eastAsia="宋体" w:cs="Times New Roman"/>
                <w:snapToGrid/>
                <w:color w:val="000000" w:themeColor="text1"/>
                <w:spacing w:val="0"/>
                <w:sz w:val="24"/>
                <w:szCs w:val="24"/>
                <w14:textFill>
                  <w14:solidFill>
                    <w14:schemeClr w14:val="tx1"/>
                  </w14:solidFill>
                </w14:textFill>
              </w:rPr>
              <w:t>表</w:t>
            </w:r>
            <w:r>
              <w:rPr>
                <w:rFonts w:hint="eastAsia" w:ascii="Times New Roman" w:hAnsi="Times New Roman" w:eastAsia="宋体" w:cs="Times New Roman"/>
                <w:snapToGrid/>
                <w:color w:val="000000" w:themeColor="text1"/>
                <w:spacing w:val="0"/>
                <w:sz w:val="24"/>
                <w:szCs w:val="24"/>
                <w:lang w:val="en-US" w:eastAsia="zh-CN"/>
                <w14:textFill>
                  <w14:solidFill>
                    <w14:schemeClr w14:val="tx1"/>
                  </w14:solidFill>
                </w14:textFill>
              </w:rPr>
              <w:t>3</w:t>
            </w:r>
            <w:r>
              <w:rPr>
                <w:rFonts w:hint="eastAsia" w:cs="Times New Roman"/>
                <w:snapToGrid/>
                <w:color w:val="000000" w:themeColor="text1"/>
                <w:spacing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sz w:val="24"/>
                <w:szCs w:val="24"/>
                <w:lang w:val="en-US" w:eastAsia="zh-CN"/>
                <w14:textFill>
                  <w14:solidFill>
                    <w14:schemeClr w14:val="tx1"/>
                  </w14:solidFill>
                </w14:textFill>
              </w:rPr>
              <w:t>-</w:t>
            </w:r>
            <w:r>
              <w:rPr>
                <w:rFonts w:hint="eastAsia" w:cs="Times New Roman"/>
                <w:snapToGrid/>
                <w:color w:val="000000" w:themeColor="text1"/>
                <w:spacing w:val="0"/>
                <w:sz w:val="24"/>
                <w:szCs w:val="24"/>
                <w:lang w:val="en-US" w:eastAsia="zh-CN"/>
                <w14:textFill>
                  <w14:solidFill>
                    <w14:schemeClr w14:val="tx1"/>
                  </w14:solidFill>
                </w14:textFill>
              </w:rPr>
              <w:t>5所示</w:t>
            </w:r>
            <w:r>
              <w:rPr>
                <w:rFonts w:hint="default" w:ascii="Times New Roman" w:hAnsi="Times New Roman" w:eastAsia="宋体" w:cs="Times New Roman"/>
                <w:snapToGrid/>
                <w:color w:val="000000" w:themeColor="text1"/>
                <w:spacing w:val="0"/>
                <w:sz w:val="24"/>
                <w:szCs w:val="24"/>
                <w14:textFill>
                  <w14:solidFill>
                    <w14:schemeClr w14:val="tx1"/>
                  </w14:solidFill>
                </w14:textFill>
              </w:rPr>
              <w:t>。</w:t>
            </w:r>
          </w:p>
          <w:p w14:paraId="6CF52F13">
            <w:pPr>
              <w:pageBreakBefore w:val="0"/>
              <w:widowControl w:val="0"/>
              <w:kinsoku/>
              <w:wordWrap/>
              <w:overflowPunct/>
              <w:topLinePunct w:val="0"/>
              <w:bidi w:val="0"/>
              <w:snapToGrid/>
              <w:spacing w:before="0" w:after="0" w:line="240" w:lineRule="auto"/>
              <w:ind w:right="0"/>
              <w:jc w:val="center"/>
              <w:rPr>
                <w:rFonts w:hint="default" w:ascii="Times New Roman" w:hAnsi="Times New Roman" w:eastAsia="宋体" w:cs="Times New Roman"/>
                <w:b/>
                <w:bCs w:val="0"/>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0"/>
                <w:lang w:val="en-US" w:eastAsia="zh-CN" w:bidi="ar-SA"/>
                <w14:textFill>
                  <w14:solidFill>
                    <w14:schemeClr w14:val="tx1"/>
                  </w14:solidFill>
                </w14:textFill>
              </w:rPr>
              <w:t>表3.1-5  地表水环境质量标准  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3112"/>
              <w:gridCol w:w="544"/>
              <w:gridCol w:w="3568"/>
            </w:tblGrid>
            <w:tr w14:paraId="3110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ign w:val="center"/>
                </w:tcPr>
                <w:p w14:paraId="0D61EC44">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序号</w:t>
                  </w:r>
                </w:p>
              </w:tc>
              <w:tc>
                <w:tcPr>
                  <w:tcW w:w="2219" w:type="pct"/>
                  <w:gridSpan w:val="2"/>
                  <w:noWrap/>
                  <w:vAlign w:val="center"/>
                </w:tcPr>
                <w:p w14:paraId="22B16DFE">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项目</w:t>
                  </w:r>
                </w:p>
              </w:tc>
              <w:tc>
                <w:tcPr>
                  <w:tcW w:w="2166" w:type="pct"/>
                  <w:noWrap/>
                  <w:vAlign w:val="center"/>
                </w:tcPr>
                <w:p w14:paraId="5F7B77C7">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eastAsia="宋体"/>
                      <w:b/>
                      <w:bCs/>
                      <w:color w:val="000000" w:themeColor="text1"/>
                      <w:sz w:val="21"/>
                      <w:szCs w:val="18"/>
                      <w:lang w:val="en-US" w:eastAsia="zh-CN"/>
                      <w14:textFill>
                        <w14:solidFill>
                          <w14:schemeClr w14:val="tx1"/>
                        </w14:solidFill>
                      </w14:textFill>
                    </w:rPr>
                  </w:pPr>
                  <w:r>
                    <w:rPr>
                      <w:rFonts w:hint="eastAsia"/>
                      <w:b/>
                      <w:bCs/>
                      <w:color w:val="000000" w:themeColor="text1"/>
                      <w:sz w:val="21"/>
                      <w:szCs w:val="18"/>
                      <w:lang w:eastAsia="zh-CN"/>
                      <w14:textFill>
                        <w14:solidFill>
                          <w14:schemeClr w14:val="tx1"/>
                        </w14:solidFill>
                      </w14:textFill>
                    </w:rPr>
                    <w:t>Ⅲ</w:t>
                  </w:r>
                  <w:r>
                    <w:rPr>
                      <w:b/>
                      <w:bCs/>
                      <w:color w:val="000000" w:themeColor="text1"/>
                      <w:sz w:val="21"/>
                      <w:szCs w:val="18"/>
                      <w14:textFill>
                        <w14:solidFill>
                          <w14:schemeClr w14:val="tx1"/>
                        </w14:solidFill>
                      </w14:textFill>
                    </w:rPr>
                    <w:t>类</w:t>
                  </w:r>
                  <w:r>
                    <w:rPr>
                      <w:rFonts w:hint="eastAsia"/>
                      <w:b/>
                      <w:bCs/>
                      <w:color w:val="000000" w:themeColor="text1"/>
                      <w:sz w:val="21"/>
                      <w:szCs w:val="18"/>
                      <w:lang w:val="en-US" w:eastAsia="zh-CN"/>
                      <w14:textFill>
                        <w14:solidFill>
                          <w14:schemeClr w14:val="tx1"/>
                        </w14:solidFill>
                      </w14:textFill>
                    </w:rPr>
                    <w:t>水质标准</w:t>
                  </w:r>
                </w:p>
              </w:tc>
            </w:tr>
            <w:tr w14:paraId="6F6A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ign w:val="center"/>
                </w:tcPr>
                <w:p w14:paraId="63DEB9B9">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1</w:t>
                  </w:r>
                </w:p>
              </w:tc>
              <w:tc>
                <w:tcPr>
                  <w:tcW w:w="2219" w:type="pct"/>
                  <w:gridSpan w:val="2"/>
                  <w:noWrap/>
                  <w:vAlign w:val="center"/>
                </w:tcPr>
                <w:p w14:paraId="74E78EEA">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pH值（无量纲）</w:t>
                  </w:r>
                </w:p>
              </w:tc>
              <w:tc>
                <w:tcPr>
                  <w:tcW w:w="2166" w:type="pct"/>
                  <w:noWrap/>
                  <w:vAlign w:val="center"/>
                </w:tcPr>
                <w:p w14:paraId="58F7CACA">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6~9</w:t>
                  </w:r>
                </w:p>
              </w:tc>
            </w:tr>
            <w:tr w14:paraId="0196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ign w:val="center"/>
                </w:tcPr>
                <w:p w14:paraId="31D03C64">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p>
              </w:tc>
              <w:tc>
                <w:tcPr>
                  <w:tcW w:w="1889" w:type="pct"/>
                  <w:tcBorders>
                    <w:right w:val="nil"/>
                  </w:tcBorders>
                  <w:noWrap/>
                  <w:vAlign w:val="center"/>
                </w:tcPr>
                <w:p w14:paraId="20A25B9E">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ascii="Times New Roman" w:hAnsi="Times New Roman"/>
                      <w:color w:val="000000" w:themeColor="text1"/>
                      <w:sz w:val="21"/>
                      <w:szCs w:val="18"/>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DO</w:t>
                  </w:r>
                </w:p>
              </w:tc>
              <w:tc>
                <w:tcPr>
                  <w:tcW w:w="329" w:type="pct"/>
                  <w:tcBorders>
                    <w:left w:val="nil"/>
                  </w:tcBorders>
                  <w:noWrap/>
                  <w:vAlign w:val="center"/>
                </w:tcPr>
                <w:p w14:paraId="5C476115">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p>
              </w:tc>
              <w:tc>
                <w:tcPr>
                  <w:tcW w:w="2166" w:type="pct"/>
                  <w:noWrap/>
                  <w:vAlign w:val="center"/>
                </w:tcPr>
                <w:p w14:paraId="2DF65A48">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000000" w:themeColor="text1"/>
                      <w:sz w:val="21"/>
                      <w:szCs w:val="18"/>
                      <w:lang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5</w:t>
                  </w:r>
                </w:p>
              </w:tc>
            </w:tr>
            <w:tr w14:paraId="0A71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ign w:val="center"/>
                </w:tcPr>
                <w:p w14:paraId="121C83FC">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3</w:t>
                  </w:r>
                </w:p>
              </w:tc>
              <w:tc>
                <w:tcPr>
                  <w:tcW w:w="1889" w:type="pct"/>
                  <w:tcBorders>
                    <w:right w:val="nil"/>
                  </w:tcBorders>
                  <w:noWrap/>
                  <w:vAlign w:val="center"/>
                </w:tcPr>
                <w:p w14:paraId="1F72C636">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ascii="Times New Roman" w:hAnsi="Times New Roman"/>
                      <w:color w:val="000000" w:themeColor="text1"/>
                      <w:sz w:val="21"/>
                      <w:szCs w:val="18"/>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高锰酸盐指数</w:t>
                  </w:r>
                </w:p>
              </w:tc>
              <w:tc>
                <w:tcPr>
                  <w:tcW w:w="329" w:type="pct"/>
                  <w:tcBorders>
                    <w:left w:val="nil"/>
                  </w:tcBorders>
                  <w:noWrap/>
                  <w:vAlign w:val="center"/>
                </w:tcPr>
                <w:p w14:paraId="48F72D06">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p>
              </w:tc>
              <w:tc>
                <w:tcPr>
                  <w:tcW w:w="2166" w:type="pct"/>
                  <w:noWrap/>
                  <w:vAlign w:val="center"/>
                </w:tcPr>
                <w:p w14:paraId="48D24BC2">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6</w:t>
                  </w:r>
                </w:p>
              </w:tc>
            </w:tr>
            <w:tr w14:paraId="5A4F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ign w:val="center"/>
                </w:tcPr>
                <w:p w14:paraId="17E355DA">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4</w:t>
                  </w:r>
                </w:p>
              </w:tc>
              <w:tc>
                <w:tcPr>
                  <w:tcW w:w="1889" w:type="pct"/>
                  <w:tcBorders>
                    <w:right w:val="nil"/>
                  </w:tcBorders>
                  <w:noWrap/>
                  <w:vAlign w:val="center"/>
                </w:tcPr>
                <w:p w14:paraId="2B4F3CDC">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ascii="Times New Roman" w:hAnsi="Times New Roman"/>
                      <w:color w:val="000000" w:themeColor="text1"/>
                      <w:sz w:val="21"/>
                      <w:szCs w:val="18"/>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COD</w:t>
                  </w:r>
                </w:p>
              </w:tc>
              <w:tc>
                <w:tcPr>
                  <w:tcW w:w="329" w:type="pct"/>
                  <w:tcBorders>
                    <w:left w:val="nil"/>
                  </w:tcBorders>
                  <w:noWrap/>
                  <w:vAlign w:val="center"/>
                </w:tcPr>
                <w:p w14:paraId="2A8DA2C9">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p>
              </w:tc>
              <w:tc>
                <w:tcPr>
                  <w:tcW w:w="2166" w:type="pct"/>
                  <w:noWrap/>
                  <w:vAlign w:val="center"/>
                </w:tcPr>
                <w:p w14:paraId="6602CA0B">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20</w:t>
                  </w:r>
                </w:p>
              </w:tc>
            </w:tr>
            <w:tr w14:paraId="595C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ign w:val="center"/>
                </w:tcPr>
                <w:p w14:paraId="522F2186">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5</w:t>
                  </w:r>
                </w:p>
              </w:tc>
              <w:tc>
                <w:tcPr>
                  <w:tcW w:w="1889" w:type="pct"/>
                  <w:tcBorders>
                    <w:right w:val="nil"/>
                  </w:tcBorders>
                  <w:noWrap/>
                  <w:vAlign w:val="center"/>
                </w:tcPr>
                <w:p w14:paraId="7E723ED6">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ascii="Times New Roman" w:hAnsi="Times New Roman"/>
                      <w:color w:val="000000" w:themeColor="text1"/>
                      <w:sz w:val="21"/>
                      <w:szCs w:val="18"/>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BOD</w:t>
                  </w:r>
                  <w:r>
                    <w:rPr>
                      <w:rFonts w:ascii="Times New Roman" w:hAnsi="Times New Roman"/>
                      <w:color w:val="000000" w:themeColor="text1"/>
                      <w:kern w:val="0"/>
                      <w:sz w:val="21"/>
                      <w:szCs w:val="21"/>
                      <w:vertAlign w:val="subscript"/>
                      <w14:textFill>
                        <w14:solidFill>
                          <w14:schemeClr w14:val="tx1"/>
                        </w14:solidFill>
                      </w14:textFill>
                    </w:rPr>
                    <w:t>5</w:t>
                  </w:r>
                </w:p>
              </w:tc>
              <w:tc>
                <w:tcPr>
                  <w:tcW w:w="329" w:type="pct"/>
                  <w:tcBorders>
                    <w:left w:val="nil"/>
                  </w:tcBorders>
                  <w:noWrap/>
                  <w:vAlign w:val="center"/>
                </w:tcPr>
                <w:p w14:paraId="34305AA3">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p>
              </w:tc>
              <w:tc>
                <w:tcPr>
                  <w:tcW w:w="2166" w:type="pct"/>
                  <w:noWrap/>
                  <w:vAlign w:val="center"/>
                </w:tcPr>
                <w:p w14:paraId="050EEAC3">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000000" w:themeColor="text1"/>
                      <w:sz w:val="21"/>
                      <w:szCs w:val="18"/>
                      <w:lang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4</w:t>
                  </w:r>
                </w:p>
              </w:tc>
            </w:tr>
            <w:tr w14:paraId="4BE0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14" w:type="pct"/>
                  <w:noWrap/>
                  <w:vAlign w:val="center"/>
                </w:tcPr>
                <w:p w14:paraId="04A9A4B9">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6</w:t>
                  </w:r>
                </w:p>
              </w:tc>
              <w:tc>
                <w:tcPr>
                  <w:tcW w:w="1889" w:type="pct"/>
                  <w:tcBorders>
                    <w:right w:val="nil"/>
                  </w:tcBorders>
                  <w:noWrap/>
                  <w:vAlign w:val="center"/>
                </w:tcPr>
                <w:p w14:paraId="657F9717">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ascii="Times New Roman" w:hAnsi="Times New Roman"/>
                      <w:color w:val="000000" w:themeColor="text1"/>
                      <w:sz w:val="21"/>
                      <w:szCs w:val="18"/>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NH</w:t>
                  </w:r>
                  <w:r>
                    <w:rPr>
                      <w:rFonts w:ascii="Times New Roman" w:hAnsi="Times New Roman"/>
                      <w:color w:val="000000" w:themeColor="text1"/>
                      <w:kern w:val="0"/>
                      <w:sz w:val="21"/>
                      <w:szCs w:val="21"/>
                      <w:vertAlign w:val="subscript"/>
                      <w14:textFill>
                        <w14:solidFill>
                          <w14:schemeClr w14:val="tx1"/>
                        </w14:solidFill>
                      </w14:textFill>
                    </w:rPr>
                    <w:t>3</w:t>
                  </w:r>
                  <w:r>
                    <w:rPr>
                      <w:rFonts w:ascii="Times New Roman" w:hAnsi="Times New Roman"/>
                      <w:color w:val="000000" w:themeColor="text1"/>
                      <w:kern w:val="0"/>
                      <w:sz w:val="21"/>
                      <w:szCs w:val="21"/>
                      <w14:textFill>
                        <w14:solidFill>
                          <w14:schemeClr w14:val="tx1"/>
                        </w14:solidFill>
                      </w14:textFill>
                    </w:rPr>
                    <w:t>-N</w:t>
                  </w:r>
                </w:p>
              </w:tc>
              <w:tc>
                <w:tcPr>
                  <w:tcW w:w="329" w:type="pct"/>
                  <w:tcBorders>
                    <w:left w:val="nil"/>
                  </w:tcBorders>
                  <w:noWrap/>
                  <w:vAlign w:val="center"/>
                </w:tcPr>
                <w:p w14:paraId="6AE2B921">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p>
              </w:tc>
              <w:tc>
                <w:tcPr>
                  <w:tcW w:w="2166" w:type="pct"/>
                  <w:noWrap/>
                  <w:vAlign w:val="center"/>
                </w:tcPr>
                <w:p w14:paraId="61D02AFE">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1.0</w:t>
                  </w:r>
                </w:p>
              </w:tc>
            </w:tr>
            <w:tr w14:paraId="12EA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ign w:val="center"/>
                </w:tcPr>
                <w:p w14:paraId="6B02613E">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7</w:t>
                  </w:r>
                </w:p>
              </w:tc>
              <w:tc>
                <w:tcPr>
                  <w:tcW w:w="1889" w:type="pct"/>
                  <w:tcBorders>
                    <w:right w:val="nil"/>
                  </w:tcBorders>
                  <w:noWrap/>
                  <w:vAlign w:val="center"/>
                </w:tcPr>
                <w:p w14:paraId="3B892AB8">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ascii="Times New Roman" w:hAnsi="Times New Roman"/>
                      <w:color w:val="000000" w:themeColor="text1"/>
                      <w:sz w:val="21"/>
                      <w:szCs w:val="18"/>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TP</w:t>
                  </w:r>
                </w:p>
              </w:tc>
              <w:tc>
                <w:tcPr>
                  <w:tcW w:w="329" w:type="pct"/>
                  <w:tcBorders>
                    <w:left w:val="nil"/>
                  </w:tcBorders>
                  <w:noWrap/>
                  <w:vAlign w:val="center"/>
                </w:tcPr>
                <w:p w14:paraId="605E4F03">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p>
              </w:tc>
              <w:tc>
                <w:tcPr>
                  <w:tcW w:w="2166" w:type="pct"/>
                  <w:noWrap/>
                  <w:vAlign w:val="center"/>
                </w:tcPr>
                <w:p w14:paraId="3E6EE460">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0.2</w:t>
                  </w:r>
                </w:p>
              </w:tc>
            </w:tr>
            <w:tr w14:paraId="50DB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14" w:type="pct"/>
                  <w:noWrap/>
                  <w:vAlign w:val="center"/>
                </w:tcPr>
                <w:p w14:paraId="602FCC79">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8</w:t>
                  </w:r>
                </w:p>
              </w:tc>
              <w:tc>
                <w:tcPr>
                  <w:tcW w:w="1889" w:type="pct"/>
                  <w:tcBorders>
                    <w:right w:val="nil"/>
                  </w:tcBorders>
                  <w:noWrap/>
                  <w:vAlign w:val="center"/>
                </w:tcPr>
                <w:p w14:paraId="6D08085F">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ascii="Times New Roman" w:hAnsi="Times New Roman"/>
                      <w:color w:val="000000" w:themeColor="text1"/>
                      <w:sz w:val="21"/>
                      <w:szCs w:val="18"/>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TN</w:t>
                  </w:r>
                </w:p>
              </w:tc>
              <w:tc>
                <w:tcPr>
                  <w:tcW w:w="329" w:type="pct"/>
                  <w:tcBorders>
                    <w:left w:val="nil"/>
                  </w:tcBorders>
                  <w:noWrap/>
                  <w:vAlign w:val="center"/>
                </w:tcPr>
                <w:p w14:paraId="0998AB86">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p>
              </w:tc>
              <w:tc>
                <w:tcPr>
                  <w:tcW w:w="2166" w:type="pct"/>
                  <w:noWrap/>
                  <w:vAlign w:val="center"/>
                </w:tcPr>
                <w:p w14:paraId="2B3BB98D">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1.0</w:t>
                  </w:r>
                </w:p>
              </w:tc>
            </w:tr>
            <w:tr w14:paraId="6600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ign w:val="center"/>
                </w:tcPr>
                <w:p w14:paraId="4B8595CE">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eastAsia="宋体"/>
                      <w:color w:val="000000" w:themeColor="text1"/>
                      <w:sz w:val="21"/>
                      <w:szCs w:val="18"/>
                      <w:lang w:val="en-US" w:eastAsia="zh-CN"/>
                      <w14:textFill>
                        <w14:solidFill>
                          <w14:schemeClr w14:val="tx1"/>
                        </w14:solidFill>
                      </w14:textFill>
                    </w:rPr>
                  </w:pPr>
                  <w:r>
                    <w:rPr>
                      <w:rFonts w:hint="eastAsia"/>
                      <w:color w:val="000000" w:themeColor="text1"/>
                      <w:sz w:val="21"/>
                      <w:szCs w:val="18"/>
                      <w:lang w:val="en-US" w:eastAsia="zh-CN"/>
                      <w14:textFill>
                        <w14:solidFill>
                          <w14:schemeClr w14:val="tx1"/>
                        </w14:solidFill>
                      </w14:textFill>
                    </w:rPr>
                    <w:t>9</w:t>
                  </w:r>
                </w:p>
              </w:tc>
              <w:tc>
                <w:tcPr>
                  <w:tcW w:w="1889" w:type="pct"/>
                  <w:tcBorders>
                    <w:right w:val="nil"/>
                  </w:tcBorders>
                  <w:noWrap/>
                  <w:vAlign w:val="center"/>
                </w:tcPr>
                <w:p w14:paraId="45662A4A">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ascii="Times New Roman" w:hAnsi="Times New Roman"/>
                      <w:color w:val="000000" w:themeColor="text1"/>
                      <w:sz w:val="21"/>
                      <w:szCs w:val="18"/>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阴离子表面活性剂</w:t>
                  </w:r>
                </w:p>
              </w:tc>
              <w:tc>
                <w:tcPr>
                  <w:tcW w:w="329" w:type="pct"/>
                  <w:tcBorders>
                    <w:left w:val="nil"/>
                  </w:tcBorders>
                  <w:noWrap/>
                  <w:vAlign w:val="center"/>
                </w:tcPr>
                <w:p w14:paraId="228E3333">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p>
              </w:tc>
              <w:tc>
                <w:tcPr>
                  <w:tcW w:w="2166" w:type="pct"/>
                  <w:noWrap/>
                  <w:vAlign w:val="center"/>
                </w:tcPr>
                <w:p w14:paraId="18D1820D">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0.2</w:t>
                  </w:r>
                </w:p>
              </w:tc>
            </w:tr>
            <w:tr w14:paraId="7911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ign w:val="center"/>
                </w:tcPr>
                <w:p w14:paraId="2F7C217E">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default" w:eastAsia="宋体"/>
                      <w:color w:val="000000" w:themeColor="text1"/>
                      <w:sz w:val="21"/>
                      <w:szCs w:val="18"/>
                      <w:lang w:val="en-US" w:eastAsia="zh-CN"/>
                      <w14:textFill>
                        <w14:solidFill>
                          <w14:schemeClr w14:val="tx1"/>
                        </w14:solidFill>
                      </w14:textFill>
                    </w:rPr>
                  </w:pPr>
                  <w:r>
                    <w:rPr>
                      <w:rFonts w:hint="eastAsia"/>
                      <w:color w:val="000000" w:themeColor="text1"/>
                      <w:sz w:val="21"/>
                      <w:szCs w:val="18"/>
                      <w:lang w:val="en-US" w:eastAsia="zh-CN"/>
                      <w14:textFill>
                        <w14:solidFill>
                          <w14:schemeClr w14:val="tx1"/>
                        </w14:solidFill>
                      </w14:textFill>
                    </w:rPr>
                    <w:t>10</w:t>
                  </w:r>
                </w:p>
              </w:tc>
              <w:tc>
                <w:tcPr>
                  <w:tcW w:w="1889" w:type="pct"/>
                  <w:tcBorders>
                    <w:right w:val="nil"/>
                  </w:tcBorders>
                  <w:noWrap/>
                  <w:vAlign w:val="center"/>
                </w:tcPr>
                <w:p w14:paraId="61FA303B">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ascii="Times New Roman" w:hAnsi="Times New Roman"/>
                      <w:color w:val="000000" w:themeColor="text1"/>
                      <w:sz w:val="21"/>
                      <w:szCs w:val="18"/>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粪大肠菌群（个/L）</w:t>
                  </w:r>
                </w:p>
              </w:tc>
              <w:tc>
                <w:tcPr>
                  <w:tcW w:w="329" w:type="pct"/>
                  <w:tcBorders>
                    <w:left w:val="nil"/>
                  </w:tcBorders>
                  <w:noWrap/>
                  <w:vAlign w:val="center"/>
                </w:tcPr>
                <w:p w14:paraId="32600827">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w:t>
                  </w:r>
                </w:p>
              </w:tc>
              <w:tc>
                <w:tcPr>
                  <w:tcW w:w="2166" w:type="pct"/>
                  <w:noWrap/>
                  <w:vAlign w:val="center"/>
                </w:tcPr>
                <w:p w14:paraId="6CF33E54">
                  <w:pPr>
                    <w:pStyle w:val="14"/>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18"/>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10000</w:t>
                  </w:r>
                </w:p>
              </w:tc>
            </w:tr>
          </w:tbl>
          <w:p w14:paraId="733111A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b/>
                <w:bCs/>
                <w:color w:val="000000" w:themeColor="text1"/>
                <w:kern w:val="0"/>
                <w:sz w:val="24"/>
                <w:lang w:val="en-US" w:eastAsia="zh-CN"/>
                <w14:textFill>
                  <w14:solidFill>
                    <w14:schemeClr w14:val="tx1"/>
                  </w14:solidFill>
                </w14:textFill>
              </w:rPr>
            </w:pPr>
            <w:r>
              <w:rPr>
                <w:rFonts w:hint="eastAsia" w:eastAsia="宋体"/>
                <w:b/>
                <w:bCs/>
                <w:color w:val="000000" w:themeColor="text1"/>
                <w:kern w:val="0"/>
                <w:sz w:val="24"/>
                <w:lang w:eastAsia="zh-CN"/>
                <w14:textFill>
                  <w14:solidFill>
                    <w14:schemeClr w14:val="tx1"/>
                  </w14:solidFill>
                </w14:textFill>
              </w:rPr>
              <w:t>（</w:t>
            </w:r>
            <w:r>
              <w:rPr>
                <w:rFonts w:hint="eastAsia" w:ascii="Times New Roman" w:eastAsia="宋体"/>
                <w:b/>
                <w:bCs/>
                <w:color w:val="000000" w:themeColor="text1"/>
                <w:kern w:val="0"/>
                <w:sz w:val="24"/>
                <w:lang w:val="en-US" w:eastAsia="zh-CN"/>
                <w14:textFill>
                  <w14:solidFill>
                    <w14:schemeClr w14:val="tx1"/>
                  </w14:solidFill>
                </w14:textFill>
              </w:rPr>
              <w:t>2</w:t>
            </w:r>
            <w:r>
              <w:rPr>
                <w:rFonts w:hint="eastAsia" w:eastAsia="宋体"/>
                <w:b/>
                <w:bCs/>
                <w:color w:val="000000" w:themeColor="text1"/>
                <w:kern w:val="0"/>
                <w:sz w:val="24"/>
                <w:lang w:eastAsia="zh-CN"/>
                <w14:textFill>
                  <w14:solidFill>
                    <w14:schemeClr w14:val="tx1"/>
                  </w14:solidFill>
                </w14:textFill>
              </w:rPr>
              <w:t>）</w:t>
            </w:r>
            <w:r>
              <w:rPr>
                <w:rFonts w:hint="eastAsia" w:ascii="Times New Roman" w:eastAsia="宋体"/>
                <w:b/>
                <w:bCs/>
                <w:color w:val="000000" w:themeColor="text1"/>
                <w:kern w:val="0"/>
                <w:sz w:val="24"/>
                <w:lang w:val="en-US" w:eastAsia="zh-CN"/>
                <w14:textFill>
                  <w14:solidFill>
                    <w14:schemeClr w14:val="tx1"/>
                  </w14:solidFill>
                </w14:textFill>
              </w:rPr>
              <w:t>达标分析</w:t>
            </w:r>
          </w:p>
          <w:p w14:paraId="319640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项目所在流域</w:t>
            </w:r>
            <w:r>
              <w:rPr>
                <w:rFonts w:hint="eastAsia" w:cs="Times New Roman"/>
                <w:color w:val="000000" w:themeColor="text1"/>
                <w:sz w:val="24"/>
                <w:highlight w:val="none"/>
                <w:lang w:val="en-US" w:eastAsia="zh-CN"/>
                <w14:textFill>
                  <w14:solidFill>
                    <w14:schemeClr w14:val="tx1"/>
                  </w14:solidFill>
                </w14:textFill>
              </w:rPr>
              <w:t>最近控制断面为</w:t>
            </w:r>
            <w:r>
              <w:rPr>
                <w:rFonts w:hint="eastAsia" w:ascii="Times New Roman" w:hAnsi="Times New Roman" w:eastAsia="宋体" w:cs="Times New Roman"/>
                <w:color w:val="000000" w:themeColor="text1"/>
                <w:sz w:val="24"/>
                <w:highlight w:val="none"/>
                <w14:textFill>
                  <w14:solidFill>
                    <w14:schemeClr w14:val="tx1"/>
                  </w14:solidFill>
                </w14:textFill>
              </w:rPr>
              <w:t>南盘江响水坝老吴村</w:t>
            </w:r>
            <w:r>
              <w:rPr>
                <w:rFonts w:hint="eastAsia" w:cs="Times New Roman"/>
                <w:color w:val="000000" w:themeColor="text1"/>
                <w:sz w:val="24"/>
                <w:highlight w:val="none"/>
                <w:lang w:val="en-US" w:eastAsia="zh-CN"/>
                <w14:textFill>
                  <w14:solidFill>
                    <w14:schemeClr w14:val="tx1"/>
                  </w14:solidFill>
                </w14:textFill>
              </w:rPr>
              <w:t>省控</w:t>
            </w:r>
            <w:r>
              <w:rPr>
                <w:rFonts w:hint="eastAsia" w:ascii="Times New Roman" w:hAnsi="Times New Roman" w:eastAsia="宋体" w:cs="Times New Roman"/>
                <w:color w:val="000000" w:themeColor="text1"/>
                <w:sz w:val="24"/>
                <w:highlight w:val="none"/>
                <w14:textFill>
                  <w14:solidFill>
                    <w14:schemeClr w14:val="tx1"/>
                  </w14:solidFill>
                </w14:textFill>
              </w:rPr>
              <w:t>断面，根据曲靖市生态环境局202</w:t>
            </w:r>
            <w:r>
              <w:rPr>
                <w:rFonts w:hint="eastAsia"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14:textFill>
                  <w14:solidFill>
                    <w14:schemeClr w14:val="tx1"/>
                  </w14:solidFill>
                </w14:textFill>
              </w:rPr>
              <w:t>年1月</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highlight w:val="none"/>
                <w14:textFill>
                  <w14:solidFill>
                    <w14:schemeClr w14:val="tx1"/>
                  </w14:solidFill>
                </w14:textFill>
              </w:rPr>
              <w:t>月水质统计，南盘江响水坝老吴村省控断面水质能</w:t>
            </w:r>
            <w:r>
              <w:rPr>
                <w:rFonts w:hint="eastAsia" w:cs="Times New Roman"/>
                <w:color w:val="000000" w:themeColor="text1"/>
                <w:sz w:val="24"/>
                <w:highlight w:val="none"/>
                <w:lang w:eastAsia="zh-CN"/>
                <w14:textFill>
                  <w14:solidFill>
                    <w14:schemeClr w14:val="tx1"/>
                  </w14:solidFill>
                </w14:textFill>
              </w:rPr>
              <w:t>达到</w:t>
            </w:r>
            <w:r>
              <w:rPr>
                <w:rFonts w:hint="eastAsia" w:ascii="Times New Roman" w:hAnsi="Times New Roman" w:eastAsia="宋体" w:cs="Times New Roman"/>
                <w:color w:val="000000" w:themeColor="text1"/>
                <w:sz w:val="24"/>
                <w:highlight w:val="none"/>
                <w14:textFill>
                  <w14:solidFill>
                    <w14:schemeClr w14:val="tx1"/>
                  </w14:solidFill>
                </w14:textFill>
              </w:rPr>
              <w:t>《地表水环境质量标准》（GB3838-2002）中</w:t>
            </w:r>
            <w:r>
              <w:rPr>
                <w:rFonts w:hint="eastAsia" w:cs="Times New Roman"/>
                <w:color w:val="000000" w:themeColor="text1"/>
                <w:sz w:val="24"/>
                <w:highlight w:val="none"/>
                <w:lang w:eastAsia="zh-CN"/>
                <w14:textFill>
                  <w14:solidFill>
                    <w14:schemeClr w14:val="tx1"/>
                  </w14:solidFill>
                </w14:textFill>
              </w:rPr>
              <w:t>Ⅲ</w:t>
            </w:r>
            <w:r>
              <w:rPr>
                <w:rFonts w:hint="eastAsia" w:ascii="Times New Roman" w:hAnsi="Times New Roman" w:eastAsia="宋体" w:cs="Times New Roman"/>
                <w:color w:val="000000" w:themeColor="text1"/>
                <w:sz w:val="24"/>
                <w:highlight w:val="none"/>
                <w14:textFill>
                  <w14:solidFill>
                    <w14:schemeClr w14:val="tx1"/>
                  </w14:solidFill>
                </w14:textFill>
              </w:rPr>
              <w:t>类标准。</w:t>
            </w:r>
          </w:p>
          <w:p w14:paraId="079E6E3A">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3.1.3</w:t>
            </w:r>
            <w:r>
              <w:rPr>
                <w:b/>
                <w:bCs/>
                <w:color w:val="000000" w:themeColor="text1"/>
                <w:sz w:val="24"/>
                <w:highlight w:val="none"/>
                <w14:textFill>
                  <w14:solidFill>
                    <w14:schemeClr w14:val="tx1"/>
                  </w14:solidFill>
                </w14:textFill>
              </w:rPr>
              <w:t>地</w:t>
            </w:r>
            <w:r>
              <w:rPr>
                <w:rFonts w:hint="eastAsia"/>
                <w:b/>
                <w:bCs/>
                <w:color w:val="000000" w:themeColor="text1"/>
                <w:sz w:val="24"/>
                <w:highlight w:val="none"/>
                <w:lang w:val="en-US" w:eastAsia="zh-CN"/>
                <w14:textFill>
                  <w14:solidFill>
                    <w14:schemeClr w14:val="tx1"/>
                  </w14:solidFill>
                </w14:textFill>
              </w:rPr>
              <w:t>下</w:t>
            </w:r>
            <w:r>
              <w:rPr>
                <w:b/>
                <w:bCs/>
                <w:color w:val="000000" w:themeColor="text1"/>
                <w:sz w:val="24"/>
                <w:highlight w:val="none"/>
                <w14:textFill>
                  <w14:solidFill>
                    <w14:schemeClr w14:val="tx1"/>
                  </w14:solidFill>
                </w14:textFill>
              </w:rPr>
              <w:t>水环境质量现状</w:t>
            </w:r>
          </w:p>
          <w:p w14:paraId="08F42A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val="0"/>
                <w:bCs/>
                <w:color w:val="00B050"/>
                <w:kern w:val="44"/>
                <w:sz w:val="24"/>
                <w:szCs w:val="30"/>
                <w:lang w:val="en-US" w:eastAsia="zh-CN" w:bidi="ar-SA"/>
              </w:rPr>
            </w:pPr>
            <w:r>
              <w:rPr>
                <w:rFonts w:hint="eastAsia" w:ascii="Times New Roman" w:hAnsi="Times New Roman" w:eastAsia="宋体" w:cs="Times New Roman"/>
                <w:b w:val="0"/>
                <w:bCs/>
                <w:color w:val="00B050"/>
                <w:kern w:val="44"/>
                <w:sz w:val="24"/>
                <w:szCs w:val="30"/>
                <w:lang w:val="en-US" w:eastAsia="zh-CN" w:bidi="ar-SA"/>
              </w:rPr>
              <w:t>根据《建设项目环境影响报告表编制技术指南》（污染影响类）（试行）要求，原则上不开展地下水环境质量监测，可能存在地下水环境污染途径的，应结合污染源、保护目标分布情况开展现状调查以留作背景值，</w:t>
            </w:r>
            <w:r>
              <w:rPr>
                <w:rFonts w:hint="eastAsia" w:cs="Times New Roman"/>
                <w:b w:val="0"/>
                <w:bCs/>
                <w:color w:val="00B050"/>
                <w:kern w:val="44"/>
                <w:sz w:val="24"/>
                <w:szCs w:val="30"/>
                <w:lang w:val="en-US" w:eastAsia="zh-CN" w:bidi="ar-SA"/>
              </w:rPr>
              <w:t>根据现场踏勘项目周边不存在地下水监测井。</w:t>
            </w:r>
            <w:r>
              <w:rPr>
                <w:rFonts w:hint="eastAsia"/>
                <w:bCs/>
                <w:color w:val="00B050"/>
                <w:sz w:val="24"/>
                <w:szCs w:val="24"/>
              </w:rPr>
              <w:t>项目区周边不涉及集中式饮用水水源准保护区和准保护区以外的补给径流区，</w:t>
            </w:r>
            <w:r>
              <w:rPr>
                <w:rFonts w:hint="eastAsia"/>
                <w:bCs/>
                <w:color w:val="00B050"/>
                <w:sz w:val="24"/>
                <w:szCs w:val="24"/>
                <w:lang w:val="en-US" w:eastAsia="zh-CN"/>
              </w:rPr>
              <w:t>不属于划定准保护区的集中式饮用水源。不属于分散式饮用水水源地，不属于其他保护区以外的补给径流区，</w:t>
            </w:r>
            <w:r>
              <w:rPr>
                <w:rFonts w:hint="eastAsia" w:cs="Times New Roman"/>
                <w:b w:val="0"/>
                <w:bCs/>
                <w:color w:val="00B050"/>
                <w:kern w:val="44"/>
                <w:sz w:val="24"/>
                <w:szCs w:val="30"/>
                <w:lang w:val="en-US" w:eastAsia="zh-CN" w:bidi="ar-SA"/>
              </w:rPr>
              <w:t>故项目不进行现状监测</w:t>
            </w:r>
            <w:r>
              <w:rPr>
                <w:rFonts w:ascii="Times New Roman" w:hAnsi="Times New Roman" w:eastAsia="宋体" w:cs="Times New Roman"/>
                <w:b w:val="0"/>
                <w:bCs/>
                <w:color w:val="00B050"/>
                <w:kern w:val="44"/>
                <w:sz w:val="24"/>
                <w:szCs w:val="30"/>
                <w:lang w:val="en-US" w:eastAsia="zh-CN" w:bidi="ar-SA"/>
              </w:rPr>
              <w:t>。</w:t>
            </w:r>
          </w:p>
          <w:p w14:paraId="7B13B6A7">
            <w:pPr>
              <w:keepNext/>
              <w:keepLines w:val="0"/>
              <w:pageBreakBefore w:val="0"/>
              <w:widowControl w:val="0"/>
              <w:kinsoku/>
              <w:wordWrap/>
              <w:overflowPunct w:val="0"/>
              <w:topLinePunct w:val="0"/>
              <w:autoSpaceDE/>
              <w:autoSpaceDN/>
              <w:bidi w:val="0"/>
              <w:adjustRightInd/>
              <w:snapToGrid/>
              <w:spacing w:after="0" w:line="360" w:lineRule="auto"/>
              <w:jc w:val="both"/>
              <w:textAlignment w:val="auto"/>
              <w:outlineLvl w:val="9"/>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3.1.4</w:t>
            </w:r>
            <w:r>
              <w:rPr>
                <w:rFonts w:hint="eastAsia"/>
                <w:b/>
                <w:color w:val="000000" w:themeColor="text1"/>
                <w:sz w:val="24"/>
                <w14:textFill>
                  <w14:solidFill>
                    <w14:schemeClr w14:val="tx1"/>
                  </w14:solidFill>
                </w14:textFill>
              </w:rPr>
              <w:t>区域声环境质量现状</w:t>
            </w:r>
          </w:p>
          <w:p w14:paraId="542CD7F5">
            <w:pPr>
              <w:pageBreakBefore w:val="0"/>
              <w:kinsoku/>
              <w:wordWrap/>
              <w:overflowPunct/>
              <w:topLinePunct w:val="0"/>
              <w:bidi w:val="0"/>
              <w:spacing w:line="360" w:lineRule="auto"/>
              <w:ind w:firstLine="482" w:firstLineChars="200"/>
              <w:rPr>
                <w:b/>
                <w:bCs w:val="0"/>
                <w:color w:val="000000" w:themeColor="text1"/>
                <w:sz w:val="24"/>
                <w14:textFill>
                  <w14:solidFill>
                    <w14:schemeClr w14:val="tx1"/>
                  </w14:solidFill>
                </w14:textFill>
              </w:rPr>
            </w:pPr>
            <w:r>
              <w:rPr>
                <w:rFonts w:hint="eastAsia"/>
                <w:b/>
                <w:bCs w:val="0"/>
                <w:color w:val="000000" w:themeColor="text1"/>
                <w:sz w:val="24"/>
                <w:lang w:val="en-US" w:eastAsia="zh-CN"/>
                <w14:textFill>
                  <w14:solidFill>
                    <w14:schemeClr w14:val="tx1"/>
                  </w14:solidFill>
                </w14:textFill>
              </w:rPr>
              <w:t>1、</w:t>
            </w:r>
            <w:r>
              <w:rPr>
                <w:rFonts w:hint="eastAsia"/>
                <w:b/>
                <w:bCs w:val="0"/>
                <w:color w:val="000000" w:themeColor="text1"/>
                <w:sz w:val="24"/>
                <w14:textFill>
                  <w14:solidFill>
                    <w14:schemeClr w14:val="tx1"/>
                  </w14:solidFill>
                </w14:textFill>
              </w:rPr>
              <w:t>声环境质量标准</w:t>
            </w:r>
          </w:p>
          <w:p w14:paraId="43637D62">
            <w:pPr>
              <w:pageBreakBefore w:val="0"/>
              <w:kinsoku/>
              <w:wordWrap/>
              <w:overflowPunct/>
              <w:topLinePunct w:val="0"/>
              <w:bidi w:val="0"/>
              <w:spacing w:line="360" w:lineRule="auto"/>
              <w:ind w:firstLine="480" w:firstLineChars="200"/>
              <w:rPr>
                <w:color w:val="000000" w:themeColor="text1"/>
                <w:kern w:val="0"/>
                <w:sz w:val="24"/>
                <w14:textFill>
                  <w14:solidFill>
                    <w14:schemeClr w14:val="tx1"/>
                  </w14:solidFill>
                </w14:textFill>
              </w:rPr>
            </w:pPr>
            <w:r>
              <w:rPr>
                <w:rFonts w:hint="eastAsia" w:ascii="Times New Roman" w:eastAsia="宋体"/>
                <w:color w:val="000000" w:themeColor="text1"/>
                <w:kern w:val="0"/>
                <w:sz w:val="24"/>
                <w:lang w:val="en-US" w:eastAsia="zh-CN"/>
                <w14:textFill>
                  <w14:solidFill>
                    <w14:schemeClr w14:val="tx1"/>
                  </w14:solidFill>
                </w14:textFill>
              </w:rPr>
              <w:t>项目位于</w:t>
            </w:r>
            <w:r>
              <w:rPr>
                <w:rFonts w:hint="eastAsia"/>
                <w:color w:val="000000" w:themeColor="text1"/>
                <w:sz w:val="24"/>
                <w:lang w:val="en-US" w:eastAsia="zh-CN"/>
                <w14:textFill>
                  <w14:solidFill>
                    <w14:schemeClr w14:val="tx1"/>
                  </w14:solidFill>
                </w14:textFill>
              </w:rPr>
              <w:t>曲靖市麒麟区珠街街道办事处珠街社区珠街村666号2栋18-19-20</w:t>
            </w:r>
            <w:r>
              <w:rPr>
                <w:rFonts w:hint="eastAsia"/>
                <w:color w:val="000000" w:themeColor="text1"/>
                <w:kern w:val="0"/>
                <w:sz w:val="24"/>
                <w:lang w:val="en-US" w:eastAsia="zh-CN"/>
                <w14:textFill>
                  <w14:solidFill>
                    <w14:schemeClr w14:val="tx1"/>
                  </w14:solidFill>
                </w14:textFill>
              </w:rPr>
              <w:t>，根据《曲靖市麒麟区声环境功能区划（2019—2029年）》</w:t>
            </w:r>
            <w:r>
              <w:rPr>
                <w:rFonts w:hint="eastAsia" w:ascii="Times New Roman" w:eastAsia="宋体"/>
                <w:color w:val="000000" w:themeColor="text1"/>
                <w:kern w:val="0"/>
                <w:sz w:val="24"/>
                <w:lang w:val="en-US"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项目区域声环境功能为2</w:t>
            </w:r>
            <w:r>
              <w:rPr>
                <w:rFonts w:hint="eastAsia"/>
                <w:color w:val="000000" w:themeColor="text1"/>
                <w:kern w:val="0"/>
                <w:sz w:val="24"/>
                <w14:textFill>
                  <w14:solidFill>
                    <w14:schemeClr w14:val="tx1"/>
                  </w14:solidFill>
                </w14:textFill>
              </w:rPr>
              <w:t>类，</w:t>
            </w:r>
            <w:r>
              <w:rPr>
                <w:rFonts w:hint="eastAsia"/>
                <w:color w:val="000000" w:themeColor="text1"/>
                <w:sz w:val="24"/>
                <w:highlight w:val="none"/>
                <w14:textFill>
                  <w14:solidFill>
                    <w14:schemeClr w14:val="tx1"/>
                  </w14:solidFill>
                </w14:textFill>
              </w:rPr>
              <w:t>执行《声环境质量标准》（GB3096-2008）</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类标准。</w:t>
            </w:r>
          </w:p>
          <w:p w14:paraId="4D327A67">
            <w:pPr>
              <w:pageBreakBefore w:val="0"/>
              <w:kinsoku/>
              <w:wordWrap/>
              <w:overflowPunct/>
              <w:topLinePunct w:val="0"/>
              <w:bidi w:val="0"/>
              <w:spacing w:line="360" w:lineRule="auto"/>
              <w:ind w:firstLine="480" w:firstLineChars="200"/>
              <w:rPr>
                <w:bCs/>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声环境功能区域</w:t>
            </w:r>
            <w:r>
              <w:rPr>
                <w:rFonts w:hint="eastAsia"/>
                <w:bCs/>
                <w:color w:val="000000" w:themeColor="text1"/>
                <w:sz w:val="24"/>
                <w14:textFill>
                  <w14:solidFill>
                    <w14:schemeClr w14:val="tx1"/>
                  </w14:solidFill>
                </w14:textFill>
              </w:rPr>
              <w:t>标准值见表</w:t>
            </w:r>
            <w:r>
              <w:rPr>
                <w:rFonts w:hint="eastAsia"/>
                <w:bCs/>
                <w:color w:val="000000" w:themeColor="text1"/>
                <w:sz w:val="24"/>
                <w:lang w:val="en-US" w:eastAsia="zh-CN"/>
                <w14:textFill>
                  <w14:solidFill>
                    <w14:schemeClr w14:val="tx1"/>
                  </w14:solidFill>
                </w14:textFill>
              </w:rPr>
              <w:t>3.1</w:t>
            </w:r>
            <w:r>
              <w:rPr>
                <w:rFonts w:hint="eastAsia"/>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6所示</w:t>
            </w:r>
            <w:r>
              <w:rPr>
                <w:rFonts w:hint="eastAsia"/>
                <w:bCs/>
                <w:color w:val="000000" w:themeColor="text1"/>
                <w:sz w:val="24"/>
                <w14:textFill>
                  <w14:solidFill>
                    <w14:schemeClr w14:val="tx1"/>
                  </w14:solidFill>
                </w14:textFill>
              </w:rPr>
              <w:t>。</w:t>
            </w:r>
          </w:p>
          <w:p w14:paraId="1492D719">
            <w:pPr>
              <w:pageBreakBefore w:val="0"/>
              <w:kinsoku/>
              <w:wordWrap/>
              <w:overflowPunct/>
              <w:topLinePunct w:val="0"/>
              <w:bidi w:val="0"/>
              <w:spacing w:line="240" w:lineRule="auto"/>
              <w:ind w:firstLine="0" w:firstLineChars="0"/>
              <w:jc w:val="center"/>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表</w:t>
            </w:r>
            <w:r>
              <w:rPr>
                <w:rFonts w:hint="eastAsia" w:ascii="Times New Roman" w:hAnsi="Times New Roman" w:eastAsia="宋体" w:cs="Times New Roman"/>
                <w:b/>
                <w:bCs/>
                <w:color w:val="000000" w:themeColor="text1"/>
                <w:sz w:val="21"/>
                <w:szCs w:val="18"/>
                <w:lang w:val="en-US" w:eastAsia="zh-CN"/>
                <w14:textFill>
                  <w14:solidFill>
                    <w14:schemeClr w14:val="tx1"/>
                  </w14:solidFill>
                </w14:textFill>
              </w:rPr>
              <w:t>3.1</w:t>
            </w:r>
            <w:r>
              <w:rPr>
                <w:rFonts w:hint="default" w:ascii="Times New Roman" w:hAnsi="Times New Roman" w:eastAsia="宋体" w:cs="Times New Roman"/>
                <w:b/>
                <w:bCs/>
                <w:color w:val="000000" w:themeColor="text1"/>
                <w:sz w:val="21"/>
                <w:szCs w:val="18"/>
                <w14:textFill>
                  <w14:solidFill>
                    <w14:schemeClr w14:val="tx1"/>
                  </w14:solidFill>
                </w14:textFill>
              </w:rPr>
              <w:t>-</w:t>
            </w:r>
            <w:r>
              <w:rPr>
                <w:rFonts w:hint="eastAsia" w:cs="Times New Roman"/>
                <w:b/>
                <w:bCs/>
                <w:color w:val="000000" w:themeColor="text1"/>
                <w:sz w:val="21"/>
                <w:szCs w:val="18"/>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sz w:val="21"/>
                <w:szCs w:val="18"/>
                <w14:textFill>
                  <w14:solidFill>
                    <w14:schemeClr w14:val="tx1"/>
                  </w14:solidFill>
                </w14:textFill>
              </w:rPr>
              <w:t xml:space="preserve"> 声环境质量标准   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5"/>
              <w:gridCol w:w="2890"/>
              <w:gridCol w:w="2460"/>
            </w:tblGrid>
            <w:tr w14:paraId="2E3A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2" w:type="pct"/>
                  <w:vMerge w:val="restart"/>
                  <w:tcBorders>
                    <w:tl2br w:val="nil"/>
                    <w:tr2bl w:val="nil"/>
                  </w:tcBorders>
                  <w:noWrap/>
                  <w:vAlign w:val="center"/>
                </w:tcPr>
                <w:p w14:paraId="5A3C9AFF">
                  <w:pPr>
                    <w:pageBreakBefore w:val="0"/>
                    <w:widowControl/>
                    <w:kinsoku/>
                    <w:wordWrap/>
                    <w:overflowPunct/>
                    <w:topLinePunct w:val="0"/>
                    <w:bidi w:val="0"/>
                    <w:adjustRightIn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声环境功能区类别</w:t>
                  </w:r>
                </w:p>
              </w:tc>
              <w:tc>
                <w:tcPr>
                  <w:tcW w:w="3247" w:type="pct"/>
                  <w:gridSpan w:val="2"/>
                  <w:tcBorders>
                    <w:tl2br w:val="nil"/>
                    <w:tr2bl w:val="nil"/>
                  </w:tcBorders>
                  <w:noWrap/>
                  <w:vAlign w:val="center"/>
                </w:tcPr>
                <w:p w14:paraId="0FC6A5EB">
                  <w:pPr>
                    <w:pageBreakBefore w:val="0"/>
                    <w:widowControl/>
                    <w:kinsoku/>
                    <w:wordWrap/>
                    <w:overflowPunct/>
                    <w:topLinePunct w:val="0"/>
                    <w:bidi w:val="0"/>
                    <w:adjustRightIn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时段</w:t>
                  </w:r>
                </w:p>
              </w:tc>
            </w:tr>
            <w:tr w14:paraId="2B6C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52" w:type="pct"/>
                  <w:vMerge w:val="continue"/>
                  <w:tcBorders>
                    <w:tl2br w:val="nil"/>
                    <w:tr2bl w:val="nil"/>
                  </w:tcBorders>
                  <w:noWrap/>
                  <w:vAlign w:val="center"/>
                </w:tcPr>
                <w:p w14:paraId="6CD7BFB6">
                  <w:pPr>
                    <w:pageBreakBefore w:val="0"/>
                    <w:widowControl/>
                    <w:kinsoku/>
                    <w:wordWrap/>
                    <w:overflowPunct/>
                    <w:topLinePunct w:val="0"/>
                    <w:bidi w:val="0"/>
                    <w:adjustRightInd w:val="0"/>
                    <w:spacing w:line="240" w:lineRule="auto"/>
                    <w:ind w:firstLine="0" w:firstLineChars="0"/>
                    <w:jc w:val="center"/>
                    <w:rPr>
                      <w:b/>
                      <w:bCs/>
                      <w:color w:val="000000" w:themeColor="text1"/>
                      <w:sz w:val="21"/>
                      <w:szCs w:val="21"/>
                      <w14:textFill>
                        <w14:solidFill>
                          <w14:schemeClr w14:val="tx1"/>
                        </w14:solidFill>
                      </w14:textFill>
                    </w:rPr>
                  </w:pPr>
                </w:p>
              </w:tc>
              <w:tc>
                <w:tcPr>
                  <w:tcW w:w="1754" w:type="pct"/>
                  <w:tcBorders>
                    <w:tl2br w:val="nil"/>
                    <w:tr2bl w:val="nil"/>
                  </w:tcBorders>
                  <w:noWrap/>
                  <w:vAlign w:val="center"/>
                </w:tcPr>
                <w:p w14:paraId="1ED13760">
                  <w:pPr>
                    <w:pageBreakBefore w:val="0"/>
                    <w:widowControl/>
                    <w:kinsoku/>
                    <w:wordWrap/>
                    <w:overflowPunct/>
                    <w:topLinePunct w:val="0"/>
                    <w:bidi w:val="0"/>
                    <w:adjustRightIn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昼间</w:t>
                  </w:r>
                </w:p>
              </w:tc>
              <w:tc>
                <w:tcPr>
                  <w:tcW w:w="1493" w:type="pct"/>
                  <w:tcBorders>
                    <w:tl2br w:val="nil"/>
                    <w:tr2bl w:val="nil"/>
                  </w:tcBorders>
                  <w:noWrap/>
                  <w:vAlign w:val="center"/>
                </w:tcPr>
                <w:p w14:paraId="01A68C71">
                  <w:pPr>
                    <w:pageBreakBefore w:val="0"/>
                    <w:widowControl/>
                    <w:kinsoku/>
                    <w:wordWrap/>
                    <w:overflowPunct/>
                    <w:topLinePunct w:val="0"/>
                    <w:bidi w:val="0"/>
                    <w:adjustRightIn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夜间</w:t>
                  </w:r>
                </w:p>
              </w:tc>
            </w:tr>
            <w:tr w14:paraId="25D1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52" w:type="pct"/>
                  <w:tcBorders>
                    <w:tl2br w:val="nil"/>
                    <w:tr2bl w:val="nil"/>
                  </w:tcBorders>
                  <w:noWrap/>
                  <w:vAlign w:val="center"/>
                </w:tcPr>
                <w:p w14:paraId="1A6C7E08">
                  <w:pPr>
                    <w:pageBreakBefore w:val="0"/>
                    <w:widowControl/>
                    <w:kinsoku/>
                    <w:wordWrap/>
                    <w:overflowPunct/>
                    <w:topLinePunct w:val="0"/>
                    <w:bidi w:val="0"/>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类</w:t>
                  </w:r>
                </w:p>
              </w:tc>
              <w:tc>
                <w:tcPr>
                  <w:tcW w:w="1754" w:type="pct"/>
                  <w:tcBorders>
                    <w:tl2br w:val="nil"/>
                    <w:tr2bl w:val="nil"/>
                  </w:tcBorders>
                  <w:noWrap/>
                  <w:vAlign w:val="center"/>
                </w:tcPr>
                <w:p w14:paraId="65EBA3E6">
                  <w:pPr>
                    <w:pageBreakBefore w:val="0"/>
                    <w:widowControl/>
                    <w:kinsoku/>
                    <w:wordWrap/>
                    <w:overflowPunct/>
                    <w:topLinePunct w:val="0"/>
                    <w:bidi w:val="0"/>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1493" w:type="pct"/>
                  <w:tcBorders>
                    <w:tl2br w:val="nil"/>
                    <w:tr2bl w:val="nil"/>
                  </w:tcBorders>
                  <w:noWrap/>
                  <w:vAlign w:val="center"/>
                </w:tcPr>
                <w:p w14:paraId="1D7A3E54">
                  <w:pPr>
                    <w:pageBreakBefore w:val="0"/>
                    <w:widowControl/>
                    <w:kinsoku/>
                    <w:wordWrap/>
                    <w:overflowPunct/>
                    <w:topLinePunct w:val="0"/>
                    <w:bidi w:val="0"/>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r>
          </w:tbl>
          <w:p w14:paraId="7E29509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val="0"/>
                <w:color w:val="000000" w:themeColor="text1"/>
                <w:sz w:val="24"/>
                <w14:textFill>
                  <w14:solidFill>
                    <w14:schemeClr w14:val="tx1"/>
                  </w14:solidFill>
                </w14:textFill>
              </w:rPr>
            </w:pPr>
            <w:r>
              <w:rPr>
                <w:rFonts w:hint="eastAsia"/>
                <w:b/>
                <w:bCs w:val="0"/>
                <w:color w:val="000000" w:themeColor="text1"/>
                <w:sz w:val="24"/>
                <w:lang w:val="en-US" w:eastAsia="zh-CN"/>
                <w14:textFill>
                  <w14:solidFill>
                    <w14:schemeClr w14:val="tx1"/>
                  </w14:solidFill>
                </w14:textFill>
              </w:rPr>
              <w:t>2、</w:t>
            </w:r>
            <w:r>
              <w:rPr>
                <w:rFonts w:hint="eastAsia"/>
                <w:b/>
                <w:bCs w:val="0"/>
                <w:color w:val="000000" w:themeColor="text1"/>
                <w:sz w:val="24"/>
                <w14:textFill>
                  <w14:solidFill>
                    <w14:schemeClr w14:val="tx1"/>
                  </w14:solidFill>
                </w14:textFill>
              </w:rPr>
              <w:t>声环境现状质量</w:t>
            </w:r>
          </w:p>
          <w:p w14:paraId="6F9F2C37">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根据现场踏勘，项目厂界周边50m范围内存在1处声环境保护目标（</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珠街社区散户</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），根据《建设项目环境影响报告表编制技术指南》（污染影响类）（试行）要求，厂界外周边50m范围内存在声环境保护目标的，需开展现状监测。</w:t>
            </w:r>
          </w:p>
          <w:p w14:paraId="412E0C2D">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建设单位委托云南中科检测技术有限公司对项目区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厂界、环境保护目标</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声环境质量现状进行监测。</w:t>
            </w:r>
          </w:p>
          <w:p w14:paraId="0E925190">
            <w:pPr>
              <w:pStyle w:val="11"/>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 xml:space="preserve">监测布点 </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共设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个监测点位，其中N1：项目区厂界东侧厂界外1m处；N2：项目区厂界南侧厂界外1m处；N3：项目区厂界西侧厂界外1m处；N4：项目区厂界北侧厂界外1m处；N5：厂区东南侧散户；</w:t>
            </w:r>
          </w:p>
          <w:p w14:paraId="70A0894E">
            <w:pPr>
              <w:pStyle w:val="11"/>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监测方法</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监测方法按《声环境质量标准》（GB3096-2008）进行。</w:t>
            </w:r>
          </w:p>
          <w:p w14:paraId="030A2EB1">
            <w:pPr>
              <w:pStyle w:val="1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24"/>
                <w14:textFill>
                  <w14:solidFill>
                    <w14:schemeClr w14:val="tx1"/>
                  </w14:solidFill>
                </w14:textFill>
              </w:rPr>
              <w:t xml:space="preserve">监测时间和频率 </w:t>
            </w:r>
          </w:p>
          <w:p w14:paraId="63427031">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监测项目：昼、夜间连续等效 A 声级。</w:t>
            </w:r>
          </w:p>
          <w:p w14:paraId="4CA9BFA7">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监测时间：</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日至</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13</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日</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571C12B4">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监测频率：昼间、夜间各监测1次。</w:t>
            </w:r>
          </w:p>
          <w:p w14:paraId="4E4080FF">
            <w:pPr>
              <w:pStyle w:val="1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szCs w:val="24"/>
                <w14:textFill>
                  <w14:solidFill>
                    <w14:schemeClr w14:val="tx1"/>
                  </w14:solidFill>
                </w14:textFill>
              </w:rPr>
              <w:t>）评价标准</w:t>
            </w:r>
          </w:p>
          <w:p w14:paraId="5DD749C6">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以等效声级L</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Aeq</w:t>
            </w:r>
            <w:r>
              <w:rPr>
                <w:rFonts w:hint="default" w:ascii="Times New Roman" w:hAnsi="Times New Roman" w:cs="Times New Roman" w:eastAsiaTheme="minorEastAsia"/>
                <w:color w:val="000000" w:themeColor="text1"/>
                <w:sz w:val="24"/>
                <w:szCs w:val="24"/>
                <w14:textFill>
                  <w14:solidFill>
                    <w14:schemeClr w14:val="tx1"/>
                  </w14:solidFill>
                </w14:textFill>
              </w:rPr>
              <w:t>为评价量，环境噪声按照《声环境质量标准》（GB3096-2008）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类标准评价</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14:paraId="186E238C">
            <w:pPr>
              <w:pStyle w:val="1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4"/>
                <w:szCs w:val="24"/>
                <w14:textFill>
                  <w14:solidFill>
                    <w14:schemeClr w14:val="tx1"/>
                  </w14:solidFill>
                </w14:textFill>
              </w:rPr>
              <w:t>）声环境现状监测结果与评价</w:t>
            </w:r>
          </w:p>
          <w:p w14:paraId="7DD813EA">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声环境质量现状监测与评价结果见表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所示</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09FE3656">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000000" w:themeColor="text1"/>
                <w:spacing w:val="0"/>
                <w:sz w:val="21"/>
                <w:szCs w:val="21"/>
                <w14:textFill>
                  <w14:solidFill>
                    <w14:schemeClr w14:val="tx1"/>
                  </w14:solidFill>
                </w14:textFill>
              </w:rPr>
            </w:pPr>
            <w: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t>表</w:t>
            </w:r>
            <w:r>
              <w:rPr>
                <w:rFonts w:hint="default" w:ascii="Times New Roman" w:hAnsi="Times New Roman" w:cs="Times New Roman" w:eastAsiaTheme="minorEastAsia"/>
                <w:b/>
                <w:bCs/>
                <w:color w:val="000000" w:themeColor="text1"/>
                <w:spacing w:val="0"/>
                <w:sz w:val="21"/>
                <w:szCs w:val="21"/>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t>-</w:t>
            </w:r>
            <w:r>
              <w:rPr>
                <w:rFonts w:hint="eastAsia" w:cs="Times New Roman" w:eastAsiaTheme="minorEastAsia"/>
                <w:b/>
                <w:bCs/>
                <w:color w:val="000000" w:themeColor="text1"/>
                <w:spacing w:val="0"/>
                <w:sz w:val="21"/>
                <w:szCs w:val="21"/>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t>声环境现状监测结果</w:t>
            </w:r>
            <w:r>
              <w:rPr>
                <w:rFonts w:hint="default" w:ascii="Times New Roman" w:hAnsi="Times New Roman" w:cs="Times New Roman" w:eastAsiaTheme="minorEastAsia"/>
                <w:b/>
                <w:bCs/>
                <w:color w:val="000000" w:themeColor="text1"/>
                <w:spacing w:val="0"/>
                <w:sz w:val="21"/>
                <w:szCs w:val="21"/>
                <w:lang w:eastAsia="zh-CN"/>
                <w14:textFill>
                  <w14:solidFill>
                    <w14:schemeClr w14:val="tx1"/>
                  </w14:solidFill>
                </w14:textFill>
              </w:rPr>
              <w:t>与评价</w:t>
            </w:r>
            <w:r>
              <w:rPr>
                <w:rFonts w:hint="default" w:ascii="Times New Roman" w:hAnsi="Times New Roman" w:cs="Times New Roman" w:eastAsiaTheme="minorEastAsia"/>
                <w:b/>
                <w:bCs/>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t>单位：dB</w:t>
            </w:r>
            <w:r>
              <w:rPr>
                <w:rFonts w:hint="default" w:ascii="Times New Roman" w:hAnsi="Times New Roman" w:cs="Times New Roman" w:eastAsiaTheme="minorEastAsia"/>
                <w:b/>
                <w:bCs/>
                <w:color w:val="000000" w:themeColor="text1"/>
                <w:spacing w:val="0"/>
                <w:sz w:val="21"/>
                <w:szCs w:val="21"/>
                <w:lang w:eastAsia="zh-CN"/>
                <w14:textFill>
                  <w14:solidFill>
                    <w14:schemeClr w14:val="tx1"/>
                  </w14:solidFill>
                </w14:textFill>
              </w:rPr>
              <w:t>（</w:t>
            </w:r>
            <w: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t>A</w:t>
            </w:r>
            <w:r>
              <w:rPr>
                <w:rFonts w:hint="eastAsia" w:cs="Times New Roman" w:eastAsiaTheme="minorEastAsia"/>
                <w:b/>
                <w:bCs/>
                <w:color w:val="000000" w:themeColor="text1"/>
                <w:spacing w:val="0"/>
                <w:sz w:val="21"/>
                <w:szCs w:val="21"/>
                <w:lang w:eastAsia="zh-CN"/>
                <w14:textFill>
                  <w14:solidFill>
                    <w14:schemeClr w14:val="tx1"/>
                  </w14:solidFill>
                </w14:textFill>
              </w:rPr>
              <w:t>）</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402"/>
              <w:gridCol w:w="829"/>
              <w:gridCol w:w="1328"/>
              <w:gridCol w:w="596"/>
              <w:gridCol w:w="1287"/>
              <w:gridCol w:w="489"/>
              <w:gridCol w:w="471"/>
              <w:gridCol w:w="514"/>
              <w:gridCol w:w="611"/>
            </w:tblGrid>
            <w:tr w14:paraId="3E82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8" w:type="pct"/>
                  <w:vMerge w:val="restart"/>
                  <w:vAlign w:val="center"/>
                </w:tcPr>
                <w:p w14:paraId="394123D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项目检测内容</w:t>
                  </w:r>
                </w:p>
              </w:tc>
              <w:tc>
                <w:tcPr>
                  <w:tcW w:w="851" w:type="pct"/>
                  <w:vMerge w:val="restart"/>
                  <w:vAlign w:val="center"/>
                </w:tcPr>
                <w:p w14:paraId="3E60622B">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t>检测点位置</w:t>
                  </w:r>
                </w:p>
              </w:tc>
              <w:tc>
                <w:tcPr>
                  <w:tcW w:w="503" w:type="pct"/>
                  <w:vMerge w:val="restart"/>
                  <w:vAlign w:val="center"/>
                </w:tcPr>
                <w:p w14:paraId="5BE4C7F8">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检测日期</w:t>
                  </w:r>
                </w:p>
              </w:tc>
              <w:tc>
                <w:tcPr>
                  <w:tcW w:w="2246" w:type="pct"/>
                  <w:gridSpan w:val="4"/>
                  <w:vAlign w:val="center"/>
                </w:tcPr>
                <w:p w14:paraId="79489A9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t>检测结果 Leq[dB（A）]</w:t>
                  </w:r>
                </w:p>
              </w:tc>
              <w:tc>
                <w:tcPr>
                  <w:tcW w:w="598" w:type="pct"/>
                  <w:gridSpan w:val="2"/>
                  <w:vAlign w:val="center"/>
                </w:tcPr>
                <w:p w14:paraId="61F9B17C">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t>标准值</w:t>
                  </w:r>
                </w:p>
              </w:tc>
              <w:tc>
                <w:tcPr>
                  <w:tcW w:w="371" w:type="pct"/>
                  <w:vMerge w:val="restart"/>
                  <w:vAlign w:val="center"/>
                </w:tcPr>
                <w:p w14:paraId="22456EA7">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达标情况</w:t>
                  </w:r>
                </w:p>
              </w:tc>
            </w:tr>
            <w:tr w14:paraId="480D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28" w:type="pct"/>
                  <w:vMerge w:val="continue"/>
                  <w:vAlign w:val="center"/>
                </w:tcPr>
                <w:p w14:paraId="4A33850A">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51" w:type="pct"/>
                  <w:vMerge w:val="continue"/>
                  <w:vAlign w:val="center"/>
                </w:tcPr>
                <w:p w14:paraId="5BBD6C00">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03" w:type="pct"/>
                  <w:vMerge w:val="continue"/>
                  <w:vAlign w:val="center"/>
                </w:tcPr>
                <w:p w14:paraId="7E33089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8" w:type="pct"/>
                  <w:gridSpan w:val="2"/>
                  <w:vAlign w:val="center"/>
                </w:tcPr>
                <w:p w14:paraId="70FAF0A1">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t>时段（昼间）</w:t>
                  </w:r>
                </w:p>
              </w:tc>
              <w:tc>
                <w:tcPr>
                  <w:tcW w:w="1078" w:type="pct"/>
                  <w:gridSpan w:val="2"/>
                  <w:vAlign w:val="center"/>
                </w:tcPr>
                <w:p w14:paraId="0014C2E7">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t>时段（夜间）</w:t>
                  </w:r>
                </w:p>
              </w:tc>
              <w:tc>
                <w:tcPr>
                  <w:tcW w:w="286" w:type="pct"/>
                  <w:shd w:val="clear" w:color="auto" w:fill="auto"/>
                  <w:vAlign w:val="center"/>
                </w:tcPr>
                <w:p w14:paraId="5336F955">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lang w:val="en-US" w:eastAsia="en-US"/>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t>昼间</w:t>
                  </w:r>
                </w:p>
              </w:tc>
              <w:tc>
                <w:tcPr>
                  <w:tcW w:w="312" w:type="pct"/>
                  <w:shd w:val="clear" w:color="auto" w:fill="auto"/>
                  <w:vAlign w:val="center"/>
                </w:tcPr>
                <w:p w14:paraId="2930FA0F">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lang w:val="en-US" w:eastAsia="en-US"/>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t>夜间</w:t>
                  </w:r>
                </w:p>
              </w:tc>
              <w:tc>
                <w:tcPr>
                  <w:tcW w:w="371" w:type="pct"/>
                  <w:vMerge w:val="continue"/>
                  <w:vAlign w:val="center"/>
                </w:tcPr>
                <w:p w14:paraId="32DC1564">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02A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restart"/>
                  <w:vAlign w:val="center"/>
                </w:tcPr>
                <w:p w14:paraId="00FDD9C8">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环境噪声</w:t>
                  </w:r>
                </w:p>
              </w:tc>
              <w:tc>
                <w:tcPr>
                  <w:tcW w:w="851" w:type="pct"/>
                  <w:vAlign w:val="center"/>
                </w:tcPr>
                <w:p w14:paraId="6A8CB57B">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N1：项目区厂界东侧外 1m处</w:t>
                  </w:r>
                </w:p>
              </w:tc>
              <w:tc>
                <w:tcPr>
                  <w:tcW w:w="503" w:type="pct"/>
                  <w:vMerge w:val="restart"/>
                  <w:vAlign w:val="center"/>
                </w:tcPr>
                <w:p w14:paraId="5F3ED36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lang w:val="en-US"/>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2024.</w:t>
                  </w:r>
                  <w:r>
                    <w:rPr>
                      <w:rFonts w:hint="eastAsia"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w:t>
                  </w:r>
                  <w:r>
                    <w:rPr>
                      <w:rFonts w:hint="eastAsia"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12</w:t>
                  </w:r>
                </w:p>
              </w:tc>
              <w:tc>
                <w:tcPr>
                  <w:tcW w:w="806" w:type="pct"/>
                  <w:shd w:val="clear" w:color="auto" w:fill="auto"/>
                  <w:vAlign w:val="center"/>
                </w:tcPr>
                <w:p w14:paraId="620E8A27">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14:03-14:13</w:t>
                  </w:r>
                </w:p>
              </w:tc>
              <w:tc>
                <w:tcPr>
                  <w:tcW w:w="362" w:type="pct"/>
                  <w:vAlign w:val="center"/>
                </w:tcPr>
                <w:p w14:paraId="45235A8D">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781" w:type="pct"/>
                  <w:vAlign w:val="center"/>
                </w:tcPr>
                <w:p w14:paraId="7C89494E">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22:05-22:15</w:t>
                  </w:r>
                </w:p>
              </w:tc>
              <w:tc>
                <w:tcPr>
                  <w:tcW w:w="296" w:type="pct"/>
                  <w:vAlign w:val="center"/>
                </w:tcPr>
                <w:p w14:paraId="6D7FDB71">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w:t>
                  </w:r>
                </w:p>
              </w:tc>
              <w:tc>
                <w:tcPr>
                  <w:tcW w:w="286" w:type="pct"/>
                  <w:shd w:val="clear" w:color="auto" w:fill="auto"/>
                  <w:vAlign w:val="center"/>
                </w:tcPr>
                <w:p w14:paraId="419BEB08">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12" w:type="pct"/>
                  <w:shd w:val="clear" w:color="auto" w:fill="auto"/>
                  <w:vAlign w:val="center"/>
                </w:tcPr>
                <w:p w14:paraId="34084D13">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1" w:type="pct"/>
                  <w:vAlign w:val="center"/>
                </w:tcPr>
                <w:p w14:paraId="78991780">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达标</w:t>
                  </w:r>
                </w:p>
              </w:tc>
            </w:tr>
            <w:tr w14:paraId="413D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6F5EFC80">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51" w:type="pct"/>
                  <w:vAlign w:val="center"/>
                </w:tcPr>
                <w:p w14:paraId="69621734">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pacing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N2：项目区厂界南侧外 1m处</w:t>
                  </w:r>
                </w:p>
              </w:tc>
              <w:tc>
                <w:tcPr>
                  <w:tcW w:w="503" w:type="pct"/>
                  <w:vMerge w:val="continue"/>
                  <w:vAlign w:val="center"/>
                </w:tcPr>
                <w:p w14:paraId="7A5A5DE7">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p>
              </w:tc>
              <w:tc>
                <w:tcPr>
                  <w:tcW w:w="806" w:type="pct"/>
                  <w:shd w:val="clear" w:color="auto" w:fill="auto"/>
                  <w:vAlign w:val="center"/>
                </w:tcPr>
                <w:p w14:paraId="77771B0A">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14:19-14:29</w:t>
                  </w:r>
                </w:p>
              </w:tc>
              <w:tc>
                <w:tcPr>
                  <w:tcW w:w="362" w:type="pct"/>
                  <w:vAlign w:val="center"/>
                </w:tcPr>
                <w:p w14:paraId="6049256E">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781" w:type="pct"/>
                  <w:vAlign w:val="center"/>
                </w:tcPr>
                <w:p w14:paraId="39DF1F3B">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22:20-22:30</w:t>
                  </w:r>
                </w:p>
              </w:tc>
              <w:tc>
                <w:tcPr>
                  <w:tcW w:w="296" w:type="pct"/>
                  <w:vAlign w:val="center"/>
                </w:tcPr>
                <w:p w14:paraId="11052DA9">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w:t>
                  </w:r>
                </w:p>
              </w:tc>
              <w:tc>
                <w:tcPr>
                  <w:tcW w:w="286" w:type="pct"/>
                  <w:shd w:val="clear" w:color="auto" w:fill="auto"/>
                  <w:vAlign w:val="center"/>
                </w:tcPr>
                <w:p w14:paraId="05843EA2">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12" w:type="pct"/>
                  <w:shd w:val="clear" w:color="auto" w:fill="auto"/>
                  <w:vAlign w:val="center"/>
                </w:tcPr>
                <w:p w14:paraId="3486EB13">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1" w:type="pct"/>
                  <w:vAlign w:val="center"/>
                </w:tcPr>
                <w:p w14:paraId="76E2253A">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达标</w:t>
                  </w:r>
                </w:p>
              </w:tc>
            </w:tr>
            <w:tr w14:paraId="65CA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45F07C58">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51" w:type="pct"/>
                  <w:vAlign w:val="center"/>
                </w:tcPr>
                <w:p w14:paraId="5EEE4B46">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N3：项目区厂界西侧外 1m处</w:t>
                  </w:r>
                </w:p>
              </w:tc>
              <w:tc>
                <w:tcPr>
                  <w:tcW w:w="503" w:type="pct"/>
                  <w:vMerge w:val="continue"/>
                  <w:vAlign w:val="center"/>
                </w:tcPr>
                <w:p w14:paraId="7F545466">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p>
              </w:tc>
              <w:tc>
                <w:tcPr>
                  <w:tcW w:w="806" w:type="pct"/>
                  <w:shd w:val="clear" w:color="auto" w:fill="auto"/>
                  <w:vAlign w:val="center"/>
                </w:tcPr>
                <w:p w14:paraId="14C086A7">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14:36-14:46</w:t>
                  </w:r>
                </w:p>
              </w:tc>
              <w:tc>
                <w:tcPr>
                  <w:tcW w:w="362" w:type="pct"/>
                  <w:vAlign w:val="center"/>
                </w:tcPr>
                <w:p w14:paraId="5CE77A02">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w:t>
                  </w:r>
                </w:p>
              </w:tc>
              <w:tc>
                <w:tcPr>
                  <w:tcW w:w="781" w:type="pct"/>
                  <w:vAlign w:val="center"/>
                </w:tcPr>
                <w:p w14:paraId="28AEE183">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22:36-22:46</w:t>
                  </w:r>
                </w:p>
              </w:tc>
              <w:tc>
                <w:tcPr>
                  <w:tcW w:w="296" w:type="pct"/>
                  <w:vAlign w:val="center"/>
                </w:tcPr>
                <w:p w14:paraId="09A95907">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286" w:type="pct"/>
                  <w:shd w:val="clear" w:color="auto" w:fill="auto"/>
                  <w:vAlign w:val="center"/>
                </w:tcPr>
                <w:p w14:paraId="03B93DC2">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12" w:type="pct"/>
                  <w:shd w:val="clear" w:color="auto" w:fill="auto"/>
                  <w:vAlign w:val="center"/>
                </w:tcPr>
                <w:p w14:paraId="07A827D8">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1" w:type="pct"/>
                  <w:vAlign w:val="center"/>
                </w:tcPr>
                <w:p w14:paraId="63112DC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达标</w:t>
                  </w:r>
                </w:p>
              </w:tc>
            </w:tr>
            <w:tr w14:paraId="664D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0B9ADE5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51" w:type="pct"/>
                  <w:vAlign w:val="center"/>
                </w:tcPr>
                <w:p w14:paraId="22719697">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N4：项目区厂界北侧外 1m处</w:t>
                  </w:r>
                </w:p>
              </w:tc>
              <w:tc>
                <w:tcPr>
                  <w:tcW w:w="503" w:type="pct"/>
                  <w:vMerge w:val="continue"/>
                  <w:vAlign w:val="center"/>
                </w:tcPr>
                <w:p w14:paraId="56306F5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p>
              </w:tc>
              <w:tc>
                <w:tcPr>
                  <w:tcW w:w="806" w:type="pct"/>
                  <w:shd w:val="clear" w:color="auto" w:fill="auto"/>
                  <w:vAlign w:val="center"/>
                </w:tcPr>
                <w:p w14:paraId="5305344C">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14:51-15:01</w:t>
                  </w:r>
                </w:p>
              </w:tc>
              <w:tc>
                <w:tcPr>
                  <w:tcW w:w="362" w:type="pct"/>
                  <w:vAlign w:val="center"/>
                </w:tcPr>
                <w:p w14:paraId="2DFD8F7C">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781" w:type="pct"/>
                  <w:vAlign w:val="center"/>
                </w:tcPr>
                <w:p w14:paraId="4E395075">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22:52-23:02</w:t>
                  </w:r>
                </w:p>
              </w:tc>
              <w:tc>
                <w:tcPr>
                  <w:tcW w:w="296" w:type="pct"/>
                  <w:vAlign w:val="center"/>
                </w:tcPr>
                <w:p w14:paraId="2B6DBEB7">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w:t>
                  </w:r>
                </w:p>
              </w:tc>
              <w:tc>
                <w:tcPr>
                  <w:tcW w:w="286" w:type="pct"/>
                  <w:shd w:val="clear" w:color="auto" w:fill="auto"/>
                  <w:vAlign w:val="center"/>
                </w:tcPr>
                <w:p w14:paraId="3B9BAFC0">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12" w:type="pct"/>
                  <w:shd w:val="clear" w:color="auto" w:fill="auto"/>
                  <w:vAlign w:val="center"/>
                </w:tcPr>
                <w:p w14:paraId="4AC64626">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1" w:type="pct"/>
                  <w:vAlign w:val="center"/>
                </w:tcPr>
                <w:p w14:paraId="07328594">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达标</w:t>
                  </w:r>
                </w:p>
              </w:tc>
            </w:tr>
            <w:tr w14:paraId="7B43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7697C88D">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51" w:type="pct"/>
                  <w:vAlign w:val="center"/>
                </w:tcPr>
                <w:p w14:paraId="22F45456">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FF0000"/>
                      <w:spacing w:val="0"/>
                      <w:sz w:val="21"/>
                      <w:szCs w:val="21"/>
                      <w:vertAlign w:val="baseline"/>
                      <w:lang w:eastAsia="zh-CN"/>
                    </w:rPr>
                  </w:pPr>
                  <w:r>
                    <w:rPr>
                      <w:rFonts w:hint="default" w:ascii="Times New Roman" w:hAnsi="Times New Roman" w:eastAsia="宋体" w:cs="Times New Roman"/>
                      <w:b w:val="0"/>
                      <w:bCs w:val="0"/>
                      <w:color w:val="FF0000"/>
                      <w:spacing w:val="0"/>
                      <w:sz w:val="21"/>
                      <w:szCs w:val="21"/>
                      <w:vertAlign w:val="baseline"/>
                    </w:rPr>
                    <w:t>N5：厂区东南侧散户</w:t>
                  </w:r>
                  <w:r>
                    <w:rPr>
                      <w:rFonts w:hint="eastAsia" w:cs="Times New Roman"/>
                      <w:b w:val="0"/>
                      <w:bCs w:val="0"/>
                      <w:color w:val="FF0000"/>
                      <w:spacing w:val="0"/>
                      <w:sz w:val="21"/>
                      <w:szCs w:val="21"/>
                      <w:vertAlign w:val="baseline"/>
                      <w:lang w:eastAsia="zh-CN"/>
                    </w:rPr>
                    <w:t>（</w:t>
                  </w:r>
                  <w:r>
                    <w:rPr>
                      <w:rFonts w:hint="eastAsia"/>
                      <w:color w:val="FF0000"/>
                      <w:lang w:val="en-US" w:eastAsia="zh-CN"/>
                    </w:rPr>
                    <w:t>珠街社区散户1</w:t>
                  </w:r>
                  <w:r>
                    <w:rPr>
                      <w:rFonts w:hint="eastAsia" w:cs="Times New Roman"/>
                      <w:b w:val="0"/>
                      <w:bCs w:val="0"/>
                      <w:color w:val="FF0000"/>
                      <w:spacing w:val="0"/>
                      <w:sz w:val="21"/>
                      <w:szCs w:val="21"/>
                      <w:vertAlign w:val="baseline"/>
                      <w:lang w:eastAsia="zh-CN"/>
                    </w:rPr>
                    <w:t>）</w:t>
                  </w:r>
                </w:p>
              </w:tc>
              <w:tc>
                <w:tcPr>
                  <w:tcW w:w="503" w:type="pct"/>
                  <w:vMerge w:val="continue"/>
                  <w:vAlign w:val="center"/>
                </w:tcPr>
                <w:p w14:paraId="18BD5120">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FF0000"/>
                      <w:spacing w:val="0"/>
                      <w:sz w:val="21"/>
                      <w:szCs w:val="21"/>
                      <w:vertAlign w:val="baseline"/>
                    </w:rPr>
                  </w:pPr>
                </w:p>
              </w:tc>
              <w:tc>
                <w:tcPr>
                  <w:tcW w:w="806" w:type="pct"/>
                  <w:shd w:val="clear" w:color="auto" w:fill="auto"/>
                  <w:vAlign w:val="center"/>
                </w:tcPr>
                <w:p w14:paraId="29A621AA">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FF0000"/>
                      <w:sz w:val="21"/>
                      <w:szCs w:val="21"/>
                      <w:lang w:val="en-US" w:eastAsia="en-US"/>
                    </w:rPr>
                  </w:pPr>
                  <w:r>
                    <w:rPr>
                      <w:rFonts w:hint="default" w:ascii="Times New Roman" w:hAnsi="Times New Roman" w:eastAsia="宋体" w:cs="Times New Roman"/>
                      <w:color w:val="FF0000"/>
                      <w:sz w:val="21"/>
                      <w:szCs w:val="21"/>
                      <w:lang w:val="en-US" w:eastAsia="en-US"/>
                    </w:rPr>
                    <w:t>15:14-15:24</w:t>
                  </w:r>
                </w:p>
              </w:tc>
              <w:tc>
                <w:tcPr>
                  <w:tcW w:w="362" w:type="pct"/>
                  <w:vAlign w:val="center"/>
                </w:tcPr>
                <w:p w14:paraId="6FEEB241">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50</w:t>
                  </w:r>
                </w:p>
              </w:tc>
              <w:tc>
                <w:tcPr>
                  <w:tcW w:w="781" w:type="pct"/>
                  <w:vAlign w:val="center"/>
                </w:tcPr>
                <w:p w14:paraId="1C8E6DB2">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23:22-23:32</w:t>
                  </w:r>
                </w:p>
              </w:tc>
              <w:tc>
                <w:tcPr>
                  <w:tcW w:w="296" w:type="pct"/>
                  <w:vAlign w:val="center"/>
                </w:tcPr>
                <w:p w14:paraId="5E37E055">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43</w:t>
                  </w:r>
                </w:p>
              </w:tc>
              <w:tc>
                <w:tcPr>
                  <w:tcW w:w="286" w:type="pct"/>
                  <w:shd w:val="clear" w:color="auto" w:fill="auto"/>
                  <w:vAlign w:val="center"/>
                </w:tcPr>
                <w:p w14:paraId="39C89F21">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FF0000"/>
                      <w:sz w:val="21"/>
                      <w:szCs w:val="21"/>
                      <w:lang w:val="en-US" w:eastAsia="en-US"/>
                    </w:rPr>
                  </w:pPr>
                  <w:r>
                    <w:rPr>
                      <w:rFonts w:hint="eastAsia" w:ascii="Times New Roman" w:hAnsi="Times New Roman" w:eastAsia="宋体" w:cs="Times New Roman"/>
                      <w:color w:val="FF0000"/>
                      <w:sz w:val="21"/>
                      <w:szCs w:val="21"/>
                      <w:lang w:val="en-US" w:eastAsia="zh-CN"/>
                    </w:rPr>
                    <w:t>60</w:t>
                  </w:r>
                </w:p>
              </w:tc>
              <w:tc>
                <w:tcPr>
                  <w:tcW w:w="312" w:type="pct"/>
                  <w:shd w:val="clear" w:color="auto" w:fill="auto"/>
                  <w:vAlign w:val="center"/>
                </w:tcPr>
                <w:p w14:paraId="6F936757">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FF0000"/>
                      <w:sz w:val="21"/>
                      <w:szCs w:val="21"/>
                      <w:lang w:val="en-US" w:eastAsia="en-US"/>
                    </w:rPr>
                  </w:pPr>
                  <w:r>
                    <w:rPr>
                      <w:rFonts w:hint="eastAsia" w:ascii="Times New Roman" w:hAnsi="Times New Roman" w:eastAsia="宋体" w:cs="Times New Roman"/>
                      <w:color w:val="FF0000"/>
                      <w:sz w:val="21"/>
                      <w:szCs w:val="21"/>
                      <w:lang w:val="en-US" w:eastAsia="zh-CN"/>
                    </w:rPr>
                    <w:t>50</w:t>
                  </w:r>
                </w:p>
              </w:tc>
              <w:tc>
                <w:tcPr>
                  <w:tcW w:w="371" w:type="pct"/>
                  <w:vAlign w:val="center"/>
                </w:tcPr>
                <w:p w14:paraId="4006592A">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FF0000"/>
                      <w:spacing w:val="0"/>
                      <w:sz w:val="21"/>
                      <w:szCs w:val="21"/>
                      <w:vertAlign w:val="baseline"/>
                    </w:rPr>
                  </w:pPr>
                  <w:r>
                    <w:rPr>
                      <w:rFonts w:hint="default" w:ascii="Times New Roman" w:hAnsi="Times New Roman" w:eastAsia="宋体" w:cs="Times New Roman"/>
                      <w:b w:val="0"/>
                      <w:bCs w:val="0"/>
                      <w:color w:val="FF0000"/>
                      <w:spacing w:val="0"/>
                      <w:sz w:val="21"/>
                      <w:szCs w:val="21"/>
                      <w:vertAlign w:val="baseline"/>
                      <w:lang w:val="en-US" w:eastAsia="zh-CN"/>
                    </w:rPr>
                    <w:t>达标</w:t>
                  </w:r>
                </w:p>
              </w:tc>
            </w:tr>
            <w:tr w14:paraId="04EA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7699B725">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51" w:type="pct"/>
                  <w:shd w:val="clear" w:color="auto" w:fill="auto"/>
                  <w:vAlign w:val="center"/>
                </w:tcPr>
                <w:p w14:paraId="7A0BD769">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kern w:val="2"/>
                      <w:sz w:val="21"/>
                      <w:szCs w:val="21"/>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N1：项目区厂界东侧外 1m处</w:t>
                  </w:r>
                </w:p>
              </w:tc>
              <w:tc>
                <w:tcPr>
                  <w:tcW w:w="503" w:type="pct"/>
                  <w:vMerge w:val="restart"/>
                  <w:vAlign w:val="center"/>
                </w:tcPr>
                <w:p w14:paraId="16EE12AB">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2024.</w:t>
                  </w:r>
                  <w:r>
                    <w:rPr>
                      <w:rFonts w:hint="eastAsia"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w:t>
                  </w:r>
                  <w:r>
                    <w:rPr>
                      <w:rFonts w:hint="eastAsia"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13</w:t>
                  </w:r>
                </w:p>
              </w:tc>
              <w:tc>
                <w:tcPr>
                  <w:tcW w:w="806" w:type="pct"/>
                  <w:shd w:val="clear" w:color="auto" w:fill="auto"/>
                  <w:vAlign w:val="center"/>
                </w:tcPr>
                <w:p w14:paraId="5716E93A">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09:42-09:52</w:t>
                  </w:r>
                </w:p>
              </w:tc>
              <w:tc>
                <w:tcPr>
                  <w:tcW w:w="362" w:type="pct"/>
                  <w:vAlign w:val="center"/>
                </w:tcPr>
                <w:p w14:paraId="03BD3F9E">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781" w:type="pct"/>
                  <w:vAlign w:val="center"/>
                </w:tcPr>
                <w:p w14:paraId="0D15A403">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22:09-22:19</w:t>
                  </w:r>
                </w:p>
              </w:tc>
              <w:tc>
                <w:tcPr>
                  <w:tcW w:w="296" w:type="pct"/>
                  <w:vAlign w:val="center"/>
                </w:tcPr>
                <w:p w14:paraId="655F1413">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286" w:type="pct"/>
                  <w:shd w:val="clear" w:color="auto" w:fill="auto"/>
                  <w:vAlign w:val="center"/>
                </w:tcPr>
                <w:p w14:paraId="2747F86B">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12" w:type="pct"/>
                  <w:shd w:val="clear" w:color="auto" w:fill="auto"/>
                  <w:vAlign w:val="center"/>
                </w:tcPr>
                <w:p w14:paraId="0FA8F851">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1" w:type="pct"/>
                  <w:vAlign w:val="center"/>
                </w:tcPr>
                <w:p w14:paraId="5433046E">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达标</w:t>
                  </w:r>
                </w:p>
              </w:tc>
            </w:tr>
            <w:tr w14:paraId="36A0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093DBDA1">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51" w:type="pct"/>
                  <w:shd w:val="clear" w:color="auto" w:fill="auto"/>
                  <w:vAlign w:val="center"/>
                </w:tcPr>
                <w:p w14:paraId="3D376F0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kern w:val="2"/>
                      <w:sz w:val="21"/>
                      <w:szCs w:val="21"/>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N2：项目区厂界南侧外 1m处</w:t>
                  </w:r>
                </w:p>
              </w:tc>
              <w:tc>
                <w:tcPr>
                  <w:tcW w:w="503" w:type="pct"/>
                  <w:vMerge w:val="continue"/>
                  <w:vAlign w:val="center"/>
                </w:tcPr>
                <w:p w14:paraId="78BF06C1">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06" w:type="pct"/>
                  <w:shd w:val="clear" w:color="auto" w:fill="auto"/>
                  <w:vAlign w:val="center"/>
                </w:tcPr>
                <w:p w14:paraId="19E7BDA9">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10:00-10:10</w:t>
                  </w:r>
                </w:p>
              </w:tc>
              <w:tc>
                <w:tcPr>
                  <w:tcW w:w="362" w:type="pct"/>
                  <w:vAlign w:val="center"/>
                </w:tcPr>
                <w:p w14:paraId="1542B260">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781" w:type="pct"/>
                  <w:vAlign w:val="center"/>
                </w:tcPr>
                <w:p w14:paraId="14F96E82">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22:25-22:35</w:t>
                  </w:r>
                </w:p>
              </w:tc>
              <w:tc>
                <w:tcPr>
                  <w:tcW w:w="296" w:type="pct"/>
                  <w:vAlign w:val="center"/>
                </w:tcPr>
                <w:p w14:paraId="32200EEE">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286" w:type="pct"/>
                  <w:shd w:val="clear" w:color="auto" w:fill="auto"/>
                  <w:vAlign w:val="center"/>
                </w:tcPr>
                <w:p w14:paraId="240F7B3F">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12" w:type="pct"/>
                  <w:shd w:val="clear" w:color="auto" w:fill="auto"/>
                  <w:vAlign w:val="center"/>
                </w:tcPr>
                <w:p w14:paraId="1D54BFA0">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1" w:type="pct"/>
                  <w:vAlign w:val="center"/>
                </w:tcPr>
                <w:p w14:paraId="097BC5F5">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达标</w:t>
                  </w:r>
                </w:p>
              </w:tc>
            </w:tr>
            <w:tr w14:paraId="2C26C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FAF07FE">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51" w:type="pct"/>
                  <w:shd w:val="clear" w:color="auto" w:fill="auto"/>
                  <w:vAlign w:val="center"/>
                </w:tcPr>
                <w:p w14:paraId="3F5886CA">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kern w:val="2"/>
                      <w:sz w:val="21"/>
                      <w:szCs w:val="21"/>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N3：项目区厂界西侧外 1m处</w:t>
                  </w:r>
                </w:p>
              </w:tc>
              <w:tc>
                <w:tcPr>
                  <w:tcW w:w="503" w:type="pct"/>
                  <w:vMerge w:val="continue"/>
                  <w:vAlign w:val="center"/>
                </w:tcPr>
                <w:p w14:paraId="52F709D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06" w:type="pct"/>
                  <w:shd w:val="clear" w:color="auto" w:fill="auto"/>
                  <w:vAlign w:val="center"/>
                </w:tcPr>
                <w:p w14:paraId="3F6CA521">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10:17-10:27</w:t>
                  </w:r>
                </w:p>
              </w:tc>
              <w:tc>
                <w:tcPr>
                  <w:tcW w:w="362" w:type="pct"/>
                  <w:vAlign w:val="center"/>
                </w:tcPr>
                <w:p w14:paraId="44876170">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781" w:type="pct"/>
                  <w:vAlign w:val="center"/>
                </w:tcPr>
                <w:p w14:paraId="5AA75166">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22:42-22:52</w:t>
                  </w:r>
                </w:p>
              </w:tc>
              <w:tc>
                <w:tcPr>
                  <w:tcW w:w="296" w:type="pct"/>
                  <w:vAlign w:val="center"/>
                </w:tcPr>
                <w:p w14:paraId="1A691C6C">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w:t>
                  </w:r>
                </w:p>
              </w:tc>
              <w:tc>
                <w:tcPr>
                  <w:tcW w:w="286" w:type="pct"/>
                  <w:shd w:val="clear" w:color="auto" w:fill="auto"/>
                  <w:vAlign w:val="center"/>
                </w:tcPr>
                <w:p w14:paraId="5D5F1C26">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12" w:type="pct"/>
                  <w:shd w:val="clear" w:color="auto" w:fill="auto"/>
                  <w:vAlign w:val="center"/>
                </w:tcPr>
                <w:p w14:paraId="137CF2A0">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1" w:type="pct"/>
                  <w:vAlign w:val="center"/>
                </w:tcPr>
                <w:p w14:paraId="59D1E320">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达标</w:t>
                  </w:r>
                </w:p>
              </w:tc>
            </w:tr>
            <w:tr w14:paraId="6692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DAACA3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51" w:type="pct"/>
                  <w:shd w:val="clear" w:color="auto" w:fill="auto"/>
                  <w:vAlign w:val="center"/>
                </w:tcPr>
                <w:p w14:paraId="788E56D8">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kern w:val="2"/>
                      <w:sz w:val="21"/>
                      <w:szCs w:val="21"/>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N4：项目区厂界北侧外 1m处</w:t>
                  </w:r>
                </w:p>
              </w:tc>
              <w:tc>
                <w:tcPr>
                  <w:tcW w:w="503" w:type="pct"/>
                  <w:vMerge w:val="continue"/>
                  <w:vAlign w:val="center"/>
                </w:tcPr>
                <w:p w14:paraId="07BBEDFC">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06" w:type="pct"/>
                  <w:shd w:val="clear" w:color="auto" w:fill="auto"/>
                  <w:vAlign w:val="center"/>
                </w:tcPr>
                <w:p w14:paraId="5C1FA1D0">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10:33-10:43</w:t>
                  </w:r>
                </w:p>
              </w:tc>
              <w:tc>
                <w:tcPr>
                  <w:tcW w:w="362" w:type="pct"/>
                  <w:vAlign w:val="center"/>
                </w:tcPr>
                <w:p w14:paraId="1756A1C2">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w:t>
                  </w:r>
                </w:p>
              </w:tc>
              <w:tc>
                <w:tcPr>
                  <w:tcW w:w="781" w:type="pct"/>
                  <w:vAlign w:val="center"/>
                </w:tcPr>
                <w:p w14:paraId="3583CB44">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23:00-23:10</w:t>
                  </w:r>
                </w:p>
              </w:tc>
              <w:tc>
                <w:tcPr>
                  <w:tcW w:w="296" w:type="pct"/>
                  <w:vAlign w:val="center"/>
                </w:tcPr>
                <w:p w14:paraId="34E1A841">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286" w:type="pct"/>
                  <w:vAlign w:val="center"/>
                </w:tcPr>
                <w:p w14:paraId="34D9CCED">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12" w:type="pct"/>
                  <w:vAlign w:val="center"/>
                </w:tcPr>
                <w:p w14:paraId="05072863">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1" w:type="pct"/>
                  <w:vAlign w:val="center"/>
                </w:tcPr>
                <w:p w14:paraId="710F516E">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达标</w:t>
                  </w:r>
                </w:p>
              </w:tc>
            </w:tr>
            <w:tr w14:paraId="6C97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6030F1ED">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51" w:type="pct"/>
                  <w:shd w:val="clear" w:color="auto" w:fill="auto"/>
                  <w:vAlign w:val="center"/>
                </w:tcPr>
                <w:p w14:paraId="33D8A469">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kern w:val="2"/>
                      <w:sz w:val="21"/>
                      <w:szCs w:val="21"/>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14:textFill>
                        <w14:solidFill>
                          <w14:schemeClr w14:val="tx1"/>
                        </w14:solidFill>
                      </w14:textFill>
                    </w:rPr>
                    <w:t>N5：厂区东南侧散户</w:t>
                  </w:r>
                  <w:r>
                    <w:rPr>
                      <w:rFonts w:hint="eastAsia" w:cs="Times New Roman"/>
                      <w:b w:val="0"/>
                      <w:bCs w:val="0"/>
                      <w:color w:val="FF0000"/>
                      <w:spacing w:val="0"/>
                      <w:sz w:val="21"/>
                      <w:szCs w:val="21"/>
                      <w:vertAlign w:val="baseline"/>
                      <w:lang w:eastAsia="zh-CN"/>
                    </w:rPr>
                    <w:t>（</w:t>
                  </w:r>
                  <w:r>
                    <w:rPr>
                      <w:rFonts w:hint="eastAsia"/>
                      <w:color w:val="FF0000"/>
                      <w:lang w:val="en-US" w:eastAsia="zh-CN"/>
                    </w:rPr>
                    <w:t>珠街社区散户1</w:t>
                  </w:r>
                  <w:r>
                    <w:rPr>
                      <w:rFonts w:hint="eastAsia" w:cs="Times New Roman"/>
                      <w:b w:val="0"/>
                      <w:bCs w:val="0"/>
                      <w:color w:val="FF0000"/>
                      <w:spacing w:val="0"/>
                      <w:sz w:val="21"/>
                      <w:szCs w:val="21"/>
                      <w:vertAlign w:val="baseline"/>
                      <w:lang w:eastAsia="zh-CN"/>
                    </w:rPr>
                    <w:t>）</w:t>
                  </w:r>
                </w:p>
              </w:tc>
              <w:tc>
                <w:tcPr>
                  <w:tcW w:w="503" w:type="pct"/>
                  <w:vMerge w:val="continue"/>
                  <w:vAlign w:val="center"/>
                </w:tcPr>
                <w:p w14:paraId="05BBD99C">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p>
              </w:tc>
              <w:tc>
                <w:tcPr>
                  <w:tcW w:w="806" w:type="pct"/>
                  <w:shd w:val="clear" w:color="auto" w:fill="auto"/>
                  <w:vAlign w:val="center"/>
                </w:tcPr>
                <w:p w14:paraId="546F2ED7">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10:52-11:02</w:t>
                  </w:r>
                </w:p>
              </w:tc>
              <w:tc>
                <w:tcPr>
                  <w:tcW w:w="362" w:type="pct"/>
                  <w:vAlign w:val="center"/>
                </w:tcPr>
                <w:p w14:paraId="3141F6D0">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781" w:type="pct"/>
                  <w:vAlign w:val="center"/>
                </w:tcPr>
                <w:p w14:paraId="44BCAD6B">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23:21-23:31</w:t>
                  </w:r>
                </w:p>
              </w:tc>
              <w:tc>
                <w:tcPr>
                  <w:tcW w:w="296" w:type="pct"/>
                  <w:vAlign w:val="center"/>
                </w:tcPr>
                <w:p w14:paraId="76DAF9C2">
                  <w:pPr>
                    <w:pStyle w:val="5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w:t>
                  </w:r>
                </w:p>
              </w:tc>
              <w:tc>
                <w:tcPr>
                  <w:tcW w:w="286" w:type="pct"/>
                  <w:vAlign w:val="center"/>
                </w:tcPr>
                <w:p w14:paraId="7891F076">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12" w:type="pct"/>
                  <w:vAlign w:val="center"/>
                </w:tcPr>
                <w:p w14:paraId="4345E44B">
                  <w:pPr>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1" w:type="pct"/>
                  <w:vAlign w:val="center"/>
                </w:tcPr>
                <w:p w14:paraId="5804AEB1">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达标</w:t>
                  </w:r>
                </w:p>
              </w:tc>
            </w:tr>
          </w:tbl>
          <w:p w14:paraId="72D2339D">
            <w:pPr>
              <w:pStyle w:val="11"/>
              <w:keepNext w:val="0"/>
              <w:keepLines w:val="0"/>
              <w:pageBreakBefore w:val="0"/>
              <w:widowControl w:val="0"/>
              <w:kinsoku/>
              <w:wordWrap/>
              <w:overflowPunct/>
              <w:topLinePunct w:val="0"/>
              <w:autoSpaceDE/>
              <w:autoSpaceDN/>
              <w:bidi w:val="0"/>
              <w:adjustRightInd/>
              <w:snapToGrid/>
              <w:spacing w:line="360" w:lineRule="auto"/>
              <w:ind w:firstLine="47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pacing w:val="-3"/>
                <w:sz w:val="24"/>
                <w:szCs w:val="24"/>
                <w14:textFill>
                  <w14:solidFill>
                    <w14:schemeClr w14:val="tx1"/>
                  </w14:solidFill>
                </w14:textFill>
              </w:rPr>
              <w:t>从表中可见：</w:t>
            </w:r>
            <w:r>
              <w:rPr>
                <w:rFonts w:hint="default" w:ascii="Times New Roman" w:hAnsi="Times New Roman" w:eastAsia="宋体" w:cs="Times New Roman"/>
                <w:color w:val="000000" w:themeColor="text1"/>
                <w:spacing w:val="-3"/>
                <w:sz w:val="24"/>
                <w:szCs w:val="24"/>
                <w14:textFill>
                  <w14:solidFill>
                    <w14:schemeClr w14:val="tx1"/>
                  </w14:solidFill>
                </w14:textFill>
              </w:rPr>
              <w:t>本</w:t>
            </w:r>
            <w:r>
              <w:rPr>
                <w:rFonts w:hint="default" w:ascii="Times New Roman" w:hAnsi="Times New Roman" w:eastAsia="宋体" w:cs="Times New Roman"/>
                <w:color w:val="000000" w:themeColor="text1"/>
                <w:sz w:val="24"/>
                <w:szCs w:val="24"/>
                <w:lang w:eastAsia="zh-CN"/>
                <w14:textFill>
                  <w14:solidFill>
                    <w14:schemeClr w14:val="tx1"/>
                  </w14:solidFill>
                </w14:textFill>
              </w:rPr>
              <w:t>项目区厂界东侧厂界外1m处；N2：项目区厂界南侧厂界外1m处；N3：项目区厂界西侧厂界外1m处；N4：项目区厂界北侧厂界外1m处；</w:t>
            </w:r>
            <w:r>
              <w:rPr>
                <w:rFonts w:hint="default" w:ascii="Times New Roman" w:hAnsi="Times New Roman" w:eastAsia="宋体" w:cs="Times New Roman"/>
                <w:color w:val="FF0000"/>
                <w:sz w:val="24"/>
                <w:szCs w:val="24"/>
                <w:lang w:eastAsia="zh-CN"/>
              </w:rPr>
              <w:t>N5：厂区东南侧散户</w:t>
            </w:r>
            <w:r>
              <w:rPr>
                <w:rFonts w:hint="eastAsia" w:cs="Times New Roman"/>
                <w:color w:val="FF0000"/>
                <w:sz w:val="24"/>
                <w:szCs w:val="24"/>
                <w:lang w:eastAsia="zh-CN"/>
              </w:rPr>
              <w:t>（</w:t>
            </w:r>
            <w:r>
              <w:rPr>
                <w:rFonts w:hint="eastAsia"/>
                <w:color w:val="FF0000"/>
                <w:sz w:val="24"/>
                <w:szCs w:val="24"/>
                <w:lang w:val="en-US" w:eastAsia="zh-CN"/>
              </w:rPr>
              <w:t>珠街社区散户1</w:t>
            </w:r>
            <w:r>
              <w:rPr>
                <w:rFonts w:hint="eastAsia" w:cs="Times New Roman"/>
                <w:color w:val="FF0000"/>
                <w:sz w:val="24"/>
                <w:szCs w:val="24"/>
                <w:lang w:eastAsia="zh-CN"/>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环境噪声监测值</w:t>
            </w:r>
            <w:r>
              <w:rPr>
                <w:rFonts w:hint="eastAsia" w:ascii="Times New Roman" w:hAnsi="Times New Roman" w:cs="Times New Roman"/>
                <w:color w:val="000000" w:themeColor="text1"/>
                <w:sz w:val="24"/>
                <w:szCs w:val="24"/>
                <w:lang w:val="en-US" w:eastAsia="zh-CN"/>
                <w14:textFill>
                  <w14:solidFill>
                    <w14:schemeClr w14:val="tx1"/>
                  </w14:solidFill>
                </w14:textFill>
              </w:rPr>
              <w:t>均满足</w:t>
            </w:r>
            <w:r>
              <w:rPr>
                <w:rFonts w:hint="default" w:ascii="Times New Roman" w:hAnsi="Times New Roman" w:eastAsia="宋体" w:cs="Times New Roman"/>
                <w:color w:val="000000" w:themeColor="text1"/>
                <w:sz w:val="24"/>
                <w:szCs w:val="24"/>
                <w:lang w:eastAsia="zh-CN"/>
                <w14:textFill>
                  <w14:solidFill>
                    <w14:schemeClr w14:val="tx1"/>
                  </w14:solidFill>
                </w14:textFill>
              </w:rPr>
              <w:t>《声环境质量标准》（GB3096-2008）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类标准要求，说明项目所在区域声环境质量良好。</w:t>
            </w:r>
          </w:p>
          <w:p w14:paraId="51D787D4">
            <w:pPr>
              <w:spacing w:line="360" w:lineRule="auto"/>
              <w:rPr>
                <w:rFonts w:hint="eastAsia" w:ascii="Times New Roman" w:hAnsi="Times New Roman" w:eastAsia="宋体" w:cs="Times New Roman"/>
                <w:b/>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3.1.5</w:t>
            </w:r>
            <w:r>
              <w:rPr>
                <w:rFonts w:hint="eastAsia" w:ascii="Times New Roman" w:hAnsi="Times New Roman" w:eastAsia="宋体" w:cs="Times New Roman"/>
                <w:b/>
                <w:color w:val="000000" w:themeColor="text1"/>
                <w:sz w:val="24"/>
                <w:lang w:val="en-US" w:eastAsia="zh-CN"/>
                <w14:textFill>
                  <w14:solidFill>
                    <w14:schemeClr w14:val="tx1"/>
                  </w14:solidFill>
                </w14:textFill>
              </w:rPr>
              <w:t>土壤</w:t>
            </w:r>
            <w:r>
              <w:rPr>
                <w:rFonts w:hint="eastAsia" w:ascii="Times New Roman" w:hAnsi="Times New Roman" w:eastAsia="宋体" w:cs="Times New Roman"/>
                <w:b/>
                <w:color w:val="000000" w:themeColor="text1"/>
                <w:sz w:val="24"/>
                <w14:textFill>
                  <w14:solidFill>
                    <w14:schemeClr w14:val="tx1"/>
                  </w14:solidFill>
                </w14:textFill>
              </w:rPr>
              <w:t>环境</w:t>
            </w:r>
            <w:r>
              <w:rPr>
                <w:rFonts w:hint="eastAsia" w:ascii="Times New Roman" w:hAnsi="Times New Roman" w:eastAsia="宋体" w:cs="Times New Roman"/>
                <w:b/>
                <w:color w:val="000000" w:themeColor="text1"/>
                <w:sz w:val="24"/>
                <w:lang w:val="en-US" w:eastAsia="zh-CN"/>
                <w14:textFill>
                  <w14:solidFill>
                    <w14:schemeClr w14:val="tx1"/>
                  </w14:solidFill>
                </w14:textFill>
              </w:rPr>
              <w:t>质量</w:t>
            </w:r>
            <w:r>
              <w:rPr>
                <w:rFonts w:hint="eastAsia" w:ascii="Times New Roman" w:hAnsi="Times New Roman" w:eastAsia="宋体" w:cs="Times New Roman"/>
                <w:b/>
                <w:color w:val="000000" w:themeColor="text1"/>
                <w:sz w:val="24"/>
                <w14:textFill>
                  <w14:solidFill>
                    <w14:schemeClr w14:val="tx1"/>
                  </w14:solidFill>
                </w14:textFill>
              </w:rPr>
              <w:t>现状</w:t>
            </w:r>
          </w:p>
          <w:p w14:paraId="40EF72BA">
            <w:pPr>
              <w:spacing w:line="360" w:lineRule="auto"/>
              <w:ind w:firstLine="480" w:firstLineChars="200"/>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本次评价期间，建设单位</w:t>
            </w:r>
            <w:r>
              <w:rPr>
                <w:rFonts w:hint="eastAsia" w:cs="Times New Roman"/>
                <w:color w:val="000000" w:themeColor="text1"/>
                <w:kern w:val="0"/>
                <w:sz w:val="24"/>
                <w:szCs w:val="20"/>
                <w:lang w:val="en-US" w:eastAsia="zh-CN"/>
                <w14:textFill>
                  <w14:solidFill>
                    <w14:schemeClr w14:val="tx1"/>
                  </w14:solidFill>
                </w14:textFill>
              </w:rPr>
              <w:t>委托</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云南中科检测技术有限公司于2024年</w:t>
            </w:r>
            <w:r>
              <w:rPr>
                <w:rFonts w:hint="eastAsia" w:cs="Times New Roman"/>
                <w:color w:val="000000" w:themeColor="text1"/>
                <w:kern w:val="0"/>
                <w:sz w:val="24"/>
                <w:szCs w:val="20"/>
                <w:lang w:val="en-US" w:eastAsia="zh-CN"/>
                <w14:textFill>
                  <w14:solidFill>
                    <w14:schemeClr w14:val="tx1"/>
                  </w14:solidFill>
                </w14:textFill>
              </w:rPr>
              <w:t>12</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月1</w:t>
            </w:r>
            <w:r>
              <w:rPr>
                <w:rFonts w:hint="eastAsia" w:cs="Times New Roman"/>
                <w:color w:val="000000" w:themeColor="text1"/>
                <w:kern w:val="0"/>
                <w:sz w:val="24"/>
                <w:szCs w:val="20"/>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日对项目区</w:t>
            </w:r>
            <w:r>
              <w:rPr>
                <w:rFonts w:hint="eastAsia" w:cs="Times New Roman"/>
                <w:color w:val="000000" w:themeColor="text1"/>
                <w:kern w:val="0"/>
                <w:sz w:val="24"/>
                <w:szCs w:val="20"/>
                <w:lang w:val="en-US" w:eastAsia="zh-CN"/>
                <w14:textFill>
                  <w14:solidFill>
                    <w14:schemeClr w14:val="tx1"/>
                  </w14:solidFill>
                </w14:textFill>
              </w:rPr>
              <w:t>东</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侧</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未硬化土地</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土壤进行了采样并检测，监测方案见表</w:t>
            </w:r>
            <w:r>
              <w:rPr>
                <w:rFonts w:hint="eastAsia" w:cs="Times New Roman"/>
                <w:color w:val="000000" w:themeColor="text1"/>
                <w:kern w:val="0"/>
                <w:sz w:val="24"/>
                <w:szCs w:val="20"/>
                <w:lang w:val="en-US" w:eastAsia="zh-CN"/>
                <w14:textFill>
                  <w14:solidFill>
                    <w14:schemeClr w14:val="tx1"/>
                  </w14:solidFill>
                </w14:textFill>
              </w:rPr>
              <w:t>3.1</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w:t>
            </w:r>
            <w:r>
              <w:rPr>
                <w:rFonts w:hint="eastAsia" w:cs="Times New Roman"/>
                <w:color w:val="000000" w:themeColor="text1"/>
                <w:kern w:val="0"/>
                <w:sz w:val="24"/>
                <w:szCs w:val="20"/>
                <w:lang w:val="en-US" w:eastAsia="zh-CN"/>
                <w14:textFill>
                  <w14:solidFill>
                    <w14:schemeClr w14:val="tx1"/>
                  </w14:solidFill>
                </w14:textFill>
              </w:rPr>
              <w:t>8所示</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w:t>
            </w:r>
          </w:p>
          <w:p w14:paraId="757B4B7F">
            <w:pPr>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土壤</w:t>
            </w:r>
            <w:r>
              <w:rPr>
                <w:rFonts w:hint="default" w:ascii="Times New Roman" w:hAnsi="Times New Roman" w:eastAsia="宋体" w:cs="Times New Roman"/>
                <w:b/>
                <w:bCs/>
                <w:color w:val="000000" w:themeColor="text1"/>
                <w:sz w:val="21"/>
                <w:szCs w:val="21"/>
                <w14:textFill>
                  <w14:solidFill>
                    <w14:schemeClr w14:val="tx1"/>
                  </w14:solidFill>
                </w14:textFill>
              </w:rPr>
              <w:t>环境质量现状监测</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方案</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745"/>
              <w:gridCol w:w="1199"/>
              <w:gridCol w:w="1708"/>
              <w:gridCol w:w="2485"/>
            </w:tblGrid>
            <w:tr w14:paraId="488B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pct"/>
                  <w:tcBorders>
                    <w:tl2br w:val="nil"/>
                    <w:tr2bl w:val="nil"/>
                  </w:tcBorders>
                  <w:vAlign w:val="center"/>
                </w:tcPr>
                <w:p w14:paraId="4DDC69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点位</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编号</w:t>
                  </w:r>
                </w:p>
              </w:tc>
              <w:tc>
                <w:tcPr>
                  <w:tcW w:w="1060" w:type="pct"/>
                  <w:tcBorders>
                    <w:tl2br w:val="nil"/>
                    <w:tr2bl w:val="nil"/>
                  </w:tcBorders>
                  <w:vAlign w:val="center"/>
                </w:tcPr>
                <w:p w14:paraId="606E3E9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取样类型</w:t>
                  </w:r>
                </w:p>
              </w:tc>
              <w:tc>
                <w:tcPr>
                  <w:tcW w:w="728" w:type="pct"/>
                  <w:tcBorders>
                    <w:tl2br w:val="nil"/>
                    <w:tr2bl w:val="nil"/>
                  </w:tcBorders>
                  <w:vAlign w:val="center"/>
                </w:tcPr>
                <w:p w14:paraId="41BFE1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土地利用类型</w:t>
                  </w:r>
                </w:p>
              </w:tc>
              <w:tc>
                <w:tcPr>
                  <w:tcW w:w="1037" w:type="pct"/>
                  <w:tcBorders>
                    <w:tl2br w:val="nil"/>
                    <w:tr2bl w:val="nil"/>
                  </w:tcBorders>
                  <w:vAlign w:val="center"/>
                </w:tcPr>
                <w:p w14:paraId="41EC9C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与项目位置关系</w:t>
                  </w:r>
                </w:p>
              </w:tc>
              <w:tc>
                <w:tcPr>
                  <w:tcW w:w="1509" w:type="pct"/>
                  <w:tcBorders>
                    <w:tl2br w:val="nil"/>
                    <w:tr2bl w:val="nil"/>
                  </w:tcBorders>
                  <w:vAlign w:val="center"/>
                </w:tcPr>
                <w:p w14:paraId="164C44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监测因子</w:t>
                  </w:r>
                </w:p>
              </w:tc>
            </w:tr>
            <w:tr w14:paraId="4FA4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pct"/>
                  <w:tcBorders>
                    <w:tl2br w:val="nil"/>
                    <w:tr2bl w:val="nil"/>
                  </w:tcBorders>
                  <w:vAlign w:val="center"/>
                </w:tcPr>
                <w:p w14:paraId="1C2B2A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S</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1060" w:type="pct"/>
                  <w:tcBorders>
                    <w:tl2br w:val="nil"/>
                    <w:tr2bl w:val="nil"/>
                  </w:tcBorders>
                  <w:vAlign w:val="center"/>
                </w:tcPr>
                <w:p w14:paraId="3B9BCA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表层</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样</w:t>
                  </w:r>
                </w:p>
              </w:tc>
              <w:tc>
                <w:tcPr>
                  <w:tcW w:w="728" w:type="pct"/>
                  <w:tcBorders>
                    <w:tl2br w:val="nil"/>
                    <w:tr2bl w:val="nil"/>
                  </w:tcBorders>
                  <w:vAlign w:val="center"/>
                </w:tcPr>
                <w:p w14:paraId="1AAEC0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建设用地</w:t>
                  </w:r>
                </w:p>
              </w:tc>
              <w:tc>
                <w:tcPr>
                  <w:tcW w:w="1037" w:type="pct"/>
                  <w:tcBorders>
                    <w:tl2br w:val="nil"/>
                    <w:tr2bl w:val="nil"/>
                  </w:tcBorders>
                  <w:vAlign w:val="center"/>
                </w:tcPr>
                <w:p w14:paraId="32AC1D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项目区东侧</w:t>
                  </w:r>
                </w:p>
              </w:tc>
              <w:tc>
                <w:tcPr>
                  <w:tcW w:w="1509" w:type="pct"/>
                  <w:tcBorders>
                    <w:tl2br w:val="nil"/>
                    <w:tr2bl w:val="nil"/>
                  </w:tcBorders>
                  <w:vAlign w:val="center"/>
                </w:tcPr>
                <w:p w14:paraId="1DFECB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GB36600-2018</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中45项基本因子、pH、石油烃</w:t>
                  </w:r>
                </w:p>
              </w:tc>
            </w:tr>
          </w:tbl>
          <w:p w14:paraId="7E887548">
            <w:pPr>
              <w:spacing w:line="360" w:lineRule="auto"/>
              <w:ind w:firstLine="480" w:firstLineChars="200"/>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监测结果见表3</w:t>
            </w:r>
            <w:r>
              <w:rPr>
                <w:rFonts w:hint="eastAsia" w:cs="Times New Roman"/>
                <w:color w:val="000000" w:themeColor="text1"/>
                <w:kern w:val="0"/>
                <w:sz w:val="24"/>
                <w:szCs w:val="20"/>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w:t>
            </w:r>
            <w:r>
              <w:rPr>
                <w:rFonts w:hint="eastAsia" w:cs="Times New Roman"/>
                <w:color w:val="000000" w:themeColor="text1"/>
                <w:kern w:val="0"/>
                <w:sz w:val="24"/>
                <w:szCs w:val="20"/>
                <w:lang w:val="en-US" w:eastAsia="zh-CN"/>
                <w14:textFill>
                  <w14:solidFill>
                    <w14:schemeClr w14:val="tx1"/>
                  </w14:solidFill>
                </w14:textFill>
              </w:rPr>
              <w:t>9</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w:t>
            </w:r>
          </w:p>
          <w:p w14:paraId="4A1DD5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 xml:space="preserve">9 </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土壤环境质量现状监测结果及达标分析一览表 mg/kg</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50"/>
              <w:gridCol w:w="1250"/>
              <w:gridCol w:w="1261"/>
              <w:gridCol w:w="2206"/>
              <w:gridCol w:w="1565"/>
            </w:tblGrid>
            <w:tr w14:paraId="055A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vMerge w:val="restart"/>
                  <w:tcBorders>
                    <w:tl2br w:val="nil"/>
                    <w:tr2bl w:val="nil"/>
                  </w:tcBorders>
                  <w:vAlign w:val="center"/>
                </w:tcPr>
                <w:p w14:paraId="21979CFD">
                  <w:pPr>
                    <w:spacing w:line="240" w:lineRule="exact"/>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监测项目</w:t>
                  </w:r>
                </w:p>
              </w:tc>
              <w:tc>
                <w:tcPr>
                  <w:tcW w:w="759" w:type="pct"/>
                  <w:vMerge w:val="restart"/>
                  <w:tcBorders>
                    <w:tl2br w:val="nil"/>
                    <w:tr2bl w:val="nil"/>
                  </w:tcBorders>
                  <w:vAlign w:val="center"/>
                </w:tcPr>
                <w:p w14:paraId="6D9F75D0">
                  <w:pPr>
                    <w:spacing w:line="256" w:lineRule="exact"/>
                    <w:jc w:val="center"/>
                    <w:rPr>
                      <w:rFonts w:hint="default" w:ascii="Times New Roman" w:hAnsi="Times New Roman" w:cs="Times New Roman" w:eastAsiaTheme="minorEastAsia"/>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筛选值</w:t>
                  </w:r>
                </w:p>
              </w:tc>
              <w:tc>
                <w:tcPr>
                  <w:tcW w:w="765" w:type="pct"/>
                  <w:vMerge w:val="restart"/>
                  <w:tcBorders>
                    <w:tl2br w:val="nil"/>
                    <w:tr2bl w:val="nil"/>
                  </w:tcBorders>
                  <w:vAlign w:val="center"/>
                </w:tcPr>
                <w:p w14:paraId="60C1503E">
                  <w:pPr>
                    <w:spacing w:line="256" w:lineRule="exact"/>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管制值</w:t>
                  </w:r>
                </w:p>
              </w:tc>
              <w:tc>
                <w:tcPr>
                  <w:tcW w:w="2290" w:type="pct"/>
                  <w:gridSpan w:val="2"/>
                  <w:tcBorders>
                    <w:tl2br w:val="nil"/>
                    <w:tr2bl w:val="nil"/>
                  </w:tcBorders>
                  <w:vAlign w:val="center"/>
                </w:tcPr>
                <w:p w14:paraId="24B21902">
                  <w:pPr>
                    <w:spacing w:line="256" w:lineRule="exact"/>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eastAsia" w:cs="Times New Roman"/>
                      <w:b/>
                      <w:bCs/>
                      <w:color w:val="000000" w:themeColor="text1"/>
                      <w:w w:val="100"/>
                      <w:kern w:val="0"/>
                      <w:sz w:val="21"/>
                      <w:szCs w:val="21"/>
                      <w:lang w:val="en-US" w:eastAsia="zh-CN"/>
                      <w14:textFill>
                        <w14:solidFill>
                          <w14:schemeClr w14:val="tx1"/>
                        </w14:solidFill>
                      </w14:textFill>
                    </w:rPr>
                    <w:t>S</w:t>
                  </w:r>
                  <w:r>
                    <w:rPr>
                      <w:rFonts w:hint="eastAsia" w:ascii="Times New Roman" w:hAnsi="Times New Roman" w:eastAsia="宋体" w:cs="Times New Roman"/>
                      <w:b/>
                      <w:bCs/>
                      <w:color w:val="000000" w:themeColor="text1"/>
                      <w:w w:val="100"/>
                      <w:kern w:val="0"/>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（拟建项目区</w:t>
                  </w:r>
                  <w:r>
                    <w:rPr>
                      <w:rFonts w:hint="eastAsia" w:cs="Times New Roman"/>
                      <w:b/>
                      <w:bCs/>
                      <w:color w:val="000000" w:themeColor="text1"/>
                      <w:w w:val="100"/>
                      <w:kern w:val="0"/>
                      <w:sz w:val="21"/>
                      <w:szCs w:val="21"/>
                      <w:lang w:val="en-US" w:eastAsia="zh-CN"/>
                      <w14:textFill>
                        <w14:solidFill>
                          <w14:schemeClr w14:val="tx1"/>
                        </w14:solidFill>
                      </w14:textFill>
                    </w:rPr>
                    <w:t>东侧</w:t>
                  </w: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未硬化土地</w:t>
                  </w:r>
                  <w:r>
                    <w:rPr>
                      <w:rFonts w:hint="eastAsia" w:ascii="Times New Roman" w:hAnsi="Times New Roman" w:eastAsia="宋体" w:cs="Times New Roman"/>
                      <w:b/>
                      <w:bCs/>
                      <w:color w:val="000000" w:themeColor="text1"/>
                      <w:w w:val="100"/>
                      <w:kern w:val="0"/>
                      <w:sz w:val="21"/>
                      <w:szCs w:val="21"/>
                      <w:lang w:val="en-US" w:eastAsia="zh-CN"/>
                      <w14:textFill>
                        <w14:solidFill>
                          <w14:schemeClr w14:val="tx1"/>
                        </w14:solidFill>
                      </w14:textFill>
                    </w:rPr>
                    <w:t>表层</w:t>
                  </w: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样）</w:t>
                  </w:r>
                </w:p>
              </w:tc>
            </w:tr>
            <w:tr w14:paraId="2AEA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vMerge w:val="continue"/>
                  <w:tcBorders>
                    <w:tl2br w:val="nil"/>
                    <w:tr2bl w:val="nil"/>
                  </w:tcBorders>
                  <w:vAlign w:val="center"/>
                </w:tcPr>
                <w:p w14:paraId="4FE9BC16">
                  <w:pPr>
                    <w:spacing w:line="256" w:lineRule="exact"/>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p>
              </w:tc>
              <w:tc>
                <w:tcPr>
                  <w:tcW w:w="759" w:type="pct"/>
                  <w:vMerge w:val="continue"/>
                  <w:tcBorders>
                    <w:tl2br w:val="nil"/>
                    <w:tr2bl w:val="nil"/>
                  </w:tcBorders>
                  <w:vAlign w:val="center"/>
                </w:tcPr>
                <w:p w14:paraId="63FFA49E">
                  <w:pPr>
                    <w:spacing w:line="256" w:lineRule="exact"/>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p>
              </w:tc>
              <w:tc>
                <w:tcPr>
                  <w:tcW w:w="765" w:type="pct"/>
                  <w:vMerge w:val="continue"/>
                  <w:tcBorders>
                    <w:tl2br w:val="nil"/>
                    <w:tr2bl w:val="nil"/>
                  </w:tcBorders>
                  <w:vAlign w:val="center"/>
                </w:tcPr>
                <w:p w14:paraId="0D6CFB73">
                  <w:pPr>
                    <w:spacing w:line="256" w:lineRule="exact"/>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p>
              </w:tc>
              <w:tc>
                <w:tcPr>
                  <w:tcW w:w="2290" w:type="pct"/>
                  <w:gridSpan w:val="2"/>
                  <w:tcBorders>
                    <w:tl2br w:val="nil"/>
                    <w:tr2bl w:val="nil"/>
                  </w:tcBorders>
                  <w:vAlign w:val="center"/>
                </w:tcPr>
                <w:p w14:paraId="46E90995">
                  <w:pPr>
                    <w:spacing w:line="256" w:lineRule="exact"/>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深度0~0.5m</w:t>
                  </w:r>
                </w:p>
              </w:tc>
            </w:tr>
            <w:tr w14:paraId="0222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vMerge w:val="continue"/>
                  <w:tcBorders>
                    <w:tl2br w:val="nil"/>
                    <w:tr2bl w:val="nil"/>
                  </w:tcBorders>
                  <w:vAlign w:val="center"/>
                </w:tcPr>
                <w:p w14:paraId="6AB3F411">
                  <w:pPr>
                    <w:spacing w:line="240" w:lineRule="exact"/>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p>
              </w:tc>
              <w:tc>
                <w:tcPr>
                  <w:tcW w:w="759" w:type="pct"/>
                  <w:vMerge w:val="continue"/>
                  <w:tcBorders>
                    <w:tl2br w:val="nil"/>
                    <w:tr2bl w:val="nil"/>
                  </w:tcBorders>
                  <w:vAlign w:val="center"/>
                </w:tcPr>
                <w:p w14:paraId="337DE898">
                  <w:pPr>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p>
              </w:tc>
              <w:tc>
                <w:tcPr>
                  <w:tcW w:w="765" w:type="pct"/>
                  <w:vMerge w:val="continue"/>
                  <w:tcBorders>
                    <w:tl2br w:val="nil"/>
                    <w:tr2bl w:val="nil"/>
                  </w:tcBorders>
                  <w:vAlign w:val="center"/>
                </w:tcPr>
                <w:p w14:paraId="6A249DE8">
                  <w:pPr>
                    <w:jc w:val="center"/>
                    <w:rPr>
                      <w:rFonts w:hint="default" w:ascii="Times New Roman" w:hAnsi="Times New Roman" w:eastAsia="Times New Roman" w:cs="Times New Roman"/>
                      <w:b/>
                      <w:bCs/>
                      <w:color w:val="000000" w:themeColor="text1"/>
                      <w:w w:val="100"/>
                      <w:kern w:val="0"/>
                      <w:sz w:val="21"/>
                      <w:szCs w:val="21"/>
                      <w14:textFill>
                        <w14:solidFill>
                          <w14:schemeClr w14:val="tx1"/>
                        </w14:solidFill>
                      </w14:textFill>
                    </w:rPr>
                  </w:pPr>
                </w:p>
              </w:tc>
              <w:tc>
                <w:tcPr>
                  <w:tcW w:w="1339" w:type="pct"/>
                  <w:tcBorders>
                    <w:tl2br w:val="nil"/>
                    <w:tr2bl w:val="nil"/>
                  </w:tcBorders>
                  <w:vAlign w:val="center"/>
                </w:tcPr>
                <w:p w14:paraId="42F25B6A">
                  <w:pPr>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检测值</w:t>
                  </w:r>
                </w:p>
              </w:tc>
              <w:tc>
                <w:tcPr>
                  <w:tcW w:w="950" w:type="pct"/>
                  <w:tcBorders>
                    <w:tl2br w:val="nil"/>
                    <w:tr2bl w:val="nil"/>
                  </w:tcBorders>
                  <w:vAlign w:val="center"/>
                </w:tcPr>
                <w:p w14:paraId="24CB4555">
                  <w:pPr>
                    <w:jc w:val="center"/>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达标情况</w:t>
                  </w:r>
                </w:p>
              </w:tc>
            </w:tr>
            <w:tr w14:paraId="6788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vAlign w:val="center"/>
                </w:tcPr>
                <w:p w14:paraId="4D86248D">
                  <w:pPr>
                    <w:widowControl/>
                    <w:ind w:left="0" w:leftChars="0"/>
                    <w:jc w:val="center"/>
                    <w:rPr>
                      <w:rFonts w:hint="default" w:ascii="Times New Roman" w:hAnsi="Times New Roman" w:cs="Times New Roman" w:eastAsiaTheme="minorEastAsia"/>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bidi="he-IL"/>
                      <w14:textFill>
                        <w14:solidFill>
                          <w14:schemeClr w14:val="tx1"/>
                        </w14:solidFill>
                      </w14:textFill>
                    </w:rPr>
                    <w:t>pH值</w:t>
                  </w:r>
                </w:p>
              </w:tc>
              <w:tc>
                <w:tcPr>
                  <w:tcW w:w="759" w:type="pct"/>
                  <w:tcBorders>
                    <w:tl2br w:val="nil"/>
                    <w:tr2bl w:val="nil"/>
                  </w:tcBorders>
                  <w:vAlign w:val="center"/>
                </w:tcPr>
                <w:p w14:paraId="068EAD58">
                  <w:pPr>
                    <w:jc w:val="center"/>
                    <w:rPr>
                      <w:rFonts w:hint="default" w:ascii="Times New Roman" w:hAnsi="Times New Roman" w:cs="Times New Roman" w:eastAsiaTheme="minorEastAsia"/>
                      <w:color w:val="000000" w:themeColor="text1"/>
                      <w:spacing w:val="0"/>
                      <w:w w:val="100"/>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t>/</w:t>
                  </w:r>
                </w:p>
              </w:tc>
              <w:tc>
                <w:tcPr>
                  <w:tcW w:w="765" w:type="pct"/>
                  <w:tcBorders>
                    <w:tl2br w:val="nil"/>
                    <w:tr2bl w:val="nil"/>
                  </w:tcBorders>
                  <w:vAlign w:val="center"/>
                </w:tcPr>
                <w:p w14:paraId="799EF3E7">
                  <w:pPr>
                    <w:jc w:val="center"/>
                    <w:rPr>
                      <w:rFonts w:hint="default" w:ascii="Times New Roman" w:hAnsi="Times New Roman" w:eastAsia="宋体" w:cs="Times New Roman"/>
                      <w:color w:val="000000" w:themeColor="text1"/>
                      <w:spacing w:val="0"/>
                      <w:w w:val="10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w:t>
                  </w:r>
                </w:p>
              </w:tc>
              <w:tc>
                <w:tcPr>
                  <w:tcW w:w="1339" w:type="pct"/>
                  <w:tcBorders>
                    <w:tl2br w:val="nil"/>
                    <w:tr2bl w:val="nil"/>
                  </w:tcBorders>
                  <w:vAlign w:val="center"/>
                </w:tcPr>
                <w:p w14:paraId="0996DCA2">
                  <w:pPr>
                    <w:ind w:left="0" w:leftChars="0"/>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eastAsia="宋体" w:cs="Times New Roman"/>
                      <w:color w:val="000000" w:themeColor="text1"/>
                      <w:spacing w:val="0"/>
                      <w:w w:val="100"/>
                      <w:kern w:val="0"/>
                      <w:sz w:val="21"/>
                      <w:szCs w:val="21"/>
                      <w:highlight w:val="none"/>
                      <w:lang w:val="en-US" w:eastAsia="zh-CN"/>
                      <w14:textFill>
                        <w14:solidFill>
                          <w14:schemeClr w14:val="tx1"/>
                        </w14:solidFill>
                      </w14:textFill>
                    </w:rPr>
                    <w:t>8.20</w:t>
                  </w:r>
                </w:p>
              </w:tc>
              <w:tc>
                <w:tcPr>
                  <w:tcW w:w="950" w:type="pct"/>
                  <w:tcBorders>
                    <w:tl2br w:val="nil"/>
                    <w:tr2bl w:val="nil"/>
                  </w:tcBorders>
                  <w:vAlign w:val="center"/>
                </w:tcPr>
                <w:p w14:paraId="609DA28F">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w:t>
                  </w:r>
                </w:p>
              </w:tc>
            </w:tr>
            <w:tr w14:paraId="5B9A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vAlign w:val="center"/>
                </w:tcPr>
                <w:p w14:paraId="3137EEC3">
                  <w:pPr>
                    <w:widowControl w:val="0"/>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14:textFill>
                        <w14:solidFill>
                          <w14:schemeClr w14:val="tx1"/>
                        </w14:solidFill>
                      </w14:textFill>
                    </w:rPr>
                    <w:t>砷</w:t>
                  </w:r>
                </w:p>
              </w:tc>
              <w:tc>
                <w:tcPr>
                  <w:tcW w:w="759" w:type="pct"/>
                  <w:tcBorders>
                    <w:tl2br w:val="nil"/>
                    <w:tr2bl w:val="nil"/>
                  </w:tcBorders>
                  <w:vAlign w:val="center"/>
                </w:tcPr>
                <w:p w14:paraId="4EB7475F">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w w:val="100"/>
                      <w:kern w:val="0"/>
                      <w:sz w:val="21"/>
                      <w:szCs w:val="21"/>
                      <w:highlight w:val="none"/>
                      <w:lang w:val="en-US" w:eastAsia="zh-CN"/>
                      <w14:textFill>
                        <w14:solidFill>
                          <w14:schemeClr w14:val="tx1"/>
                        </w14:solidFill>
                      </w14:textFill>
                    </w:rPr>
                    <w:t>60</w:t>
                  </w:r>
                </w:p>
              </w:tc>
              <w:tc>
                <w:tcPr>
                  <w:tcW w:w="765" w:type="pct"/>
                  <w:tcBorders>
                    <w:tl2br w:val="nil"/>
                    <w:tr2bl w:val="nil"/>
                  </w:tcBorders>
                  <w:vAlign w:val="center"/>
                </w:tcPr>
                <w:p w14:paraId="371AFD73">
                  <w:pPr>
                    <w:jc w:val="center"/>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140</w:t>
                  </w:r>
                </w:p>
              </w:tc>
              <w:tc>
                <w:tcPr>
                  <w:tcW w:w="1339" w:type="pct"/>
                  <w:tcBorders>
                    <w:tl2br w:val="nil"/>
                    <w:tr2bl w:val="nil"/>
                  </w:tcBorders>
                  <w:vAlign w:val="center"/>
                </w:tcPr>
                <w:p w14:paraId="47E117B6">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bCs/>
                      <w:color w:val="000000" w:themeColor="text1"/>
                      <w:spacing w:val="0"/>
                      <w:kern w:val="0"/>
                      <w:sz w:val="21"/>
                      <w:szCs w:val="21"/>
                      <w:highlight w:val="none"/>
                      <w:lang w:val="en-US" w:eastAsia="zh-CN"/>
                      <w14:textFill>
                        <w14:solidFill>
                          <w14:schemeClr w14:val="tx1"/>
                        </w14:solidFill>
                      </w14:textFill>
                    </w:rPr>
                    <w:t>39.5</w:t>
                  </w:r>
                </w:p>
              </w:tc>
              <w:tc>
                <w:tcPr>
                  <w:tcW w:w="950" w:type="pct"/>
                  <w:tcBorders>
                    <w:tl2br w:val="nil"/>
                    <w:tr2bl w:val="nil"/>
                  </w:tcBorders>
                  <w:vAlign w:val="center"/>
                </w:tcPr>
                <w:p w14:paraId="694E1726">
                  <w:pPr>
                    <w:jc w:val="center"/>
                    <w:rPr>
                      <w:rFonts w:hint="eastAsia"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2C5F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vAlign w:val="center"/>
                </w:tcPr>
                <w:p w14:paraId="2FF025AD">
                  <w:pPr>
                    <w:widowControl w:val="0"/>
                    <w:ind w:left="0" w:leftChars="0"/>
                    <w:jc w:val="center"/>
                    <w:rPr>
                      <w:rFonts w:hint="default" w:ascii="Times New Roman" w:hAnsi="Times New Roman" w:cs="Times New Roman" w:eastAsiaTheme="minorEastAsia"/>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14:textFill>
                        <w14:solidFill>
                          <w14:schemeClr w14:val="tx1"/>
                        </w14:solidFill>
                      </w14:textFill>
                    </w:rPr>
                    <w:t>镉</w:t>
                  </w:r>
                </w:p>
              </w:tc>
              <w:tc>
                <w:tcPr>
                  <w:tcW w:w="759" w:type="pct"/>
                  <w:tcBorders>
                    <w:tl2br w:val="nil"/>
                    <w:tr2bl w:val="nil"/>
                  </w:tcBorders>
                  <w:vAlign w:val="center"/>
                </w:tcPr>
                <w:p w14:paraId="434466D9">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w w:val="100"/>
                      <w:kern w:val="0"/>
                      <w:sz w:val="21"/>
                      <w:szCs w:val="21"/>
                      <w:highlight w:val="none"/>
                      <w:lang w:val="en-US" w:eastAsia="zh-CN"/>
                      <w14:textFill>
                        <w14:solidFill>
                          <w14:schemeClr w14:val="tx1"/>
                        </w14:solidFill>
                      </w14:textFill>
                    </w:rPr>
                    <w:t>65</w:t>
                  </w:r>
                </w:p>
              </w:tc>
              <w:tc>
                <w:tcPr>
                  <w:tcW w:w="765" w:type="pct"/>
                  <w:tcBorders>
                    <w:tl2br w:val="nil"/>
                    <w:tr2bl w:val="nil"/>
                  </w:tcBorders>
                  <w:vAlign w:val="center"/>
                </w:tcPr>
                <w:p w14:paraId="5D4DA3D9">
                  <w:pPr>
                    <w:jc w:val="center"/>
                    <w:rPr>
                      <w:rFonts w:hint="default" w:ascii="Times New Roman" w:hAnsi="Times New Roman" w:eastAsia="宋体" w:cs="Times New Roman"/>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14:textFill>
                        <w14:solidFill>
                          <w14:schemeClr w14:val="tx1"/>
                        </w14:solidFill>
                      </w14:textFill>
                    </w:rPr>
                    <w:t>172</w:t>
                  </w:r>
                </w:p>
              </w:tc>
              <w:tc>
                <w:tcPr>
                  <w:tcW w:w="1339" w:type="pct"/>
                  <w:tcBorders>
                    <w:tl2br w:val="nil"/>
                    <w:tr2bl w:val="nil"/>
                  </w:tcBorders>
                  <w:vAlign w:val="center"/>
                </w:tcPr>
                <w:p w14:paraId="68E81EBE">
                  <w:pPr>
                    <w:ind w:left="0" w:leftChars="0"/>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1.06</w:t>
                  </w:r>
                </w:p>
              </w:tc>
              <w:tc>
                <w:tcPr>
                  <w:tcW w:w="950" w:type="pct"/>
                  <w:tcBorders>
                    <w:tl2br w:val="nil"/>
                    <w:tr2bl w:val="nil"/>
                  </w:tcBorders>
                  <w:vAlign w:val="center"/>
                </w:tcPr>
                <w:p w14:paraId="76C2CE1F">
                  <w:pPr>
                    <w:jc w:val="center"/>
                    <w:rPr>
                      <w:rFonts w:hint="default" w:ascii="Times New Roman" w:hAnsi="Times New Roman" w:eastAsia="Times New Roman" w:cs="Times New Roman"/>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166B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vAlign w:val="center"/>
                </w:tcPr>
                <w:p w14:paraId="300726E6">
                  <w:pPr>
                    <w:widowControl w:val="0"/>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eastAsia="zh-CN"/>
                      <w14:textFill>
                        <w14:solidFill>
                          <w14:schemeClr w14:val="tx1"/>
                        </w14:solidFill>
                      </w14:textFill>
                    </w:rPr>
                    <w:t>铜</w:t>
                  </w:r>
                </w:p>
              </w:tc>
              <w:tc>
                <w:tcPr>
                  <w:tcW w:w="759" w:type="pct"/>
                  <w:tcBorders>
                    <w:tl2br w:val="nil"/>
                    <w:tr2bl w:val="nil"/>
                  </w:tcBorders>
                  <w:vAlign w:val="center"/>
                </w:tcPr>
                <w:p w14:paraId="64BF9F29">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w w:val="100"/>
                      <w:kern w:val="0"/>
                      <w:sz w:val="21"/>
                      <w:szCs w:val="21"/>
                      <w:highlight w:val="none"/>
                      <w:lang w:val="en-US" w:eastAsia="zh-CN"/>
                      <w14:textFill>
                        <w14:solidFill>
                          <w14:schemeClr w14:val="tx1"/>
                        </w14:solidFill>
                      </w14:textFill>
                    </w:rPr>
                    <w:t>18000</w:t>
                  </w:r>
                </w:p>
              </w:tc>
              <w:tc>
                <w:tcPr>
                  <w:tcW w:w="765" w:type="pct"/>
                  <w:tcBorders>
                    <w:tl2br w:val="nil"/>
                    <w:tr2bl w:val="nil"/>
                  </w:tcBorders>
                  <w:vAlign w:val="center"/>
                </w:tcPr>
                <w:p w14:paraId="6D72B69A">
                  <w:pPr>
                    <w:jc w:val="center"/>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36000</w:t>
                  </w:r>
                </w:p>
              </w:tc>
              <w:tc>
                <w:tcPr>
                  <w:tcW w:w="1339" w:type="pct"/>
                  <w:tcBorders>
                    <w:tl2br w:val="nil"/>
                    <w:tr2bl w:val="nil"/>
                  </w:tcBorders>
                  <w:vAlign w:val="center"/>
                </w:tcPr>
                <w:p w14:paraId="52388901">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bCs/>
                      <w:color w:val="000000" w:themeColor="text1"/>
                      <w:spacing w:val="0"/>
                      <w:kern w:val="0"/>
                      <w:sz w:val="21"/>
                      <w:szCs w:val="21"/>
                      <w:highlight w:val="none"/>
                      <w:lang w:val="en-US" w:eastAsia="zh-CN"/>
                      <w14:textFill>
                        <w14:solidFill>
                          <w14:schemeClr w14:val="tx1"/>
                        </w14:solidFill>
                      </w14:textFill>
                    </w:rPr>
                    <w:t>31</w:t>
                  </w:r>
                </w:p>
              </w:tc>
              <w:tc>
                <w:tcPr>
                  <w:tcW w:w="950" w:type="pct"/>
                  <w:tcBorders>
                    <w:tl2br w:val="nil"/>
                    <w:tr2bl w:val="nil"/>
                  </w:tcBorders>
                  <w:vAlign w:val="center"/>
                </w:tcPr>
                <w:p w14:paraId="1F788B8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1CA9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vAlign w:val="center"/>
                </w:tcPr>
                <w:p w14:paraId="2C0A3C63">
                  <w:pPr>
                    <w:widowControl w:val="0"/>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eastAsia="zh-CN"/>
                      <w14:textFill>
                        <w14:solidFill>
                          <w14:schemeClr w14:val="tx1"/>
                        </w14:solidFill>
                      </w14:textFill>
                    </w:rPr>
                    <w:t>铅</w:t>
                  </w:r>
                </w:p>
              </w:tc>
              <w:tc>
                <w:tcPr>
                  <w:tcW w:w="759" w:type="pct"/>
                  <w:tcBorders>
                    <w:tl2br w:val="nil"/>
                    <w:tr2bl w:val="nil"/>
                  </w:tcBorders>
                  <w:vAlign w:val="center"/>
                </w:tcPr>
                <w:p w14:paraId="07BF0BB8">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w w:val="100"/>
                      <w:kern w:val="0"/>
                      <w:sz w:val="21"/>
                      <w:szCs w:val="21"/>
                      <w:highlight w:val="none"/>
                      <w:lang w:val="en-US" w:eastAsia="zh-CN"/>
                      <w14:textFill>
                        <w14:solidFill>
                          <w14:schemeClr w14:val="tx1"/>
                        </w14:solidFill>
                      </w14:textFill>
                    </w:rPr>
                    <w:t>800</w:t>
                  </w:r>
                </w:p>
              </w:tc>
              <w:tc>
                <w:tcPr>
                  <w:tcW w:w="765" w:type="pct"/>
                  <w:tcBorders>
                    <w:tl2br w:val="nil"/>
                    <w:tr2bl w:val="nil"/>
                  </w:tcBorders>
                  <w:vAlign w:val="center"/>
                </w:tcPr>
                <w:p w14:paraId="34239DB4">
                  <w:pPr>
                    <w:jc w:val="center"/>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2500</w:t>
                  </w:r>
                </w:p>
              </w:tc>
              <w:tc>
                <w:tcPr>
                  <w:tcW w:w="1339" w:type="pct"/>
                  <w:tcBorders>
                    <w:tl2br w:val="nil"/>
                    <w:tr2bl w:val="nil"/>
                  </w:tcBorders>
                  <w:vAlign w:val="center"/>
                </w:tcPr>
                <w:p w14:paraId="047D19CB">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bCs/>
                      <w:color w:val="000000" w:themeColor="text1"/>
                      <w:spacing w:val="0"/>
                      <w:kern w:val="0"/>
                      <w:sz w:val="21"/>
                      <w:szCs w:val="21"/>
                      <w:highlight w:val="none"/>
                      <w:lang w:val="en-US" w:eastAsia="zh-CN"/>
                      <w14:textFill>
                        <w14:solidFill>
                          <w14:schemeClr w14:val="tx1"/>
                        </w14:solidFill>
                      </w14:textFill>
                    </w:rPr>
                    <w:t>50</w:t>
                  </w:r>
                </w:p>
              </w:tc>
              <w:tc>
                <w:tcPr>
                  <w:tcW w:w="950" w:type="pct"/>
                  <w:tcBorders>
                    <w:tl2br w:val="nil"/>
                    <w:tr2bl w:val="nil"/>
                  </w:tcBorders>
                  <w:vAlign w:val="center"/>
                </w:tcPr>
                <w:p w14:paraId="1DB38AC2">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5EE8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vAlign w:val="center"/>
                </w:tcPr>
                <w:p w14:paraId="6D05A2E5">
                  <w:pPr>
                    <w:widowControl w:val="0"/>
                    <w:ind w:left="0" w:leftChars="0"/>
                    <w:jc w:val="center"/>
                    <w:rPr>
                      <w:rFonts w:hint="default" w:ascii="Times New Roman" w:hAnsi="Times New Roman" w:cs="Times New Roman" w:eastAsiaTheme="minorEastAsia"/>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14:textFill>
                        <w14:solidFill>
                          <w14:schemeClr w14:val="tx1"/>
                        </w14:solidFill>
                      </w14:textFill>
                    </w:rPr>
                    <w:t>汞</w:t>
                  </w:r>
                </w:p>
              </w:tc>
              <w:tc>
                <w:tcPr>
                  <w:tcW w:w="759" w:type="pct"/>
                  <w:tcBorders>
                    <w:tl2br w:val="nil"/>
                    <w:tr2bl w:val="nil"/>
                  </w:tcBorders>
                  <w:vAlign w:val="center"/>
                </w:tcPr>
                <w:p w14:paraId="183EC59C">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w w:val="100"/>
                      <w:kern w:val="0"/>
                      <w:sz w:val="21"/>
                      <w:szCs w:val="21"/>
                      <w:highlight w:val="none"/>
                      <w:lang w:val="en-US" w:eastAsia="zh-CN"/>
                      <w14:textFill>
                        <w14:solidFill>
                          <w14:schemeClr w14:val="tx1"/>
                        </w14:solidFill>
                      </w14:textFill>
                    </w:rPr>
                    <w:t>38</w:t>
                  </w:r>
                </w:p>
              </w:tc>
              <w:tc>
                <w:tcPr>
                  <w:tcW w:w="765" w:type="pct"/>
                  <w:tcBorders>
                    <w:tl2br w:val="nil"/>
                    <w:tr2bl w:val="nil"/>
                  </w:tcBorders>
                  <w:vAlign w:val="center"/>
                </w:tcPr>
                <w:p w14:paraId="206DB245">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82</w:t>
                  </w:r>
                </w:p>
              </w:tc>
              <w:tc>
                <w:tcPr>
                  <w:tcW w:w="1339" w:type="pct"/>
                  <w:tcBorders>
                    <w:tl2br w:val="nil"/>
                    <w:tr2bl w:val="nil"/>
                  </w:tcBorders>
                  <w:vAlign w:val="center"/>
                </w:tcPr>
                <w:p w14:paraId="4A145797">
                  <w:pPr>
                    <w:ind w:left="0" w:leftChars="0"/>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0.157</w:t>
                  </w:r>
                </w:p>
              </w:tc>
              <w:tc>
                <w:tcPr>
                  <w:tcW w:w="950" w:type="pct"/>
                  <w:tcBorders>
                    <w:tl2br w:val="nil"/>
                    <w:tr2bl w:val="nil"/>
                  </w:tcBorders>
                  <w:vAlign w:val="center"/>
                </w:tcPr>
                <w:p w14:paraId="1353866D">
                  <w:pPr>
                    <w:jc w:val="center"/>
                    <w:rPr>
                      <w:rFonts w:hint="default" w:ascii="Times New Roman" w:hAnsi="Times New Roman" w:eastAsia="Times New Roman" w:cs="Times New Roman"/>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0D41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4" w:type="pct"/>
                  <w:tcBorders>
                    <w:tl2br w:val="nil"/>
                    <w:tr2bl w:val="nil"/>
                  </w:tcBorders>
                  <w:vAlign w:val="center"/>
                </w:tcPr>
                <w:p w14:paraId="687B79AE">
                  <w:pPr>
                    <w:widowControl w:val="0"/>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eastAsia="zh-CN"/>
                      <w14:textFill>
                        <w14:solidFill>
                          <w14:schemeClr w14:val="tx1"/>
                        </w14:solidFill>
                      </w14:textFill>
                    </w:rPr>
                    <w:t>镍</w:t>
                  </w:r>
                </w:p>
              </w:tc>
              <w:tc>
                <w:tcPr>
                  <w:tcW w:w="759" w:type="pct"/>
                  <w:tcBorders>
                    <w:tl2br w:val="nil"/>
                    <w:tr2bl w:val="nil"/>
                  </w:tcBorders>
                  <w:vAlign w:val="center"/>
                </w:tcPr>
                <w:p w14:paraId="7AF93D2B">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w w:val="100"/>
                      <w:kern w:val="0"/>
                      <w:sz w:val="21"/>
                      <w:szCs w:val="21"/>
                      <w:highlight w:val="none"/>
                      <w:lang w:val="en-US" w:eastAsia="zh-CN"/>
                      <w14:textFill>
                        <w14:solidFill>
                          <w14:schemeClr w14:val="tx1"/>
                        </w14:solidFill>
                      </w14:textFill>
                    </w:rPr>
                    <w:t>900</w:t>
                  </w:r>
                </w:p>
              </w:tc>
              <w:tc>
                <w:tcPr>
                  <w:tcW w:w="765" w:type="pct"/>
                  <w:tcBorders>
                    <w:tl2br w:val="nil"/>
                    <w:tr2bl w:val="nil"/>
                  </w:tcBorders>
                  <w:vAlign w:val="center"/>
                </w:tcPr>
                <w:p w14:paraId="414D9296">
                  <w:pPr>
                    <w:jc w:val="center"/>
                    <w:rPr>
                      <w:rFonts w:hint="default" w:ascii="Times New Roman" w:hAnsi="Times New Roman" w:eastAsia="宋体" w:cs="Times New Roman"/>
                      <w:color w:val="000000" w:themeColor="text1"/>
                      <w:spacing w:val="0"/>
                      <w:w w:val="10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14:textFill>
                        <w14:solidFill>
                          <w14:schemeClr w14:val="tx1"/>
                        </w14:solidFill>
                      </w14:textFill>
                    </w:rPr>
                    <w:t>2000</w:t>
                  </w:r>
                </w:p>
              </w:tc>
              <w:tc>
                <w:tcPr>
                  <w:tcW w:w="1339" w:type="pct"/>
                  <w:tcBorders>
                    <w:tl2br w:val="nil"/>
                    <w:tr2bl w:val="nil"/>
                  </w:tcBorders>
                  <w:vAlign w:val="center"/>
                </w:tcPr>
                <w:p w14:paraId="17933872">
                  <w:pPr>
                    <w:ind w:left="0" w:leftChars="0"/>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66</w:t>
                  </w:r>
                </w:p>
              </w:tc>
              <w:tc>
                <w:tcPr>
                  <w:tcW w:w="950" w:type="pct"/>
                  <w:tcBorders>
                    <w:tl2br w:val="nil"/>
                    <w:tr2bl w:val="nil"/>
                  </w:tcBorders>
                  <w:vAlign w:val="center"/>
                </w:tcPr>
                <w:p w14:paraId="50C3186C">
                  <w:pPr>
                    <w:jc w:val="center"/>
                    <w:rPr>
                      <w:rFonts w:hint="default" w:ascii="Times New Roman" w:hAnsi="Times New Roman" w:eastAsia="Times New Roman" w:cs="Times New Roman"/>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3BB3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shd w:val="clear" w:color="auto" w:fill="auto"/>
                  <w:vAlign w:val="center"/>
                </w:tcPr>
                <w:p w14:paraId="2BF9ADCD">
                  <w:pPr>
                    <w:pStyle w:val="96"/>
                    <w:ind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四氯化碳</w:t>
                  </w:r>
                </w:p>
              </w:tc>
              <w:tc>
                <w:tcPr>
                  <w:tcW w:w="759" w:type="pct"/>
                  <w:tcBorders>
                    <w:tl2br w:val="nil"/>
                    <w:tr2bl w:val="nil"/>
                  </w:tcBorders>
                  <w:vAlign w:val="center"/>
                </w:tcPr>
                <w:p w14:paraId="563B42D5">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t>2.8</w:t>
                  </w:r>
                </w:p>
              </w:tc>
              <w:tc>
                <w:tcPr>
                  <w:tcW w:w="765" w:type="pct"/>
                  <w:tcBorders>
                    <w:tl2br w:val="nil"/>
                    <w:tr2bl w:val="nil"/>
                  </w:tcBorders>
                  <w:vAlign w:val="center"/>
                </w:tcPr>
                <w:p w14:paraId="7CC74B12">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36</w:t>
                  </w:r>
                </w:p>
              </w:tc>
              <w:tc>
                <w:tcPr>
                  <w:tcW w:w="1339" w:type="pct"/>
                  <w:tcBorders>
                    <w:tl2br w:val="nil"/>
                    <w:tr2bl w:val="nil"/>
                  </w:tcBorders>
                  <w:vAlign w:val="center"/>
                </w:tcPr>
                <w:p w14:paraId="1B1AAD21">
                  <w:pPr>
                    <w:ind w:left="0" w:leftChars="0"/>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Borders>
                    <w:tl2br w:val="nil"/>
                    <w:tr2bl w:val="nil"/>
                  </w:tcBorders>
                  <w:vAlign w:val="center"/>
                </w:tcPr>
                <w:p w14:paraId="28F842BE">
                  <w:pPr>
                    <w:jc w:val="center"/>
                    <w:rPr>
                      <w:rFonts w:hint="default" w:ascii="Times New Roman" w:hAnsi="Times New Roman" w:eastAsia="Times New Roman" w:cs="Times New Roman"/>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26DC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shd w:val="clear" w:color="auto" w:fill="auto"/>
                  <w:vAlign w:val="center"/>
                </w:tcPr>
                <w:p w14:paraId="4BCD5A6B">
                  <w:pPr>
                    <w:pStyle w:val="96"/>
                    <w:ind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氯仿</w:t>
                  </w:r>
                </w:p>
              </w:tc>
              <w:tc>
                <w:tcPr>
                  <w:tcW w:w="759" w:type="pct"/>
                  <w:tcBorders>
                    <w:tl2br w:val="nil"/>
                    <w:tr2bl w:val="nil"/>
                  </w:tcBorders>
                  <w:vAlign w:val="center"/>
                </w:tcPr>
                <w:p w14:paraId="1D2FCCB0">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t>0.9</w:t>
                  </w:r>
                </w:p>
              </w:tc>
              <w:tc>
                <w:tcPr>
                  <w:tcW w:w="765" w:type="pct"/>
                  <w:tcBorders>
                    <w:tl2br w:val="nil"/>
                    <w:tr2bl w:val="nil"/>
                  </w:tcBorders>
                  <w:vAlign w:val="center"/>
                </w:tcPr>
                <w:p w14:paraId="0CD4B52F">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10</w:t>
                  </w:r>
                </w:p>
              </w:tc>
              <w:tc>
                <w:tcPr>
                  <w:tcW w:w="1339" w:type="pct"/>
                  <w:tcBorders>
                    <w:tl2br w:val="nil"/>
                    <w:tr2bl w:val="nil"/>
                  </w:tcBorders>
                  <w:vAlign w:val="center"/>
                </w:tcPr>
                <w:p w14:paraId="39EDBEAF">
                  <w:pPr>
                    <w:ind w:left="0" w:leftChars="0"/>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Borders>
                    <w:tl2br w:val="nil"/>
                    <w:tr2bl w:val="nil"/>
                  </w:tcBorders>
                  <w:vAlign w:val="center"/>
                </w:tcPr>
                <w:p w14:paraId="67A4B6D5">
                  <w:pPr>
                    <w:jc w:val="center"/>
                    <w:rPr>
                      <w:rFonts w:hint="default" w:ascii="Times New Roman" w:hAnsi="Times New Roman" w:eastAsia="Times New Roman" w:cs="Times New Roman"/>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4ED6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shd w:val="clear" w:color="auto" w:fill="auto"/>
                  <w:vAlign w:val="center"/>
                </w:tcPr>
                <w:p w14:paraId="64817E60">
                  <w:pPr>
                    <w:pStyle w:val="96"/>
                    <w:ind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氯甲烷</w:t>
                  </w:r>
                </w:p>
              </w:tc>
              <w:tc>
                <w:tcPr>
                  <w:tcW w:w="759" w:type="pct"/>
                  <w:tcBorders>
                    <w:tl2br w:val="nil"/>
                    <w:tr2bl w:val="nil"/>
                  </w:tcBorders>
                  <w:vAlign w:val="center"/>
                </w:tcPr>
                <w:p w14:paraId="718765BC">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37</w:t>
                  </w:r>
                </w:p>
              </w:tc>
              <w:tc>
                <w:tcPr>
                  <w:tcW w:w="765" w:type="pct"/>
                  <w:tcBorders>
                    <w:tl2br w:val="nil"/>
                    <w:tr2bl w:val="nil"/>
                  </w:tcBorders>
                  <w:vAlign w:val="center"/>
                </w:tcPr>
                <w:p w14:paraId="21770A7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120</w:t>
                  </w:r>
                </w:p>
              </w:tc>
              <w:tc>
                <w:tcPr>
                  <w:tcW w:w="1339" w:type="pct"/>
                  <w:tcBorders>
                    <w:tl2br w:val="nil"/>
                    <w:tr2bl w:val="nil"/>
                  </w:tcBorders>
                  <w:vAlign w:val="center"/>
                </w:tcPr>
                <w:p w14:paraId="705B7D2C">
                  <w:pPr>
                    <w:ind w:left="0" w:leftChars="0"/>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Borders>
                    <w:tl2br w:val="nil"/>
                    <w:tr2bl w:val="nil"/>
                  </w:tcBorders>
                  <w:vAlign w:val="center"/>
                </w:tcPr>
                <w:p w14:paraId="00B7F49D">
                  <w:pPr>
                    <w:jc w:val="center"/>
                    <w:rPr>
                      <w:rFonts w:hint="default" w:ascii="Times New Roman" w:hAnsi="Times New Roman" w:eastAsia="Times New Roman" w:cs="Times New Roman"/>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69BE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shd w:val="clear" w:color="auto" w:fill="auto"/>
                  <w:vAlign w:val="center"/>
                </w:tcPr>
                <w:p w14:paraId="7FCEC422">
                  <w:pPr>
                    <w:pStyle w:val="96"/>
                    <w:ind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二氯乙烷</w:t>
                  </w:r>
                </w:p>
              </w:tc>
              <w:tc>
                <w:tcPr>
                  <w:tcW w:w="759" w:type="pct"/>
                  <w:tcBorders>
                    <w:tl2br w:val="nil"/>
                    <w:tr2bl w:val="nil"/>
                  </w:tcBorders>
                  <w:vAlign w:val="center"/>
                </w:tcPr>
                <w:p w14:paraId="24633B42">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9</w:t>
                  </w:r>
                </w:p>
              </w:tc>
              <w:tc>
                <w:tcPr>
                  <w:tcW w:w="765" w:type="pct"/>
                  <w:tcBorders>
                    <w:tl2br w:val="nil"/>
                    <w:tr2bl w:val="nil"/>
                  </w:tcBorders>
                  <w:vAlign w:val="center"/>
                </w:tcPr>
                <w:p w14:paraId="76B913E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100</w:t>
                  </w:r>
                </w:p>
              </w:tc>
              <w:tc>
                <w:tcPr>
                  <w:tcW w:w="1339" w:type="pct"/>
                  <w:tcBorders>
                    <w:tl2br w:val="nil"/>
                    <w:tr2bl w:val="nil"/>
                  </w:tcBorders>
                  <w:vAlign w:val="center"/>
                </w:tcPr>
                <w:p w14:paraId="018B7214">
                  <w:pPr>
                    <w:ind w:left="0" w:leftChars="0"/>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Borders>
                    <w:tl2br w:val="nil"/>
                    <w:tr2bl w:val="nil"/>
                  </w:tcBorders>
                  <w:vAlign w:val="center"/>
                </w:tcPr>
                <w:p w14:paraId="78C07A39">
                  <w:pPr>
                    <w:jc w:val="center"/>
                    <w:rPr>
                      <w:rFonts w:hint="default" w:ascii="Times New Roman" w:hAnsi="Times New Roman" w:eastAsia="Times New Roman" w:cs="Times New Roman"/>
                      <w:color w:val="000000" w:themeColor="text1"/>
                      <w:spacing w:val="0"/>
                      <w:w w:val="10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09A2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tcBorders>
                    <w:tl2br w:val="nil"/>
                    <w:tr2bl w:val="nil"/>
                  </w:tcBorders>
                  <w:shd w:val="clear" w:color="auto" w:fill="auto"/>
                  <w:vAlign w:val="center"/>
                </w:tcPr>
                <w:p w14:paraId="39B5C2EA">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二氯乙烷</w:t>
                  </w:r>
                </w:p>
              </w:tc>
              <w:tc>
                <w:tcPr>
                  <w:tcW w:w="759" w:type="pct"/>
                  <w:tcBorders>
                    <w:tl2br w:val="nil"/>
                    <w:tr2bl w:val="nil"/>
                  </w:tcBorders>
                  <w:vAlign w:val="center"/>
                </w:tcPr>
                <w:p w14:paraId="27E8C2A3">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5</w:t>
                  </w:r>
                </w:p>
              </w:tc>
              <w:tc>
                <w:tcPr>
                  <w:tcW w:w="765" w:type="pct"/>
                  <w:tcBorders>
                    <w:tl2br w:val="nil"/>
                    <w:tr2bl w:val="nil"/>
                  </w:tcBorders>
                  <w:vAlign w:val="center"/>
                </w:tcPr>
                <w:p w14:paraId="3E11AC0C">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21</w:t>
                  </w:r>
                </w:p>
              </w:tc>
              <w:tc>
                <w:tcPr>
                  <w:tcW w:w="1339" w:type="pct"/>
                  <w:tcBorders>
                    <w:tl2br w:val="nil"/>
                    <w:tr2bl w:val="nil"/>
                  </w:tcBorders>
                  <w:vAlign w:val="center"/>
                </w:tcPr>
                <w:p w14:paraId="59F1EC39">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Borders>
                    <w:tl2br w:val="nil"/>
                    <w:tr2bl w:val="nil"/>
                  </w:tcBorders>
                  <w:vAlign w:val="center"/>
                </w:tcPr>
                <w:p w14:paraId="2BB8DBB4">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41B7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41299F7C">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二氯乙烯</w:t>
                  </w:r>
                </w:p>
              </w:tc>
              <w:tc>
                <w:tcPr>
                  <w:tcW w:w="759" w:type="pct"/>
                </w:tcPr>
                <w:p w14:paraId="2DD560C6">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66</w:t>
                  </w:r>
                </w:p>
              </w:tc>
              <w:tc>
                <w:tcPr>
                  <w:tcW w:w="765" w:type="pct"/>
                </w:tcPr>
                <w:p w14:paraId="563D369D">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200</w:t>
                  </w:r>
                </w:p>
              </w:tc>
              <w:tc>
                <w:tcPr>
                  <w:tcW w:w="1339" w:type="pct"/>
                </w:tcPr>
                <w:p w14:paraId="197F2845">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55177D5E">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6B1F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70CC3C36">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顺</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二氯乙烯</w:t>
                  </w:r>
                </w:p>
              </w:tc>
              <w:tc>
                <w:tcPr>
                  <w:tcW w:w="759" w:type="pct"/>
                </w:tcPr>
                <w:p w14:paraId="7108B41F">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596</w:t>
                  </w:r>
                </w:p>
              </w:tc>
              <w:tc>
                <w:tcPr>
                  <w:tcW w:w="765" w:type="pct"/>
                </w:tcPr>
                <w:p w14:paraId="3DB59276">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2000</w:t>
                  </w:r>
                </w:p>
              </w:tc>
              <w:tc>
                <w:tcPr>
                  <w:tcW w:w="1339" w:type="pct"/>
                </w:tcPr>
                <w:p w14:paraId="714B203F">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2695B72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54CE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549B649C">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反</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二氯乙烯</w:t>
                  </w:r>
                </w:p>
              </w:tc>
              <w:tc>
                <w:tcPr>
                  <w:tcW w:w="759" w:type="pct"/>
                </w:tcPr>
                <w:p w14:paraId="4B1A68EA">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54</w:t>
                  </w:r>
                </w:p>
              </w:tc>
              <w:tc>
                <w:tcPr>
                  <w:tcW w:w="765" w:type="pct"/>
                </w:tcPr>
                <w:p w14:paraId="701D45E0">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163</w:t>
                  </w:r>
                </w:p>
              </w:tc>
              <w:tc>
                <w:tcPr>
                  <w:tcW w:w="1339" w:type="pct"/>
                </w:tcPr>
                <w:p w14:paraId="7B93E99D">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46C538D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03C8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5A9B7909">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二氯甲烷</w:t>
                  </w:r>
                </w:p>
              </w:tc>
              <w:tc>
                <w:tcPr>
                  <w:tcW w:w="759" w:type="pct"/>
                </w:tcPr>
                <w:p w14:paraId="6FC4A52C">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616</w:t>
                  </w:r>
                </w:p>
              </w:tc>
              <w:tc>
                <w:tcPr>
                  <w:tcW w:w="765" w:type="pct"/>
                </w:tcPr>
                <w:p w14:paraId="4CA399BF">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2000</w:t>
                  </w:r>
                </w:p>
              </w:tc>
              <w:tc>
                <w:tcPr>
                  <w:tcW w:w="1339" w:type="pct"/>
                </w:tcPr>
                <w:p w14:paraId="0ABAE7DC">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5FA5C6C2">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2B86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26B40581">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二氯丙烷</w:t>
                  </w:r>
                </w:p>
              </w:tc>
              <w:tc>
                <w:tcPr>
                  <w:tcW w:w="759" w:type="pct"/>
                </w:tcPr>
                <w:p w14:paraId="6E264A0B">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5</w:t>
                  </w:r>
                </w:p>
              </w:tc>
              <w:tc>
                <w:tcPr>
                  <w:tcW w:w="765" w:type="pct"/>
                </w:tcPr>
                <w:p w14:paraId="25E321B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47</w:t>
                  </w:r>
                </w:p>
              </w:tc>
              <w:tc>
                <w:tcPr>
                  <w:tcW w:w="1339" w:type="pct"/>
                </w:tcPr>
                <w:p w14:paraId="36CC1F99">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17C964AF">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04D0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539EB206">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1,1,1,2-</w:t>
                  </w:r>
                  <w:r>
                    <w:rPr>
                      <w:rFonts w:hint="eastAsia"/>
                      <w:color w:val="000000" w:themeColor="text1"/>
                      <w:sz w:val="21"/>
                      <w:szCs w:val="21"/>
                      <w14:textFill>
                        <w14:solidFill>
                          <w14:schemeClr w14:val="tx1"/>
                        </w14:solidFill>
                      </w14:textFill>
                    </w:rPr>
                    <w:t>四氯乙烷</w:t>
                  </w:r>
                </w:p>
              </w:tc>
              <w:tc>
                <w:tcPr>
                  <w:tcW w:w="759" w:type="pct"/>
                </w:tcPr>
                <w:p w14:paraId="5CADF2FD">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10</w:t>
                  </w:r>
                </w:p>
              </w:tc>
              <w:tc>
                <w:tcPr>
                  <w:tcW w:w="765" w:type="pct"/>
                </w:tcPr>
                <w:p w14:paraId="0A3A86A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100</w:t>
                  </w:r>
                </w:p>
              </w:tc>
              <w:tc>
                <w:tcPr>
                  <w:tcW w:w="1339" w:type="pct"/>
                </w:tcPr>
                <w:p w14:paraId="314D9D1A">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200DC61E">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37B0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62438951">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1,1,2,2-</w:t>
                  </w:r>
                  <w:r>
                    <w:rPr>
                      <w:rFonts w:hint="eastAsia"/>
                      <w:color w:val="000000" w:themeColor="text1"/>
                      <w:sz w:val="21"/>
                      <w:szCs w:val="21"/>
                      <w14:textFill>
                        <w14:solidFill>
                          <w14:schemeClr w14:val="tx1"/>
                        </w14:solidFill>
                      </w14:textFill>
                    </w:rPr>
                    <w:t>四氯乙烷</w:t>
                  </w:r>
                </w:p>
              </w:tc>
              <w:tc>
                <w:tcPr>
                  <w:tcW w:w="759" w:type="pct"/>
                </w:tcPr>
                <w:p w14:paraId="59B59E02">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6.8</w:t>
                  </w:r>
                </w:p>
              </w:tc>
              <w:tc>
                <w:tcPr>
                  <w:tcW w:w="765" w:type="pct"/>
                </w:tcPr>
                <w:p w14:paraId="503A32AC">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50</w:t>
                  </w:r>
                </w:p>
              </w:tc>
              <w:tc>
                <w:tcPr>
                  <w:tcW w:w="1339" w:type="pct"/>
                </w:tcPr>
                <w:p w14:paraId="2F71684C">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260CA311">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0FE7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23D7300F">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四氯乙烯</w:t>
                  </w:r>
                </w:p>
              </w:tc>
              <w:tc>
                <w:tcPr>
                  <w:tcW w:w="759" w:type="pct"/>
                </w:tcPr>
                <w:p w14:paraId="23CD7B00">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53</w:t>
                  </w:r>
                </w:p>
              </w:tc>
              <w:tc>
                <w:tcPr>
                  <w:tcW w:w="765" w:type="pct"/>
                </w:tcPr>
                <w:p w14:paraId="5FD1EB3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183</w:t>
                  </w:r>
                </w:p>
              </w:tc>
              <w:tc>
                <w:tcPr>
                  <w:tcW w:w="1339" w:type="pct"/>
                </w:tcPr>
                <w:p w14:paraId="1E999337">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58AAEA23">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021F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19B099BF">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1,1,1-</w:t>
                  </w:r>
                  <w:r>
                    <w:rPr>
                      <w:rFonts w:hint="eastAsia"/>
                      <w:color w:val="000000" w:themeColor="text1"/>
                      <w:sz w:val="21"/>
                      <w:szCs w:val="21"/>
                      <w14:textFill>
                        <w14:solidFill>
                          <w14:schemeClr w14:val="tx1"/>
                        </w14:solidFill>
                      </w14:textFill>
                    </w:rPr>
                    <w:t>三氯乙烷</w:t>
                  </w:r>
                </w:p>
              </w:tc>
              <w:tc>
                <w:tcPr>
                  <w:tcW w:w="759" w:type="pct"/>
                </w:tcPr>
                <w:p w14:paraId="37220655">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840</w:t>
                  </w:r>
                </w:p>
              </w:tc>
              <w:tc>
                <w:tcPr>
                  <w:tcW w:w="765" w:type="pct"/>
                </w:tcPr>
                <w:p w14:paraId="77E687A9">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840</w:t>
                  </w:r>
                </w:p>
              </w:tc>
              <w:tc>
                <w:tcPr>
                  <w:tcW w:w="1339" w:type="pct"/>
                </w:tcPr>
                <w:p w14:paraId="53910E35">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76BA639D">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5DB8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5B9AE879">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1,1,2-</w:t>
                  </w:r>
                  <w:r>
                    <w:rPr>
                      <w:rFonts w:hint="eastAsia"/>
                      <w:color w:val="000000" w:themeColor="text1"/>
                      <w:sz w:val="21"/>
                      <w:szCs w:val="21"/>
                      <w14:textFill>
                        <w14:solidFill>
                          <w14:schemeClr w14:val="tx1"/>
                        </w14:solidFill>
                      </w14:textFill>
                    </w:rPr>
                    <w:t>三氯乙烷</w:t>
                  </w:r>
                </w:p>
              </w:tc>
              <w:tc>
                <w:tcPr>
                  <w:tcW w:w="759" w:type="pct"/>
                </w:tcPr>
                <w:p w14:paraId="5BD3CCEE">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2.8</w:t>
                  </w:r>
                </w:p>
              </w:tc>
              <w:tc>
                <w:tcPr>
                  <w:tcW w:w="765" w:type="pct"/>
                </w:tcPr>
                <w:p w14:paraId="66C00207">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15</w:t>
                  </w:r>
                </w:p>
              </w:tc>
              <w:tc>
                <w:tcPr>
                  <w:tcW w:w="1339" w:type="pct"/>
                </w:tcPr>
                <w:p w14:paraId="2FE2B3D4">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34CA862D">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37BA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34A0CA26">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三氯乙烯</w:t>
                  </w:r>
                </w:p>
              </w:tc>
              <w:tc>
                <w:tcPr>
                  <w:tcW w:w="759" w:type="pct"/>
                </w:tcPr>
                <w:p w14:paraId="58222E0B">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2.8</w:t>
                  </w:r>
                </w:p>
              </w:tc>
              <w:tc>
                <w:tcPr>
                  <w:tcW w:w="765" w:type="pct"/>
                </w:tcPr>
                <w:p w14:paraId="4195BB3A">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20</w:t>
                  </w:r>
                </w:p>
              </w:tc>
              <w:tc>
                <w:tcPr>
                  <w:tcW w:w="1339" w:type="pct"/>
                </w:tcPr>
                <w:p w14:paraId="42CFF331">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71E94A53">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4D17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4A2E3A00">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1,2,3-</w:t>
                  </w:r>
                  <w:r>
                    <w:rPr>
                      <w:rFonts w:hint="eastAsia"/>
                      <w:color w:val="000000" w:themeColor="text1"/>
                      <w:sz w:val="21"/>
                      <w:szCs w:val="21"/>
                      <w14:textFill>
                        <w14:solidFill>
                          <w14:schemeClr w14:val="tx1"/>
                        </w14:solidFill>
                      </w14:textFill>
                    </w:rPr>
                    <w:t>三氯丙烷</w:t>
                  </w:r>
                </w:p>
              </w:tc>
              <w:tc>
                <w:tcPr>
                  <w:tcW w:w="759" w:type="pct"/>
                </w:tcPr>
                <w:p w14:paraId="08AD4FBD">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0.5</w:t>
                  </w:r>
                </w:p>
              </w:tc>
              <w:tc>
                <w:tcPr>
                  <w:tcW w:w="765" w:type="pct"/>
                </w:tcPr>
                <w:p w14:paraId="7F1F5C04">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5</w:t>
                  </w:r>
                </w:p>
              </w:tc>
              <w:tc>
                <w:tcPr>
                  <w:tcW w:w="1339" w:type="pct"/>
                </w:tcPr>
                <w:p w14:paraId="1797FEE2">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261C5C8E">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5B59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44DD0120">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氯乙烯</w:t>
                  </w:r>
                </w:p>
              </w:tc>
              <w:tc>
                <w:tcPr>
                  <w:tcW w:w="759" w:type="pct"/>
                </w:tcPr>
                <w:p w14:paraId="1A446402">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0.43</w:t>
                  </w:r>
                </w:p>
              </w:tc>
              <w:tc>
                <w:tcPr>
                  <w:tcW w:w="765" w:type="pct"/>
                </w:tcPr>
                <w:p w14:paraId="4094B061">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4.3</w:t>
                  </w:r>
                </w:p>
              </w:tc>
              <w:tc>
                <w:tcPr>
                  <w:tcW w:w="1339" w:type="pct"/>
                </w:tcPr>
                <w:p w14:paraId="0000F976">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60ED1181">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6D7B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796DEC85">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苯</w:t>
                  </w:r>
                </w:p>
              </w:tc>
              <w:tc>
                <w:tcPr>
                  <w:tcW w:w="759" w:type="pct"/>
                </w:tcPr>
                <w:p w14:paraId="7CD7A805">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4</w:t>
                  </w:r>
                </w:p>
              </w:tc>
              <w:tc>
                <w:tcPr>
                  <w:tcW w:w="765" w:type="pct"/>
                </w:tcPr>
                <w:p w14:paraId="20279051">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40</w:t>
                  </w:r>
                </w:p>
              </w:tc>
              <w:tc>
                <w:tcPr>
                  <w:tcW w:w="1339" w:type="pct"/>
                </w:tcPr>
                <w:p w14:paraId="136A57A8">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401A576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1FDA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211A6EBE">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氯苯</w:t>
                  </w:r>
                </w:p>
              </w:tc>
              <w:tc>
                <w:tcPr>
                  <w:tcW w:w="759" w:type="pct"/>
                </w:tcPr>
                <w:p w14:paraId="6615C599">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270</w:t>
                  </w:r>
                </w:p>
              </w:tc>
              <w:tc>
                <w:tcPr>
                  <w:tcW w:w="765" w:type="pct"/>
                </w:tcPr>
                <w:p w14:paraId="73530A60">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1000</w:t>
                  </w:r>
                </w:p>
              </w:tc>
              <w:tc>
                <w:tcPr>
                  <w:tcW w:w="1339" w:type="pct"/>
                </w:tcPr>
                <w:p w14:paraId="403A8938">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17741DCE">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7E2B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2F6E63C5">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二氯苯</w:t>
                  </w:r>
                </w:p>
              </w:tc>
              <w:tc>
                <w:tcPr>
                  <w:tcW w:w="759" w:type="pct"/>
                </w:tcPr>
                <w:p w14:paraId="226C2E4D">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560</w:t>
                  </w:r>
                </w:p>
              </w:tc>
              <w:tc>
                <w:tcPr>
                  <w:tcW w:w="765" w:type="pct"/>
                </w:tcPr>
                <w:p w14:paraId="0142055A">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560</w:t>
                  </w:r>
                </w:p>
              </w:tc>
              <w:tc>
                <w:tcPr>
                  <w:tcW w:w="1339" w:type="pct"/>
                </w:tcPr>
                <w:p w14:paraId="6D0FED6F">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6B9E109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3740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0704847D">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1,4-</w:t>
                  </w:r>
                  <w:r>
                    <w:rPr>
                      <w:rFonts w:hint="eastAsia"/>
                      <w:color w:val="000000" w:themeColor="text1"/>
                      <w:sz w:val="21"/>
                      <w:szCs w:val="21"/>
                      <w14:textFill>
                        <w14:solidFill>
                          <w14:schemeClr w14:val="tx1"/>
                        </w14:solidFill>
                      </w14:textFill>
                    </w:rPr>
                    <w:t>二氯苯</w:t>
                  </w:r>
                </w:p>
              </w:tc>
              <w:tc>
                <w:tcPr>
                  <w:tcW w:w="759" w:type="pct"/>
                </w:tcPr>
                <w:p w14:paraId="4913DC9D">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20</w:t>
                  </w:r>
                </w:p>
              </w:tc>
              <w:tc>
                <w:tcPr>
                  <w:tcW w:w="765" w:type="pct"/>
                </w:tcPr>
                <w:p w14:paraId="68E1B823">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200</w:t>
                  </w:r>
                </w:p>
              </w:tc>
              <w:tc>
                <w:tcPr>
                  <w:tcW w:w="1339" w:type="pct"/>
                </w:tcPr>
                <w:p w14:paraId="7D3860E3">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604D568C">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424A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27407B34">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乙苯</w:t>
                  </w:r>
                </w:p>
              </w:tc>
              <w:tc>
                <w:tcPr>
                  <w:tcW w:w="759" w:type="pct"/>
                </w:tcPr>
                <w:p w14:paraId="6AA97D09">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28</w:t>
                  </w:r>
                </w:p>
              </w:tc>
              <w:tc>
                <w:tcPr>
                  <w:tcW w:w="765" w:type="pct"/>
                </w:tcPr>
                <w:p w14:paraId="51BED1ED">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280</w:t>
                  </w:r>
                </w:p>
              </w:tc>
              <w:tc>
                <w:tcPr>
                  <w:tcW w:w="1339" w:type="pct"/>
                </w:tcPr>
                <w:p w14:paraId="4FA6CFD9">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652B593F">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273D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3A997BEA">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苯乙烯</w:t>
                  </w:r>
                </w:p>
              </w:tc>
              <w:tc>
                <w:tcPr>
                  <w:tcW w:w="759" w:type="pct"/>
                </w:tcPr>
                <w:p w14:paraId="58BEE588">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1290</w:t>
                  </w:r>
                </w:p>
              </w:tc>
              <w:tc>
                <w:tcPr>
                  <w:tcW w:w="765" w:type="pct"/>
                </w:tcPr>
                <w:p w14:paraId="6CB2860A">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1290</w:t>
                  </w:r>
                </w:p>
              </w:tc>
              <w:tc>
                <w:tcPr>
                  <w:tcW w:w="1339" w:type="pct"/>
                </w:tcPr>
                <w:p w14:paraId="3A8E93DC">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53CEE11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1CB2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0E42D308">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甲苯</w:t>
                  </w:r>
                </w:p>
              </w:tc>
              <w:tc>
                <w:tcPr>
                  <w:tcW w:w="759" w:type="pct"/>
                </w:tcPr>
                <w:p w14:paraId="26FD5F27">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1200</w:t>
                  </w:r>
                </w:p>
              </w:tc>
              <w:tc>
                <w:tcPr>
                  <w:tcW w:w="765" w:type="pct"/>
                </w:tcPr>
                <w:p w14:paraId="6855FC77">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1200</w:t>
                  </w:r>
                </w:p>
              </w:tc>
              <w:tc>
                <w:tcPr>
                  <w:tcW w:w="1339" w:type="pct"/>
                </w:tcPr>
                <w:p w14:paraId="201CE14A">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4B443F73">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14CA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4202561C">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间二甲苯</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对二甲苯</w:t>
                  </w:r>
                </w:p>
              </w:tc>
              <w:tc>
                <w:tcPr>
                  <w:tcW w:w="759" w:type="pct"/>
                </w:tcPr>
                <w:p w14:paraId="249C0B32">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570</w:t>
                  </w:r>
                </w:p>
              </w:tc>
              <w:tc>
                <w:tcPr>
                  <w:tcW w:w="765" w:type="pct"/>
                </w:tcPr>
                <w:p w14:paraId="27EE75C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570</w:t>
                  </w:r>
                </w:p>
              </w:tc>
              <w:tc>
                <w:tcPr>
                  <w:tcW w:w="1339" w:type="pct"/>
                </w:tcPr>
                <w:p w14:paraId="742584BE">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37908394">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1820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772D3E5B">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邻二甲苯</w:t>
                  </w:r>
                </w:p>
              </w:tc>
              <w:tc>
                <w:tcPr>
                  <w:tcW w:w="759" w:type="pct"/>
                </w:tcPr>
                <w:p w14:paraId="352913F9">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640</w:t>
                  </w:r>
                </w:p>
              </w:tc>
              <w:tc>
                <w:tcPr>
                  <w:tcW w:w="765" w:type="pct"/>
                </w:tcPr>
                <w:p w14:paraId="4B37017D">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640</w:t>
                  </w:r>
                </w:p>
              </w:tc>
              <w:tc>
                <w:tcPr>
                  <w:tcW w:w="1339" w:type="pct"/>
                </w:tcPr>
                <w:p w14:paraId="0292E888">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59B67350">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203A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10F1B390">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硝基苯</w:t>
                  </w:r>
                </w:p>
              </w:tc>
              <w:tc>
                <w:tcPr>
                  <w:tcW w:w="759" w:type="pct"/>
                </w:tcPr>
                <w:p w14:paraId="4B1CE70B">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76</w:t>
                  </w:r>
                </w:p>
              </w:tc>
              <w:tc>
                <w:tcPr>
                  <w:tcW w:w="765" w:type="pct"/>
                </w:tcPr>
                <w:p w14:paraId="640C5991">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760</w:t>
                  </w:r>
                </w:p>
              </w:tc>
              <w:tc>
                <w:tcPr>
                  <w:tcW w:w="1339" w:type="pct"/>
                </w:tcPr>
                <w:p w14:paraId="7987B6AD">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1B2B18FD">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66ED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18ABDA75">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苯胺</w:t>
                  </w:r>
                </w:p>
              </w:tc>
              <w:tc>
                <w:tcPr>
                  <w:tcW w:w="759" w:type="pct"/>
                </w:tcPr>
                <w:p w14:paraId="081BD5C4">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260</w:t>
                  </w:r>
                </w:p>
              </w:tc>
              <w:tc>
                <w:tcPr>
                  <w:tcW w:w="765" w:type="pct"/>
                </w:tcPr>
                <w:p w14:paraId="6A95006A">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663</w:t>
                  </w:r>
                </w:p>
              </w:tc>
              <w:tc>
                <w:tcPr>
                  <w:tcW w:w="1339" w:type="pct"/>
                </w:tcPr>
                <w:p w14:paraId="7FE153EE">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3D28C77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7DBE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3F5C64FF">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氯酚</w:t>
                  </w:r>
                </w:p>
              </w:tc>
              <w:tc>
                <w:tcPr>
                  <w:tcW w:w="759" w:type="pct"/>
                </w:tcPr>
                <w:p w14:paraId="199FABEA">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2256</w:t>
                  </w:r>
                </w:p>
              </w:tc>
              <w:tc>
                <w:tcPr>
                  <w:tcW w:w="765" w:type="pct"/>
                </w:tcPr>
                <w:p w14:paraId="6115070A">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4500</w:t>
                  </w:r>
                </w:p>
              </w:tc>
              <w:tc>
                <w:tcPr>
                  <w:tcW w:w="1339" w:type="pct"/>
                </w:tcPr>
                <w:p w14:paraId="2493FBDD">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48905A4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33C1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2F3E11F1">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苯并</w:t>
                  </w:r>
                  <w:r>
                    <w:rPr>
                      <w:color w:val="000000" w:themeColor="text1"/>
                      <w:sz w:val="21"/>
                      <w:szCs w:val="21"/>
                      <w14:textFill>
                        <w14:solidFill>
                          <w14:schemeClr w14:val="tx1"/>
                        </w14:solidFill>
                      </w14:textFill>
                    </w:rPr>
                    <w:t>[α]</w:t>
                  </w:r>
                  <w:r>
                    <w:rPr>
                      <w:rFonts w:hint="eastAsia"/>
                      <w:color w:val="000000" w:themeColor="text1"/>
                      <w:sz w:val="21"/>
                      <w:szCs w:val="21"/>
                      <w14:textFill>
                        <w14:solidFill>
                          <w14:schemeClr w14:val="tx1"/>
                        </w14:solidFill>
                      </w14:textFill>
                    </w:rPr>
                    <w:t>蒽</w:t>
                  </w:r>
                </w:p>
              </w:tc>
              <w:tc>
                <w:tcPr>
                  <w:tcW w:w="759" w:type="pct"/>
                </w:tcPr>
                <w:p w14:paraId="4AF6E3D8">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15</w:t>
                  </w:r>
                </w:p>
              </w:tc>
              <w:tc>
                <w:tcPr>
                  <w:tcW w:w="765" w:type="pct"/>
                </w:tcPr>
                <w:p w14:paraId="7B4AEE9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151</w:t>
                  </w:r>
                </w:p>
              </w:tc>
              <w:tc>
                <w:tcPr>
                  <w:tcW w:w="1339" w:type="pct"/>
                </w:tcPr>
                <w:p w14:paraId="78D3C808">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455E2B2F">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4ED8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5D7C00DC">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苯并</w:t>
                  </w:r>
                  <w:r>
                    <w:rPr>
                      <w:color w:val="000000" w:themeColor="text1"/>
                      <w:sz w:val="21"/>
                      <w:szCs w:val="21"/>
                      <w14:textFill>
                        <w14:solidFill>
                          <w14:schemeClr w14:val="tx1"/>
                        </w14:solidFill>
                      </w14:textFill>
                    </w:rPr>
                    <w:t>[α]</w:t>
                  </w:r>
                  <w:r>
                    <w:rPr>
                      <w:rFonts w:hint="eastAsia"/>
                      <w:color w:val="000000" w:themeColor="text1"/>
                      <w:sz w:val="21"/>
                      <w:szCs w:val="21"/>
                      <w14:textFill>
                        <w14:solidFill>
                          <w14:schemeClr w14:val="tx1"/>
                        </w14:solidFill>
                      </w14:textFill>
                    </w:rPr>
                    <w:t>芘</w:t>
                  </w:r>
                </w:p>
              </w:tc>
              <w:tc>
                <w:tcPr>
                  <w:tcW w:w="759" w:type="pct"/>
                </w:tcPr>
                <w:p w14:paraId="60D0C750">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1.5</w:t>
                  </w:r>
                </w:p>
              </w:tc>
              <w:tc>
                <w:tcPr>
                  <w:tcW w:w="765" w:type="pct"/>
                </w:tcPr>
                <w:p w14:paraId="64CBE51A">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15</w:t>
                  </w:r>
                </w:p>
              </w:tc>
              <w:tc>
                <w:tcPr>
                  <w:tcW w:w="1339" w:type="pct"/>
                </w:tcPr>
                <w:p w14:paraId="57F0597F">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288206FF">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4E60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4B91D08C">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苯并</w:t>
                  </w:r>
                  <w:r>
                    <w:rPr>
                      <w:color w:val="000000" w:themeColor="text1"/>
                      <w:sz w:val="21"/>
                      <w:szCs w:val="21"/>
                      <w14:textFill>
                        <w14:solidFill>
                          <w14:schemeClr w14:val="tx1"/>
                        </w14:solidFill>
                      </w14:textFill>
                    </w:rPr>
                    <w:t>[b]</w:t>
                  </w:r>
                  <w:r>
                    <w:rPr>
                      <w:rFonts w:hint="eastAsia"/>
                      <w:color w:val="000000" w:themeColor="text1"/>
                      <w:sz w:val="21"/>
                      <w:szCs w:val="21"/>
                      <w14:textFill>
                        <w14:solidFill>
                          <w14:schemeClr w14:val="tx1"/>
                        </w14:solidFill>
                      </w14:textFill>
                    </w:rPr>
                    <w:t>荧蒽</w:t>
                  </w:r>
                </w:p>
              </w:tc>
              <w:tc>
                <w:tcPr>
                  <w:tcW w:w="759" w:type="pct"/>
                </w:tcPr>
                <w:p w14:paraId="3CFFE9EB">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15</w:t>
                  </w:r>
                </w:p>
              </w:tc>
              <w:tc>
                <w:tcPr>
                  <w:tcW w:w="765" w:type="pct"/>
                </w:tcPr>
                <w:p w14:paraId="7EE3688C">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151</w:t>
                  </w:r>
                </w:p>
              </w:tc>
              <w:tc>
                <w:tcPr>
                  <w:tcW w:w="1339" w:type="pct"/>
                </w:tcPr>
                <w:p w14:paraId="563AD876">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47788F6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719E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7C000AF5">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苯并</w:t>
                  </w:r>
                  <w:r>
                    <w:rPr>
                      <w:color w:val="000000" w:themeColor="text1"/>
                      <w:sz w:val="21"/>
                      <w:szCs w:val="21"/>
                      <w14:textFill>
                        <w14:solidFill>
                          <w14:schemeClr w14:val="tx1"/>
                        </w14:solidFill>
                      </w14:textFill>
                    </w:rPr>
                    <w:t>[k]</w:t>
                  </w:r>
                  <w:r>
                    <w:rPr>
                      <w:rFonts w:hint="eastAsia"/>
                      <w:color w:val="000000" w:themeColor="text1"/>
                      <w:sz w:val="21"/>
                      <w:szCs w:val="21"/>
                      <w14:textFill>
                        <w14:solidFill>
                          <w14:schemeClr w14:val="tx1"/>
                        </w14:solidFill>
                      </w14:textFill>
                    </w:rPr>
                    <w:t>荧蒽</w:t>
                  </w:r>
                </w:p>
              </w:tc>
              <w:tc>
                <w:tcPr>
                  <w:tcW w:w="759" w:type="pct"/>
                </w:tcPr>
                <w:p w14:paraId="7F27096A">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151</w:t>
                  </w:r>
                </w:p>
              </w:tc>
              <w:tc>
                <w:tcPr>
                  <w:tcW w:w="765" w:type="pct"/>
                </w:tcPr>
                <w:p w14:paraId="3752439D">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1500</w:t>
                  </w:r>
                </w:p>
              </w:tc>
              <w:tc>
                <w:tcPr>
                  <w:tcW w:w="1339" w:type="pct"/>
                </w:tcPr>
                <w:p w14:paraId="27629B2D">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32A2388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5628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3740E2EA">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䓛</w:t>
                  </w:r>
                </w:p>
              </w:tc>
              <w:tc>
                <w:tcPr>
                  <w:tcW w:w="759" w:type="pct"/>
                </w:tcPr>
                <w:p w14:paraId="42CFF4F2">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1293</w:t>
                  </w:r>
                </w:p>
              </w:tc>
              <w:tc>
                <w:tcPr>
                  <w:tcW w:w="765" w:type="pct"/>
                </w:tcPr>
                <w:p w14:paraId="1EACC69C">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12900</w:t>
                  </w:r>
                </w:p>
              </w:tc>
              <w:tc>
                <w:tcPr>
                  <w:tcW w:w="1339" w:type="pct"/>
                </w:tcPr>
                <w:p w14:paraId="3177BF78">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19EDA44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7385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3D2A4B1F">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二苯并</w:t>
                  </w:r>
                  <w:r>
                    <w:rPr>
                      <w:color w:val="000000" w:themeColor="text1"/>
                      <w:sz w:val="21"/>
                      <w:szCs w:val="21"/>
                      <w14:textFill>
                        <w14:solidFill>
                          <w14:schemeClr w14:val="tx1"/>
                        </w14:solidFill>
                      </w14:textFill>
                    </w:rPr>
                    <w:t>[α,h]</w:t>
                  </w:r>
                  <w:r>
                    <w:rPr>
                      <w:rFonts w:hint="eastAsia"/>
                      <w:color w:val="000000" w:themeColor="text1"/>
                      <w:sz w:val="21"/>
                      <w:szCs w:val="21"/>
                      <w14:textFill>
                        <w14:solidFill>
                          <w14:schemeClr w14:val="tx1"/>
                        </w14:solidFill>
                      </w14:textFill>
                    </w:rPr>
                    <w:t>蒽</w:t>
                  </w:r>
                </w:p>
              </w:tc>
              <w:tc>
                <w:tcPr>
                  <w:tcW w:w="759" w:type="pct"/>
                </w:tcPr>
                <w:p w14:paraId="75B44811">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1.5</w:t>
                  </w:r>
                </w:p>
              </w:tc>
              <w:tc>
                <w:tcPr>
                  <w:tcW w:w="765" w:type="pct"/>
                </w:tcPr>
                <w:p w14:paraId="0ED3114B">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15</w:t>
                  </w:r>
                </w:p>
              </w:tc>
              <w:tc>
                <w:tcPr>
                  <w:tcW w:w="1339" w:type="pct"/>
                </w:tcPr>
                <w:p w14:paraId="7BABFBFE">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477D5048">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2FA9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18A6158A">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茚并</w:t>
                  </w:r>
                  <w:r>
                    <w:rPr>
                      <w:color w:val="000000" w:themeColor="text1"/>
                      <w:sz w:val="21"/>
                      <w:szCs w:val="21"/>
                      <w14:textFill>
                        <w14:solidFill>
                          <w14:schemeClr w14:val="tx1"/>
                        </w14:solidFill>
                      </w14:textFill>
                    </w:rPr>
                    <w:t>[1,2,3-cd]</w:t>
                  </w:r>
                  <w:r>
                    <w:rPr>
                      <w:rFonts w:hint="eastAsia"/>
                      <w:color w:val="000000" w:themeColor="text1"/>
                      <w:sz w:val="21"/>
                      <w:szCs w:val="21"/>
                      <w14:textFill>
                        <w14:solidFill>
                          <w14:schemeClr w14:val="tx1"/>
                        </w14:solidFill>
                      </w14:textFill>
                    </w:rPr>
                    <w:t>芘</w:t>
                  </w:r>
                </w:p>
              </w:tc>
              <w:tc>
                <w:tcPr>
                  <w:tcW w:w="759" w:type="pct"/>
                </w:tcPr>
                <w:p w14:paraId="1DDD79AD">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15</w:t>
                  </w:r>
                </w:p>
              </w:tc>
              <w:tc>
                <w:tcPr>
                  <w:tcW w:w="765" w:type="pct"/>
                </w:tcPr>
                <w:p w14:paraId="3F089F1A">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151</w:t>
                  </w:r>
                </w:p>
              </w:tc>
              <w:tc>
                <w:tcPr>
                  <w:tcW w:w="1339" w:type="pct"/>
                </w:tcPr>
                <w:p w14:paraId="11FE6DE2">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7E848061">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5964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039B6082">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萘</w:t>
                  </w:r>
                </w:p>
              </w:tc>
              <w:tc>
                <w:tcPr>
                  <w:tcW w:w="759" w:type="pct"/>
                </w:tcPr>
                <w:p w14:paraId="788B941D">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70</w:t>
                  </w:r>
                </w:p>
              </w:tc>
              <w:tc>
                <w:tcPr>
                  <w:tcW w:w="765" w:type="pct"/>
                </w:tcPr>
                <w:p w14:paraId="2B4FF037">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700</w:t>
                  </w:r>
                </w:p>
              </w:tc>
              <w:tc>
                <w:tcPr>
                  <w:tcW w:w="1339" w:type="pct"/>
                </w:tcPr>
                <w:p w14:paraId="2A6781DD">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未检出</w:t>
                  </w:r>
                </w:p>
              </w:tc>
              <w:tc>
                <w:tcPr>
                  <w:tcW w:w="950" w:type="pct"/>
                </w:tcPr>
                <w:p w14:paraId="667C4240">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r w14:paraId="6FFA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4" w:type="pct"/>
                  <w:shd w:val="clear" w:color="auto" w:fill="auto"/>
                  <w:vAlign w:val="center"/>
                </w:tcPr>
                <w:p w14:paraId="6C4EAEF6">
                  <w:pPr>
                    <w:pStyle w:val="96"/>
                    <w:ind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石油烃</w:t>
                  </w:r>
                </w:p>
              </w:tc>
              <w:tc>
                <w:tcPr>
                  <w:tcW w:w="759" w:type="pct"/>
                </w:tcPr>
                <w:p w14:paraId="1A0887D3">
                  <w:pPr>
                    <w:ind w:left="0" w:leftChars="0"/>
                    <w:jc w:val="center"/>
                    <w:rPr>
                      <w:rFonts w:hint="default" w:ascii="Times New Roman" w:hAnsi="Times New Roman" w:cs="Times New Roman" w:eastAsiaTheme="minorEastAsia"/>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0"/>
                      <w:w w:val="100"/>
                      <w:kern w:val="0"/>
                      <w:sz w:val="21"/>
                      <w:szCs w:val="21"/>
                      <w:highlight w:val="none"/>
                      <w:lang w:val="en-US" w:eastAsia="zh-CN"/>
                      <w14:textFill>
                        <w14:solidFill>
                          <w14:schemeClr w14:val="tx1"/>
                        </w14:solidFill>
                      </w14:textFill>
                    </w:rPr>
                    <w:t>4500</w:t>
                  </w:r>
                </w:p>
              </w:tc>
              <w:tc>
                <w:tcPr>
                  <w:tcW w:w="765" w:type="pct"/>
                </w:tcPr>
                <w:p w14:paraId="3A99EA61">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5000</w:t>
                  </w:r>
                </w:p>
              </w:tc>
              <w:tc>
                <w:tcPr>
                  <w:tcW w:w="1339" w:type="pct"/>
                </w:tcPr>
                <w:p w14:paraId="02B002E6">
                  <w:pPr>
                    <w:ind w:left="0" w:leftChars="0"/>
                    <w:jc w:val="center"/>
                    <w:rPr>
                      <w:rFonts w:hint="default" w:ascii="Times New Roman" w:hAnsi="Times New Roman" w:eastAsia="宋体" w:cs="Times New Roman"/>
                      <w:bCs/>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w w:val="100"/>
                      <w:kern w:val="0"/>
                      <w:sz w:val="21"/>
                      <w:szCs w:val="21"/>
                      <w:highlight w:val="none"/>
                      <w:lang w:val="en-US" w:eastAsia="zh-CN"/>
                      <w14:textFill>
                        <w14:solidFill>
                          <w14:schemeClr w14:val="tx1"/>
                        </w14:solidFill>
                      </w14:textFill>
                    </w:rPr>
                    <w:t>12</w:t>
                  </w:r>
                </w:p>
              </w:tc>
              <w:tc>
                <w:tcPr>
                  <w:tcW w:w="950" w:type="pct"/>
                </w:tcPr>
                <w:p w14:paraId="2AF3887C">
                  <w:pPr>
                    <w:jc w:val="cente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sz w:val="21"/>
                      <w:szCs w:val="21"/>
                      <w:highlight w:val="none"/>
                      <w:lang w:val="en-US" w:eastAsia="zh-CN"/>
                      <w14:textFill>
                        <w14:solidFill>
                          <w14:schemeClr w14:val="tx1"/>
                        </w14:solidFill>
                      </w14:textFill>
                    </w:rPr>
                    <w:t>未超过筛选值</w:t>
                  </w:r>
                </w:p>
              </w:tc>
            </w:tr>
          </w:tbl>
          <w:p w14:paraId="6DA9C777">
            <w:pPr>
              <w:keepNext/>
              <w:keepLines w:val="0"/>
              <w:pageBreakBefore w:val="0"/>
              <w:widowControl w:val="0"/>
              <w:kinsoku/>
              <w:wordWrap/>
              <w:overflowPunct w:val="0"/>
              <w:topLinePunct w:val="0"/>
              <w:autoSpaceDE/>
              <w:autoSpaceDN/>
              <w:bidi w:val="0"/>
              <w:adjustRightInd/>
              <w:snapToGrid/>
              <w:spacing w:after="0" w:line="360" w:lineRule="auto"/>
              <w:ind w:left="0" w:firstLine="480" w:firstLineChars="200"/>
              <w:jc w:val="both"/>
              <w:textAlignment w:val="auto"/>
              <w:outlineLvl w:val="9"/>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根据本次所取样品的土壤监测数据及评价结果可知，项目</w:t>
            </w:r>
            <w:r>
              <w:rPr>
                <w:rFonts w:hint="eastAsia" w:cs="Times New Roman"/>
                <w:color w:val="000000" w:themeColor="text1"/>
                <w:kern w:val="0"/>
                <w:sz w:val="24"/>
                <w:szCs w:val="20"/>
                <w:lang w:val="en-US" w:eastAsia="zh-CN"/>
                <w14:textFill>
                  <w14:solidFill>
                    <w14:schemeClr w14:val="tx1"/>
                  </w14:solidFill>
                </w14:textFill>
              </w:rPr>
              <w:t>东侧</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建设用地土壤中的各项指标的监测值均低于《土壤环境质量 建设用地土壤污染风险管控标准（试行）》（GB36600-2018）表1中的第二类用地的风险筛选值，项目区域土壤污染风险一般情况下可忽略，区域土壤环境质量较好。</w:t>
            </w:r>
          </w:p>
          <w:p w14:paraId="677977C8">
            <w:pPr>
              <w:pageBreakBefore w:val="0"/>
              <w:kinsoku/>
              <w:wordWrap/>
              <w:overflowPunct/>
              <w:topLinePunct w:val="0"/>
              <w:bidi w:val="0"/>
              <w:spacing w:line="360" w:lineRule="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3.1.6</w:t>
            </w:r>
            <w:r>
              <w:rPr>
                <w:rFonts w:hint="eastAsia" w:ascii="Times New Roman" w:hAnsi="Times New Roman" w:eastAsia="宋体" w:cs="Times New Roman"/>
                <w:b/>
                <w:color w:val="000000" w:themeColor="text1"/>
                <w:sz w:val="24"/>
                <w:lang w:val="en-US" w:eastAsia="zh-CN"/>
                <w14:textFill>
                  <w14:solidFill>
                    <w14:schemeClr w14:val="tx1"/>
                  </w14:solidFill>
                </w14:textFill>
              </w:rPr>
              <w:t>生态环境现状</w:t>
            </w:r>
          </w:p>
          <w:p w14:paraId="53CB00C8">
            <w:pPr>
              <w:pageBreakBefore w:val="0"/>
              <w:kinsoku/>
              <w:wordWrap/>
              <w:overflowPunct/>
              <w:topLinePunct w:val="0"/>
              <w:bidi w:val="0"/>
              <w:spacing w:line="360" w:lineRule="auto"/>
              <w:ind w:firstLine="480" w:firstLineChars="200"/>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pPr>
            <w:r>
              <w:rPr>
                <w:color w:val="000000" w:themeColor="text1"/>
                <w:sz w:val="24"/>
                <w14:textFill>
                  <w14:solidFill>
                    <w14:schemeClr w14:val="tx1"/>
                  </w14:solidFill>
                </w14:textFill>
              </w:rPr>
              <w:t>项目位于</w:t>
            </w:r>
            <w:r>
              <w:rPr>
                <w:rFonts w:hint="eastAsia"/>
                <w:color w:val="000000" w:themeColor="text1"/>
                <w:sz w:val="24"/>
                <w:lang w:val="en-US" w:eastAsia="zh-CN"/>
                <w14:textFill>
                  <w14:solidFill>
                    <w14:schemeClr w14:val="tx1"/>
                  </w14:solidFill>
                </w14:textFill>
              </w:rPr>
              <w:t>曲靖市麒麟区珠街街道办事处珠街社区珠街村666号2栋18-19-20</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，项目不涉及占用生态红线、基本农田。</w:t>
            </w:r>
          </w:p>
          <w:p w14:paraId="427D5EC6">
            <w:pPr>
              <w:pageBreakBefore w:val="0"/>
              <w:kinsoku/>
              <w:wordWrap/>
              <w:overflowPunct/>
              <w:topLinePunct w:val="0"/>
              <w:bidi w:val="0"/>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0"/>
                <w14:textFill>
                  <w14:solidFill>
                    <w14:schemeClr w14:val="tx1"/>
                  </w14:solidFill>
                </w14:textFill>
              </w:rPr>
              <w:t>根据现场调查，由于人类长期生产及生活活动的影响，</w:t>
            </w:r>
            <w:r>
              <w:rPr>
                <w:rFonts w:hint="eastAsia"/>
                <w:color w:val="000000" w:themeColor="text1"/>
                <w:kern w:val="0"/>
                <w:sz w:val="24"/>
                <w:szCs w:val="24"/>
                <w:lang w:eastAsia="zh-CN"/>
                <w14:textFill>
                  <w14:solidFill>
                    <w14:schemeClr w14:val="tx1"/>
                  </w14:solidFill>
                </w14:textFill>
              </w:rPr>
              <w:t>周边植被类型以人工植被</w:t>
            </w:r>
            <w:r>
              <w:rPr>
                <w:rFonts w:hint="eastAsia"/>
                <w:color w:val="000000" w:themeColor="text1"/>
                <w:kern w:val="0"/>
                <w:sz w:val="24"/>
                <w:szCs w:val="24"/>
                <w:lang w:val="en-US" w:eastAsia="zh-CN"/>
                <w14:textFill>
                  <w14:solidFill>
                    <w14:schemeClr w14:val="tx1"/>
                  </w14:solidFill>
                </w14:textFill>
              </w:rPr>
              <w:t>和</w:t>
            </w:r>
            <w:r>
              <w:rPr>
                <w:rFonts w:hint="eastAsia"/>
                <w:color w:val="000000" w:themeColor="text1"/>
                <w:kern w:val="0"/>
                <w:sz w:val="24"/>
                <w:szCs w:val="24"/>
                <w:lang w:eastAsia="zh-CN"/>
                <w14:textFill>
                  <w14:solidFill>
                    <w14:schemeClr w14:val="tx1"/>
                  </w14:solidFill>
                </w14:textFill>
              </w:rPr>
              <w:t>各种农作物为主</w:t>
            </w:r>
            <w:r>
              <w:rPr>
                <w:rFonts w:hint="eastAsia"/>
                <w:color w:val="000000" w:themeColor="text1"/>
                <w:kern w:val="0"/>
                <w:sz w:val="24"/>
                <w14:textFill>
                  <w14:solidFill>
                    <w14:schemeClr w14:val="tx1"/>
                  </w14:solidFill>
                </w14:textFill>
              </w:rPr>
              <w:t>，无国家级和地方保护物种，无珍稀濒危物种，无当地特有物种，无名木古树分布</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项目</w:t>
            </w:r>
            <w:r>
              <w:rPr>
                <w:rFonts w:hint="eastAsia"/>
                <w:color w:val="000000" w:themeColor="text1"/>
                <w:kern w:val="0"/>
                <w:sz w:val="24"/>
                <w14:textFill>
                  <w14:solidFill>
                    <w14:schemeClr w14:val="tx1"/>
                  </w14:solidFill>
                </w14:textFill>
              </w:rPr>
              <w:t>周边不涉及风景名胜区等需要特殊保护的区域</w:t>
            </w:r>
            <w:r>
              <w:rPr>
                <w:rFonts w:hint="eastAsia"/>
                <w:color w:val="000000" w:themeColor="text1"/>
                <w:kern w:val="0"/>
                <w:sz w:val="24"/>
                <w:lang w:val="en-US" w:eastAsia="zh-CN"/>
                <w14:textFill>
                  <w14:solidFill>
                    <w14:schemeClr w14:val="tx1"/>
                  </w14:solidFill>
                </w14:textFill>
              </w:rPr>
              <w:t>总体而言生态环境现状质量一般。</w:t>
            </w:r>
          </w:p>
        </w:tc>
      </w:tr>
      <w:tr w14:paraId="7F4C0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2" w:hRule="atLeast"/>
          <w:jc w:val="center"/>
        </w:trPr>
        <w:tc>
          <w:tcPr>
            <w:tcW w:w="827" w:type="dxa"/>
            <w:vAlign w:val="center"/>
          </w:tcPr>
          <w:p w14:paraId="7D174A31">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环境</w:t>
            </w:r>
          </w:p>
          <w:p w14:paraId="4F50943B">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保护</w:t>
            </w:r>
          </w:p>
          <w:p w14:paraId="26B4CA2E">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目标</w:t>
            </w:r>
          </w:p>
        </w:tc>
        <w:tc>
          <w:tcPr>
            <w:tcW w:w="8461" w:type="dxa"/>
            <w:vAlign w:val="center"/>
          </w:tcPr>
          <w:p w14:paraId="31E95041">
            <w:pPr>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000000" w:themeColor="text1"/>
                <w:kern w:val="0"/>
                <w:sz w:val="28"/>
                <w:szCs w:val="28"/>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8"/>
                <w:szCs w:val="28"/>
                <w:lang w:val="en-US" w:eastAsia="zh-CN"/>
                <w14:textFill>
                  <w14:solidFill>
                    <w14:schemeClr w14:val="tx1"/>
                  </w14:solidFill>
                </w14:textFill>
              </w:rPr>
              <w:t>3.2环境保护目标</w:t>
            </w:r>
          </w:p>
          <w:p w14:paraId="73E8A7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1、大气环境</w:t>
            </w:r>
          </w:p>
          <w:p w14:paraId="10D1FE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项目厂界外500m范围内无自然保护区、风景名胜区</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分布</w:t>
            </w:r>
            <w:r>
              <w:rPr>
                <w:rFonts w:hint="eastAsia" w:cs="Times New Roman"/>
                <w:color w:val="000000" w:themeColor="text1"/>
                <w:kern w:val="0"/>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根据现场踏勘，项目区周边50</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m范围大气环境保护目标共有</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处</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详见3.2-1所示</w:t>
            </w:r>
            <w:r>
              <w:rPr>
                <w:rFonts w:hint="eastAsia" w:cs="Times New Roman"/>
                <w:color w:val="000000" w:themeColor="text1"/>
                <w:kern w:val="0"/>
                <w:sz w:val="24"/>
                <w:szCs w:val="24"/>
                <w:lang w:val="en-US" w:eastAsia="zh-CN"/>
                <w14:textFill>
                  <w14:solidFill>
                    <w14:schemeClr w14:val="tx1"/>
                  </w14:solidFill>
                </w14:textFill>
              </w:rPr>
              <w:t>。</w:t>
            </w:r>
          </w:p>
          <w:p w14:paraId="6C33B03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2、声环境</w:t>
            </w:r>
          </w:p>
          <w:p w14:paraId="5A8B74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项目区周边50m范围内有1处声环境保护目标</w:t>
            </w:r>
            <w:r>
              <w:rPr>
                <w:rFonts w:hint="eastAsia" w:cs="Times New Roman"/>
                <w:color w:val="000000" w:themeColor="text1"/>
                <w:kern w:val="0"/>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详见3.2-1所示</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13349C6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3、地表水环境</w:t>
            </w:r>
          </w:p>
          <w:p w14:paraId="70DB27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项目周边地表水环境保护目标为</w:t>
            </w:r>
            <w:r>
              <w:rPr>
                <w:rFonts w:hint="eastAsia" w:cs="Times New Roman"/>
                <w:color w:val="000000" w:themeColor="text1"/>
                <w:kern w:val="0"/>
                <w:sz w:val="24"/>
                <w:szCs w:val="24"/>
                <w:highlight w:val="none"/>
                <w:lang w:val="en-US" w:eastAsia="zh-CN"/>
                <w14:textFill>
                  <w14:solidFill>
                    <w14:schemeClr w14:val="tx1"/>
                  </w14:solidFill>
                </w14:textFill>
              </w:rPr>
              <w:t>南盘江，</w:t>
            </w:r>
            <w:r>
              <w:rPr>
                <w:rFonts w:hint="eastAsia"/>
                <w:color w:val="000000" w:themeColor="text1"/>
                <w:sz w:val="24"/>
                <w:szCs w:val="24"/>
                <w:lang w:val="en-US" w:eastAsia="zh-CN"/>
                <w14:textFill>
                  <w14:solidFill>
                    <w14:schemeClr w14:val="tx1"/>
                  </w14:solidFill>
                </w14:textFill>
              </w:rPr>
              <w:t>详见3.2-1所示</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52498D9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4、地下水环境</w:t>
            </w:r>
          </w:p>
          <w:p w14:paraId="688755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项目区厂界500m范围内无地下水集中式饮用水水源和热水、矿泉水、温泉等特殊地下水资源，因此无地下水保护目标。</w:t>
            </w:r>
          </w:p>
          <w:p w14:paraId="368FCF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5、生态环境</w:t>
            </w:r>
          </w:p>
          <w:p w14:paraId="0D10592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b/>
                <w:bCs/>
                <w:color w:val="00B050"/>
                <w:kern w:val="0"/>
                <w:sz w:val="24"/>
                <w:szCs w:val="24"/>
              </w:rPr>
            </w:pPr>
            <w:r>
              <w:rPr>
                <w:rFonts w:hint="eastAsia"/>
                <w:color w:val="00B050"/>
                <w:kern w:val="0"/>
                <w:sz w:val="24"/>
                <w:szCs w:val="24"/>
              </w:rPr>
              <w:t>项目</w:t>
            </w:r>
            <w:r>
              <w:rPr>
                <w:rFonts w:hint="eastAsia"/>
                <w:color w:val="00B050"/>
                <w:kern w:val="0"/>
                <w:sz w:val="24"/>
                <w:szCs w:val="24"/>
                <w:lang w:val="en-US" w:eastAsia="zh-CN"/>
              </w:rPr>
              <w:t>周边不涉及</w:t>
            </w:r>
            <w:r>
              <w:rPr>
                <w:rFonts w:hint="eastAsia"/>
                <w:color w:val="00B050"/>
                <w:kern w:val="0"/>
                <w:sz w:val="24"/>
                <w:szCs w:val="24"/>
              </w:rPr>
              <w:t>生态环境保护目标。</w:t>
            </w:r>
          </w:p>
          <w:p w14:paraId="18230560">
            <w:pPr>
              <w:pageBreakBefore w:val="0"/>
              <w:kinsoku/>
              <w:wordWrap/>
              <w:overflowPunct/>
              <w:topLinePunct w:val="0"/>
              <w:bidi w:val="0"/>
              <w:spacing w:line="360" w:lineRule="auto"/>
              <w:ind w:firstLine="480" w:firstLineChars="200"/>
              <w:rPr>
                <w:rFonts w:hint="default" w:ascii="Times New Roman" w:hAnsi="Times New Roman" w:cs="Times New Roman"/>
                <w:b/>
                <w:color w:val="00B050"/>
                <w:sz w:val="24"/>
                <w:szCs w:val="24"/>
                <w:highlight w:val="none"/>
              </w:rPr>
            </w:pPr>
            <w:r>
              <w:rPr>
                <w:rFonts w:hint="default" w:ascii="Times New Roman" w:hAnsi="Times New Roman" w:cs="Times New Roman"/>
                <w:b w:val="0"/>
                <w:bCs w:val="0"/>
                <w:color w:val="00B050"/>
                <w:sz w:val="24"/>
                <w:szCs w:val="24"/>
                <w:lang w:val="en-US" w:eastAsia="zh-CN"/>
              </w:rPr>
              <w:t>项目</w:t>
            </w:r>
            <w:r>
              <w:rPr>
                <w:rFonts w:hint="eastAsia" w:cs="Times New Roman"/>
                <w:b w:val="0"/>
                <w:bCs w:val="0"/>
                <w:color w:val="00B050"/>
                <w:sz w:val="24"/>
                <w:szCs w:val="24"/>
                <w:lang w:val="en-US" w:eastAsia="zh-CN"/>
              </w:rPr>
              <w:t>周边</w:t>
            </w:r>
            <w:r>
              <w:rPr>
                <w:rFonts w:hint="default" w:ascii="Times New Roman" w:hAnsi="Times New Roman" w:cs="Times New Roman"/>
                <w:b w:val="0"/>
                <w:bCs w:val="0"/>
                <w:color w:val="00B050"/>
                <w:sz w:val="24"/>
                <w:szCs w:val="24"/>
              </w:rPr>
              <w:t>主要环境保护目标详见表3</w:t>
            </w:r>
            <w:r>
              <w:rPr>
                <w:rFonts w:hint="eastAsia" w:cs="Times New Roman"/>
                <w:b w:val="0"/>
                <w:bCs w:val="0"/>
                <w:color w:val="00B050"/>
                <w:sz w:val="24"/>
                <w:szCs w:val="24"/>
                <w:lang w:val="en-US" w:eastAsia="zh-CN"/>
              </w:rPr>
              <w:t>.2</w:t>
            </w:r>
            <w:r>
              <w:rPr>
                <w:rFonts w:hint="default" w:ascii="Times New Roman" w:hAnsi="Times New Roman" w:cs="Times New Roman"/>
                <w:b w:val="0"/>
                <w:bCs w:val="0"/>
                <w:color w:val="00B050"/>
                <w:sz w:val="24"/>
                <w:szCs w:val="24"/>
              </w:rPr>
              <w:t>-</w:t>
            </w:r>
            <w:r>
              <w:rPr>
                <w:rFonts w:hint="eastAsia" w:cs="Times New Roman"/>
                <w:b w:val="0"/>
                <w:bCs w:val="0"/>
                <w:color w:val="00B050"/>
                <w:sz w:val="24"/>
                <w:szCs w:val="24"/>
                <w:lang w:val="en-US" w:eastAsia="zh-CN"/>
              </w:rPr>
              <w:t>1所示</w:t>
            </w:r>
            <w:r>
              <w:rPr>
                <w:rFonts w:hint="default" w:ascii="Times New Roman" w:hAnsi="Times New Roman" w:cs="Times New Roman"/>
                <w:b w:val="0"/>
                <w:bCs w:val="0"/>
                <w:color w:val="00B050"/>
                <w:sz w:val="24"/>
                <w:szCs w:val="24"/>
              </w:rPr>
              <w:t>。</w:t>
            </w:r>
          </w:p>
          <w:p w14:paraId="688F0E8A">
            <w:pPr>
              <w:pageBreakBefore w:val="0"/>
              <w:kinsoku/>
              <w:wordWrap/>
              <w:overflowPunct/>
              <w:topLinePunct w:val="0"/>
              <w:bidi w:val="0"/>
              <w:jc w:val="center"/>
              <w:rPr>
                <w:rFonts w:hint="eastAsia" w:ascii="黑体" w:hAnsi="黑体" w:eastAsia="黑体" w:cs="黑体"/>
                <w:b w:val="0"/>
                <w:bCs/>
                <w:color w:val="00B050"/>
                <w:sz w:val="21"/>
                <w:szCs w:val="21"/>
                <w:highlight w:val="none"/>
              </w:rPr>
            </w:pPr>
            <w:r>
              <w:rPr>
                <w:rFonts w:hint="default" w:ascii="Times New Roman" w:hAnsi="Times New Roman" w:eastAsia="宋体" w:cs="Times New Roman"/>
                <w:b/>
                <w:bCs w:val="0"/>
                <w:color w:val="00B050"/>
                <w:sz w:val="21"/>
                <w:szCs w:val="21"/>
                <w:highlight w:val="none"/>
              </w:rPr>
              <w:t>表3</w:t>
            </w:r>
            <w:r>
              <w:rPr>
                <w:rFonts w:hint="eastAsia" w:ascii="Times New Roman" w:hAnsi="Times New Roman" w:eastAsia="宋体" w:cs="Times New Roman"/>
                <w:b/>
                <w:bCs w:val="0"/>
                <w:color w:val="00B050"/>
                <w:sz w:val="21"/>
                <w:szCs w:val="21"/>
                <w:highlight w:val="none"/>
                <w:lang w:val="en-US" w:eastAsia="zh-CN"/>
              </w:rPr>
              <w:t>.2</w:t>
            </w:r>
            <w:r>
              <w:rPr>
                <w:rFonts w:hint="default" w:ascii="Times New Roman" w:hAnsi="Times New Roman" w:eastAsia="宋体" w:cs="Times New Roman"/>
                <w:b/>
                <w:bCs w:val="0"/>
                <w:color w:val="00B050"/>
                <w:sz w:val="21"/>
                <w:szCs w:val="21"/>
                <w:highlight w:val="none"/>
              </w:rPr>
              <w:t>-</w:t>
            </w:r>
            <w:r>
              <w:rPr>
                <w:rFonts w:hint="default" w:ascii="Times New Roman" w:hAnsi="Times New Roman" w:eastAsia="宋体" w:cs="Times New Roman"/>
                <w:b/>
                <w:bCs w:val="0"/>
                <w:color w:val="00B050"/>
                <w:sz w:val="21"/>
                <w:szCs w:val="21"/>
                <w:highlight w:val="none"/>
                <w:lang w:val="en-US" w:eastAsia="zh-CN"/>
              </w:rPr>
              <w:t>1</w:t>
            </w:r>
            <w:r>
              <w:rPr>
                <w:rFonts w:hint="default" w:ascii="Times New Roman" w:hAnsi="Times New Roman" w:eastAsia="宋体" w:cs="Times New Roman"/>
                <w:b/>
                <w:bCs w:val="0"/>
                <w:color w:val="00B050"/>
                <w:sz w:val="21"/>
                <w:szCs w:val="21"/>
                <w:highlight w:val="none"/>
              </w:rPr>
              <w:t xml:space="preserve"> </w:t>
            </w:r>
            <w:r>
              <w:rPr>
                <w:rFonts w:hint="default" w:ascii="Times New Roman" w:hAnsi="Times New Roman" w:eastAsia="宋体" w:cs="Times New Roman"/>
                <w:b/>
                <w:bCs w:val="0"/>
                <w:color w:val="00B050"/>
                <w:sz w:val="21"/>
                <w:szCs w:val="21"/>
                <w:highlight w:val="none"/>
                <w:lang w:val="en-US" w:eastAsia="zh-CN"/>
              </w:rPr>
              <w:t xml:space="preserve"> </w:t>
            </w:r>
            <w:r>
              <w:rPr>
                <w:rFonts w:hint="default" w:ascii="Times New Roman" w:hAnsi="Times New Roman" w:eastAsia="宋体" w:cs="Times New Roman"/>
                <w:b/>
                <w:bCs w:val="0"/>
                <w:color w:val="00B050"/>
                <w:sz w:val="21"/>
                <w:szCs w:val="21"/>
                <w:highlight w:val="none"/>
              </w:rPr>
              <w:t>项目周围环境保护目标一览表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127"/>
              <w:gridCol w:w="1282"/>
              <w:gridCol w:w="1288"/>
              <w:gridCol w:w="863"/>
              <w:gridCol w:w="942"/>
              <w:gridCol w:w="823"/>
              <w:gridCol w:w="1157"/>
            </w:tblGrid>
            <w:tr w14:paraId="1E0B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restart"/>
                  <w:noWrap/>
                  <w:vAlign w:val="center"/>
                </w:tcPr>
                <w:p w14:paraId="3B76B6B4">
                  <w:pPr>
                    <w:pageBreakBefore w:val="0"/>
                    <w:kinsoku/>
                    <w:wordWrap/>
                    <w:overflowPunct/>
                    <w:topLinePunct w:val="0"/>
                    <w:bidi w:val="0"/>
                    <w:jc w:val="center"/>
                    <w:rPr>
                      <w:b/>
                      <w:bCs/>
                      <w:color w:val="00B050"/>
                      <w:szCs w:val="21"/>
                    </w:rPr>
                  </w:pPr>
                  <w:r>
                    <w:rPr>
                      <w:b/>
                      <w:bCs/>
                      <w:color w:val="00B050"/>
                      <w:szCs w:val="21"/>
                    </w:rPr>
                    <w:t>环境要素</w:t>
                  </w:r>
                </w:p>
              </w:tc>
              <w:tc>
                <w:tcPr>
                  <w:tcW w:w="684" w:type="pct"/>
                  <w:vMerge w:val="restart"/>
                  <w:noWrap/>
                  <w:vAlign w:val="center"/>
                </w:tcPr>
                <w:p w14:paraId="76AD091F">
                  <w:pPr>
                    <w:pageBreakBefore w:val="0"/>
                    <w:kinsoku/>
                    <w:wordWrap/>
                    <w:overflowPunct/>
                    <w:topLinePunct w:val="0"/>
                    <w:bidi w:val="0"/>
                    <w:jc w:val="center"/>
                    <w:rPr>
                      <w:b/>
                      <w:bCs/>
                      <w:color w:val="00B050"/>
                      <w:szCs w:val="21"/>
                    </w:rPr>
                  </w:pPr>
                  <w:r>
                    <w:rPr>
                      <w:b/>
                      <w:bCs/>
                      <w:color w:val="00B050"/>
                      <w:szCs w:val="21"/>
                    </w:rPr>
                    <w:t>保护对象</w:t>
                  </w:r>
                </w:p>
              </w:tc>
              <w:tc>
                <w:tcPr>
                  <w:tcW w:w="1560" w:type="pct"/>
                  <w:gridSpan w:val="2"/>
                  <w:noWrap/>
                  <w:vAlign w:val="center"/>
                </w:tcPr>
                <w:p w14:paraId="584EEA45">
                  <w:pPr>
                    <w:pageBreakBefore w:val="0"/>
                    <w:kinsoku/>
                    <w:wordWrap/>
                    <w:overflowPunct/>
                    <w:topLinePunct w:val="0"/>
                    <w:bidi w:val="0"/>
                    <w:jc w:val="center"/>
                    <w:rPr>
                      <w:b/>
                      <w:bCs/>
                      <w:color w:val="00B050"/>
                      <w:szCs w:val="21"/>
                    </w:rPr>
                  </w:pPr>
                  <w:r>
                    <w:rPr>
                      <w:rFonts w:hint="eastAsia"/>
                      <w:b/>
                      <w:bCs/>
                      <w:color w:val="00B050"/>
                      <w:szCs w:val="21"/>
                    </w:rPr>
                    <w:t>坐标</w:t>
                  </w:r>
                </w:p>
              </w:tc>
              <w:tc>
                <w:tcPr>
                  <w:tcW w:w="523" w:type="pct"/>
                  <w:vMerge w:val="restart"/>
                  <w:noWrap/>
                  <w:vAlign w:val="center"/>
                </w:tcPr>
                <w:p w14:paraId="45DF22FC">
                  <w:pPr>
                    <w:pageBreakBefore w:val="0"/>
                    <w:kinsoku/>
                    <w:wordWrap/>
                    <w:overflowPunct/>
                    <w:topLinePunct w:val="0"/>
                    <w:bidi w:val="0"/>
                    <w:jc w:val="center"/>
                    <w:rPr>
                      <w:rFonts w:hint="eastAsia"/>
                      <w:b/>
                      <w:bCs/>
                      <w:color w:val="00B050"/>
                      <w:szCs w:val="21"/>
                    </w:rPr>
                  </w:pPr>
                  <w:r>
                    <w:rPr>
                      <w:b/>
                      <w:bCs/>
                      <w:color w:val="00B050"/>
                    </w:rPr>
                    <w:t>保护对象</w:t>
                  </w:r>
                </w:p>
              </w:tc>
              <w:tc>
                <w:tcPr>
                  <w:tcW w:w="571" w:type="pct"/>
                  <w:vMerge w:val="restart"/>
                  <w:noWrap/>
                  <w:vAlign w:val="center"/>
                </w:tcPr>
                <w:p w14:paraId="3BC4E872">
                  <w:pPr>
                    <w:pageBreakBefore w:val="0"/>
                    <w:kinsoku/>
                    <w:wordWrap/>
                    <w:overflowPunct/>
                    <w:topLinePunct w:val="0"/>
                    <w:bidi w:val="0"/>
                    <w:jc w:val="center"/>
                    <w:rPr>
                      <w:b/>
                      <w:bCs/>
                      <w:color w:val="00B050"/>
                      <w:szCs w:val="21"/>
                    </w:rPr>
                  </w:pPr>
                  <w:r>
                    <w:rPr>
                      <w:rFonts w:hint="eastAsia"/>
                      <w:b/>
                      <w:bCs/>
                      <w:color w:val="00B050"/>
                      <w:szCs w:val="21"/>
                    </w:rPr>
                    <w:t>与项目相对</w:t>
                  </w:r>
                  <w:r>
                    <w:rPr>
                      <w:b/>
                      <w:bCs/>
                      <w:color w:val="00B050"/>
                      <w:szCs w:val="21"/>
                    </w:rPr>
                    <w:t>方位</w:t>
                  </w:r>
                </w:p>
              </w:tc>
              <w:tc>
                <w:tcPr>
                  <w:tcW w:w="499" w:type="pct"/>
                  <w:vMerge w:val="restart"/>
                  <w:noWrap/>
                  <w:vAlign w:val="center"/>
                </w:tcPr>
                <w:p w14:paraId="3484EEF4">
                  <w:pPr>
                    <w:pageBreakBefore w:val="0"/>
                    <w:kinsoku/>
                    <w:wordWrap/>
                    <w:overflowPunct/>
                    <w:topLinePunct w:val="0"/>
                    <w:bidi w:val="0"/>
                    <w:jc w:val="center"/>
                    <w:rPr>
                      <w:b/>
                      <w:bCs/>
                      <w:color w:val="00B050"/>
                      <w:szCs w:val="21"/>
                    </w:rPr>
                  </w:pPr>
                  <w:r>
                    <w:rPr>
                      <w:rFonts w:hint="eastAsia"/>
                      <w:b/>
                      <w:bCs/>
                      <w:color w:val="00B050"/>
                      <w:szCs w:val="21"/>
                    </w:rPr>
                    <w:t>距离/m</w:t>
                  </w:r>
                </w:p>
              </w:tc>
              <w:tc>
                <w:tcPr>
                  <w:tcW w:w="702" w:type="pct"/>
                  <w:vMerge w:val="restart"/>
                  <w:noWrap/>
                  <w:vAlign w:val="center"/>
                </w:tcPr>
                <w:p w14:paraId="48728BBC">
                  <w:pPr>
                    <w:pageBreakBefore w:val="0"/>
                    <w:kinsoku/>
                    <w:wordWrap/>
                    <w:overflowPunct/>
                    <w:topLinePunct w:val="0"/>
                    <w:bidi w:val="0"/>
                    <w:jc w:val="center"/>
                    <w:rPr>
                      <w:b/>
                      <w:bCs/>
                      <w:color w:val="00B050"/>
                      <w:szCs w:val="21"/>
                    </w:rPr>
                  </w:pPr>
                  <w:r>
                    <w:rPr>
                      <w:b/>
                      <w:bCs/>
                      <w:color w:val="00B050"/>
                      <w:szCs w:val="21"/>
                    </w:rPr>
                    <w:t>保护</w:t>
                  </w:r>
                  <w:r>
                    <w:rPr>
                      <w:rFonts w:hint="eastAsia"/>
                      <w:b/>
                      <w:bCs/>
                      <w:color w:val="00B050"/>
                      <w:szCs w:val="21"/>
                    </w:rPr>
                    <w:t>级别</w:t>
                  </w:r>
                </w:p>
              </w:tc>
            </w:tr>
            <w:tr w14:paraId="0C03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continue"/>
                  <w:noWrap/>
                  <w:vAlign w:val="center"/>
                </w:tcPr>
                <w:p w14:paraId="212DEF19">
                  <w:pPr>
                    <w:pageBreakBefore w:val="0"/>
                    <w:kinsoku/>
                    <w:wordWrap/>
                    <w:overflowPunct/>
                    <w:topLinePunct w:val="0"/>
                    <w:bidi w:val="0"/>
                    <w:jc w:val="center"/>
                    <w:rPr>
                      <w:color w:val="00B050"/>
                    </w:rPr>
                  </w:pPr>
                </w:p>
              </w:tc>
              <w:tc>
                <w:tcPr>
                  <w:tcW w:w="684" w:type="pct"/>
                  <w:vMerge w:val="continue"/>
                  <w:noWrap/>
                  <w:vAlign w:val="center"/>
                </w:tcPr>
                <w:p w14:paraId="03A84FE6">
                  <w:pPr>
                    <w:pageBreakBefore w:val="0"/>
                    <w:kinsoku/>
                    <w:wordWrap/>
                    <w:overflowPunct/>
                    <w:topLinePunct w:val="0"/>
                    <w:bidi w:val="0"/>
                    <w:jc w:val="center"/>
                    <w:rPr>
                      <w:color w:val="00B050"/>
                    </w:rPr>
                  </w:pPr>
                </w:p>
              </w:tc>
              <w:tc>
                <w:tcPr>
                  <w:tcW w:w="778" w:type="pct"/>
                  <w:noWrap/>
                  <w:vAlign w:val="center"/>
                </w:tcPr>
                <w:p w14:paraId="013C5D97">
                  <w:pPr>
                    <w:pageBreakBefore w:val="0"/>
                    <w:kinsoku/>
                    <w:wordWrap/>
                    <w:overflowPunct/>
                    <w:topLinePunct w:val="0"/>
                    <w:bidi w:val="0"/>
                    <w:jc w:val="center"/>
                    <w:rPr>
                      <w:b/>
                      <w:bCs/>
                      <w:color w:val="00B050"/>
                    </w:rPr>
                  </w:pPr>
                  <w:r>
                    <w:rPr>
                      <w:rFonts w:hint="eastAsia"/>
                      <w:b/>
                      <w:bCs/>
                      <w:color w:val="00B050"/>
                    </w:rPr>
                    <w:t>经度</w:t>
                  </w:r>
                </w:p>
              </w:tc>
              <w:tc>
                <w:tcPr>
                  <w:tcW w:w="782" w:type="pct"/>
                  <w:noWrap/>
                  <w:vAlign w:val="center"/>
                </w:tcPr>
                <w:p w14:paraId="26108CF7">
                  <w:pPr>
                    <w:pageBreakBefore w:val="0"/>
                    <w:kinsoku/>
                    <w:wordWrap/>
                    <w:overflowPunct/>
                    <w:topLinePunct w:val="0"/>
                    <w:bidi w:val="0"/>
                    <w:jc w:val="center"/>
                    <w:rPr>
                      <w:b/>
                      <w:bCs/>
                      <w:color w:val="00B050"/>
                    </w:rPr>
                  </w:pPr>
                  <w:r>
                    <w:rPr>
                      <w:rFonts w:hint="eastAsia"/>
                      <w:b/>
                      <w:bCs/>
                      <w:color w:val="00B050"/>
                    </w:rPr>
                    <w:t>纬度</w:t>
                  </w:r>
                </w:p>
              </w:tc>
              <w:tc>
                <w:tcPr>
                  <w:tcW w:w="523" w:type="pct"/>
                  <w:vMerge w:val="continue"/>
                  <w:noWrap/>
                  <w:vAlign w:val="center"/>
                </w:tcPr>
                <w:p w14:paraId="560F077A">
                  <w:pPr>
                    <w:pageBreakBefore w:val="0"/>
                    <w:kinsoku/>
                    <w:wordWrap/>
                    <w:overflowPunct/>
                    <w:topLinePunct w:val="0"/>
                    <w:bidi w:val="0"/>
                    <w:jc w:val="center"/>
                    <w:rPr>
                      <w:rFonts w:hint="eastAsia"/>
                      <w:b/>
                      <w:bCs/>
                      <w:color w:val="00B050"/>
                    </w:rPr>
                  </w:pPr>
                </w:p>
              </w:tc>
              <w:tc>
                <w:tcPr>
                  <w:tcW w:w="571" w:type="pct"/>
                  <w:vMerge w:val="continue"/>
                  <w:noWrap/>
                  <w:vAlign w:val="center"/>
                </w:tcPr>
                <w:p w14:paraId="7ED85735">
                  <w:pPr>
                    <w:pageBreakBefore w:val="0"/>
                    <w:kinsoku/>
                    <w:wordWrap/>
                    <w:overflowPunct/>
                    <w:topLinePunct w:val="0"/>
                    <w:bidi w:val="0"/>
                    <w:jc w:val="center"/>
                    <w:rPr>
                      <w:color w:val="00B050"/>
                    </w:rPr>
                  </w:pPr>
                </w:p>
              </w:tc>
              <w:tc>
                <w:tcPr>
                  <w:tcW w:w="499" w:type="pct"/>
                  <w:vMerge w:val="continue"/>
                  <w:noWrap/>
                  <w:vAlign w:val="center"/>
                </w:tcPr>
                <w:p w14:paraId="14B31DF1">
                  <w:pPr>
                    <w:pageBreakBefore w:val="0"/>
                    <w:kinsoku/>
                    <w:wordWrap/>
                    <w:overflowPunct/>
                    <w:topLinePunct w:val="0"/>
                    <w:bidi w:val="0"/>
                    <w:jc w:val="center"/>
                    <w:rPr>
                      <w:color w:val="00B050"/>
                    </w:rPr>
                  </w:pPr>
                </w:p>
              </w:tc>
              <w:tc>
                <w:tcPr>
                  <w:tcW w:w="702" w:type="pct"/>
                  <w:vMerge w:val="continue"/>
                  <w:noWrap/>
                  <w:vAlign w:val="center"/>
                </w:tcPr>
                <w:p w14:paraId="0875C3B9">
                  <w:pPr>
                    <w:pageBreakBefore w:val="0"/>
                    <w:kinsoku/>
                    <w:wordWrap/>
                    <w:overflowPunct/>
                    <w:topLinePunct w:val="0"/>
                    <w:bidi w:val="0"/>
                    <w:jc w:val="center"/>
                    <w:rPr>
                      <w:color w:val="00B050"/>
                    </w:rPr>
                  </w:pPr>
                </w:p>
              </w:tc>
            </w:tr>
            <w:tr w14:paraId="4CE2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restart"/>
                  <w:noWrap/>
                  <w:vAlign w:val="center"/>
                </w:tcPr>
                <w:p w14:paraId="0BE5AE73">
                  <w:pPr>
                    <w:pageBreakBefore w:val="0"/>
                    <w:kinsoku/>
                    <w:wordWrap/>
                    <w:overflowPunct/>
                    <w:topLinePunct w:val="0"/>
                    <w:bidi w:val="0"/>
                    <w:jc w:val="center"/>
                    <w:rPr>
                      <w:rFonts w:hint="eastAsia" w:eastAsia="宋体"/>
                      <w:color w:val="00B050"/>
                      <w:lang w:val="en-US" w:eastAsia="zh-CN"/>
                    </w:rPr>
                  </w:pPr>
                  <w:r>
                    <w:rPr>
                      <w:rFonts w:hint="eastAsia"/>
                      <w:color w:val="00B050"/>
                      <w:lang w:val="en-US" w:eastAsia="zh-CN"/>
                    </w:rPr>
                    <w:t>大气环境</w:t>
                  </w:r>
                </w:p>
              </w:tc>
              <w:tc>
                <w:tcPr>
                  <w:tcW w:w="684" w:type="pct"/>
                  <w:noWrap/>
                  <w:vAlign w:val="center"/>
                </w:tcPr>
                <w:p w14:paraId="2B64AAEA">
                  <w:pPr>
                    <w:pageBreakBefore w:val="0"/>
                    <w:kinsoku/>
                    <w:wordWrap/>
                    <w:overflowPunct/>
                    <w:topLinePunct w:val="0"/>
                    <w:bidi w:val="0"/>
                    <w:jc w:val="center"/>
                    <w:rPr>
                      <w:rFonts w:hint="default" w:eastAsia="宋体"/>
                      <w:color w:val="00B050"/>
                      <w:lang w:val="en-US" w:eastAsia="zh-CN"/>
                    </w:rPr>
                  </w:pPr>
                  <w:r>
                    <w:rPr>
                      <w:rFonts w:hint="eastAsia"/>
                      <w:color w:val="00B050"/>
                      <w:lang w:val="en-US" w:eastAsia="zh-CN"/>
                    </w:rPr>
                    <w:t>珠街社区散户1</w:t>
                  </w:r>
                </w:p>
              </w:tc>
              <w:tc>
                <w:tcPr>
                  <w:tcW w:w="778" w:type="pct"/>
                  <w:noWrap/>
                  <w:vAlign w:val="center"/>
                </w:tcPr>
                <w:p w14:paraId="1A773A38">
                  <w:pPr>
                    <w:pStyle w:val="96"/>
                    <w:ind w:firstLine="0" w:firstLineChars="0"/>
                    <w:rPr>
                      <w:rFonts w:hint="default" w:ascii="Times New Roman" w:hAnsi="Times New Roman" w:eastAsia="宋体" w:cs="Times New Roman"/>
                      <w:color w:val="00B050"/>
                      <w:lang w:eastAsia="zh-CN"/>
                    </w:rPr>
                  </w:pPr>
                  <w:r>
                    <w:rPr>
                      <w:rFonts w:hint="default" w:ascii="Times New Roman" w:hAnsi="Times New Roman" w:eastAsia="宋体" w:cs="Times New Roman"/>
                      <w:color w:val="00B050"/>
                      <w:lang w:eastAsia="zh-CN"/>
                    </w:rPr>
                    <w:t>103°53′7.529″</w:t>
                  </w:r>
                </w:p>
              </w:tc>
              <w:tc>
                <w:tcPr>
                  <w:tcW w:w="782" w:type="pct"/>
                  <w:shd w:val="clear" w:color="auto" w:fill="auto"/>
                  <w:noWrap/>
                  <w:vAlign w:val="center"/>
                </w:tcPr>
                <w:p w14:paraId="3AEC7574">
                  <w:pPr>
                    <w:pStyle w:val="96"/>
                    <w:ind w:firstLine="0" w:firstLineChars="0"/>
                    <w:rPr>
                      <w:rFonts w:hint="default" w:ascii="Times New Roman" w:hAnsi="Times New Roman" w:eastAsia="宋体" w:cs="Times New Roman"/>
                      <w:color w:val="00B050"/>
                      <w:lang w:val="en-US" w:eastAsia="zh-CN"/>
                    </w:rPr>
                  </w:pPr>
                  <w:r>
                    <w:rPr>
                      <w:rFonts w:hint="default" w:ascii="Times New Roman" w:hAnsi="Times New Roman" w:eastAsia="宋体" w:cs="Times New Roman"/>
                      <w:color w:val="00B050"/>
                      <w:lang w:eastAsia="zh-CN"/>
                    </w:rPr>
                    <w:t>25°30′43.604″</w:t>
                  </w:r>
                </w:p>
              </w:tc>
              <w:tc>
                <w:tcPr>
                  <w:tcW w:w="523" w:type="pct"/>
                  <w:shd w:val="clear" w:color="auto" w:fill="auto"/>
                  <w:noWrap/>
                  <w:vAlign w:val="center"/>
                </w:tcPr>
                <w:p w14:paraId="7B836578">
                  <w:pPr>
                    <w:pStyle w:val="96"/>
                    <w:ind w:firstLine="0" w:firstLineChars="0"/>
                    <w:rPr>
                      <w:rFonts w:hint="eastAsia" w:ascii="Times New Roman" w:hAnsi="Times New Roman" w:eastAsia="宋体" w:cs="宋体"/>
                      <w:color w:val="00B050"/>
                      <w:kern w:val="2"/>
                      <w:sz w:val="21"/>
                      <w:szCs w:val="21"/>
                      <w:lang w:val="en-US" w:eastAsia="zh-CN" w:bidi="ar-SA"/>
                    </w:rPr>
                  </w:pPr>
                  <w:r>
                    <w:rPr>
                      <w:color w:val="00B050"/>
                    </w:rPr>
                    <w:t>1</w:t>
                  </w:r>
                  <w:r>
                    <w:rPr>
                      <w:rFonts w:hint="eastAsia"/>
                      <w:color w:val="00B050"/>
                      <w:lang w:eastAsia="zh-CN"/>
                    </w:rPr>
                    <w:t>户，</w:t>
                  </w:r>
                  <w:r>
                    <w:rPr>
                      <w:color w:val="00B050"/>
                    </w:rPr>
                    <w:t>4</w:t>
                  </w:r>
                  <w:r>
                    <w:rPr>
                      <w:rFonts w:hint="eastAsia"/>
                      <w:color w:val="00B050"/>
                      <w:lang w:eastAsia="zh-CN"/>
                    </w:rPr>
                    <w:t>人</w:t>
                  </w:r>
                </w:p>
              </w:tc>
              <w:tc>
                <w:tcPr>
                  <w:tcW w:w="571" w:type="pct"/>
                  <w:noWrap/>
                  <w:vAlign w:val="center"/>
                </w:tcPr>
                <w:p w14:paraId="28DD8A0E">
                  <w:pPr>
                    <w:pageBreakBefore w:val="0"/>
                    <w:kinsoku/>
                    <w:wordWrap/>
                    <w:overflowPunct/>
                    <w:topLinePunct w:val="0"/>
                    <w:bidi w:val="0"/>
                    <w:jc w:val="center"/>
                    <w:rPr>
                      <w:rFonts w:hint="eastAsia" w:eastAsia="宋体"/>
                      <w:color w:val="00B050"/>
                      <w:lang w:val="en-US" w:eastAsia="zh-CN"/>
                    </w:rPr>
                  </w:pPr>
                  <w:r>
                    <w:rPr>
                      <w:rFonts w:hint="eastAsia"/>
                      <w:color w:val="00B050"/>
                      <w:lang w:val="en-US" w:eastAsia="zh-CN"/>
                    </w:rPr>
                    <w:t>东南侧</w:t>
                  </w:r>
                </w:p>
              </w:tc>
              <w:tc>
                <w:tcPr>
                  <w:tcW w:w="499" w:type="pct"/>
                  <w:noWrap/>
                  <w:vAlign w:val="center"/>
                </w:tcPr>
                <w:p w14:paraId="37105DAF">
                  <w:pPr>
                    <w:pageBreakBefore w:val="0"/>
                    <w:kinsoku/>
                    <w:wordWrap/>
                    <w:overflowPunct/>
                    <w:topLinePunct w:val="0"/>
                    <w:bidi w:val="0"/>
                    <w:jc w:val="center"/>
                    <w:rPr>
                      <w:rFonts w:hint="default" w:eastAsia="宋体"/>
                      <w:color w:val="00B050"/>
                      <w:lang w:val="en-US" w:eastAsia="zh-CN"/>
                    </w:rPr>
                  </w:pPr>
                  <w:r>
                    <w:rPr>
                      <w:rFonts w:hint="eastAsia"/>
                      <w:color w:val="00B050"/>
                      <w:lang w:val="en-US" w:eastAsia="zh-CN"/>
                    </w:rPr>
                    <w:t>48</w:t>
                  </w:r>
                </w:p>
              </w:tc>
              <w:tc>
                <w:tcPr>
                  <w:tcW w:w="702" w:type="pct"/>
                  <w:vMerge w:val="restart"/>
                  <w:noWrap/>
                  <w:vAlign w:val="center"/>
                </w:tcPr>
                <w:p w14:paraId="7F3C2A4B">
                  <w:pPr>
                    <w:pageBreakBefore w:val="0"/>
                    <w:kinsoku/>
                    <w:wordWrap/>
                    <w:overflowPunct/>
                    <w:topLinePunct w:val="0"/>
                    <w:bidi w:val="0"/>
                    <w:jc w:val="center"/>
                    <w:rPr>
                      <w:color w:val="00B050"/>
                    </w:rPr>
                  </w:pPr>
                  <w:r>
                    <w:rPr>
                      <w:rFonts w:hint="eastAsia"/>
                      <w:color w:val="00B050"/>
                    </w:rPr>
                    <w:t>《环境空气质量标准》（GB3095-2012）及其修改单（生态环境部公告2018第29号）二级标准</w:t>
                  </w:r>
                </w:p>
              </w:tc>
            </w:tr>
            <w:tr w14:paraId="0E99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continue"/>
                  <w:noWrap/>
                  <w:vAlign w:val="center"/>
                </w:tcPr>
                <w:p w14:paraId="76802E0D">
                  <w:pPr>
                    <w:pageBreakBefore w:val="0"/>
                    <w:kinsoku/>
                    <w:wordWrap/>
                    <w:overflowPunct/>
                    <w:topLinePunct w:val="0"/>
                    <w:bidi w:val="0"/>
                    <w:jc w:val="center"/>
                    <w:rPr>
                      <w:rFonts w:hint="eastAsia"/>
                      <w:color w:val="00B050"/>
                      <w:lang w:val="en-US" w:eastAsia="zh-CN"/>
                    </w:rPr>
                  </w:pPr>
                </w:p>
              </w:tc>
              <w:tc>
                <w:tcPr>
                  <w:tcW w:w="684" w:type="pct"/>
                  <w:noWrap/>
                  <w:vAlign w:val="center"/>
                </w:tcPr>
                <w:p w14:paraId="70645CD3">
                  <w:pPr>
                    <w:pageBreakBefore w:val="0"/>
                    <w:kinsoku/>
                    <w:wordWrap/>
                    <w:overflowPunct/>
                    <w:topLinePunct w:val="0"/>
                    <w:bidi w:val="0"/>
                    <w:ind w:left="0" w:leftChars="0"/>
                    <w:jc w:val="center"/>
                    <w:rPr>
                      <w:rFonts w:hint="default"/>
                      <w:color w:val="00B050"/>
                      <w:lang w:val="en-US" w:eastAsia="zh-CN"/>
                    </w:rPr>
                  </w:pPr>
                  <w:r>
                    <w:rPr>
                      <w:rFonts w:hint="default" w:ascii="Times New Roman" w:hAnsi="Times New Roman" w:eastAsia="宋体"/>
                      <w:bCs/>
                      <w:color w:val="00B050"/>
                      <w:sz w:val="21"/>
                      <w:szCs w:val="21"/>
                      <w:lang w:val="en-US" w:eastAsia="zh-CN"/>
                    </w:rPr>
                    <w:t>麒麟区珠街乡基督教救恩堂</w:t>
                  </w:r>
                </w:p>
              </w:tc>
              <w:tc>
                <w:tcPr>
                  <w:tcW w:w="778" w:type="pct"/>
                  <w:noWrap/>
                  <w:vAlign w:val="center"/>
                </w:tcPr>
                <w:p w14:paraId="66999DD2">
                  <w:pPr>
                    <w:pStyle w:val="96"/>
                    <w:ind w:firstLine="0" w:firstLineChars="0"/>
                    <w:rPr>
                      <w:rFonts w:hint="default" w:ascii="Times New Roman" w:hAnsi="Times New Roman" w:eastAsia="宋体" w:cs="Times New Roman"/>
                      <w:color w:val="00B050"/>
                      <w:lang w:eastAsia="zh-CN"/>
                    </w:rPr>
                  </w:pPr>
                  <w:r>
                    <w:rPr>
                      <w:rFonts w:hint="default" w:ascii="Times New Roman" w:hAnsi="Times New Roman" w:eastAsia="宋体" w:cs="Times New Roman"/>
                      <w:color w:val="00B050"/>
                      <w:lang w:eastAsia="zh-CN"/>
                    </w:rPr>
                    <w:t>103°53′9.354″</w:t>
                  </w:r>
                </w:p>
              </w:tc>
              <w:tc>
                <w:tcPr>
                  <w:tcW w:w="782" w:type="pct"/>
                  <w:shd w:val="clear" w:color="auto" w:fill="auto"/>
                  <w:noWrap/>
                  <w:vAlign w:val="center"/>
                </w:tcPr>
                <w:p w14:paraId="7BC87FD5">
                  <w:pPr>
                    <w:pStyle w:val="96"/>
                    <w:ind w:firstLine="0" w:firstLineChars="0"/>
                    <w:rPr>
                      <w:rFonts w:hint="default" w:ascii="Times New Roman" w:hAnsi="Times New Roman" w:eastAsia="宋体" w:cs="Times New Roman"/>
                      <w:color w:val="00B050"/>
                      <w:lang w:eastAsia="zh-CN"/>
                    </w:rPr>
                  </w:pPr>
                  <w:r>
                    <w:rPr>
                      <w:rFonts w:hint="default" w:ascii="Times New Roman" w:hAnsi="Times New Roman" w:eastAsia="宋体" w:cs="Times New Roman"/>
                      <w:color w:val="00B050"/>
                      <w:lang w:eastAsia="zh-CN"/>
                    </w:rPr>
                    <w:t>25°30′46.560″</w:t>
                  </w:r>
                </w:p>
              </w:tc>
              <w:tc>
                <w:tcPr>
                  <w:tcW w:w="523" w:type="pct"/>
                  <w:shd w:val="clear" w:color="auto" w:fill="auto"/>
                  <w:noWrap/>
                  <w:vAlign w:val="center"/>
                </w:tcPr>
                <w:p w14:paraId="63CCA6DE">
                  <w:pPr>
                    <w:pStyle w:val="96"/>
                    <w:ind w:firstLine="0" w:firstLineChars="0"/>
                    <w:rPr>
                      <w:color w:val="00B050"/>
                    </w:rPr>
                  </w:pPr>
                  <w:r>
                    <w:rPr>
                      <w:rFonts w:hint="eastAsia" w:ascii="Times New Roman" w:hAnsi="Times New Roman" w:cs="Times New Roman"/>
                      <w:color w:val="00B050"/>
                      <w:lang w:val="en-US" w:eastAsia="zh-CN"/>
                    </w:rPr>
                    <w:t>30</w:t>
                  </w:r>
                  <w:r>
                    <w:rPr>
                      <w:rFonts w:hint="default" w:ascii="Times New Roman" w:hAnsi="Times New Roman" w:cs="Times New Roman"/>
                      <w:color w:val="00B050"/>
                      <w:lang w:eastAsia="zh-CN"/>
                    </w:rPr>
                    <w:t>人</w:t>
                  </w:r>
                </w:p>
              </w:tc>
              <w:tc>
                <w:tcPr>
                  <w:tcW w:w="571" w:type="pct"/>
                  <w:noWrap/>
                  <w:vAlign w:val="center"/>
                </w:tcPr>
                <w:p w14:paraId="5779BCA1">
                  <w:pPr>
                    <w:pageBreakBefore w:val="0"/>
                    <w:kinsoku/>
                    <w:wordWrap/>
                    <w:overflowPunct/>
                    <w:topLinePunct w:val="0"/>
                    <w:bidi w:val="0"/>
                    <w:jc w:val="center"/>
                    <w:rPr>
                      <w:rFonts w:hint="eastAsia" w:eastAsia="宋体"/>
                      <w:color w:val="00B050"/>
                      <w:lang w:val="en-US" w:eastAsia="zh-CN"/>
                    </w:rPr>
                  </w:pPr>
                  <w:r>
                    <w:rPr>
                      <w:rFonts w:hint="eastAsia"/>
                      <w:color w:val="00B050"/>
                      <w:lang w:val="en-US" w:eastAsia="zh-CN"/>
                    </w:rPr>
                    <w:t>东侧</w:t>
                  </w:r>
                </w:p>
              </w:tc>
              <w:tc>
                <w:tcPr>
                  <w:tcW w:w="499" w:type="pct"/>
                  <w:noWrap/>
                  <w:vAlign w:val="center"/>
                </w:tcPr>
                <w:p w14:paraId="0CFE8E4D">
                  <w:pPr>
                    <w:pageBreakBefore w:val="0"/>
                    <w:kinsoku/>
                    <w:wordWrap/>
                    <w:overflowPunct/>
                    <w:topLinePunct w:val="0"/>
                    <w:bidi w:val="0"/>
                    <w:jc w:val="center"/>
                    <w:rPr>
                      <w:rFonts w:hint="default" w:eastAsia="宋体"/>
                      <w:color w:val="00B050"/>
                      <w:lang w:val="en-US" w:eastAsia="zh-CN"/>
                    </w:rPr>
                  </w:pPr>
                  <w:r>
                    <w:rPr>
                      <w:rFonts w:hint="eastAsia"/>
                      <w:color w:val="00B050"/>
                      <w:lang w:val="en-US" w:eastAsia="zh-CN"/>
                    </w:rPr>
                    <w:t>60</w:t>
                  </w:r>
                </w:p>
              </w:tc>
              <w:tc>
                <w:tcPr>
                  <w:tcW w:w="702" w:type="pct"/>
                  <w:vMerge w:val="continue"/>
                  <w:noWrap/>
                  <w:vAlign w:val="center"/>
                </w:tcPr>
                <w:p w14:paraId="300D8AF9">
                  <w:pPr>
                    <w:pageBreakBefore w:val="0"/>
                    <w:kinsoku/>
                    <w:wordWrap/>
                    <w:overflowPunct/>
                    <w:topLinePunct w:val="0"/>
                    <w:bidi w:val="0"/>
                    <w:jc w:val="center"/>
                    <w:rPr>
                      <w:color w:val="00B050"/>
                    </w:rPr>
                  </w:pPr>
                </w:p>
              </w:tc>
            </w:tr>
            <w:tr w14:paraId="05CC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continue"/>
                  <w:noWrap/>
                  <w:vAlign w:val="center"/>
                </w:tcPr>
                <w:p w14:paraId="33CC331E">
                  <w:pPr>
                    <w:pageBreakBefore w:val="0"/>
                    <w:kinsoku/>
                    <w:wordWrap/>
                    <w:overflowPunct/>
                    <w:topLinePunct w:val="0"/>
                    <w:bidi w:val="0"/>
                    <w:jc w:val="center"/>
                    <w:rPr>
                      <w:rFonts w:hint="eastAsia"/>
                      <w:color w:val="00B050"/>
                      <w:lang w:val="en-US" w:eastAsia="zh-CN"/>
                    </w:rPr>
                  </w:pPr>
                </w:p>
              </w:tc>
              <w:tc>
                <w:tcPr>
                  <w:tcW w:w="684" w:type="pct"/>
                  <w:noWrap/>
                  <w:vAlign w:val="center"/>
                </w:tcPr>
                <w:p w14:paraId="5B921774">
                  <w:pPr>
                    <w:pageBreakBefore w:val="0"/>
                    <w:kinsoku/>
                    <w:wordWrap/>
                    <w:overflowPunct/>
                    <w:topLinePunct w:val="0"/>
                    <w:bidi w:val="0"/>
                    <w:jc w:val="center"/>
                    <w:rPr>
                      <w:rFonts w:hint="eastAsia"/>
                      <w:color w:val="00B050"/>
                      <w:lang w:val="en-US" w:eastAsia="zh-CN"/>
                    </w:rPr>
                  </w:pPr>
                  <w:r>
                    <w:rPr>
                      <w:rFonts w:hint="eastAsia"/>
                      <w:color w:val="00B050"/>
                      <w:lang w:val="en-US" w:eastAsia="zh-CN"/>
                    </w:rPr>
                    <w:t>珠街社区散户2</w:t>
                  </w:r>
                </w:p>
              </w:tc>
              <w:tc>
                <w:tcPr>
                  <w:tcW w:w="778" w:type="pct"/>
                  <w:noWrap/>
                  <w:vAlign w:val="center"/>
                </w:tcPr>
                <w:p w14:paraId="76C6C0C2">
                  <w:pPr>
                    <w:pStyle w:val="96"/>
                    <w:ind w:firstLine="0" w:firstLineChars="0"/>
                    <w:rPr>
                      <w:rFonts w:hint="default" w:ascii="Times New Roman" w:hAnsi="Times New Roman" w:eastAsia="宋体" w:cs="Times New Roman"/>
                      <w:color w:val="00B050"/>
                      <w:lang w:eastAsia="zh-CN"/>
                    </w:rPr>
                  </w:pPr>
                  <w:r>
                    <w:rPr>
                      <w:rFonts w:hint="default" w:ascii="Times New Roman" w:hAnsi="Times New Roman" w:eastAsia="宋体" w:cs="Times New Roman"/>
                      <w:color w:val="00B050"/>
                      <w:lang w:eastAsia="zh-CN"/>
                    </w:rPr>
                    <w:t>103°53′17.146″</w:t>
                  </w:r>
                </w:p>
              </w:tc>
              <w:tc>
                <w:tcPr>
                  <w:tcW w:w="782" w:type="pct"/>
                  <w:shd w:val="clear" w:color="auto" w:fill="auto"/>
                  <w:noWrap/>
                  <w:vAlign w:val="center"/>
                </w:tcPr>
                <w:p w14:paraId="1D4C1F77">
                  <w:pPr>
                    <w:pStyle w:val="96"/>
                    <w:ind w:firstLine="0" w:firstLineChars="0"/>
                    <w:rPr>
                      <w:rFonts w:hint="default" w:ascii="Times New Roman" w:hAnsi="Times New Roman" w:eastAsia="宋体" w:cs="Times New Roman"/>
                      <w:color w:val="00B050"/>
                      <w:lang w:val="en-US" w:eastAsia="zh-CN"/>
                    </w:rPr>
                  </w:pPr>
                  <w:r>
                    <w:rPr>
                      <w:rFonts w:hint="default" w:ascii="Times New Roman" w:hAnsi="Times New Roman" w:eastAsia="宋体" w:cs="Times New Roman"/>
                      <w:color w:val="00B050"/>
                      <w:lang w:eastAsia="zh-CN"/>
                    </w:rPr>
                    <w:t>25°30′51.367″</w:t>
                  </w:r>
                </w:p>
              </w:tc>
              <w:tc>
                <w:tcPr>
                  <w:tcW w:w="523" w:type="pct"/>
                  <w:shd w:val="clear" w:color="auto" w:fill="auto"/>
                  <w:noWrap/>
                  <w:vAlign w:val="center"/>
                </w:tcPr>
                <w:p w14:paraId="22A22755">
                  <w:pPr>
                    <w:pStyle w:val="96"/>
                    <w:ind w:firstLine="0" w:firstLineChars="0"/>
                    <w:rPr>
                      <w:rFonts w:hint="default" w:ascii="Times New Roman" w:hAnsi="Times New Roman" w:eastAsia="宋体" w:cs="Times New Roman"/>
                      <w:color w:val="00B050"/>
                      <w:kern w:val="2"/>
                      <w:sz w:val="21"/>
                      <w:szCs w:val="21"/>
                      <w:lang w:val="en-US" w:eastAsia="zh-CN" w:bidi="ar-SA"/>
                    </w:rPr>
                  </w:pPr>
                  <w:r>
                    <w:rPr>
                      <w:color w:val="00B050"/>
                    </w:rPr>
                    <w:t>1</w:t>
                  </w:r>
                  <w:r>
                    <w:rPr>
                      <w:rFonts w:hint="eastAsia"/>
                      <w:color w:val="00B050"/>
                      <w:lang w:eastAsia="zh-CN"/>
                    </w:rPr>
                    <w:t>户，</w:t>
                  </w:r>
                  <w:r>
                    <w:rPr>
                      <w:color w:val="00B050"/>
                    </w:rPr>
                    <w:t>4</w:t>
                  </w:r>
                  <w:r>
                    <w:rPr>
                      <w:rFonts w:hint="eastAsia"/>
                      <w:color w:val="00B050"/>
                      <w:lang w:eastAsia="zh-CN"/>
                    </w:rPr>
                    <w:t>人</w:t>
                  </w:r>
                </w:p>
              </w:tc>
              <w:tc>
                <w:tcPr>
                  <w:tcW w:w="571" w:type="pct"/>
                  <w:noWrap/>
                  <w:vAlign w:val="center"/>
                </w:tcPr>
                <w:p w14:paraId="24B91F36">
                  <w:pPr>
                    <w:pageBreakBefore w:val="0"/>
                    <w:kinsoku/>
                    <w:wordWrap/>
                    <w:overflowPunct/>
                    <w:topLinePunct w:val="0"/>
                    <w:bidi w:val="0"/>
                    <w:jc w:val="center"/>
                    <w:rPr>
                      <w:rFonts w:hint="eastAsia" w:eastAsia="宋体"/>
                      <w:color w:val="00B050"/>
                      <w:lang w:val="en-US" w:eastAsia="zh-CN"/>
                    </w:rPr>
                  </w:pPr>
                  <w:r>
                    <w:rPr>
                      <w:rFonts w:hint="eastAsia"/>
                      <w:color w:val="00B050"/>
                      <w:lang w:val="en-US" w:eastAsia="zh-CN"/>
                    </w:rPr>
                    <w:t>东北侧</w:t>
                  </w:r>
                </w:p>
              </w:tc>
              <w:tc>
                <w:tcPr>
                  <w:tcW w:w="499" w:type="pct"/>
                  <w:noWrap/>
                  <w:vAlign w:val="center"/>
                </w:tcPr>
                <w:p w14:paraId="573088B5">
                  <w:pPr>
                    <w:pageBreakBefore w:val="0"/>
                    <w:kinsoku/>
                    <w:wordWrap/>
                    <w:overflowPunct/>
                    <w:topLinePunct w:val="0"/>
                    <w:bidi w:val="0"/>
                    <w:jc w:val="center"/>
                    <w:rPr>
                      <w:rFonts w:hint="default" w:eastAsia="宋体"/>
                      <w:color w:val="00B050"/>
                      <w:lang w:val="en-US" w:eastAsia="zh-CN"/>
                    </w:rPr>
                  </w:pPr>
                  <w:r>
                    <w:rPr>
                      <w:rFonts w:hint="eastAsia"/>
                      <w:color w:val="00B050"/>
                      <w:lang w:val="en-US" w:eastAsia="zh-CN"/>
                    </w:rPr>
                    <w:t>325</w:t>
                  </w:r>
                </w:p>
              </w:tc>
              <w:tc>
                <w:tcPr>
                  <w:tcW w:w="702" w:type="pct"/>
                  <w:vMerge w:val="continue"/>
                  <w:noWrap/>
                  <w:vAlign w:val="center"/>
                </w:tcPr>
                <w:p w14:paraId="0120C88B">
                  <w:pPr>
                    <w:pageBreakBefore w:val="0"/>
                    <w:kinsoku/>
                    <w:wordWrap/>
                    <w:overflowPunct/>
                    <w:topLinePunct w:val="0"/>
                    <w:bidi w:val="0"/>
                    <w:jc w:val="center"/>
                    <w:rPr>
                      <w:color w:val="00B050"/>
                    </w:rPr>
                  </w:pPr>
                </w:p>
              </w:tc>
            </w:tr>
            <w:tr w14:paraId="7961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continue"/>
                  <w:noWrap/>
                  <w:vAlign w:val="center"/>
                </w:tcPr>
                <w:p w14:paraId="11047E28">
                  <w:pPr>
                    <w:pageBreakBefore w:val="0"/>
                    <w:kinsoku/>
                    <w:wordWrap/>
                    <w:overflowPunct/>
                    <w:topLinePunct w:val="0"/>
                    <w:bidi w:val="0"/>
                    <w:jc w:val="center"/>
                    <w:rPr>
                      <w:color w:val="00B050"/>
                    </w:rPr>
                  </w:pPr>
                </w:p>
              </w:tc>
              <w:tc>
                <w:tcPr>
                  <w:tcW w:w="684" w:type="pct"/>
                  <w:shd w:val="clear" w:color="auto" w:fill="auto"/>
                  <w:noWrap/>
                  <w:vAlign w:val="center"/>
                </w:tcPr>
                <w:p w14:paraId="2FE4482F">
                  <w:pPr>
                    <w:pageBreakBefore w:val="0"/>
                    <w:kinsoku/>
                    <w:wordWrap/>
                    <w:overflowPunct/>
                    <w:topLinePunct w:val="0"/>
                    <w:bidi w:val="0"/>
                    <w:jc w:val="center"/>
                    <w:rPr>
                      <w:rFonts w:hint="default" w:ascii="Times New Roman" w:hAnsi="Times New Roman" w:eastAsia="宋体" w:cs="Times New Roman"/>
                      <w:color w:val="00B050"/>
                      <w:kern w:val="2"/>
                      <w:sz w:val="21"/>
                      <w:szCs w:val="24"/>
                      <w:lang w:val="en-US" w:eastAsia="zh-CN" w:bidi="ar-SA"/>
                    </w:rPr>
                  </w:pPr>
                  <w:r>
                    <w:rPr>
                      <w:rFonts w:hint="eastAsia"/>
                      <w:color w:val="00B050"/>
                      <w:lang w:val="en-US" w:eastAsia="zh-CN"/>
                    </w:rPr>
                    <w:t>涌泉村</w:t>
                  </w:r>
                </w:p>
              </w:tc>
              <w:tc>
                <w:tcPr>
                  <w:tcW w:w="778" w:type="pct"/>
                  <w:noWrap/>
                  <w:vAlign w:val="center"/>
                </w:tcPr>
                <w:p w14:paraId="1555EC39">
                  <w:pPr>
                    <w:pStyle w:val="96"/>
                    <w:ind w:firstLine="0" w:firstLineChars="0"/>
                    <w:rPr>
                      <w:rFonts w:hint="default" w:ascii="Times New Roman" w:hAnsi="Times New Roman" w:eastAsia="宋体" w:cs="Times New Roman"/>
                      <w:color w:val="00B050"/>
                      <w:lang w:eastAsia="zh-CN"/>
                    </w:rPr>
                  </w:pPr>
                  <w:r>
                    <w:rPr>
                      <w:rFonts w:hint="default" w:ascii="Times New Roman" w:hAnsi="Times New Roman" w:eastAsia="宋体" w:cs="Times New Roman"/>
                      <w:color w:val="00B050"/>
                      <w:lang w:eastAsia="zh-CN"/>
                    </w:rPr>
                    <w:t>103°53′4.217″</w:t>
                  </w:r>
                </w:p>
              </w:tc>
              <w:tc>
                <w:tcPr>
                  <w:tcW w:w="782" w:type="pct"/>
                  <w:shd w:val="clear" w:color="auto" w:fill="auto"/>
                  <w:noWrap/>
                  <w:vAlign w:val="center"/>
                </w:tcPr>
                <w:p w14:paraId="6C65E9ED">
                  <w:pPr>
                    <w:pStyle w:val="96"/>
                    <w:ind w:firstLine="0" w:firstLineChars="0"/>
                    <w:rPr>
                      <w:rFonts w:hint="default" w:ascii="Times New Roman" w:hAnsi="Times New Roman" w:eastAsia="宋体" w:cs="Times New Roman"/>
                      <w:color w:val="00B050"/>
                      <w:lang w:val="en-US" w:eastAsia="zh-CN"/>
                    </w:rPr>
                  </w:pPr>
                  <w:r>
                    <w:rPr>
                      <w:rFonts w:hint="default" w:ascii="Times New Roman" w:hAnsi="Times New Roman" w:eastAsia="宋体" w:cs="Times New Roman"/>
                      <w:color w:val="00B050"/>
                      <w:lang w:eastAsia="zh-CN"/>
                    </w:rPr>
                    <w:t>25°30′39.850″</w:t>
                  </w:r>
                </w:p>
              </w:tc>
              <w:tc>
                <w:tcPr>
                  <w:tcW w:w="523" w:type="pct"/>
                  <w:shd w:val="clear" w:color="auto" w:fill="auto"/>
                  <w:noWrap/>
                  <w:vAlign w:val="center"/>
                </w:tcPr>
                <w:p w14:paraId="3E0D2A41">
                  <w:pPr>
                    <w:pStyle w:val="96"/>
                    <w:ind w:firstLine="0" w:firstLineChars="0"/>
                    <w:rPr>
                      <w:rFonts w:hint="default" w:ascii="Times New Roman" w:hAnsi="Times New Roman" w:eastAsia="宋体" w:cs="Times New Roman"/>
                      <w:color w:val="00B050"/>
                      <w:kern w:val="2"/>
                      <w:sz w:val="21"/>
                      <w:szCs w:val="21"/>
                      <w:lang w:val="en-US" w:eastAsia="zh-CN" w:bidi="ar-SA"/>
                    </w:rPr>
                  </w:pPr>
                  <w:r>
                    <w:rPr>
                      <w:rFonts w:hint="eastAsia"/>
                      <w:color w:val="00B050"/>
                      <w:lang w:val="en-US" w:eastAsia="zh-CN"/>
                    </w:rPr>
                    <w:t>60</w:t>
                  </w:r>
                  <w:r>
                    <w:rPr>
                      <w:rFonts w:hint="eastAsia"/>
                      <w:color w:val="00B050"/>
                      <w:lang w:eastAsia="zh-CN"/>
                    </w:rPr>
                    <w:t>户，</w:t>
                  </w:r>
                  <w:r>
                    <w:rPr>
                      <w:rFonts w:hint="eastAsia"/>
                      <w:color w:val="00B050"/>
                      <w:lang w:val="en-US" w:eastAsia="zh-CN"/>
                    </w:rPr>
                    <w:t>300</w:t>
                  </w:r>
                  <w:r>
                    <w:rPr>
                      <w:rFonts w:hint="eastAsia"/>
                      <w:color w:val="00B050"/>
                      <w:lang w:eastAsia="zh-CN"/>
                    </w:rPr>
                    <w:t>人</w:t>
                  </w:r>
                </w:p>
              </w:tc>
              <w:tc>
                <w:tcPr>
                  <w:tcW w:w="571" w:type="pct"/>
                  <w:noWrap/>
                  <w:vAlign w:val="center"/>
                </w:tcPr>
                <w:p w14:paraId="2D9ABB7F">
                  <w:pPr>
                    <w:pageBreakBefore w:val="0"/>
                    <w:kinsoku/>
                    <w:wordWrap/>
                    <w:overflowPunct/>
                    <w:topLinePunct w:val="0"/>
                    <w:bidi w:val="0"/>
                    <w:jc w:val="center"/>
                    <w:rPr>
                      <w:rFonts w:hint="eastAsia" w:eastAsia="宋体"/>
                      <w:color w:val="00B050"/>
                      <w:lang w:val="en-US" w:eastAsia="zh-CN"/>
                    </w:rPr>
                  </w:pPr>
                  <w:r>
                    <w:rPr>
                      <w:rFonts w:hint="eastAsia"/>
                      <w:color w:val="00B050"/>
                      <w:lang w:val="en-US" w:eastAsia="zh-CN"/>
                    </w:rPr>
                    <w:t>南侧</w:t>
                  </w:r>
                </w:p>
              </w:tc>
              <w:tc>
                <w:tcPr>
                  <w:tcW w:w="499" w:type="pct"/>
                  <w:noWrap/>
                  <w:vAlign w:val="center"/>
                </w:tcPr>
                <w:p w14:paraId="2EB461B7">
                  <w:pPr>
                    <w:pageBreakBefore w:val="0"/>
                    <w:kinsoku/>
                    <w:wordWrap/>
                    <w:overflowPunct/>
                    <w:topLinePunct w:val="0"/>
                    <w:bidi w:val="0"/>
                    <w:jc w:val="center"/>
                    <w:rPr>
                      <w:rFonts w:hint="default" w:eastAsia="宋体"/>
                      <w:color w:val="00B050"/>
                      <w:lang w:val="en-US" w:eastAsia="zh-CN"/>
                    </w:rPr>
                  </w:pPr>
                  <w:r>
                    <w:rPr>
                      <w:rFonts w:hint="eastAsia"/>
                      <w:color w:val="00B050"/>
                      <w:lang w:val="en-US" w:eastAsia="zh-CN"/>
                    </w:rPr>
                    <w:t>138</w:t>
                  </w:r>
                </w:p>
              </w:tc>
              <w:tc>
                <w:tcPr>
                  <w:tcW w:w="702" w:type="pct"/>
                  <w:vMerge w:val="continue"/>
                  <w:noWrap/>
                  <w:vAlign w:val="center"/>
                </w:tcPr>
                <w:p w14:paraId="583CE15E">
                  <w:pPr>
                    <w:pageBreakBefore w:val="0"/>
                    <w:kinsoku/>
                    <w:wordWrap/>
                    <w:overflowPunct/>
                    <w:topLinePunct w:val="0"/>
                    <w:bidi w:val="0"/>
                    <w:jc w:val="center"/>
                    <w:rPr>
                      <w:color w:val="00B050"/>
                    </w:rPr>
                  </w:pPr>
                </w:p>
              </w:tc>
            </w:tr>
            <w:tr w14:paraId="316B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continue"/>
                  <w:noWrap/>
                  <w:vAlign w:val="center"/>
                </w:tcPr>
                <w:p w14:paraId="4B0B09A3">
                  <w:pPr>
                    <w:pageBreakBefore w:val="0"/>
                    <w:kinsoku/>
                    <w:wordWrap/>
                    <w:overflowPunct/>
                    <w:topLinePunct w:val="0"/>
                    <w:bidi w:val="0"/>
                    <w:jc w:val="center"/>
                    <w:rPr>
                      <w:color w:val="00B050"/>
                    </w:rPr>
                  </w:pPr>
                </w:p>
              </w:tc>
              <w:tc>
                <w:tcPr>
                  <w:tcW w:w="684" w:type="pct"/>
                  <w:shd w:val="clear" w:color="auto" w:fill="auto"/>
                  <w:noWrap/>
                  <w:vAlign w:val="center"/>
                </w:tcPr>
                <w:p w14:paraId="32CBB5BD">
                  <w:pPr>
                    <w:pageBreakBefore w:val="0"/>
                    <w:kinsoku/>
                    <w:wordWrap/>
                    <w:overflowPunct/>
                    <w:topLinePunct w:val="0"/>
                    <w:bidi w:val="0"/>
                    <w:jc w:val="center"/>
                    <w:rPr>
                      <w:rFonts w:hint="eastAsia" w:ascii="Times New Roman" w:hAnsi="Times New Roman" w:eastAsia="宋体" w:cs="Times New Roman"/>
                      <w:color w:val="00B050"/>
                      <w:kern w:val="2"/>
                      <w:sz w:val="21"/>
                      <w:szCs w:val="24"/>
                      <w:lang w:val="en-US" w:eastAsia="zh-CN" w:bidi="ar-SA"/>
                    </w:rPr>
                  </w:pPr>
                  <w:r>
                    <w:rPr>
                      <w:rFonts w:hint="eastAsia"/>
                      <w:color w:val="00B050"/>
                      <w:lang w:val="en-US" w:eastAsia="zh-CN"/>
                    </w:rPr>
                    <w:t>涌泉小学</w:t>
                  </w:r>
                </w:p>
              </w:tc>
              <w:tc>
                <w:tcPr>
                  <w:tcW w:w="778" w:type="pct"/>
                  <w:noWrap/>
                  <w:vAlign w:val="center"/>
                </w:tcPr>
                <w:p w14:paraId="3C1132CF">
                  <w:pPr>
                    <w:pStyle w:val="96"/>
                    <w:ind w:firstLine="0" w:firstLineChars="0"/>
                    <w:rPr>
                      <w:rFonts w:hint="default" w:ascii="Times New Roman" w:hAnsi="Times New Roman" w:eastAsia="宋体" w:cs="Times New Roman"/>
                      <w:color w:val="00B050"/>
                      <w:lang w:eastAsia="zh-CN"/>
                    </w:rPr>
                  </w:pPr>
                  <w:r>
                    <w:rPr>
                      <w:rFonts w:hint="default" w:ascii="Times New Roman" w:hAnsi="Times New Roman" w:eastAsia="宋体" w:cs="Times New Roman"/>
                      <w:color w:val="00B050"/>
                      <w:lang w:eastAsia="zh-CN"/>
                    </w:rPr>
                    <w:t>103°53′1.436″</w:t>
                  </w:r>
                </w:p>
              </w:tc>
              <w:tc>
                <w:tcPr>
                  <w:tcW w:w="782" w:type="pct"/>
                  <w:shd w:val="clear" w:color="auto" w:fill="auto"/>
                  <w:noWrap/>
                  <w:vAlign w:val="center"/>
                </w:tcPr>
                <w:p w14:paraId="7857F4A0">
                  <w:pPr>
                    <w:pStyle w:val="96"/>
                    <w:ind w:firstLine="0" w:firstLineChars="0"/>
                    <w:rPr>
                      <w:rFonts w:hint="default" w:ascii="Times New Roman" w:hAnsi="Times New Roman" w:eastAsia="宋体" w:cs="Times New Roman"/>
                      <w:color w:val="00B050"/>
                      <w:lang w:val="en-US" w:eastAsia="zh-CN"/>
                    </w:rPr>
                  </w:pPr>
                  <w:r>
                    <w:rPr>
                      <w:rFonts w:hint="default" w:ascii="Times New Roman" w:hAnsi="Times New Roman" w:eastAsia="宋体" w:cs="Times New Roman"/>
                      <w:color w:val="00B050"/>
                      <w:lang w:eastAsia="zh-CN"/>
                    </w:rPr>
                    <w:t>25°30′30.682″</w:t>
                  </w:r>
                </w:p>
              </w:tc>
              <w:tc>
                <w:tcPr>
                  <w:tcW w:w="523" w:type="pct"/>
                  <w:shd w:val="clear" w:color="auto" w:fill="auto"/>
                  <w:noWrap/>
                  <w:vAlign w:val="center"/>
                </w:tcPr>
                <w:p w14:paraId="709081EA">
                  <w:pPr>
                    <w:pStyle w:val="96"/>
                    <w:ind w:firstLine="0" w:firstLineChars="0"/>
                    <w:rPr>
                      <w:rFonts w:hint="eastAsia" w:ascii="Times New Roman" w:hAnsi="Times New Roman" w:eastAsia="宋体" w:cs="宋体"/>
                      <w:color w:val="00B050"/>
                      <w:kern w:val="2"/>
                      <w:sz w:val="21"/>
                      <w:szCs w:val="21"/>
                      <w:lang w:val="en-US" w:eastAsia="zh-CN" w:bidi="ar-SA"/>
                    </w:rPr>
                  </w:pPr>
                  <w:r>
                    <w:rPr>
                      <w:rFonts w:hint="eastAsia"/>
                      <w:color w:val="00B050"/>
                      <w:lang w:val="en-US" w:eastAsia="zh-CN"/>
                    </w:rPr>
                    <w:t>600</w:t>
                  </w:r>
                  <w:r>
                    <w:rPr>
                      <w:rFonts w:hint="eastAsia"/>
                      <w:color w:val="00B050"/>
                      <w:lang w:eastAsia="zh-CN"/>
                    </w:rPr>
                    <w:t>人</w:t>
                  </w:r>
                </w:p>
              </w:tc>
              <w:tc>
                <w:tcPr>
                  <w:tcW w:w="571" w:type="pct"/>
                  <w:noWrap/>
                  <w:vAlign w:val="center"/>
                </w:tcPr>
                <w:p w14:paraId="6C2C479A">
                  <w:pPr>
                    <w:pageBreakBefore w:val="0"/>
                    <w:kinsoku/>
                    <w:wordWrap/>
                    <w:overflowPunct/>
                    <w:topLinePunct w:val="0"/>
                    <w:bidi w:val="0"/>
                    <w:jc w:val="center"/>
                    <w:rPr>
                      <w:rFonts w:hint="eastAsia" w:eastAsia="宋体"/>
                      <w:color w:val="00B050"/>
                      <w:lang w:val="en-US" w:eastAsia="zh-CN"/>
                    </w:rPr>
                  </w:pPr>
                  <w:r>
                    <w:rPr>
                      <w:rFonts w:hint="eastAsia"/>
                      <w:color w:val="00B050"/>
                      <w:lang w:val="en-US" w:eastAsia="zh-CN"/>
                    </w:rPr>
                    <w:t>西南侧</w:t>
                  </w:r>
                </w:p>
              </w:tc>
              <w:tc>
                <w:tcPr>
                  <w:tcW w:w="499" w:type="pct"/>
                  <w:noWrap/>
                  <w:vAlign w:val="center"/>
                </w:tcPr>
                <w:p w14:paraId="52D4A3A8">
                  <w:pPr>
                    <w:pageBreakBefore w:val="0"/>
                    <w:kinsoku/>
                    <w:wordWrap/>
                    <w:overflowPunct/>
                    <w:topLinePunct w:val="0"/>
                    <w:bidi w:val="0"/>
                    <w:jc w:val="center"/>
                    <w:rPr>
                      <w:rFonts w:hint="default" w:eastAsia="宋体"/>
                      <w:color w:val="00B050"/>
                      <w:lang w:val="en-US" w:eastAsia="zh-CN"/>
                    </w:rPr>
                  </w:pPr>
                  <w:r>
                    <w:rPr>
                      <w:rFonts w:hint="eastAsia"/>
                      <w:color w:val="00B050"/>
                      <w:lang w:val="en-US" w:eastAsia="zh-CN"/>
                    </w:rPr>
                    <w:t>390</w:t>
                  </w:r>
                </w:p>
              </w:tc>
              <w:tc>
                <w:tcPr>
                  <w:tcW w:w="702" w:type="pct"/>
                  <w:vMerge w:val="continue"/>
                  <w:noWrap/>
                  <w:vAlign w:val="center"/>
                </w:tcPr>
                <w:p w14:paraId="099E7504">
                  <w:pPr>
                    <w:pageBreakBefore w:val="0"/>
                    <w:kinsoku/>
                    <w:wordWrap/>
                    <w:overflowPunct/>
                    <w:topLinePunct w:val="0"/>
                    <w:bidi w:val="0"/>
                    <w:jc w:val="center"/>
                    <w:rPr>
                      <w:color w:val="00B050"/>
                    </w:rPr>
                  </w:pPr>
                </w:p>
              </w:tc>
            </w:tr>
            <w:tr w14:paraId="0381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continue"/>
                  <w:noWrap/>
                  <w:vAlign w:val="center"/>
                </w:tcPr>
                <w:p w14:paraId="43AAD6A6">
                  <w:pPr>
                    <w:pageBreakBefore w:val="0"/>
                    <w:kinsoku/>
                    <w:wordWrap/>
                    <w:overflowPunct/>
                    <w:topLinePunct w:val="0"/>
                    <w:bidi w:val="0"/>
                    <w:jc w:val="center"/>
                    <w:rPr>
                      <w:color w:val="00B050"/>
                    </w:rPr>
                  </w:pPr>
                </w:p>
              </w:tc>
              <w:tc>
                <w:tcPr>
                  <w:tcW w:w="684" w:type="pct"/>
                  <w:shd w:val="clear" w:color="auto" w:fill="auto"/>
                  <w:noWrap/>
                  <w:vAlign w:val="center"/>
                </w:tcPr>
                <w:p w14:paraId="7BBD6596">
                  <w:pPr>
                    <w:pageBreakBefore w:val="0"/>
                    <w:kinsoku/>
                    <w:wordWrap/>
                    <w:overflowPunct/>
                    <w:topLinePunct w:val="0"/>
                    <w:bidi w:val="0"/>
                    <w:jc w:val="center"/>
                    <w:rPr>
                      <w:rFonts w:hint="eastAsia"/>
                      <w:color w:val="00B050"/>
                      <w:lang w:val="en-US" w:eastAsia="zh-CN"/>
                    </w:rPr>
                  </w:pPr>
                  <w:r>
                    <w:rPr>
                      <w:rFonts w:hint="eastAsia"/>
                      <w:color w:val="00B050"/>
                      <w:lang w:val="en-US" w:eastAsia="zh-CN"/>
                    </w:rPr>
                    <w:t>珠街社区</w:t>
                  </w:r>
                </w:p>
              </w:tc>
              <w:tc>
                <w:tcPr>
                  <w:tcW w:w="778" w:type="pct"/>
                  <w:noWrap/>
                  <w:vAlign w:val="center"/>
                </w:tcPr>
                <w:p w14:paraId="3FE9AA5E">
                  <w:pPr>
                    <w:pStyle w:val="96"/>
                    <w:ind w:firstLine="0" w:firstLineChars="0"/>
                    <w:rPr>
                      <w:rFonts w:hint="default" w:ascii="Times New Roman" w:hAnsi="Times New Roman" w:eastAsia="宋体" w:cs="Times New Roman"/>
                      <w:color w:val="00B050"/>
                      <w:lang w:eastAsia="zh-CN"/>
                    </w:rPr>
                  </w:pPr>
                  <w:r>
                    <w:rPr>
                      <w:rFonts w:hint="default" w:ascii="Times New Roman" w:hAnsi="Times New Roman" w:eastAsia="宋体" w:cs="Times New Roman"/>
                      <w:color w:val="00B050"/>
                      <w:lang w:eastAsia="zh-CN"/>
                    </w:rPr>
                    <w:t>103°52′59.814″</w:t>
                  </w:r>
                </w:p>
              </w:tc>
              <w:tc>
                <w:tcPr>
                  <w:tcW w:w="782" w:type="pct"/>
                  <w:noWrap/>
                  <w:vAlign w:val="center"/>
                </w:tcPr>
                <w:p w14:paraId="529BDB40">
                  <w:pPr>
                    <w:pStyle w:val="96"/>
                    <w:ind w:firstLine="0" w:firstLineChars="0"/>
                    <w:rPr>
                      <w:rFonts w:hint="default" w:ascii="Times New Roman" w:hAnsi="Times New Roman" w:eastAsia="宋体" w:cs="Times New Roman"/>
                      <w:color w:val="00B050"/>
                      <w:lang w:eastAsia="zh-CN"/>
                    </w:rPr>
                  </w:pPr>
                  <w:r>
                    <w:rPr>
                      <w:rFonts w:hint="default" w:ascii="Times New Roman" w:hAnsi="Times New Roman" w:eastAsia="宋体" w:cs="Times New Roman"/>
                      <w:color w:val="00B050"/>
                      <w:lang w:eastAsia="zh-CN"/>
                    </w:rPr>
                    <w:t>25°30′51.945″</w:t>
                  </w:r>
                </w:p>
              </w:tc>
              <w:tc>
                <w:tcPr>
                  <w:tcW w:w="523" w:type="pct"/>
                  <w:noWrap/>
                  <w:vAlign w:val="center"/>
                </w:tcPr>
                <w:p w14:paraId="03942581">
                  <w:pPr>
                    <w:pageBreakBefore w:val="0"/>
                    <w:kinsoku/>
                    <w:wordWrap/>
                    <w:overflowPunct/>
                    <w:topLinePunct w:val="0"/>
                    <w:bidi w:val="0"/>
                    <w:jc w:val="center"/>
                    <w:rPr>
                      <w:rFonts w:hint="eastAsia"/>
                      <w:color w:val="00B050"/>
                    </w:rPr>
                  </w:pPr>
                  <w:r>
                    <w:rPr>
                      <w:rFonts w:hint="eastAsia"/>
                      <w:color w:val="00B050"/>
                      <w:lang w:val="en-US" w:eastAsia="zh-CN"/>
                    </w:rPr>
                    <w:t>50</w:t>
                  </w:r>
                  <w:r>
                    <w:rPr>
                      <w:rFonts w:hint="eastAsia"/>
                      <w:color w:val="00B050"/>
                      <w:lang w:eastAsia="zh-CN"/>
                    </w:rPr>
                    <w:t>户，</w:t>
                  </w:r>
                  <w:r>
                    <w:rPr>
                      <w:rFonts w:hint="eastAsia"/>
                      <w:color w:val="00B050"/>
                      <w:lang w:val="en-US" w:eastAsia="zh-CN"/>
                    </w:rPr>
                    <w:t>250</w:t>
                  </w:r>
                  <w:r>
                    <w:rPr>
                      <w:rFonts w:hint="eastAsia"/>
                      <w:color w:val="00B050"/>
                      <w:lang w:eastAsia="zh-CN"/>
                    </w:rPr>
                    <w:t>人</w:t>
                  </w:r>
                </w:p>
              </w:tc>
              <w:tc>
                <w:tcPr>
                  <w:tcW w:w="571" w:type="pct"/>
                  <w:noWrap/>
                  <w:vAlign w:val="center"/>
                </w:tcPr>
                <w:p w14:paraId="4D53222C">
                  <w:pPr>
                    <w:pageBreakBefore w:val="0"/>
                    <w:kinsoku/>
                    <w:wordWrap/>
                    <w:overflowPunct/>
                    <w:topLinePunct w:val="0"/>
                    <w:bidi w:val="0"/>
                    <w:jc w:val="center"/>
                    <w:rPr>
                      <w:rFonts w:hint="eastAsia" w:eastAsia="宋体"/>
                      <w:color w:val="00B050"/>
                      <w:lang w:val="en-US" w:eastAsia="zh-CN"/>
                    </w:rPr>
                  </w:pPr>
                  <w:r>
                    <w:rPr>
                      <w:rFonts w:hint="eastAsia"/>
                      <w:color w:val="00B050"/>
                      <w:lang w:val="en-US" w:eastAsia="zh-CN"/>
                    </w:rPr>
                    <w:t>北侧</w:t>
                  </w:r>
                </w:p>
              </w:tc>
              <w:tc>
                <w:tcPr>
                  <w:tcW w:w="499" w:type="pct"/>
                  <w:noWrap/>
                  <w:vAlign w:val="center"/>
                </w:tcPr>
                <w:p w14:paraId="31F58459">
                  <w:pPr>
                    <w:pageBreakBefore w:val="0"/>
                    <w:kinsoku/>
                    <w:wordWrap/>
                    <w:overflowPunct/>
                    <w:topLinePunct w:val="0"/>
                    <w:bidi w:val="0"/>
                    <w:jc w:val="center"/>
                    <w:rPr>
                      <w:rFonts w:hint="default" w:eastAsia="宋体"/>
                      <w:color w:val="00B050"/>
                      <w:lang w:val="en-US" w:eastAsia="zh-CN"/>
                    </w:rPr>
                  </w:pPr>
                  <w:r>
                    <w:rPr>
                      <w:rFonts w:hint="eastAsia"/>
                      <w:color w:val="00B050"/>
                      <w:lang w:val="en-US" w:eastAsia="zh-CN"/>
                    </w:rPr>
                    <w:t>220</w:t>
                  </w:r>
                </w:p>
              </w:tc>
              <w:tc>
                <w:tcPr>
                  <w:tcW w:w="702" w:type="pct"/>
                  <w:vMerge w:val="continue"/>
                  <w:noWrap/>
                  <w:vAlign w:val="center"/>
                </w:tcPr>
                <w:p w14:paraId="28C4F9BC">
                  <w:pPr>
                    <w:pageBreakBefore w:val="0"/>
                    <w:kinsoku/>
                    <w:wordWrap/>
                    <w:overflowPunct/>
                    <w:topLinePunct w:val="0"/>
                    <w:bidi w:val="0"/>
                    <w:jc w:val="center"/>
                    <w:rPr>
                      <w:color w:val="00B050"/>
                    </w:rPr>
                  </w:pPr>
                </w:p>
              </w:tc>
            </w:tr>
            <w:tr w14:paraId="1977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noWrap/>
                  <w:vAlign w:val="center"/>
                </w:tcPr>
                <w:p w14:paraId="3FFC61D0">
                  <w:pPr>
                    <w:pageBreakBefore w:val="0"/>
                    <w:kinsoku/>
                    <w:wordWrap/>
                    <w:overflowPunct/>
                    <w:topLinePunct w:val="0"/>
                    <w:bidi w:val="0"/>
                    <w:jc w:val="center"/>
                    <w:rPr>
                      <w:rFonts w:hint="eastAsia" w:eastAsia="宋体"/>
                      <w:color w:val="00B050"/>
                      <w:lang w:val="en-US" w:eastAsia="zh-CN"/>
                    </w:rPr>
                  </w:pPr>
                  <w:r>
                    <w:rPr>
                      <w:rFonts w:hint="eastAsia"/>
                      <w:color w:val="00B050"/>
                      <w:lang w:val="en-US" w:eastAsia="zh-CN"/>
                    </w:rPr>
                    <w:t>声环境</w:t>
                  </w:r>
                </w:p>
              </w:tc>
              <w:tc>
                <w:tcPr>
                  <w:tcW w:w="684" w:type="pct"/>
                  <w:shd w:val="clear" w:color="auto" w:fill="auto"/>
                  <w:noWrap/>
                  <w:vAlign w:val="center"/>
                </w:tcPr>
                <w:p w14:paraId="58A5518C">
                  <w:pPr>
                    <w:pageBreakBefore w:val="0"/>
                    <w:kinsoku/>
                    <w:wordWrap/>
                    <w:overflowPunct/>
                    <w:topLinePunct w:val="0"/>
                    <w:bidi w:val="0"/>
                    <w:jc w:val="center"/>
                    <w:rPr>
                      <w:rFonts w:hint="eastAsia" w:ascii="Times New Roman" w:hAnsi="Times New Roman" w:eastAsia="宋体" w:cs="Times New Roman"/>
                      <w:color w:val="00B050"/>
                      <w:kern w:val="2"/>
                      <w:sz w:val="21"/>
                      <w:szCs w:val="24"/>
                      <w:lang w:val="en-US" w:eastAsia="zh-CN" w:bidi="ar-SA"/>
                    </w:rPr>
                  </w:pPr>
                  <w:r>
                    <w:rPr>
                      <w:rFonts w:hint="eastAsia"/>
                      <w:color w:val="00B050"/>
                      <w:lang w:val="en-US" w:eastAsia="zh-CN"/>
                    </w:rPr>
                    <w:t>珠街社区散户1</w:t>
                  </w:r>
                </w:p>
              </w:tc>
              <w:tc>
                <w:tcPr>
                  <w:tcW w:w="778" w:type="pct"/>
                  <w:shd w:val="clear" w:color="auto" w:fill="auto"/>
                  <w:noWrap/>
                  <w:vAlign w:val="center"/>
                </w:tcPr>
                <w:p w14:paraId="72126051">
                  <w:pPr>
                    <w:pStyle w:val="96"/>
                    <w:ind w:firstLine="0" w:firstLineChars="0"/>
                    <w:rPr>
                      <w:rFonts w:hint="default" w:ascii="Times New Roman" w:hAnsi="Times New Roman" w:eastAsia="宋体" w:cs="Times New Roman"/>
                      <w:color w:val="00B050"/>
                      <w:kern w:val="2"/>
                      <w:sz w:val="21"/>
                      <w:szCs w:val="21"/>
                      <w:lang w:val="en-US" w:eastAsia="zh-CN" w:bidi="ar-SA"/>
                    </w:rPr>
                  </w:pPr>
                  <w:r>
                    <w:rPr>
                      <w:rFonts w:hint="default" w:ascii="Times New Roman" w:hAnsi="Times New Roman" w:eastAsia="宋体" w:cs="Times New Roman"/>
                      <w:color w:val="00B050"/>
                      <w:lang w:eastAsia="zh-CN"/>
                    </w:rPr>
                    <w:t>103°53′7.529″</w:t>
                  </w:r>
                </w:p>
              </w:tc>
              <w:tc>
                <w:tcPr>
                  <w:tcW w:w="782" w:type="pct"/>
                  <w:shd w:val="clear" w:color="auto" w:fill="auto"/>
                  <w:noWrap/>
                  <w:vAlign w:val="center"/>
                </w:tcPr>
                <w:p w14:paraId="0C37AACF">
                  <w:pPr>
                    <w:pStyle w:val="96"/>
                    <w:ind w:firstLine="0" w:firstLineChars="0"/>
                    <w:rPr>
                      <w:rFonts w:hint="default" w:ascii="Times New Roman" w:hAnsi="Times New Roman" w:eastAsia="宋体" w:cs="Times New Roman"/>
                      <w:color w:val="00B050"/>
                      <w:kern w:val="2"/>
                      <w:sz w:val="21"/>
                      <w:szCs w:val="21"/>
                      <w:lang w:val="en-US" w:eastAsia="zh-CN" w:bidi="ar-SA"/>
                    </w:rPr>
                  </w:pPr>
                  <w:r>
                    <w:rPr>
                      <w:rFonts w:hint="default" w:ascii="Times New Roman" w:hAnsi="Times New Roman" w:eastAsia="宋体" w:cs="Times New Roman"/>
                      <w:color w:val="00B050"/>
                      <w:lang w:eastAsia="zh-CN"/>
                    </w:rPr>
                    <w:t>25°30′43.604″</w:t>
                  </w:r>
                </w:p>
              </w:tc>
              <w:tc>
                <w:tcPr>
                  <w:tcW w:w="523" w:type="pct"/>
                  <w:shd w:val="clear" w:color="auto" w:fill="auto"/>
                  <w:noWrap/>
                  <w:vAlign w:val="center"/>
                </w:tcPr>
                <w:p w14:paraId="0B16BFE1">
                  <w:pPr>
                    <w:pStyle w:val="96"/>
                    <w:ind w:firstLine="0" w:firstLineChars="0"/>
                    <w:rPr>
                      <w:rFonts w:hint="eastAsia" w:ascii="Times New Roman" w:hAnsi="Times New Roman" w:eastAsia="宋体" w:cs="宋体"/>
                      <w:color w:val="00B050"/>
                      <w:kern w:val="2"/>
                      <w:sz w:val="21"/>
                      <w:szCs w:val="21"/>
                      <w:lang w:val="en-US" w:eastAsia="zh-CN" w:bidi="ar-SA"/>
                    </w:rPr>
                  </w:pPr>
                  <w:r>
                    <w:rPr>
                      <w:color w:val="00B050"/>
                    </w:rPr>
                    <w:t>1</w:t>
                  </w:r>
                  <w:r>
                    <w:rPr>
                      <w:rFonts w:hint="eastAsia"/>
                      <w:color w:val="00B050"/>
                      <w:lang w:eastAsia="zh-CN"/>
                    </w:rPr>
                    <w:t>户，</w:t>
                  </w:r>
                  <w:r>
                    <w:rPr>
                      <w:color w:val="00B050"/>
                    </w:rPr>
                    <w:t>4</w:t>
                  </w:r>
                  <w:r>
                    <w:rPr>
                      <w:rFonts w:hint="eastAsia"/>
                      <w:color w:val="00B050"/>
                      <w:lang w:eastAsia="zh-CN"/>
                    </w:rPr>
                    <w:t>人</w:t>
                  </w:r>
                </w:p>
              </w:tc>
              <w:tc>
                <w:tcPr>
                  <w:tcW w:w="571" w:type="pct"/>
                  <w:shd w:val="clear" w:color="auto" w:fill="auto"/>
                  <w:noWrap/>
                  <w:vAlign w:val="center"/>
                </w:tcPr>
                <w:p w14:paraId="3DF8CD6B">
                  <w:pPr>
                    <w:pageBreakBefore w:val="0"/>
                    <w:kinsoku/>
                    <w:wordWrap/>
                    <w:overflowPunct/>
                    <w:topLinePunct w:val="0"/>
                    <w:bidi w:val="0"/>
                    <w:jc w:val="center"/>
                    <w:rPr>
                      <w:rFonts w:hint="eastAsia" w:ascii="Times New Roman" w:hAnsi="Times New Roman" w:eastAsia="宋体" w:cs="Times New Roman"/>
                      <w:color w:val="00B050"/>
                      <w:kern w:val="2"/>
                      <w:sz w:val="21"/>
                      <w:szCs w:val="24"/>
                      <w:lang w:val="en-US" w:eastAsia="zh-CN" w:bidi="ar-SA"/>
                    </w:rPr>
                  </w:pPr>
                  <w:r>
                    <w:rPr>
                      <w:rFonts w:hint="eastAsia"/>
                      <w:color w:val="00B050"/>
                      <w:lang w:val="en-US" w:eastAsia="zh-CN"/>
                    </w:rPr>
                    <w:t>东南侧</w:t>
                  </w:r>
                </w:p>
              </w:tc>
              <w:tc>
                <w:tcPr>
                  <w:tcW w:w="499" w:type="pct"/>
                  <w:shd w:val="clear" w:color="auto" w:fill="auto"/>
                  <w:noWrap/>
                  <w:vAlign w:val="center"/>
                </w:tcPr>
                <w:p w14:paraId="40086387">
                  <w:pPr>
                    <w:pageBreakBefore w:val="0"/>
                    <w:kinsoku/>
                    <w:wordWrap/>
                    <w:overflowPunct/>
                    <w:topLinePunct w:val="0"/>
                    <w:bidi w:val="0"/>
                    <w:jc w:val="center"/>
                    <w:rPr>
                      <w:rFonts w:hint="eastAsia" w:ascii="Times New Roman" w:hAnsi="Times New Roman" w:eastAsia="宋体" w:cs="Times New Roman"/>
                      <w:color w:val="00B050"/>
                      <w:kern w:val="2"/>
                      <w:sz w:val="21"/>
                      <w:szCs w:val="24"/>
                      <w:lang w:val="en-US" w:eastAsia="zh-CN" w:bidi="ar-SA"/>
                    </w:rPr>
                  </w:pPr>
                  <w:r>
                    <w:rPr>
                      <w:rFonts w:hint="eastAsia"/>
                      <w:color w:val="00B050"/>
                      <w:lang w:val="en-US" w:eastAsia="zh-CN"/>
                    </w:rPr>
                    <w:t>48</w:t>
                  </w:r>
                </w:p>
              </w:tc>
              <w:tc>
                <w:tcPr>
                  <w:tcW w:w="702" w:type="pct"/>
                  <w:noWrap/>
                  <w:vAlign w:val="center"/>
                </w:tcPr>
                <w:p w14:paraId="5BB37C0F">
                  <w:pPr>
                    <w:pageBreakBefore w:val="0"/>
                    <w:kinsoku/>
                    <w:wordWrap/>
                    <w:overflowPunct/>
                    <w:topLinePunct w:val="0"/>
                    <w:bidi w:val="0"/>
                    <w:jc w:val="center"/>
                    <w:rPr>
                      <w:color w:val="00B050"/>
                    </w:rPr>
                  </w:pPr>
                  <w:r>
                    <w:rPr>
                      <w:rFonts w:hint="eastAsia"/>
                      <w:color w:val="00B050"/>
                    </w:rPr>
                    <w:t>《声环境质量标准》（GB3096-2008）2类标准</w:t>
                  </w:r>
                </w:p>
              </w:tc>
            </w:tr>
            <w:tr w14:paraId="6224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7" w:type="pct"/>
                  <w:noWrap/>
                  <w:vAlign w:val="center"/>
                </w:tcPr>
                <w:p w14:paraId="2FC2B4D8">
                  <w:pPr>
                    <w:pageBreakBefore w:val="0"/>
                    <w:kinsoku/>
                    <w:wordWrap/>
                    <w:overflowPunct/>
                    <w:topLinePunct w:val="0"/>
                    <w:bidi w:val="0"/>
                    <w:jc w:val="center"/>
                    <w:rPr>
                      <w:color w:val="00B050"/>
                      <w:szCs w:val="21"/>
                    </w:rPr>
                  </w:pPr>
                  <w:r>
                    <w:rPr>
                      <w:rFonts w:hint="eastAsia"/>
                      <w:color w:val="00B050"/>
                      <w:szCs w:val="21"/>
                    </w:rPr>
                    <w:t>地表水</w:t>
                  </w:r>
                </w:p>
              </w:tc>
              <w:tc>
                <w:tcPr>
                  <w:tcW w:w="684" w:type="pct"/>
                  <w:noWrap/>
                  <w:vAlign w:val="center"/>
                </w:tcPr>
                <w:p w14:paraId="2DD4EAC7">
                  <w:pPr>
                    <w:pageBreakBefore w:val="0"/>
                    <w:kinsoku/>
                    <w:wordWrap/>
                    <w:overflowPunct/>
                    <w:topLinePunct w:val="0"/>
                    <w:bidi w:val="0"/>
                    <w:jc w:val="center"/>
                    <w:rPr>
                      <w:rFonts w:hint="default" w:eastAsia="宋体"/>
                      <w:color w:val="00B050"/>
                      <w:szCs w:val="21"/>
                      <w:lang w:val="en-US" w:eastAsia="zh-CN"/>
                    </w:rPr>
                  </w:pPr>
                  <w:r>
                    <w:rPr>
                      <w:rFonts w:hint="eastAsia"/>
                      <w:color w:val="00B050"/>
                      <w:szCs w:val="21"/>
                      <w:lang w:val="en-US" w:eastAsia="zh-CN"/>
                    </w:rPr>
                    <w:t>南盘江</w:t>
                  </w:r>
                </w:p>
              </w:tc>
              <w:tc>
                <w:tcPr>
                  <w:tcW w:w="778" w:type="pct"/>
                  <w:noWrap/>
                  <w:vAlign w:val="center"/>
                </w:tcPr>
                <w:p w14:paraId="578E9C49">
                  <w:pPr>
                    <w:pageBreakBefore w:val="0"/>
                    <w:widowControl/>
                    <w:kinsoku/>
                    <w:wordWrap/>
                    <w:overflowPunct/>
                    <w:topLinePunct w:val="0"/>
                    <w:bidi w:val="0"/>
                    <w:snapToGrid w:val="0"/>
                    <w:ind w:right="113"/>
                    <w:jc w:val="center"/>
                    <w:rPr>
                      <w:rFonts w:hint="eastAsia" w:eastAsia="宋体"/>
                      <w:color w:val="00B050"/>
                      <w:kern w:val="0"/>
                      <w:szCs w:val="21"/>
                      <w:lang w:val="en-US" w:eastAsia="zh-CN"/>
                    </w:rPr>
                  </w:pPr>
                  <w:r>
                    <w:rPr>
                      <w:rFonts w:hint="eastAsia"/>
                      <w:color w:val="00B050"/>
                      <w:kern w:val="0"/>
                      <w:szCs w:val="21"/>
                      <w:lang w:val="en-US" w:eastAsia="zh-CN"/>
                    </w:rPr>
                    <w:t>/</w:t>
                  </w:r>
                </w:p>
              </w:tc>
              <w:tc>
                <w:tcPr>
                  <w:tcW w:w="782" w:type="pct"/>
                  <w:noWrap/>
                  <w:vAlign w:val="center"/>
                </w:tcPr>
                <w:p w14:paraId="0FC5B4F6">
                  <w:pPr>
                    <w:pageBreakBefore w:val="0"/>
                    <w:widowControl/>
                    <w:kinsoku/>
                    <w:wordWrap/>
                    <w:overflowPunct/>
                    <w:topLinePunct w:val="0"/>
                    <w:bidi w:val="0"/>
                    <w:snapToGrid w:val="0"/>
                    <w:ind w:right="113"/>
                    <w:jc w:val="center"/>
                    <w:rPr>
                      <w:rFonts w:hint="eastAsia" w:eastAsia="宋体"/>
                      <w:color w:val="00B050"/>
                      <w:kern w:val="0"/>
                      <w:szCs w:val="21"/>
                      <w:lang w:val="en-US" w:eastAsia="zh-CN"/>
                    </w:rPr>
                  </w:pPr>
                  <w:r>
                    <w:rPr>
                      <w:rFonts w:hint="eastAsia"/>
                      <w:color w:val="00B050"/>
                      <w:kern w:val="0"/>
                      <w:szCs w:val="21"/>
                      <w:lang w:val="en-US" w:eastAsia="zh-CN"/>
                    </w:rPr>
                    <w:t>/</w:t>
                  </w:r>
                </w:p>
              </w:tc>
              <w:tc>
                <w:tcPr>
                  <w:tcW w:w="523" w:type="pct"/>
                  <w:noWrap/>
                  <w:vAlign w:val="center"/>
                </w:tcPr>
                <w:p w14:paraId="33ACCD9C">
                  <w:pPr>
                    <w:pageBreakBefore w:val="0"/>
                    <w:widowControl/>
                    <w:kinsoku/>
                    <w:wordWrap/>
                    <w:overflowPunct/>
                    <w:topLinePunct w:val="0"/>
                    <w:bidi w:val="0"/>
                    <w:snapToGrid w:val="0"/>
                    <w:ind w:right="113"/>
                    <w:jc w:val="center"/>
                    <w:rPr>
                      <w:rFonts w:hint="eastAsia"/>
                      <w:color w:val="00B050"/>
                      <w:kern w:val="0"/>
                      <w:szCs w:val="21"/>
                      <w:lang w:val="en-US" w:eastAsia="zh-CN"/>
                    </w:rPr>
                  </w:pPr>
                </w:p>
              </w:tc>
              <w:tc>
                <w:tcPr>
                  <w:tcW w:w="571" w:type="pct"/>
                  <w:noWrap/>
                  <w:vAlign w:val="center"/>
                </w:tcPr>
                <w:p w14:paraId="05DA04EC">
                  <w:pPr>
                    <w:pageBreakBefore w:val="0"/>
                    <w:kinsoku/>
                    <w:wordWrap/>
                    <w:overflowPunct/>
                    <w:topLinePunct w:val="0"/>
                    <w:bidi w:val="0"/>
                    <w:jc w:val="center"/>
                    <w:rPr>
                      <w:rFonts w:hint="default" w:eastAsia="宋体"/>
                      <w:color w:val="00B050"/>
                      <w:szCs w:val="21"/>
                      <w:lang w:val="en-US" w:eastAsia="zh-CN"/>
                    </w:rPr>
                  </w:pPr>
                  <w:r>
                    <w:rPr>
                      <w:rFonts w:hint="eastAsia"/>
                      <w:color w:val="00B050"/>
                      <w:szCs w:val="21"/>
                      <w:lang w:val="en-US" w:eastAsia="zh-CN"/>
                    </w:rPr>
                    <w:t>南</w:t>
                  </w:r>
                </w:p>
              </w:tc>
              <w:tc>
                <w:tcPr>
                  <w:tcW w:w="499" w:type="pct"/>
                  <w:noWrap/>
                  <w:vAlign w:val="center"/>
                </w:tcPr>
                <w:p w14:paraId="10CCFFD1">
                  <w:pPr>
                    <w:pageBreakBefore w:val="0"/>
                    <w:kinsoku/>
                    <w:wordWrap/>
                    <w:overflowPunct/>
                    <w:topLinePunct w:val="0"/>
                    <w:bidi w:val="0"/>
                    <w:jc w:val="center"/>
                    <w:rPr>
                      <w:rFonts w:hint="default" w:eastAsia="宋体"/>
                      <w:color w:val="00B050"/>
                      <w:szCs w:val="21"/>
                      <w:lang w:val="en-US" w:eastAsia="zh-CN"/>
                    </w:rPr>
                  </w:pPr>
                  <w:r>
                    <w:rPr>
                      <w:rFonts w:hint="eastAsia"/>
                      <w:color w:val="00B050"/>
                      <w:szCs w:val="21"/>
                      <w:lang w:val="en-US" w:eastAsia="zh-CN"/>
                    </w:rPr>
                    <w:t>2200</w:t>
                  </w:r>
                </w:p>
              </w:tc>
              <w:tc>
                <w:tcPr>
                  <w:tcW w:w="702" w:type="pct"/>
                  <w:noWrap/>
                  <w:vAlign w:val="center"/>
                </w:tcPr>
                <w:p w14:paraId="4097C4C4">
                  <w:pPr>
                    <w:pageBreakBefore w:val="0"/>
                    <w:kinsoku/>
                    <w:wordWrap/>
                    <w:overflowPunct/>
                    <w:topLinePunct w:val="0"/>
                    <w:bidi w:val="0"/>
                    <w:jc w:val="center"/>
                    <w:rPr>
                      <w:color w:val="00B050"/>
                      <w:szCs w:val="21"/>
                    </w:rPr>
                  </w:pPr>
                  <w:r>
                    <w:rPr>
                      <w:rFonts w:hint="default" w:ascii="Times New Roman" w:hAnsi="Times New Roman" w:cs="Times New Roman"/>
                      <w:color w:val="00B050"/>
                      <w:szCs w:val="21"/>
                    </w:rPr>
                    <w:t>《地表水环境质量标准》（GB3838-2002）Ⅲ类</w:t>
                  </w:r>
                </w:p>
              </w:tc>
            </w:tr>
          </w:tbl>
          <w:p w14:paraId="33C2BDDF">
            <w:pPr>
              <w:pageBreakBefore w:val="0"/>
              <w:kinsoku/>
              <w:wordWrap/>
              <w:overflowPunct/>
              <w:topLinePunct w:val="0"/>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tc>
      </w:tr>
      <w:tr w14:paraId="45785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27" w:type="dxa"/>
            <w:tcMar>
              <w:left w:w="28" w:type="dxa"/>
              <w:right w:w="28" w:type="dxa"/>
            </w:tcMar>
            <w:vAlign w:val="center"/>
          </w:tcPr>
          <w:p w14:paraId="2C2AD24C">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污染</w:t>
            </w:r>
          </w:p>
          <w:p w14:paraId="75931514">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物排</w:t>
            </w:r>
          </w:p>
          <w:p w14:paraId="18E3128E">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放控</w:t>
            </w:r>
          </w:p>
          <w:p w14:paraId="2A064361">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制标</w:t>
            </w:r>
          </w:p>
          <w:p w14:paraId="79714D66">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准</w:t>
            </w:r>
          </w:p>
        </w:tc>
        <w:tc>
          <w:tcPr>
            <w:tcW w:w="8461" w:type="dxa"/>
            <w:vAlign w:val="center"/>
          </w:tcPr>
          <w:p w14:paraId="269B9301">
            <w:pPr>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000000" w:themeColor="text1"/>
                <w:kern w:val="0"/>
                <w:sz w:val="28"/>
                <w:szCs w:val="28"/>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8"/>
                <w:szCs w:val="28"/>
                <w:lang w:val="en-US" w:eastAsia="zh-CN"/>
                <w14:textFill>
                  <w14:solidFill>
                    <w14:schemeClr w14:val="tx1"/>
                  </w14:solidFill>
                </w14:textFill>
              </w:rPr>
              <w:t>3.3污染物排放控制标准</w:t>
            </w:r>
          </w:p>
          <w:p w14:paraId="3309994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3.3.1</w:t>
            </w:r>
            <w:r>
              <w:rPr>
                <w:b/>
                <w:color w:val="000000" w:themeColor="text1"/>
                <w:sz w:val="24"/>
                <w14:textFill>
                  <w14:solidFill>
                    <w14:schemeClr w14:val="tx1"/>
                  </w14:solidFill>
                </w14:textFill>
              </w:rPr>
              <w:t>大气污染物</w:t>
            </w:r>
            <w:r>
              <w:rPr>
                <w:rFonts w:hint="eastAsia"/>
                <w:b/>
                <w:color w:val="000000" w:themeColor="text1"/>
                <w:sz w:val="24"/>
                <w14:textFill>
                  <w14:solidFill>
                    <w14:schemeClr w14:val="tx1"/>
                  </w14:solidFill>
                </w14:textFill>
              </w:rPr>
              <w:t>排放控制标准</w:t>
            </w:r>
          </w:p>
          <w:p w14:paraId="4385A5EB">
            <w:pPr>
              <w:spacing w:line="360" w:lineRule="auto"/>
              <w:ind w:firstLine="482" w:firstLineChars="200"/>
              <w:rPr>
                <w:b/>
                <w:bCs w:val="0"/>
                <w:color w:val="000000" w:themeColor="text1"/>
                <w:sz w:val="24"/>
                <w14:textFill>
                  <w14:solidFill>
                    <w14:schemeClr w14:val="tx1"/>
                  </w14:solidFill>
                </w14:textFill>
              </w:rPr>
            </w:pPr>
            <w:r>
              <w:rPr>
                <w:rFonts w:hint="eastAsia"/>
                <w:b/>
                <w:bCs w:val="0"/>
                <w:color w:val="000000" w:themeColor="text1"/>
                <w:sz w:val="24"/>
                <w14:textFill>
                  <w14:solidFill>
                    <w14:schemeClr w14:val="tx1"/>
                  </w14:solidFill>
                </w14:textFill>
              </w:rPr>
              <w:t>（1）施工期污染物排放控制标准</w:t>
            </w:r>
          </w:p>
          <w:p w14:paraId="0D749111">
            <w:pPr>
              <w:widowControl w:val="0"/>
              <w:snapToGrid w:val="0"/>
              <w:spacing w:before="0" w:after="0" w:line="360" w:lineRule="auto"/>
              <w:ind w:right="0" w:firstLine="480" w:firstLineChars="200"/>
              <w:jc w:val="both"/>
              <w:rPr>
                <w:rFonts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施工期扬尘</w:t>
            </w:r>
            <w:r>
              <w:rPr>
                <w:rFonts w:ascii="Times New Roman" w:hAnsi="Times New Roman" w:eastAsia="宋体" w:cs="Times New Roman"/>
                <w:color w:val="000000" w:themeColor="text1"/>
                <w:kern w:val="0"/>
                <w:sz w:val="24"/>
                <w:szCs w:val="20"/>
                <w:lang w:val="en-US" w:eastAsia="zh-CN" w:bidi="ar-SA"/>
                <w14:textFill>
                  <w14:solidFill>
                    <w14:schemeClr w14:val="tx1"/>
                  </w14:solidFill>
                </w14:textFill>
              </w:rPr>
              <w:t>执行《大气污染物综合排放标准》（GB16297-1996）表2中的无组织排放监控浓度限值。污染物排放标准见表</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3</w:t>
            </w:r>
            <w:r>
              <w:rPr>
                <w:rFonts w:hint="eastAsia" w:cs="Times New Roman"/>
                <w:color w:val="000000" w:themeColor="text1"/>
                <w:kern w:val="0"/>
                <w:sz w:val="24"/>
                <w:szCs w:val="20"/>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w:t>
            </w:r>
            <w:r>
              <w:rPr>
                <w:rFonts w:hint="eastAsia" w:cs="Times New Roman"/>
                <w:color w:val="000000" w:themeColor="text1"/>
                <w:kern w:val="0"/>
                <w:sz w:val="24"/>
                <w:szCs w:val="20"/>
                <w:lang w:val="en-US" w:eastAsia="zh-CN" w:bidi="ar-SA"/>
                <w14:textFill>
                  <w14:solidFill>
                    <w14:schemeClr w14:val="tx1"/>
                  </w14:solidFill>
                </w14:textFill>
              </w:rPr>
              <w:t>1所示</w:t>
            </w:r>
            <w:r>
              <w:rPr>
                <w:rFonts w:ascii="Times New Roman" w:hAnsi="Times New Roman" w:eastAsia="宋体" w:cs="Times New Roman"/>
                <w:color w:val="000000" w:themeColor="text1"/>
                <w:kern w:val="0"/>
                <w:sz w:val="24"/>
                <w:szCs w:val="20"/>
                <w:lang w:val="en-US" w:eastAsia="zh-CN" w:bidi="ar-SA"/>
                <w14:textFill>
                  <w14:solidFill>
                    <w14:schemeClr w14:val="tx1"/>
                  </w14:solidFill>
                </w14:textFill>
              </w:rPr>
              <w:t>。</w:t>
            </w:r>
          </w:p>
          <w:p w14:paraId="179A402C">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ascii="黑体" w:hAnsi="黑体" w:eastAsia="黑体" w:cs="Times New Roman"/>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t>表3.3-1  施工期颗粒物大气污染物排放浓度限值</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37"/>
              <w:gridCol w:w="3096"/>
              <w:gridCol w:w="3202"/>
            </w:tblGrid>
            <w:tr w14:paraId="41A9E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07" w:type="dxa"/>
                  <w:vMerge w:val="restart"/>
                  <w:noWrap/>
                  <w:vAlign w:val="center"/>
                </w:tcPr>
                <w:p w14:paraId="53634D06">
                  <w:pPr>
                    <w:adjustRightInd w:val="0"/>
                    <w:snapToGrid w:val="0"/>
                    <w:spacing w:line="320" w:lineRule="exact"/>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污染物</w:t>
                  </w:r>
                </w:p>
              </w:tc>
              <w:tc>
                <w:tcPr>
                  <w:tcW w:w="6200" w:type="dxa"/>
                  <w:gridSpan w:val="2"/>
                  <w:noWrap/>
                  <w:vAlign w:val="center"/>
                </w:tcPr>
                <w:p w14:paraId="4C18D68C">
                  <w:pPr>
                    <w:adjustRightInd w:val="0"/>
                    <w:snapToGrid w:val="0"/>
                    <w:spacing w:line="320" w:lineRule="exact"/>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无组织排放浓度监控限值</w:t>
                  </w:r>
                </w:p>
              </w:tc>
            </w:tr>
            <w:tr w14:paraId="621A2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07" w:type="dxa"/>
                  <w:vMerge w:val="continue"/>
                  <w:noWrap/>
                  <w:vAlign w:val="center"/>
                </w:tcPr>
                <w:p w14:paraId="7C62BEC5">
                  <w:pPr>
                    <w:adjustRightInd w:val="0"/>
                    <w:snapToGrid w:val="0"/>
                    <w:spacing w:line="320" w:lineRule="exact"/>
                    <w:ind w:firstLine="0" w:firstLineChars="0"/>
                    <w:jc w:val="center"/>
                    <w:rPr>
                      <w:b/>
                      <w:bCs w:val="0"/>
                      <w:color w:val="000000" w:themeColor="text1"/>
                      <w:sz w:val="21"/>
                      <w:szCs w:val="21"/>
                      <w14:textFill>
                        <w14:solidFill>
                          <w14:schemeClr w14:val="tx1"/>
                        </w14:solidFill>
                      </w14:textFill>
                    </w:rPr>
                  </w:pPr>
                </w:p>
              </w:tc>
              <w:tc>
                <w:tcPr>
                  <w:tcW w:w="3048" w:type="dxa"/>
                  <w:noWrap/>
                  <w:vAlign w:val="center"/>
                </w:tcPr>
                <w:p w14:paraId="07223675">
                  <w:pPr>
                    <w:adjustRightInd w:val="0"/>
                    <w:snapToGrid w:val="0"/>
                    <w:spacing w:line="320" w:lineRule="exact"/>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监控点</w:t>
                  </w:r>
                </w:p>
              </w:tc>
              <w:tc>
                <w:tcPr>
                  <w:tcW w:w="3152" w:type="dxa"/>
                  <w:noWrap/>
                  <w:vAlign w:val="center"/>
                </w:tcPr>
                <w:p w14:paraId="3580B9BD">
                  <w:pPr>
                    <w:adjustRightInd w:val="0"/>
                    <w:snapToGrid w:val="0"/>
                    <w:spacing w:line="320" w:lineRule="exact"/>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浓度限值（mg/m</w:t>
                  </w:r>
                  <w:r>
                    <w:rPr>
                      <w:b/>
                      <w:bCs w:val="0"/>
                      <w:color w:val="000000" w:themeColor="text1"/>
                      <w:sz w:val="21"/>
                      <w:szCs w:val="21"/>
                      <w:vertAlign w:val="superscript"/>
                      <w14:textFill>
                        <w14:solidFill>
                          <w14:schemeClr w14:val="tx1"/>
                        </w14:solidFill>
                      </w14:textFill>
                    </w:rPr>
                    <w:t>3</w:t>
                  </w:r>
                  <w:r>
                    <w:rPr>
                      <w:b/>
                      <w:bCs w:val="0"/>
                      <w:color w:val="000000" w:themeColor="text1"/>
                      <w:sz w:val="21"/>
                      <w:szCs w:val="21"/>
                      <w14:textFill>
                        <w14:solidFill>
                          <w14:schemeClr w14:val="tx1"/>
                        </w14:solidFill>
                      </w14:textFill>
                    </w:rPr>
                    <w:t>）</w:t>
                  </w:r>
                </w:p>
              </w:tc>
            </w:tr>
            <w:tr w14:paraId="6ACE4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907" w:type="dxa"/>
                  <w:noWrap/>
                  <w:vAlign w:val="center"/>
                </w:tcPr>
                <w:p w14:paraId="6B6BEA89">
                  <w:pPr>
                    <w:adjustRightInd w:val="0"/>
                    <w:snapToGrid w:val="0"/>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3048" w:type="dxa"/>
                  <w:noWrap/>
                  <w:vAlign w:val="center"/>
                </w:tcPr>
                <w:p w14:paraId="1F862BF3">
                  <w:pPr>
                    <w:adjustRightInd w:val="0"/>
                    <w:snapToGrid w:val="0"/>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周界外浓度最高点</w:t>
                  </w:r>
                </w:p>
              </w:tc>
              <w:tc>
                <w:tcPr>
                  <w:tcW w:w="3152" w:type="dxa"/>
                  <w:noWrap/>
                  <w:vAlign w:val="center"/>
                </w:tcPr>
                <w:p w14:paraId="36C67BEA">
                  <w:pPr>
                    <w:adjustRightInd w:val="0"/>
                    <w:snapToGrid w:val="0"/>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r>
          </w:tbl>
          <w:p w14:paraId="46654E5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（2）运营期</w:t>
            </w:r>
            <w:r>
              <w:rPr>
                <w:rFonts w:hint="eastAsia"/>
                <w:b/>
                <w:bCs w:val="0"/>
                <w:color w:val="000000" w:themeColor="text1"/>
                <w:sz w:val="24"/>
                <w14:textFill>
                  <w14:solidFill>
                    <w14:schemeClr w14:val="tx1"/>
                  </w14:solidFill>
                </w14:textFill>
              </w:rPr>
              <w:t>污染物排放控制标准</w:t>
            </w:r>
          </w:p>
          <w:p w14:paraId="3B88A2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B050"/>
                <w:sz w:val="24"/>
              </w:rPr>
            </w:pPr>
            <w:r>
              <w:rPr>
                <w:rFonts w:hint="eastAsia"/>
                <w:color w:val="00B050"/>
                <w:sz w:val="24"/>
              </w:rPr>
              <w:t>①有组织排放</w:t>
            </w:r>
          </w:p>
          <w:p w14:paraId="4C296A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B050"/>
                <w:sz w:val="24"/>
                <w:szCs w:val="24"/>
                <w:lang w:val="en-US" w:eastAsia="zh-CN"/>
              </w:rPr>
            </w:pPr>
            <w:r>
              <w:rPr>
                <w:rFonts w:hint="eastAsia" w:cs="Times New Roman"/>
                <w:color w:val="FF0000"/>
                <w:sz w:val="24"/>
                <w:szCs w:val="24"/>
                <w:lang w:val="en-US" w:eastAsia="zh-CN" w:bidi="ar-SA"/>
              </w:rPr>
              <w:t>储罐</w:t>
            </w:r>
            <w:r>
              <w:rPr>
                <w:rFonts w:hint="eastAsia" w:ascii="Times New Roman" w:hAnsi="Times New Roman" w:eastAsia="宋体" w:cs="Times New Roman"/>
                <w:color w:val="FF0000"/>
                <w:sz w:val="24"/>
                <w:szCs w:val="24"/>
                <w:lang w:val="en-US" w:eastAsia="zh-CN" w:bidi="ar-SA"/>
              </w:rPr>
              <w:t>呼吸废气经收集后</w:t>
            </w:r>
            <w:r>
              <w:rPr>
                <w:rFonts w:hint="eastAsia" w:cs="Times New Roman"/>
                <w:color w:val="FF0000"/>
                <w:sz w:val="24"/>
                <w:szCs w:val="24"/>
                <w:lang w:val="en-US" w:eastAsia="zh-CN" w:bidi="ar-SA"/>
              </w:rPr>
              <w:t>通过引风机</w:t>
            </w:r>
            <w:r>
              <w:rPr>
                <w:rFonts w:hint="eastAsia" w:cs="Times New Roman"/>
                <w:b w:val="0"/>
                <w:bCs w:val="0"/>
                <w:color w:val="FF0000"/>
                <w:sz w:val="24"/>
                <w:szCs w:val="24"/>
                <w:lang w:val="en-US" w:eastAsia="zh-CN" w:bidi="ar-SA"/>
              </w:rPr>
              <w:t>（</w:t>
            </w:r>
            <w:r>
              <w:rPr>
                <w:rFonts w:hint="eastAsia" w:ascii="Times New Roman" w:hAnsi="Times New Roman" w:eastAsia="宋体" w:cs="Times New Roman"/>
                <w:b w:val="0"/>
                <w:bCs w:val="0"/>
                <w:color w:val="FF0000"/>
                <w:sz w:val="24"/>
                <w:szCs w:val="24"/>
                <w:lang w:val="en-US" w:eastAsia="zh-CN" w:bidi="ar-SA"/>
              </w:rPr>
              <w:t>设计风量2</w:t>
            </w:r>
            <w:r>
              <w:rPr>
                <w:rFonts w:hint="eastAsia" w:cs="Times New Roman"/>
                <w:b w:val="0"/>
                <w:bCs w:val="0"/>
                <w:color w:val="FF0000"/>
                <w:sz w:val="24"/>
                <w:szCs w:val="24"/>
                <w:lang w:val="en-US" w:eastAsia="zh-CN" w:bidi="ar-SA"/>
              </w:rPr>
              <w:t>0</w:t>
            </w:r>
            <w:r>
              <w:rPr>
                <w:rFonts w:hint="eastAsia" w:ascii="Times New Roman" w:hAnsi="Times New Roman" w:eastAsia="宋体" w:cs="Times New Roman"/>
                <w:b w:val="0"/>
                <w:bCs w:val="0"/>
                <w:color w:val="FF0000"/>
                <w:sz w:val="24"/>
                <w:szCs w:val="24"/>
                <w:lang w:val="en-US" w:eastAsia="zh-CN" w:bidi="ar-SA"/>
              </w:rPr>
              <w:t>00m</w:t>
            </w:r>
            <w:r>
              <w:rPr>
                <w:rFonts w:hint="eastAsia" w:ascii="Times New Roman" w:hAnsi="Times New Roman" w:eastAsia="宋体" w:cs="Times New Roman"/>
                <w:b w:val="0"/>
                <w:bCs w:val="0"/>
                <w:color w:val="FF0000"/>
                <w:sz w:val="24"/>
                <w:szCs w:val="24"/>
                <w:vertAlign w:val="superscript"/>
                <w:lang w:val="en-US" w:eastAsia="zh-CN" w:bidi="ar-SA"/>
              </w:rPr>
              <w:t>3</w:t>
            </w:r>
            <w:r>
              <w:rPr>
                <w:rFonts w:hint="eastAsia" w:ascii="Times New Roman" w:hAnsi="Times New Roman" w:eastAsia="宋体" w:cs="Times New Roman"/>
                <w:b w:val="0"/>
                <w:bCs w:val="0"/>
                <w:color w:val="FF0000"/>
                <w:sz w:val="24"/>
                <w:szCs w:val="24"/>
                <w:lang w:val="en-US" w:eastAsia="zh-CN" w:bidi="ar-SA"/>
              </w:rPr>
              <w:t>/h</w:t>
            </w:r>
            <w:r>
              <w:rPr>
                <w:rFonts w:hint="eastAsia" w:cs="Times New Roman"/>
                <w:b w:val="0"/>
                <w:bCs w:val="0"/>
                <w:color w:val="FF0000"/>
                <w:sz w:val="24"/>
                <w:szCs w:val="24"/>
                <w:lang w:val="en-US" w:eastAsia="zh-CN" w:bidi="ar-SA"/>
              </w:rPr>
              <w:t>）</w:t>
            </w:r>
            <w:r>
              <w:rPr>
                <w:rFonts w:hint="eastAsia" w:ascii="Times New Roman" w:hAnsi="Times New Roman" w:eastAsia="宋体" w:cs="Times New Roman"/>
                <w:color w:val="FF0000"/>
                <w:sz w:val="24"/>
                <w:szCs w:val="24"/>
                <w:lang w:val="en-US" w:eastAsia="zh-CN" w:bidi="ar-SA"/>
              </w:rPr>
              <w:t>引至</w:t>
            </w:r>
            <w:r>
              <w:rPr>
                <w:rFonts w:hint="eastAsia" w:cs="Times New Roman"/>
                <w:color w:val="FF0000"/>
                <w:sz w:val="24"/>
                <w:szCs w:val="24"/>
                <w:lang w:val="en-US" w:eastAsia="zh-CN" w:bidi="ar-SA"/>
              </w:rPr>
              <w:t>1套活性炭吸附装置</w:t>
            </w:r>
            <w:r>
              <w:rPr>
                <w:rFonts w:hint="eastAsia" w:ascii="Times New Roman" w:hAnsi="Times New Roman" w:eastAsia="宋体" w:cs="Times New Roman"/>
                <w:color w:val="FF0000"/>
                <w:sz w:val="24"/>
                <w:szCs w:val="24"/>
                <w:lang w:val="en-US" w:eastAsia="zh-CN" w:bidi="ar-SA"/>
              </w:rPr>
              <w:t>处理；</w:t>
            </w:r>
            <w:r>
              <w:rPr>
                <w:rFonts w:hint="eastAsia"/>
                <w:b w:val="0"/>
                <w:bCs w:val="0"/>
                <w:color w:val="FF0000"/>
                <w:sz w:val="24"/>
                <w:szCs w:val="24"/>
                <w:lang w:val="en-US" w:eastAsia="zh-CN"/>
              </w:rPr>
              <w:t>废铅蓄电池破损泄漏产生的酸性废气由集气罩收集后</w:t>
            </w:r>
            <w:r>
              <w:rPr>
                <w:rFonts w:hint="eastAsia" w:cs="Times New Roman"/>
                <w:b w:val="0"/>
                <w:bCs w:val="0"/>
                <w:color w:val="FF0000"/>
                <w:sz w:val="24"/>
                <w:szCs w:val="24"/>
                <w:lang w:val="en-US" w:eastAsia="zh-CN" w:bidi="ar-SA"/>
              </w:rPr>
              <w:t>通过引风机（</w:t>
            </w:r>
            <w:r>
              <w:rPr>
                <w:rFonts w:hint="eastAsia" w:ascii="Times New Roman" w:hAnsi="Times New Roman" w:eastAsia="宋体" w:cs="Times New Roman"/>
                <w:b w:val="0"/>
                <w:bCs w:val="0"/>
                <w:color w:val="FF0000"/>
                <w:sz w:val="24"/>
                <w:szCs w:val="24"/>
                <w:lang w:val="en-US" w:eastAsia="zh-CN" w:bidi="ar-SA"/>
              </w:rPr>
              <w:t>设计风量2</w:t>
            </w:r>
            <w:r>
              <w:rPr>
                <w:rFonts w:hint="eastAsia" w:cs="Times New Roman"/>
                <w:b w:val="0"/>
                <w:bCs w:val="0"/>
                <w:color w:val="FF0000"/>
                <w:sz w:val="24"/>
                <w:szCs w:val="24"/>
                <w:lang w:val="en-US" w:eastAsia="zh-CN" w:bidi="ar-SA"/>
              </w:rPr>
              <w:t>0</w:t>
            </w:r>
            <w:r>
              <w:rPr>
                <w:rFonts w:hint="eastAsia" w:ascii="Times New Roman" w:hAnsi="Times New Roman" w:eastAsia="宋体" w:cs="Times New Roman"/>
                <w:b w:val="0"/>
                <w:bCs w:val="0"/>
                <w:color w:val="FF0000"/>
                <w:sz w:val="24"/>
                <w:szCs w:val="24"/>
                <w:lang w:val="en-US" w:eastAsia="zh-CN" w:bidi="ar-SA"/>
              </w:rPr>
              <w:t>00m</w:t>
            </w:r>
            <w:r>
              <w:rPr>
                <w:rFonts w:hint="eastAsia" w:ascii="Times New Roman" w:hAnsi="Times New Roman" w:eastAsia="宋体" w:cs="Times New Roman"/>
                <w:b w:val="0"/>
                <w:bCs w:val="0"/>
                <w:color w:val="FF0000"/>
                <w:sz w:val="24"/>
                <w:szCs w:val="24"/>
                <w:vertAlign w:val="superscript"/>
                <w:lang w:val="en-US" w:eastAsia="zh-CN" w:bidi="ar-SA"/>
              </w:rPr>
              <w:t>3</w:t>
            </w:r>
            <w:r>
              <w:rPr>
                <w:rFonts w:hint="eastAsia" w:ascii="Times New Roman" w:hAnsi="Times New Roman" w:eastAsia="宋体" w:cs="Times New Roman"/>
                <w:b w:val="0"/>
                <w:bCs w:val="0"/>
                <w:color w:val="FF0000"/>
                <w:sz w:val="24"/>
                <w:szCs w:val="24"/>
                <w:lang w:val="en-US" w:eastAsia="zh-CN" w:bidi="ar-SA"/>
              </w:rPr>
              <w:t>/h</w:t>
            </w:r>
            <w:r>
              <w:rPr>
                <w:rFonts w:hint="eastAsia" w:cs="Times New Roman"/>
                <w:b w:val="0"/>
                <w:bCs w:val="0"/>
                <w:color w:val="FF0000"/>
                <w:sz w:val="24"/>
                <w:szCs w:val="24"/>
                <w:lang w:val="en-US" w:eastAsia="zh-CN" w:bidi="ar-SA"/>
              </w:rPr>
              <w:t>）</w:t>
            </w:r>
            <w:r>
              <w:rPr>
                <w:rFonts w:hint="eastAsia" w:ascii="Times New Roman" w:hAnsi="Times New Roman" w:eastAsia="宋体" w:cs="Times New Roman"/>
                <w:b w:val="0"/>
                <w:bCs w:val="0"/>
                <w:color w:val="FF0000"/>
                <w:sz w:val="24"/>
                <w:szCs w:val="24"/>
                <w:lang w:val="en-US" w:eastAsia="zh-CN" w:bidi="ar-SA"/>
              </w:rPr>
              <w:t>引至</w:t>
            </w:r>
            <w:r>
              <w:rPr>
                <w:rFonts w:hint="eastAsia"/>
                <w:b w:val="0"/>
                <w:bCs w:val="0"/>
                <w:color w:val="FF0000"/>
                <w:sz w:val="24"/>
                <w:szCs w:val="24"/>
                <w:lang w:val="en-US" w:eastAsia="zh-CN"/>
              </w:rPr>
              <w:t>1座碱洗塔处理；</w:t>
            </w:r>
            <w:r>
              <w:rPr>
                <w:rFonts w:hint="eastAsia" w:cs="Times New Roman"/>
                <w:color w:val="FF0000"/>
                <w:sz w:val="24"/>
                <w:szCs w:val="24"/>
                <w:lang w:val="en-US" w:eastAsia="zh-CN" w:bidi="ar-SA"/>
              </w:rPr>
              <w:t>储罐</w:t>
            </w:r>
            <w:r>
              <w:rPr>
                <w:rFonts w:hint="eastAsia" w:ascii="Times New Roman" w:hAnsi="Times New Roman" w:eastAsia="宋体" w:cs="Times New Roman"/>
                <w:color w:val="FF0000"/>
                <w:sz w:val="24"/>
                <w:szCs w:val="24"/>
                <w:lang w:val="en-US" w:eastAsia="zh-CN" w:bidi="ar-SA"/>
              </w:rPr>
              <w:t>呼吸废气</w:t>
            </w:r>
            <w:r>
              <w:rPr>
                <w:rFonts w:hint="eastAsia"/>
                <w:b w:val="0"/>
                <w:bCs w:val="0"/>
                <w:color w:val="FF0000"/>
                <w:sz w:val="24"/>
                <w:szCs w:val="24"/>
                <w:lang w:val="en-US" w:eastAsia="zh-CN"/>
              </w:rPr>
              <w:t>和酸性废气处理后合并通过一根15m高排气筒（编号：DA001）排放。</w:t>
            </w:r>
          </w:p>
          <w:p w14:paraId="456B68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B050"/>
                <w:sz w:val="24"/>
                <w:vertAlign w:val="baseline"/>
                <w:lang w:val="en-US" w:eastAsia="zh-CN"/>
              </w:rPr>
            </w:pPr>
            <w:r>
              <w:rPr>
                <w:rFonts w:hint="eastAsia"/>
                <w:color w:val="00B050"/>
                <w:sz w:val="24"/>
                <w:lang w:val="en-US" w:eastAsia="zh-CN"/>
              </w:rPr>
              <w:t>废气中主要污染物为非甲烷总烃、酸性废气（以硫酸雾表征）、臭气浓度</w:t>
            </w:r>
            <w:r>
              <w:rPr>
                <w:rFonts w:hint="eastAsia"/>
                <w:color w:val="00B050"/>
                <w:sz w:val="24"/>
                <w:vertAlign w:val="baseline"/>
                <w:lang w:val="en-US" w:eastAsia="zh-CN"/>
              </w:rPr>
              <w:t>。非甲烷总烃</w:t>
            </w:r>
            <w:r>
              <w:rPr>
                <w:rFonts w:hint="eastAsia"/>
                <w:color w:val="00B050"/>
                <w:sz w:val="24"/>
                <w:lang w:val="en-US" w:eastAsia="zh-CN"/>
              </w:rPr>
              <w:t>、酸性废气（以硫酸雾表征）</w:t>
            </w:r>
            <w:r>
              <w:rPr>
                <w:rFonts w:hint="eastAsia"/>
                <w:color w:val="00B050"/>
                <w:sz w:val="24"/>
                <w:vertAlign w:val="baseline"/>
                <w:lang w:val="en-US" w:eastAsia="zh-CN"/>
              </w:rPr>
              <w:t>排放执行</w:t>
            </w:r>
            <w:r>
              <w:rPr>
                <w:rFonts w:hint="eastAsia"/>
                <w:color w:val="00B050"/>
                <w:sz w:val="24"/>
              </w:rPr>
              <w:t>《大气污染物综合排放标准》（GB16297-1996）</w:t>
            </w:r>
            <w:r>
              <w:rPr>
                <w:rFonts w:hint="eastAsia"/>
                <w:color w:val="00B050"/>
                <w:sz w:val="24"/>
                <w:lang w:val="en-US" w:eastAsia="zh-CN"/>
              </w:rPr>
              <w:t>，臭气浓度排放执行《恶臭污染物排放标准》（GB14554-93）</w:t>
            </w:r>
            <w:r>
              <w:rPr>
                <w:rFonts w:hint="eastAsia"/>
                <w:color w:val="00B050"/>
                <w:sz w:val="24"/>
                <w:lang w:eastAsia="zh-CN"/>
              </w:rPr>
              <w:t>。</w:t>
            </w:r>
          </w:p>
          <w:p w14:paraId="4F250C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B050"/>
                <w:sz w:val="24"/>
              </w:rPr>
            </w:pPr>
            <w:r>
              <w:rPr>
                <w:rFonts w:hint="eastAsia"/>
                <w:color w:val="00B050"/>
                <w:sz w:val="24"/>
                <w:lang w:val="en-US" w:eastAsia="zh-CN"/>
              </w:rPr>
              <w:t>项目周边200m范围内最高建筑物为项目区南侧、西侧分布的标准厂房，高度约10m，</w:t>
            </w:r>
            <w:r>
              <w:rPr>
                <w:rFonts w:hint="eastAsia"/>
                <w:color w:val="00B050"/>
                <w:sz w:val="24"/>
              </w:rPr>
              <w:t>项目大气污染物有组织排放限值见表3</w:t>
            </w:r>
            <w:r>
              <w:rPr>
                <w:rFonts w:hint="eastAsia"/>
                <w:color w:val="00B050"/>
                <w:sz w:val="24"/>
                <w:lang w:val="en-US" w:eastAsia="zh-CN"/>
              </w:rPr>
              <w:t>.3</w:t>
            </w:r>
            <w:r>
              <w:rPr>
                <w:rFonts w:hint="eastAsia"/>
                <w:color w:val="00B050"/>
                <w:sz w:val="24"/>
              </w:rPr>
              <w:t>-</w:t>
            </w:r>
            <w:r>
              <w:rPr>
                <w:rFonts w:hint="eastAsia"/>
                <w:color w:val="00B050"/>
                <w:sz w:val="24"/>
                <w:lang w:val="en-US" w:eastAsia="zh-CN"/>
              </w:rPr>
              <w:t>2所示</w:t>
            </w:r>
            <w:r>
              <w:rPr>
                <w:rFonts w:hint="eastAsia"/>
                <w:color w:val="00B050"/>
                <w:sz w:val="24"/>
              </w:rPr>
              <w:t>。</w:t>
            </w:r>
          </w:p>
          <w:p w14:paraId="29CAD378">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
                <w:bCs/>
                <w:color w:val="00B050"/>
                <w:kern w:val="0"/>
                <w:sz w:val="21"/>
                <w:szCs w:val="20"/>
                <w:lang w:val="en-US" w:eastAsia="zh-CN" w:bidi="ar-SA"/>
              </w:rPr>
            </w:pPr>
            <w:r>
              <w:rPr>
                <w:rFonts w:hint="eastAsia" w:ascii="Times New Roman" w:hAnsi="Times New Roman" w:eastAsia="宋体" w:cs="Times New Roman"/>
                <w:b/>
                <w:bCs/>
                <w:color w:val="00B050"/>
                <w:kern w:val="0"/>
                <w:sz w:val="21"/>
                <w:szCs w:val="20"/>
                <w:lang w:val="en-US" w:eastAsia="zh-CN" w:bidi="ar-SA"/>
              </w:rPr>
              <w:t>表3.3-2  项目大气污染物有组织排放限值</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002"/>
              <w:gridCol w:w="1423"/>
              <w:gridCol w:w="1310"/>
              <w:gridCol w:w="1209"/>
              <w:gridCol w:w="2245"/>
            </w:tblGrid>
            <w:tr w14:paraId="6EB0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6" w:type="dxa"/>
                  <w:vMerge w:val="restart"/>
                  <w:vAlign w:val="center"/>
                </w:tcPr>
                <w:p w14:paraId="2674DC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color w:val="00B050"/>
                      <w:lang w:val="en-US" w:eastAsia="zh-CN"/>
                    </w:rPr>
                  </w:pPr>
                  <w:r>
                    <w:rPr>
                      <w:rFonts w:hint="eastAsia"/>
                      <w:b/>
                      <w:bCs w:val="0"/>
                      <w:color w:val="00B050"/>
                      <w:lang w:val="en-US" w:eastAsia="zh-CN"/>
                    </w:rPr>
                    <w:t>排放源</w:t>
                  </w:r>
                </w:p>
              </w:tc>
              <w:tc>
                <w:tcPr>
                  <w:tcW w:w="1002" w:type="dxa"/>
                  <w:vMerge w:val="restart"/>
                  <w:vAlign w:val="center"/>
                </w:tcPr>
                <w:p w14:paraId="11DD1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val="0"/>
                      <w:color w:val="00B050"/>
                      <w:lang w:val="en-US" w:eastAsia="zh-CN"/>
                    </w:rPr>
                  </w:pPr>
                  <w:r>
                    <w:rPr>
                      <w:rFonts w:hint="eastAsia"/>
                      <w:b/>
                      <w:bCs w:val="0"/>
                      <w:color w:val="00B050"/>
                      <w:lang w:val="en-US" w:eastAsia="zh-CN"/>
                    </w:rPr>
                    <w:t>排气筒高度/m</w:t>
                  </w:r>
                </w:p>
              </w:tc>
              <w:tc>
                <w:tcPr>
                  <w:tcW w:w="1423" w:type="dxa"/>
                  <w:vMerge w:val="restart"/>
                  <w:vAlign w:val="center"/>
                </w:tcPr>
                <w:p w14:paraId="11C3A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val="0"/>
                      <w:color w:val="00B050"/>
                    </w:rPr>
                  </w:pPr>
                  <w:r>
                    <w:rPr>
                      <w:b/>
                      <w:bCs w:val="0"/>
                      <w:color w:val="00B050"/>
                    </w:rPr>
                    <w:t>污染物</w:t>
                  </w:r>
                </w:p>
              </w:tc>
              <w:tc>
                <w:tcPr>
                  <w:tcW w:w="2519" w:type="dxa"/>
                  <w:gridSpan w:val="2"/>
                  <w:vAlign w:val="center"/>
                </w:tcPr>
                <w:p w14:paraId="7CBD19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val="0"/>
                      <w:color w:val="00B050"/>
                      <w:lang w:val="en-US" w:eastAsia="zh-CN"/>
                    </w:rPr>
                  </w:pPr>
                  <w:r>
                    <w:rPr>
                      <w:rFonts w:hint="eastAsia"/>
                      <w:b/>
                      <w:bCs w:val="0"/>
                      <w:color w:val="00B050"/>
                      <w:lang w:val="en-US" w:eastAsia="zh-CN"/>
                    </w:rPr>
                    <w:t>排放限值</w:t>
                  </w:r>
                </w:p>
              </w:tc>
              <w:tc>
                <w:tcPr>
                  <w:tcW w:w="2245" w:type="dxa"/>
                  <w:vMerge w:val="restart"/>
                  <w:vAlign w:val="center"/>
                </w:tcPr>
                <w:p w14:paraId="74494A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color w:val="00B050"/>
                      <w:lang w:val="en-US" w:eastAsia="zh-CN"/>
                    </w:rPr>
                  </w:pPr>
                  <w:r>
                    <w:rPr>
                      <w:rFonts w:hint="eastAsia"/>
                      <w:b/>
                      <w:bCs w:val="0"/>
                      <w:color w:val="00B050"/>
                      <w:lang w:val="en-US" w:eastAsia="zh-CN"/>
                    </w:rPr>
                    <w:t>标准来源</w:t>
                  </w:r>
                </w:p>
              </w:tc>
            </w:tr>
            <w:tr w14:paraId="0033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6" w:type="dxa"/>
                  <w:vMerge w:val="continue"/>
                  <w:vAlign w:val="center"/>
                </w:tcPr>
                <w:p w14:paraId="7AF097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val="0"/>
                      <w:color w:val="00B050"/>
                    </w:rPr>
                  </w:pPr>
                </w:p>
              </w:tc>
              <w:tc>
                <w:tcPr>
                  <w:tcW w:w="1002" w:type="dxa"/>
                  <w:vMerge w:val="continue"/>
                  <w:vAlign w:val="center"/>
                </w:tcPr>
                <w:p w14:paraId="760CB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val="0"/>
                      <w:color w:val="00B050"/>
                    </w:rPr>
                  </w:pPr>
                </w:p>
              </w:tc>
              <w:tc>
                <w:tcPr>
                  <w:tcW w:w="1423" w:type="dxa"/>
                  <w:vMerge w:val="continue"/>
                  <w:vAlign w:val="center"/>
                </w:tcPr>
                <w:p w14:paraId="182DE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val="0"/>
                      <w:color w:val="00B050"/>
                    </w:rPr>
                  </w:pPr>
                </w:p>
              </w:tc>
              <w:tc>
                <w:tcPr>
                  <w:tcW w:w="1310" w:type="dxa"/>
                  <w:vAlign w:val="center"/>
                </w:tcPr>
                <w:p w14:paraId="68E05D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B050"/>
                      <w:kern w:val="2"/>
                      <w:sz w:val="21"/>
                      <w:szCs w:val="24"/>
                      <w:vertAlign w:val="superscript"/>
                      <w:lang w:val="en-US" w:eastAsia="zh-CN" w:bidi="ar-SA"/>
                    </w:rPr>
                  </w:pPr>
                  <w:r>
                    <w:rPr>
                      <w:rFonts w:hint="eastAsia"/>
                      <w:b/>
                      <w:bCs w:val="0"/>
                      <w:color w:val="00B050"/>
                      <w:lang w:val="en-US" w:eastAsia="zh-CN"/>
                    </w:rPr>
                    <w:t>浓度mg/m</w:t>
                  </w:r>
                  <w:r>
                    <w:rPr>
                      <w:rFonts w:hint="eastAsia"/>
                      <w:b/>
                      <w:bCs w:val="0"/>
                      <w:color w:val="00B050"/>
                      <w:vertAlign w:val="superscript"/>
                      <w:lang w:val="en-US" w:eastAsia="zh-CN"/>
                    </w:rPr>
                    <w:t>3</w:t>
                  </w:r>
                </w:p>
              </w:tc>
              <w:tc>
                <w:tcPr>
                  <w:tcW w:w="1209" w:type="dxa"/>
                  <w:vAlign w:val="center"/>
                </w:tcPr>
                <w:p w14:paraId="2BB55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00B050"/>
                      <w:kern w:val="2"/>
                      <w:sz w:val="21"/>
                      <w:szCs w:val="24"/>
                      <w:lang w:val="en-US" w:eastAsia="zh-CN" w:bidi="ar-SA"/>
                    </w:rPr>
                  </w:pPr>
                  <w:r>
                    <w:rPr>
                      <w:rFonts w:hint="eastAsia"/>
                      <w:b/>
                      <w:bCs w:val="0"/>
                      <w:color w:val="00B050"/>
                      <w:lang w:val="en-US" w:eastAsia="zh-CN"/>
                    </w:rPr>
                    <w:t>速率kg/h</w:t>
                  </w:r>
                </w:p>
              </w:tc>
              <w:tc>
                <w:tcPr>
                  <w:tcW w:w="2245" w:type="dxa"/>
                  <w:vMerge w:val="continue"/>
                  <w:vAlign w:val="center"/>
                </w:tcPr>
                <w:p w14:paraId="50A0D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00B050"/>
                      <w:lang w:val="en-US" w:eastAsia="zh-CN"/>
                    </w:rPr>
                  </w:pPr>
                </w:p>
              </w:tc>
            </w:tr>
            <w:tr w14:paraId="3B1D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46" w:type="dxa"/>
                  <w:vMerge w:val="restart"/>
                  <w:vAlign w:val="center"/>
                </w:tcPr>
                <w:p w14:paraId="0F844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B050"/>
                      <w:lang w:val="en-US" w:eastAsia="zh-CN"/>
                    </w:rPr>
                  </w:pPr>
                  <w:r>
                    <w:rPr>
                      <w:rFonts w:hint="eastAsia"/>
                      <w:color w:val="00B050"/>
                      <w:lang w:val="en-US" w:eastAsia="zh-CN"/>
                    </w:rPr>
                    <w:t>DA001</w:t>
                  </w:r>
                </w:p>
              </w:tc>
              <w:tc>
                <w:tcPr>
                  <w:tcW w:w="1002" w:type="dxa"/>
                  <w:vMerge w:val="restart"/>
                  <w:vAlign w:val="center"/>
                </w:tcPr>
                <w:p w14:paraId="39D4A7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B050"/>
                      <w:lang w:val="en-US" w:eastAsia="zh-CN"/>
                    </w:rPr>
                  </w:pPr>
                  <w:r>
                    <w:rPr>
                      <w:rFonts w:hint="eastAsia"/>
                      <w:color w:val="00B050"/>
                      <w:lang w:val="en-US" w:eastAsia="zh-CN"/>
                    </w:rPr>
                    <w:t>15</w:t>
                  </w:r>
                </w:p>
              </w:tc>
              <w:tc>
                <w:tcPr>
                  <w:tcW w:w="1423" w:type="dxa"/>
                  <w:vAlign w:val="center"/>
                </w:tcPr>
                <w:p w14:paraId="445A2D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B050"/>
                      <w:lang w:val="en-US" w:eastAsia="zh-CN"/>
                    </w:rPr>
                  </w:pPr>
                  <w:r>
                    <w:rPr>
                      <w:rFonts w:hint="eastAsia"/>
                      <w:color w:val="00B050"/>
                      <w:lang w:val="en-US" w:eastAsia="zh-CN"/>
                    </w:rPr>
                    <w:t>非甲烷总烃</w:t>
                  </w:r>
                </w:p>
              </w:tc>
              <w:tc>
                <w:tcPr>
                  <w:tcW w:w="1310" w:type="dxa"/>
                  <w:vAlign w:val="center"/>
                </w:tcPr>
                <w:p w14:paraId="65FB00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00B050"/>
                      <w:lang w:val="en-US" w:eastAsia="zh-CN"/>
                    </w:rPr>
                  </w:pPr>
                  <w:r>
                    <w:rPr>
                      <w:rFonts w:hint="eastAsia"/>
                      <w:bCs/>
                      <w:color w:val="00B050"/>
                      <w:lang w:val="en-US" w:eastAsia="zh-CN"/>
                    </w:rPr>
                    <w:t>120</w:t>
                  </w:r>
                </w:p>
              </w:tc>
              <w:tc>
                <w:tcPr>
                  <w:tcW w:w="1209" w:type="dxa"/>
                  <w:vAlign w:val="center"/>
                </w:tcPr>
                <w:p w14:paraId="14075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00B050"/>
                      <w:lang w:val="en-US" w:eastAsia="zh-CN"/>
                    </w:rPr>
                  </w:pPr>
                  <w:r>
                    <w:rPr>
                      <w:rFonts w:hint="eastAsia"/>
                      <w:bCs/>
                      <w:color w:val="00B050"/>
                      <w:lang w:val="en-US" w:eastAsia="zh-CN"/>
                    </w:rPr>
                    <w:t>10</w:t>
                  </w:r>
                </w:p>
              </w:tc>
              <w:tc>
                <w:tcPr>
                  <w:tcW w:w="2245" w:type="dxa"/>
                  <w:vMerge w:val="restart"/>
                  <w:vAlign w:val="center"/>
                </w:tcPr>
                <w:p w14:paraId="208D19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B050"/>
                    </w:rPr>
                  </w:pPr>
                  <w:r>
                    <w:rPr>
                      <w:rFonts w:hint="eastAsia"/>
                      <w:bCs/>
                      <w:color w:val="00B050"/>
                    </w:rPr>
                    <w:t>《大气污染物综合排放标准》</w:t>
                  </w:r>
                </w:p>
              </w:tc>
            </w:tr>
            <w:tr w14:paraId="50B2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6" w:type="dxa"/>
                  <w:vMerge w:val="continue"/>
                  <w:vAlign w:val="center"/>
                </w:tcPr>
                <w:p w14:paraId="0FDFF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B050"/>
                      <w:lang w:val="en-US" w:eastAsia="zh-CN"/>
                    </w:rPr>
                  </w:pPr>
                </w:p>
              </w:tc>
              <w:tc>
                <w:tcPr>
                  <w:tcW w:w="1002" w:type="dxa"/>
                  <w:vMerge w:val="continue"/>
                  <w:vAlign w:val="center"/>
                </w:tcPr>
                <w:p w14:paraId="383FE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B050"/>
                      <w:lang w:val="en-US" w:eastAsia="zh-CN"/>
                    </w:rPr>
                  </w:pPr>
                </w:p>
              </w:tc>
              <w:tc>
                <w:tcPr>
                  <w:tcW w:w="1423" w:type="dxa"/>
                  <w:vAlign w:val="center"/>
                </w:tcPr>
                <w:p w14:paraId="405DEC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B050"/>
                      <w:lang w:val="en-US" w:eastAsia="zh-CN"/>
                    </w:rPr>
                  </w:pPr>
                  <w:r>
                    <w:rPr>
                      <w:rFonts w:hint="eastAsia"/>
                      <w:color w:val="00B050"/>
                      <w:lang w:val="en-US" w:eastAsia="zh-CN"/>
                    </w:rPr>
                    <w:t>硫酸雾</w:t>
                  </w:r>
                </w:p>
              </w:tc>
              <w:tc>
                <w:tcPr>
                  <w:tcW w:w="1310" w:type="dxa"/>
                  <w:vAlign w:val="center"/>
                </w:tcPr>
                <w:p w14:paraId="319BA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00B050"/>
                      <w:lang w:val="en-US" w:eastAsia="zh-CN"/>
                    </w:rPr>
                  </w:pPr>
                  <w:r>
                    <w:rPr>
                      <w:rFonts w:hint="eastAsia"/>
                      <w:bCs/>
                      <w:color w:val="00B050"/>
                      <w:lang w:val="en-US" w:eastAsia="zh-CN"/>
                    </w:rPr>
                    <w:t>45</w:t>
                  </w:r>
                </w:p>
              </w:tc>
              <w:tc>
                <w:tcPr>
                  <w:tcW w:w="1209" w:type="dxa"/>
                  <w:vAlign w:val="center"/>
                </w:tcPr>
                <w:p w14:paraId="0EFE2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00B050"/>
                      <w:lang w:val="en-US" w:eastAsia="zh-CN"/>
                    </w:rPr>
                  </w:pPr>
                  <w:r>
                    <w:rPr>
                      <w:rFonts w:hint="eastAsia"/>
                      <w:bCs/>
                      <w:color w:val="00B050"/>
                      <w:lang w:val="en-US" w:eastAsia="zh-CN"/>
                    </w:rPr>
                    <w:t>1.5</w:t>
                  </w:r>
                </w:p>
              </w:tc>
              <w:tc>
                <w:tcPr>
                  <w:tcW w:w="2245" w:type="dxa"/>
                  <w:vMerge w:val="continue"/>
                  <w:vAlign w:val="center"/>
                </w:tcPr>
                <w:p w14:paraId="422D7B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00B050"/>
                    </w:rPr>
                  </w:pPr>
                </w:p>
              </w:tc>
            </w:tr>
            <w:tr w14:paraId="1480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6" w:type="dxa"/>
                  <w:vMerge w:val="continue"/>
                  <w:vAlign w:val="center"/>
                </w:tcPr>
                <w:p w14:paraId="1FD006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B050"/>
                    </w:rPr>
                  </w:pPr>
                </w:p>
              </w:tc>
              <w:tc>
                <w:tcPr>
                  <w:tcW w:w="1002" w:type="dxa"/>
                  <w:vMerge w:val="continue"/>
                  <w:vAlign w:val="center"/>
                </w:tcPr>
                <w:p w14:paraId="5228B2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B050"/>
                    </w:rPr>
                  </w:pPr>
                </w:p>
              </w:tc>
              <w:tc>
                <w:tcPr>
                  <w:tcW w:w="1423" w:type="dxa"/>
                  <w:vAlign w:val="center"/>
                </w:tcPr>
                <w:p w14:paraId="34D1FA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color w:val="00B050"/>
                      <w:lang w:val="en-US" w:eastAsia="zh-CN"/>
                    </w:rPr>
                  </w:pPr>
                  <w:r>
                    <w:rPr>
                      <w:rFonts w:hint="eastAsia"/>
                      <w:bCs/>
                      <w:color w:val="00B050"/>
                      <w:lang w:val="en-US" w:eastAsia="zh-CN"/>
                    </w:rPr>
                    <w:t>臭氧浓度（无量纲）</w:t>
                  </w:r>
                </w:p>
              </w:tc>
              <w:tc>
                <w:tcPr>
                  <w:tcW w:w="2519" w:type="dxa"/>
                  <w:gridSpan w:val="2"/>
                  <w:vAlign w:val="center"/>
                </w:tcPr>
                <w:p w14:paraId="6B9662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00B050"/>
                      <w:lang w:val="en-US" w:eastAsia="zh-CN"/>
                    </w:rPr>
                  </w:pPr>
                  <w:r>
                    <w:rPr>
                      <w:rFonts w:hint="eastAsia"/>
                      <w:bCs/>
                      <w:color w:val="00B050"/>
                      <w:lang w:val="en-US" w:eastAsia="zh-CN"/>
                    </w:rPr>
                    <w:t>2000</w:t>
                  </w:r>
                </w:p>
              </w:tc>
              <w:tc>
                <w:tcPr>
                  <w:tcW w:w="2245" w:type="dxa"/>
                  <w:vAlign w:val="center"/>
                </w:tcPr>
                <w:p w14:paraId="4112F6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B050"/>
                    </w:rPr>
                  </w:pPr>
                  <w:r>
                    <w:rPr>
                      <w:rFonts w:hint="eastAsia"/>
                      <w:bCs/>
                      <w:color w:val="00B050"/>
                    </w:rPr>
                    <w:t>《恶臭污染物排放标准》</w:t>
                  </w:r>
                </w:p>
              </w:tc>
            </w:tr>
          </w:tbl>
          <w:p w14:paraId="29A184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②无组织排放</w:t>
            </w:r>
          </w:p>
          <w:p w14:paraId="110A0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运营期厂界无组织排放</w:t>
            </w:r>
            <w:r>
              <w:rPr>
                <w:rFonts w:hint="eastAsia"/>
                <w:color w:val="000000" w:themeColor="text1"/>
                <w:kern w:val="0"/>
                <w:sz w:val="24"/>
                <w:lang w:val="en-US" w:eastAsia="zh-CN"/>
                <w14:textFill>
                  <w14:solidFill>
                    <w14:schemeClr w14:val="tx1"/>
                  </w14:solidFill>
                </w14:textFill>
              </w:rPr>
              <w:t>的有机废气（以NMHC表征）、酸性废气（以硫酸雾计）</w:t>
            </w:r>
            <w:r>
              <w:rPr>
                <w:rFonts w:hint="eastAsia"/>
                <w:color w:val="000000" w:themeColor="text1"/>
                <w:kern w:val="0"/>
                <w:sz w:val="24"/>
                <w14:textFill>
                  <w14:solidFill>
                    <w14:schemeClr w14:val="tx1"/>
                  </w14:solidFill>
                </w14:textFill>
              </w:rPr>
              <w:t>执行</w:t>
            </w:r>
            <w:r>
              <w:rPr>
                <w:rFonts w:hint="eastAsia"/>
                <w:color w:val="000000" w:themeColor="text1"/>
                <w:sz w:val="24"/>
                <w14:textFill>
                  <w14:solidFill>
                    <w14:schemeClr w14:val="tx1"/>
                  </w14:solidFill>
                </w14:textFill>
              </w:rPr>
              <w:t>《大气污染物综合排放标准》（GB16297-1996）无组织排放监控限值</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厂界异味</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以</w:t>
            </w:r>
            <w:r>
              <w:rPr>
                <w:rFonts w:hint="eastAsia"/>
                <w:color w:val="000000" w:themeColor="text1"/>
                <w:sz w:val="24"/>
                <w14:textFill>
                  <w14:solidFill>
                    <w14:schemeClr w14:val="tx1"/>
                  </w14:solidFill>
                </w14:textFill>
              </w:rPr>
              <w:t>臭气浓度</w:t>
            </w:r>
            <w:r>
              <w:rPr>
                <w:rFonts w:hint="eastAsia"/>
                <w:color w:val="000000" w:themeColor="text1"/>
                <w:sz w:val="24"/>
                <w:lang w:val="en-US" w:eastAsia="zh-CN"/>
                <w14:textFill>
                  <w14:solidFill>
                    <w14:schemeClr w14:val="tx1"/>
                  </w14:solidFill>
                </w14:textFill>
              </w:rPr>
              <w:t>表征</w:t>
            </w:r>
            <w:r>
              <w:rPr>
                <w:rFonts w:hint="eastAsia"/>
                <w:color w:val="000000" w:themeColor="text1"/>
                <w:sz w:val="24"/>
                <w14:textFill>
                  <w14:solidFill>
                    <w14:schemeClr w14:val="tx1"/>
                  </w14:solidFill>
                </w14:textFill>
              </w:rPr>
              <w:t>）执行《恶臭污染物排放标准》（GB14554-93）</w:t>
            </w:r>
            <w:r>
              <w:rPr>
                <w:rFonts w:hint="eastAsia"/>
                <w:color w:val="000000" w:themeColor="text1"/>
                <w:sz w:val="24"/>
                <w:lang w:eastAsia="zh-CN"/>
                <w14:textFill>
                  <w14:solidFill>
                    <w14:schemeClr w14:val="tx1"/>
                  </w14:solidFill>
                </w14:textFill>
              </w:rPr>
              <w:t>。</w:t>
            </w:r>
          </w:p>
          <w:p w14:paraId="3D8C15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厂区内挥发性有机物执行《挥发性有机物无组织排放控制标准》（GB37822-2019）。</w:t>
            </w:r>
          </w:p>
          <w:p w14:paraId="5304C9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kern w:val="0"/>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w:t>
            </w:r>
            <w:r>
              <w:rPr>
                <w:rFonts w:hint="eastAsia"/>
                <w:color w:val="000000" w:themeColor="text1"/>
                <w:sz w:val="24"/>
                <w14:textFill>
                  <w14:solidFill>
                    <w14:schemeClr w14:val="tx1"/>
                  </w14:solidFill>
                </w14:textFill>
              </w:rPr>
              <w:t>无组织排放限值见表3</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3所示</w:t>
            </w:r>
            <w:r>
              <w:rPr>
                <w:rFonts w:hint="eastAsia" w:ascii="Times New Roman" w:eastAsia="宋体"/>
                <w:color w:val="000000" w:themeColor="text1"/>
                <w:sz w:val="24"/>
                <w:lang w:val="en-US" w:eastAsia="zh-CN"/>
                <w14:textFill>
                  <w14:solidFill>
                    <w14:schemeClr w14:val="tx1"/>
                  </w14:solidFill>
                </w14:textFill>
              </w:rPr>
              <w:t>。</w:t>
            </w:r>
          </w:p>
          <w:p w14:paraId="43F072A1">
            <w:pPr>
              <w:pageBreakBefore w:val="0"/>
              <w:kinsoku/>
              <w:wordWrap/>
              <w:overflowPunct/>
              <w:topLinePunct w:val="0"/>
              <w:bidi w:val="0"/>
              <w:jc w:val="center"/>
              <w:rPr>
                <w:rFonts w:ascii="黑体" w:hAnsi="黑体" w:eastAsia="黑体"/>
                <w:color w:val="000000" w:themeColor="text1"/>
                <w:kern w:val="0"/>
                <w:szCs w:val="20"/>
                <w14:textFill>
                  <w14:solidFill>
                    <w14:schemeClr w14:val="tx1"/>
                  </w14:solidFill>
                </w14:textFill>
              </w:rPr>
            </w:pPr>
            <w: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t>表3.3-3  无组织排放限值</w:t>
            </w:r>
          </w:p>
          <w:tbl>
            <w:tblPr>
              <w:tblStyle w:val="27"/>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086"/>
              <w:gridCol w:w="1590"/>
              <w:gridCol w:w="2938"/>
            </w:tblGrid>
            <w:tr w14:paraId="28E9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5" w:type="dxa"/>
                  <w:tcBorders>
                    <w:tl2br w:val="nil"/>
                    <w:tr2bl w:val="nil"/>
                  </w:tcBorders>
                  <w:vAlign w:val="center"/>
                </w:tcPr>
                <w:p w14:paraId="73B157D2">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bCs w:val="0"/>
                      <w:color w:val="000000" w:themeColor="text1"/>
                      <w:sz w:val="21"/>
                      <w:szCs w:val="21"/>
                      <w14:textFill>
                        <w14:solidFill>
                          <w14:schemeClr w14:val="tx1"/>
                        </w14:solidFill>
                      </w14:textFill>
                    </w:rPr>
                  </w:pPr>
                  <w:r>
                    <w:rPr>
                      <w:rFonts w:hint="eastAsia" w:ascii="Times New Roman" w:cs="Times New Roman" w:eastAsiaTheme="minorEastAsia"/>
                      <w:b/>
                      <w:bCs w:val="0"/>
                      <w:color w:val="000000" w:themeColor="text1"/>
                      <w:sz w:val="21"/>
                      <w:szCs w:val="21"/>
                      <w14:textFill>
                        <w14:solidFill>
                          <w14:schemeClr w14:val="tx1"/>
                        </w14:solidFill>
                      </w14:textFill>
                    </w:rPr>
                    <w:t>污染物</w:t>
                  </w:r>
                </w:p>
              </w:tc>
              <w:tc>
                <w:tcPr>
                  <w:tcW w:w="2086" w:type="dxa"/>
                  <w:tcBorders>
                    <w:tl2br w:val="nil"/>
                    <w:tr2bl w:val="nil"/>
                  </w:tcBorders>
                  <w:vAlign w:val="center"/>
                </w:tcPr>
                <w:p w14:paraId="5DEA66E7">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bCs w:val="0"/>
                      <w:color w:val="000000" w:themeColor="text1"/>
                      <w:sz w:val="21"/>
                      <w:szCs w:val="21"/>
                      <w14:textFill>
                        <w14:solidFill>
                          <w14:schemeClr w14:val="tx1"/>
                        </w14:solidFill>
                      </w14:textFill>
                    </w:rPr>
                  </w:pPr>
                  <w:r>
                    <w:rPr>
                      <w:rFonts w:hint="eastAsia" w:ascii="Times New Roman" w:cs="Times New Roman" w:eastAsiaTheme="minorEastAsia"/>
                      <w:b/>
                      <w:bCs w:val="0"/>
                      <w:color w:val="000000" w:themeColor="text1"/>
                      <w:sz w:val="21"/>
                      <w:szCs w:val="21"/>
                      <w14:textFill>
                        <w14:solidFill>
                          <w14:schemeClr w14:val="tx1"/>
                        </w14:solidFill>
                      </w14:textFill>
                    </w:rPr>
                    <w:t>监控位置</w:t>
                  </w:r>
                </w:p>
              </w:tc>
              <w:tc>
                <w:tcPr>
                  <w:tcW w:w="1590" w:type="dxa"/>
                  <w:tcBorders>
                    <w:tl2br w:val="nil"/>
                    <w:tr2bl w:val="nil"/>
                  </w:tcBorders>
                  <w:vAlign w:val="center"/>
                </w:tcPr>
                <w:p w14:paraId="26BD48BF">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bCs w:val="0"/>
                      <w:color w:val="000000" w:themeColor="text1"/>
                      <w:sz w:val="21"/>
                      <w:szCs w:val="21"/>
                      <w14:textFill>
                        <w14:solidFill>
                          <w14:schemeClr w14:val="tx1"/>
                        </w14:solidFill>
                      </w14:textFill>
                    </w:rPr>
                  </w:pPr>
                  <w:r>
                    <w:rPr>
                      <w:rFonts w:hint="eastAsia" w:ascii="Times New Roman" w:cs="Times New Roman" w:eastAsiaTheme="minorEastAsia"/>
                      <w:b/>
                      <w:bCs w:val="0"/>
                      <w:color w:val="000000" w:themeColor="text1"/>
                      <w:sz w:val="21"/>
                      <w:szCs w:val="21"/>
                      <w14:textFill>
                        <w14:solidFill>
                          <w14:schemeClr w14:val="tx1"/>
                        </w14:solidFill>
                      </w14:textFill>
                    </w:rPr>
                    <w:t>浓度限值</w:t>
                  </w:r>
                </w:p>
                <w:p w14:paraId="03C36511">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bCs w:val="0"/>
                      <w:color w:val="000000" w:themeColor="text1"/>
                      <w:sz w:val="21"/>
                      <w:szCs w:val="21"/>
                      <w:vertAlign w:val="superscript"/>
                      <w14:textFill>
                        <w14:solidFill>
                          <w14:schemeClr w14:val="tx1"/>
                        </w14:solidFill>
                      </w14:textFill>
                    </w:rPr>
                  </w:pPr>
                  <w:r>
                    <w:rPr>
                      <w:rFonts w:hint="eastAsia" w:ascii="Times New Roman" w:cs="Times New Roman" w:eastAsiaTheme="minorEastAsia"/>
                      <w:b/>
                      <w:bCs w:val="0"/>
                      <w:color w:val="000000" w:themeColor="text1"/>
                      <w:sz w:val="21"/>
                      <w:szCs w:val="21"/>
                      <w14:textFill>
                        <w14:solidFill>
                          <w14:schemeClr w14:val="tx1"/>
                        </w14:solidFill>
                      </w14:textFill>
                    </w:rPr>
                    <w:t>mg/m</w:t>
                  </w:r>
                  <w:r>
                    <w:rPr>
                      <w:rFonts w:hint="eastAsia" w:ascii="Times New Roman" w:cs="Times New Roman" w:eastAsiaTheme="minorEastAsia"/>
                      <w:b/>
                      <w:bCs w:val="0"/>
                      <w:color w:val="000000" w:themeColor="text1"/>
                      <w:sz w:val="21"/>
                      <w:szCs w:val="21"/>
                      <w:vertAlign w:val="superscript"/>
                      <w14:textFill>
                        <w14:solidFill>
                          <w14:schemeClr w14:val="tx1"/>
                        </w14:solidFill>
                      </w14:textFill>
                    </w:rPr>
                    <w:t>3</w:t>
                  </w:r>
                </w:p>
              </w:tc>
              <w:tc>
                <w:tcPr>
                  <w:tcW w:w="2938" w:type="dxa"/>
                  <w:tcBorders>
                    <w:tl2br w:val="nil"/>
                    <w:tr2bl w:val="nil"/>
                  </w:tcBorders>
                  <w:vAlign w:val="center"/>
                </w:tcPr>
                <w:p w14:paraId="1AD0BA12">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bCs w:val="0"/>
                      <w:color w:val="000000" w:themeColor="text1"/>
                      <w:sz w:val="21"/>
                      <w:szCs w:val="21"/>
                      <w14:textFill>
                        <w14:solidFill>
                          <w14:schemeClr w14:val="tx1"/>
                        </w14:solidFill>
                      </w14:textFill>
                    </w:rPr>
                  </w:pPr>
                  <w:r>
                    <w:rPr>
                      <w:rFonts w:hint="eastAsia" w:ascii="Times New Roman" w:cs="Times New Roman" w:eastAsiaTheme="minorEastAsia"/>
                      <w:b/>
                      <w:bCs w:val="0"/>
                      <w:color w:val="000000" w:themeColor="text1"/>
                      <w:sz w:val="21"/>
                      <w:szCs w:val="21"/>
                      <w14:textFill>
                        <w14:solidFill>
                          <w14:schemeClr w14:val="tx1"/>
                        </w14:solidFill>
                      </w14:textFill>
                    </w:rPr>
                    <w:t>标准来源</w:t>
                  </w:r>
                </w:p>
              </w:tc>
            </w:tr>
            <w:tr w14:paraId="36B9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5" w:type="dxa"/>
                  <w:vMerge w:val="restart"/>
                  <w:tcBorders>
                    <w:tl2br w:val="nil"/>
                    <w:tr2bl w:val="nil"/>
                  </w:tcBorders>
                  <w:vAlign w:val="center"/>
                </w:tcPr>
                <w:p w14:paraId="660E24DC">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eastAsiaTheme="minorEastAsia"/>
                      <w:b w:val="0"/>
                      <w:bCs/>
                      <w:color w:val="000000" w:themeColor="text1"/>
                      <w:sz w:val="21"/>
                      <w:szCs w:val="21"/>
                      <w14:textFill>
                        <w14:solidFill>
                          <w14:schemeClr w14:val="tx1"/>
                        </w14:solidFill>
                      </w14:textFill>
                    </w:rPr>
                    <w:t>非甲烷总烃</w:t>
                  </w:r>
                </w:p>
              </w:tc>
              <w:tc>
                <w:tcPr>
                  <w:tcW w:w="2086" w:type="dxa"/>
                  <w:tcBorders>
                    <w:tl2br w:val="nil"/>
                    <w:tr2bl w:val="nil"/>
                  </w:tcBorders>
                  <w:vAlign w:val="center"/>
                </w:tcPr>
                <w:p w14:paraId="65AD211F">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周界外浓度最高点</w:t>
                  </w:r>
                </w:p>
              </w:tc>
              <w:tc>
                <w:tcPr>
                  <w:tcW w:w="1590" w:type="dxa"/>
                  <w:tcBorders>
                    <w:tl2br w:val="nil"/>
                    <w:tr2bl w:val="nil"/>
                  </w:tcBorders>
                  <w:vAlign w:val="center"/>
                </w:tcPr>
                <w:p w14:paraId="011C13FA">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4.0</w:t>
                  </w:r>
                </w:p>
              </w:tc>
              <w:tc>
                <w:tcPr>
                  <w:tcW w:w="2938" w:type="dxa"/>
                  <w:tcBorders>
                    <w:tl2br w:val="nil"/>
                    <w:tr2bl w:val="nil"/>
                  </w:tcBorders>
                  <w:vAlign w:val="center"/>
                </w:tcPr>
                <w:p w14:paraId="3B9186DF">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《大气污染物综合排放标准》</w:t>
                  </w:r>
                  <w:r>
                    <w:rPr>
                      <w:rFonts w:hint="eastAsia"/>
                      <w:b w:val="0"/>
                      <w:bCs/>
                      <w:color w:val="0000FF"/>
                      <w:sz w:val="24"/>
                    </w:rPr>
                    <w:t>（GB16297-1996）</w:t>
                  </w:r>
                </w:p>
              </w:tc>
            </w:tr>
            <w:tr w14:paraId="741C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545" w:type="dxa"/>
                  <w:vMerge w:val="continue"/>
                  <w:tcBorders>
                    <w:tl2br w:val="nil"/>
                    <w:tr2bl w:val="nil"/>
                  </w:tcBorders>
                  <w:vAlign w:val="center"/>
                </w:tcPr>
                <w:p w14:paraId="793DF1D6">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00" w:themeColor="text1"/>
                      <w:sz w:val="21"/>
                      <w:szCs w:val="21"/>
                      <w14:textFill>
                        <w14:solidFill>
                          <w14:schemeClr w14:val="tx1"/>
                        </w14:solidFill>
                      </w14:textFill>
                    </w:rPr>
                  </w:pPr>
                </w:p>
              </w:tc>
              <w:tc>
                <w:tcPr>
                  <w:tcW w:w="2086" w:type="dxa"/>
                  <w:vMerge w:val="restart"/>
                  <w:tcBorders>
                    <w:tl2br w:val="nil"/>
                    <w:tr2bl w:val="nil"/>
                  </w:tcBorders>
                  <w:vAlign w:val="center"/>
                </w:tcPr>
                <w:p w14:paraId="068017FB">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eastAsia"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lang w:val="en-US" w:eastAsia="zh-CN"/>
                    </w:rPr>
                    <w:t>在</w:t>
                  </w:r>
                  <w:r>
                    <w:rPr>
                      <w:rFonts w:hint="eastAsia" w:ascii="Times New Roman" w:cs="Times New Roman" w:eastAsiaTheme="minorEastAsia"/>
                      <w:b w:val="0"/>
                      <w:bCs/>
                      <w:color w:val="0000FF"/>
                      <w:sz w:val="21"/>
                      <w:szCs w:val="21"/>
                    </w:rPr>
                    <w:t>厂房外</w:t>
                  </w:r>
                  <w:r>
                    <w:rPr>
                      <w:rFonts w:hint="eastAsia" w:ascii="Times New Roman" w:cs="Times New Roman" w:eastAsiaTheme="minorEastAsia"/>
                      <w:b w:val="0"/>
                      <w:bCs/>
                      <w:color w:val="0000FF"/>
                      <w:sz w:val="21"/>
                      <w:szCs w:val="21"/>
                      <w:lang w:val="en-US" w:eastAsia="zh-CN"/>
                    </w:rPr>
                    <w:t>设置</w:t>
                  </w:r>
                  <w:r>
                    <w:rPr>
                      <w:rFonts w:hint="eastAsia" w:ascii="Times New Roman" w:cs="Times New Roman" w:eastAsiaTheme="minorEastAsia"/>
                      <w:b w:val="0"/>
                      <w:bCs/>
                      <w:color w:val="0000FF"/>
                      <w:sz w:val="21"/>
                      <w:szCs w:val="21"/>
                    </w:rPr>
                    <w:t>监控点</w:t>
                  </w:r>
                </w:p>
              </w:tc>
              <w:tc>
                <w:tcPr>
                  <w:tcW w:w="1590" w:type="dxa"/>
                  <w:tcBorders>
                    <w:tl2br w:val="nil"/>
                    <w:tr2bl w:val="nil"/>
                  </w:tcBorders>
                  <w:vAlign w:val="center"/>
                </w:tcPr>
                <w:p w14:paraId="3C99EA29">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eastAsia"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10</w:t>
                  </w:r>
                </w:p>
              </w:tc>
              <w:tc>
                <w:tcPr>
                  <w:tcW w:w="2938" w:type="dxa"/>
                  <w:vMerge w:val="restart"/>
                  <w:tcBorders>
                    <w:tl2br w:val="nil"/>
                    <w:tr2bl w:val="nil"/>
                  </w:tcBorders>
                  <w:vAlign w:val="center"/>
                </w:tcPr>
                <w:p w14:paraId="4F2A0031">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eastAsia"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《挥发性有机物无组织排放控制标准》</w:t>
                  </w:r>
                  <w:r>
                    <w:rPr>
                      <w:rFonts w:hint="eastAsia" w:ascii="Times New Roman" w:cs="Times New Roman" w:eastAsiaTheme="minorEastAsia"/>
                      <w:b w:val="0"/>
                      <w:bCs/>
                      <w:color w:val="0000FF"/>
                      <w:sz w:val="21"/>
                      <w:szCs w:val="21"/>
                      <w:lang w:eastAsia="zh-CN"/>
                    </w:rPr>
                    <w:t>（GB37822-2019）</w:t>
                  </w:r>
                </w:p>
              </w:tc>
            </w:tr>
            <w:tr w14:paraId="3EF1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545" w:type="dxa"/>
                  <w:vMerge w:val="continue"/>
                  <w:tcBorders>
                    <w:tl2br w:val="nil"/>
                    <w:tr2bl w:val="nil"/>
                  </w:tcBorders>
                  <w:vAlign w:val="center"/>
                </w:tcPr>
                <w:p w14:paraId="5B51725D">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00" w:themeColor="text1"/>
                      <w:sz w:val="21"/>
                      <w:szCs w:val="21"/>
                      <w14:textFill>
                        <w14:solidFill>
                          <w14:schemeClr w14:val="tx1"/>
                        </w14:solidFill>
                      </w14:textFill>
                    </w:rPr>
                  </w:pPr>
                </w:p>
              </w:tc>
              <w:tc>
                <w:tcPr>
                  <w:tcW w:w="2086" w:type="dxa"/>
                  <w:vMerge w:val="continue"/>
                  <w:tcBorders>
                    <w:tl2br w:val="nil"/>
                    <w:tr2bl w:val="nil"/>
                  </w:tcBorders>
                  <w:vAlign w:val="center"/>
                </w:tcPr>
                <w:p w14:paraId="0602754E">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00" w:themeColor="text1"/>
                      <w:sz w:val="21"/>
                      <w:szCs w:val="21"/>
                      <w14:textFill>
                        <w14:solidFill>
                          <w14:schemeClr w14:val="tx1"/>
                        </w14:solidFill>
                      </w14:textFill>
                    </w:rPr>
                  </w:pPr>
                </w:p>
              </w:tc>
              <w:tc>
                <w:tcPr>
                  <w:tcW w:w="1590" w:type="dxa"/>
                  <w:tcBorders>
                    <w:tl2br w:val="nil"/>
                    <w:tr2bl w:val="nil"/>
                  </w:tcBorders>
                  <w:vAlign w:val="center"/>
                </w:tcPr>
                <w:p w14:paraId="4C4ABC2D">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eastAsiaTheme="minorEastAsia"/>
                      <w:b w:val="0"/>
                      <w:bCs/>
                      <w:color w:val="0000FF"/>
                      <w:sz w:val="21"/>
                      <w:szCs w:val="21"/>
                    </w:rPr>
                    <w:t>30</w:t>
                  </w:r>
                </w:p>
              </w:tc>
              <w:tc>
                <w:tcPr>
                  <w:tcW w:w="2938" w:type="dxa"/>
                  <w:vMerge w:val="continue"/>
                  <w:tcBorders>
                    <w:tl2br w:val="nil"/>
                    <w:tr2bl w:val="nil"/>
                  </w:tcBorders>
                  <w:vAlign w:val="center"/>
                </w:tcPr>
                <w:p w14:paraId="18B51898">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00" w:themeColor="text1"/>
                      <w:sz w:val="21"/>
                      <w:szCs w:val="21"/>
                      <w14:textFill>
                        <w14:solidFill>
                          <w14:schemeClr w14:val="tx1"/>
                        </w14:solidFill>
                      </w14:textFill>
                    </w:rPr>
                  </w:pPr>
                </w:p>
              </w:tc>
            </w:tr>
            <w:tr w14:paraId="7C96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545" w:type="dxa"/>
                  <w:tcBorders>
                    <w:tl2br w:val="nil"/>
                    <w:tr2bl w:val="nil"/>
                  </w:tcBorders>
                  <w:vAlign w:val="center"/>
                </w:tcPr>
                <w:p w14:paraId="37FB45E4">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lang w:val="en-US" w:eastAsia="zh-CN"/>
                    </w:rPr>
                    <w:t>硫酸雾</w:t>
                  </w:r>
                </w:p>
              </w:tc>
              <w:tc>
                <w:tcPr>
                  <w:tcW w:w="2086" w:type="dxa"/>
                  <w:tcBorders>
                    <w:tl2br w:val="nil"/>
                    <w:tr2bl w:val="nil"/>
                  </w:tcBorders>
                  <w:vAlign w:val="center"/>
                </w:tcPr>
                <w:p w14:paraId="7EDB1370">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周界外浓度最高点</w:t>
                  </w:r>
                </w:p>
              </w:tc>
              <w:tc>
                <w:tcPr>
                  <w:tcW w:w="1590" w:type="dxa"/>
                  <w:tcBorders>
                    <w:tl2br w:val="nil"/>
                    <w:tr2bl w:val="nil"/>
                  </w:tcBorders>
                  <w:vAlign w:val="center"/>
                </w:tcPr>
                <w:p w14:paraId="1609984C">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default" w:ascii="Times New Roman" w:cs="Times New Roman" w:eastAsiaTheme="minorEastAsia"/>
                      <w:b w:val="0"/>
                      <w:bCs/>
                      <w:color w:val="0000FF"/>
                      <w:sz w:val="21"/>
                      <w:szCs w:val="21"/>
                      <w:lang w:val="en-US" w:eastAsia="zh-CN"/>
                    </w:rPr>
                  </w:pPr>
                  <w:r>
                    <w:rPr>
                      <w:rFonts w:hint="eastAsia" w:ascii="Times New Roman" w:cs="Times New Roman" w:eastAsiaTheme="minorEastAsia"/>
                      <w:b w:val="0"/>
                      <w:bCs/>
                      <w:color w:val="0000FF"/>
                      <w:sz w:val="21"/>
                      <w:szCs w:val="21"/>
                      <w:lang w:val="en-US" w:eastAsia="zh-CN"/>
                    </w:rPr>
                    <w:t>1.2</w:t>
                  </w:r>
                </w:p>
              </w:tc>
              <w:tc>
                <w:tcPr>
                  <w:tcW w:w="2938" w:type="dxa"/>
                  <w:tcBorders>
                    <w:tl2br w:val="nil"/>
                    <w:tr2bl w:val="nil"/>
                  </w:tcBorders>
                  <w:vAlign w:val="center"/>
                </w:tcPr>
                <w:p w14:paraId="62444FFB">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《大气污染物综合排放标准》</w:t>
                  </w:r>
                  <w:r>
                    <w:rPr>
                      <w:rFonts w:hint="eastAsia"/>
                      <w:b w:val="0"/>
                      <w:bCs/>
                      <w:color w:val="0000FF"/>
                      <w:sz w:val="24"/>
                    </w:rPr>
                    <w:t>（GB16297-1996）</w:t>
                  </w:r>
                </w:p>
              </w:tc>
            </w:tr>
            <w:tr w14:paraId="6C03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545" w:type="dxa"/>
                  <w:tcBorders>
                    <w:tl2br w:val="nil"/>
                    <w:tr2bl w:val="nil"/>
                  </w:tcBorders>
                  <w:vAlign w:val="center"/>
                </w:tcPr>
                <w:p w14:paraId="3EEBA749">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FF"/>
                      <w:sz w:val="21"/>
                      <w:szCs w:val="21"/>
                      <w:vertAlign w:val="subscript"/>
                    </w:rPr>
                  </w:pPr>
                  <w:r>
                    <w:rPr>
                      <w:rFonts w:hint="eastAsia" w:ascii="Times New Roman" w:cs="Times New Roman" w:eastAsiaTheme="minorEastAsia"/>
                      <w:b w:val="0"/>
                      <w:bCs/>
                      <w:color w:val="0000FF"/>
                      <w:sz w:val="21"/>
                      <w:szCs w:val="21"/>
                    </w:rPr>
                    <w:t>臭气浓度</w:t>
                  </w:r>
                </w:p>
              </w:tc>
              <w:tc>
                <w:tcPr>
                  <w:tcW w:w="2086" w:type="dxa"/>
                  <w:tcBorders>
                    <w:tl2br w:val="nil"/>
                    <w:tr2bl w:val="nil"/>
                  </w:tcBorders>
                  <w:vAlign w:val="center"/>
                </w:tcPr>
                <w:p w14:paraId="723C0571">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厂界点</w:t>
                  </w:r>
                </w:p>
              </w:tc>
              <w:tc>
                <w:tcPr>
                  <w:tcW w:w="1590" w:type="dxa"/>
                  <w:tcBorders>
                    <w:tl2br w:val="nil"/>
                    <w:tr2bl w:val="nil"/>
                  </w:tcBorders>
                  <w:vAlign w:val="center"/>
                </w:tcPr>
                <w:p w14:paraId="32C4C6C5">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20（无量纲）</w:t>
                  </w:r>
                </w:p>
              </w:tc>
              <w:tc>
                <w:tcPr>
                  <w:tcW w:w="2938" w:type="dxa"/>
                  <w:vMerge w:val="restart"/>
                  <w:tcBorders>
                    <w:tl2br w:val="nil"/>
                    <w:tr2bl w:val="nil"/>
                  </w:tcBorders>
                  <w:vAlign w:val="center"/>
                </w:tcPr>
                <w:p w14:paraId="03F1F9A7">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eastAsiaTheme="minorEastAsia"/>
                      <w:b w:val="0"/>
                      <w:bCs/>
                      <w:color w:val="0000FF"/>
                      <w:sz w:val="21"/>
                      <w:szCs w:val="21"/>
                    </w:rPr>
                    <w:t>《恶臭污染物排放标准》</w:t>
                  </w:r>
                  <w:r>
                    <w:rPr>
                      <w:rFonts w:hint="eastAsia"/>
                      <w:b w:val="0"/>
                      <w:bCs/>
                      <w:color w:val="0000FF"/>
                      <w:sz w:val="24"/>
                    </w:rPr>
                    <w:t>（GB14554-93）</w:t>
                  </w:r>
                </w:p>
              </w:tc>
            </w:tr>
            <w:tr w14:paraId="391D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5" w:type="dxa"/>
                  <w:tcBorders>
                    <w:tl2br w:val="nil"/>
                    <w:tr2bl w:val="nil"/>
                  </w:tcBorders>
                  <w:vAlign w:val="center"/>
                </w:tcPr>
                <w:p w14:paraId="254E3BD6">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eastAsia" w:ascii="Times New Roman" w:cs="Times New Roman" w:eastAsiaTheme="minorEastAsia"/>
                      <w:b w:val="0"/>
                      <w:bCs/>
                      <w:color w:val="0000FF"/>
                      <w:sz w:val="21"/>
                      <w:szCs w:val="21"/>
                      <w:lang w:val="en-US" w:eastAsia="zh-CN"/>
                    </w:rPr>
                  </w:pPr>
                  <w:r>
                    <w:rPr>
                      <w:rFonts w:hint="eastAsia" w:ascii="Times New Roman" w:cs="Times New Roman" w:eastAsiaTheme="minorEastAsia"/>
                      <w:b w:val="0"/>
                      <w:bCs/>
                      <w:color w:val="0000FF"/>
                      <w:sz w:val="21"/>
                      <w:szCs w:val="21"/>
                      <w:lang w:val="en-US" w:eastAsia="zh-CN"/>
                    </w:rPr>
                    <w:t>氨</w:t>
                  </w:r>
                </w:p>
              </w:tc>
              <w:tc>
                <w:tcPr>
                  <w:tcW w:w="2086" w:type="dxa"/>
                  <w:tcBorders>
                    <w:tl2br w:val="nil"/>
                    <w:tr2bl w:val="nil"/>
                  </w:tcBorders>
                  <w:vAlign w:val="center"/>
                </w:tcPr>
                <w:p w14:paraId="5C1ACABD">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eastAsia"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厂界点</w:t>
                  </w:r>
                </w:p>
              </w:tc>
              <w:tc>
                <w:tcPr>
                  <w:tcW w:w="1590" w:type="dxa"/>
                  <w:tcBorders>
                    <w:tl2br w:val="nil"/>
                    <w:tr2bl w:val="nil"/>
                  </w:tcBorders>
                  <w:vAlign w:val="center"/>
                </w:tcPr>
                <w:p w14:paraId="33588D19">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default" w:ascii="Times New Roman" w:cs="Times New Roman" w:eastAsiaTheme="minorEastAsia"/>
                      <w:b w:val="0"/>
                      <w:bCs/>
                      <w:color w:val="0000FF"/>
                      <w:sz w:val="21"/>
                      <w:szCs w:val="21"/>
                      <w:lang w:val="en-US" w:eastAsia="zh-CN"/>
                    </w:rPr>
                  </w:pPr>
                  <w:r>
                    <w:rPr>
                      <w:rFonts w:hint="eastAsia" w:ascii="Times New Roman" w:cs="Times New Roman" w:eastAsiaTheme="minorEastAsia"/>
                      <w:b w:val="0"/>
                      <w:bCs/>
                      <w:color w:val="0000FF"/>
                      <w:sz w:val="21"/>
                      <w:szCs w:val="21"/>
                      <w:lang w:val="en-US" w:eastAsia="zh-CN"/>
                    </w:rPr>
                    <w:t>1.5</w:t>
                  </w:r>
                </w:p>
              </w:tc>
              <w:tc>
                <w:tcPr>
                  <w:tcW w:w="2938" w:type="dxa"/>
                  <w:vMerge w:val="continue"/>
                  <w:tcBorders>
                    <w:tl2br w:val="nil"/>
                    <w:tr2bl w:val="nil"/>
                  </w:tcBorders>
                  <w:vAlign w:val="center"/>
                </w:tcPr>
                <w:p w14:paraId="0F376B76">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eastAsia" w:ascii="Times New Roman" w:cs="Times New Roman" w:eastAsiaTheme="minorEastAsia"/>
                      <w:b w:val="0"/>
                      <w:bCs/>
                      <w:color w:val="000000" w:themeColor="text1"/>
                      <w:sz w:val="21"/>
                      <w:szCs w:val="21"/>
                      <w14:textFill>
                        <w14:solidFill>
                          <w14:schemeClr w14:val="tx1"/>
                        </w14:solidFill>
                      </w14:textFill>
                    </w:rPr>
                  </w:pPr>
                </w:p>
              </w:tc>
            </w:tr>
            <w:tr w14:paraId="4E8C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5" w:type="dxa"/>
                  <w:tcBorders>
                    <w:tl2br w:val="nil"/>
                    <w:tr2bl w:val="nil"/>
                  </w:tcBorders>
                  <w:vAlign w:val="center"/>
                </w:tcPr>
                <w:p w14:paraId="4D32F6B0">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eastAsia" w:ascii="Times New Roman" w:cs="Times New Roman" w:eastAsiaTheme="minorEastAsia"/>
                      <w:b w:val="0"/>
                      <w:bCs/>
                      <w:color w:val="0000FF"/>
                      <w:sz w:val="21"/>
                      <w:szCs w:val="21"/>
                      <w:lang w:val="en-US" w:eastAsia="zh-CN"/>
                    </w:rPr>
                  </w:pPr>
                  <w:r>
                    <w:rPr>
                      <w:rFonts w:hint="eastAsia" w:ascii="Times New Roman" w:cs="Times New Roman" w:eastAsiaTheme="minorEastAsia"/>
                      <w:b w:val="0"/>
                      <w:bCs/>
                      <w:color w:val="0000FF"/>
                      <w:sz w:val="21"/>
                      <w:szCs w:val="21"/>
                      <w:lang w:val="en-US" w:eastAsia="zh-CN"/>
                    </w:rPr>
                    <w:t>硫化氢</w:t>
                  </w:r>
                </w:p>
              </w:tc>
              <w:tc>
                <w:tcPr>
                  <w:tcW w:w="2086" w:type="dxa"/>
                  <w:tcBorders>
                    <w:tl2br w:val="nil"/>
                    <w:tr2bl w:val="nil"/>
                  </w:tcBorders>
                  <w:vAlign w:val="center"/>
                </w:tcPr>
                <w:p w14:paraId="4EFB9D5E">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eastAsia" w:ascii="Times New Roman" w:cs="Times New Roman" w:eastAsiaTheme="minorEastAsia"/>
                      <w:b w:val="0"/>
                      <w:bCs/>
                      <w:color w:val="0000FF"/>
                      <w:sz w:val="21"/>
                      <w:szCs w:val="21"/>
                    </w:rPr>
                  </w:pPr>
                  <w:r>
                    <w:rPr>
                      <w:rFonts w:hint="eastAsia" w:ascii="Times New Roman" w:cs="Times New Roman" w:eastAsiaTheme="minorEastAsia"/>
                      <w:b w:val="0"/>
                      <w:bCs/>
                      <w:color w:val="0000FF"/>
                      <w:sz w:val="21"/>
                      <w:szCs w:val="21"/>
                    </w:rPr>
                    <w:t>厂界点</w:t>
                  </w:r>
                </w:p>
              </w:tc>
              <w:tc>
                <w:tcPr>
                  <w:tcW w:w="1590" w:type="dxa"/>
                  <w:tcBorders>
                    <w:tl2br w:val="nil"/>
                    <w:tr2bl w:val="nil"/>
                  </w:tcBorders>
                  <w:vAlign w:val="center"/>
                </w:tcPr>
                <w:p w14:paraId="5C5E3BDC">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default" w:ascii="Times New Roman" w:cs="Times New Roman" w:eastAsiaTheme="minorEastAsia"/>
                      <w:b w:val="0"/>
                      <w:bCs/>
                      <w:color w:val="0000FF"/>
                      <w:sz w:val="21"/>
                      <w:szCs w:val="21"/>
                      <w:lang w:val="en-US" w:eastAsia="zh-CN"/>
                    </w:rPr>
                  </w:pPr>
                  <w:r>
                    <w:rPr>
                      <w:rFonts w:hint="eastAsia" w:ascii="Times New Roman" w:cs="Times New Roman" w:eastAsiaTheme="minorEastAsia"/>
                      <w:b w:val="0"/>
                      <w:bCs/>
                      <w:color w:val="0000FF"/>
                      <w:sz w:val="21"/>
                      <w:szCs w:val="21"/>
                      <w:lang w:val="en-US" w:eastAsia="zh-CN"/>
                    </w:rPr>
                    <w:t>0.06</w:t>
                  </w:r>
                </w:p>
              </w:tc>
              <w:tc>
                <w:tcPr>
                  <w:tcW w:w="2938" w:type="dxa"/>
                  <w:vMerge w:val="continue"/>
                  <w:tcBorders>
                    <w:tl2br w:val="nil"/>
                    <w:tr2bl w:val="nil"/>
                  </w:tcBorders>
                  <w:vAlign w:val="center"/>
                </w:tcPr>
                <w:p w14:paraId="6B689D60">
                  <w:pPr>
                    <w:pStyle w:val="38"/>
                    <w:keepNext w:val="0"/>
                    <w:keepLines w:val="0"/>
                    <w:pageBreakBefore w:val="0"/>
                    <w:widowControl w:val="0"/>
                    <w:kinsoku/>
                    <w:wordWrap/>
                    <w:overflowPunct/>
                    <w:topLinePunct w:val="0"/>
                    <w:bidi w:val="0"/>
                    <w:adjustRightInd/>
                    <w:snapToGrid/>
                    <w:spacing w:beforeLines="0" w:afterLines="0" w:line="240" w:lineRule="auto"/>
                    <w:jc w:val="center"/>
                    <w:textAlignment w:val="auto"/>
                    <w:rPr>
                      <w:rFonts w:hint="eastAsia" w:ascii="Times New Roman" w:cs="Times New Roman" w:eastAsiaTheme="minorEastAsia"/>
                      <w:b w:val="0"/>
                      <w:bCs/>
                      <w:color w:val="000000" w:themeColor="text1"/>
                      <w:sz w:val="21"/>
                      <w:szCs w:val="21"/>
                      <w14:textFill>
                        <w14:solidFill>
                          <w14:schemeClr w14:val="tx1"/>
                        </w14:solidFill>
                      </w14:textFill>
                    </w:rPr>
                  </w:pPr>
                </w:p>
              </w:tc>
            </w:tr>
          </w:tbl>
          <w:p w14:paraId="47173744">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3.3.2</w:t>
            </w:r>
            <w:r>
              <w:rPr>
                <w:rFonts w:hint="eastAsia"/>
                <w:b/>
                <w:bCs/>
                <w:color w:val="000000" w:themeColor="text1"/>
                <w:sz w:val="24"/>
                <w14:textFill>
                  <w14:solidFill>
                    <w14:schemeClr w14:val="tx1"/>
                  </w14:solidFill>
                </w14:textFill>
              </w:rPr>
              <w:t>废水排放标准</w:t>
            </w:r>
          </w:p>
          <w:p w14:paraId="55C3651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（1）施工期</w:t>
            </w:r>
          </w:p>
          <w:p w14:paraId="462CE8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项目施工期不设施工营地，</w:t>
            </w:r>
            <w:r>
              <w:rPr>
                <w:rFonts w:hint="eastAsia"/>
                <w:color w:val="000000" w:themeColor="text1"/>
                <w:kern w:val="21"/>
                <w:sz w:val="24"/>
                <w:lang w:val="en-US" w:eastAsia="zh-CN"/>
                <w14:textFill>
                  <w14:solidFill>
                    <w14:schemeClr w14:val="tx1"/>
                  </w14:solidFill>
                </w14:textFill>
              </w:rPr>
              <w:t>施工人员生活污水依托</w:t>
            </w:r>
            <w:r>
              <w:rPr>
                <w:rFonts w:hint="eastAsia"/>
                <w:color w:val="000000" w:themeColor="text1"/>
                <w:sz w:val="24"/>
                <w:lang w:val="en-US" w:eastAsia="zh-CN"/>
                <w14:textFill>
                  <w14:solidFill>
                    <w14:schemeClr w14:val="tx1"/>
                  </w14:solidFill>
                </w14:textFill>
              </w:rPr>
              <w:t>曲靖市东五六供应链管理有限公司</w:t>
            </w:r>
            <w:r>
              <w:rPr>
                <w:rFonts w:hint="eastAsia"/>
                <w:color w:val="000000" w:themeColor="text1"/>
                <w:kern w:val="21"/>
                <w:sz w:val="24"/>
                <w:lang w:val="en-US" w:eastAsia="zh-CN"/>
                <w14:textFill>
                  <w14:solidFill>
                    <w14:schemeClr w14:val="tx1"/>
                  </w14:solidFill>
                </w14:textFill>
              </w:rPr>
              <w:t>已建1个化粪池（容积：10m</w:t>
            </w:r>
            <w:r>
              <w:rPr>
                <w:rFonts w:hint="eastAsia"/>
                <w:color w:val="000000" w:themeColor="text1"/>
                <w:kern w:val="21"/>
                <w:sz w:val="24"/>
                <w:vertAlign w:val="superscript"/>
                <w:lang w:val="en-US" w:eastAsia="zh-CN"/>
                <w14:textFill>
                  <w14:solidFill>
                    <w14:schemeClr w14:val="tx1"/>
                  </w14:solidFill>
                </w14:textFill>
              </w:rPr>
              <w:t>3</w:t>
            </w:r>
            <w:r>
              <w:rPr>
                <w:rFonts w:hint="eastAsia"/>
                <w:color w:val="000000" w:themeColor="text1"/>
                <w:kern w:val="21"/>
                <w:sz w:val="24"/>
                <w:lang w:val="en-US" w:eastAsia="zh-CN"/>
                <w14:textFill>
                  <w14:solidFill>
                    <w14:schemeClr w14:val="tx1"/>
                  </w14:solidFill>
                </w14:textFill>
              </w:rPr>
              <w:t>）收集</w:t>
            </w:r>
            <w:r>
              <w:rPr>
                <w:rFonts w:hint="eastAsia" w:ascii="Times New Roman" w:hAnsi="Times New Roman" w:cs="Times New Roman"/>
                <w:color w:val="000000" w:themeColor="text1"/>
                <w:sz w:val="24"/>
                <w:vertAlign w:val="baseline"/>
                <w:lang w:val="en-US" w:eastAsia="zh-CN"/>
                <w14:textFill>
                  <w14:solidFill>
                    <w14:schemeClr w14:val="tx1"/>
                  </w14:solidFill>
                </w14:textFill>
              </w:rPr>
              <w:t>后委托</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麒麟区</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环卫部门</w:t>
            </w:r>
            <w:r>
              <w:rPr>
                <w:rFonts w:hint="eastAsia" w:ascii="Times New Roman" w:hAnsi="Times New Roman" w:cs="Times New Roman"/>
                <w:color w:val="000000" w:themeColor="text1"/>
                <w:sz w:val="24"/>
                <w:vertAlign w:val="baseline"/>
                <w:lang w:val="en-US" w:eastAsia="zh-CN"/>
                <w14:textFill>
                  <w14:solidFill>
                    <w14:schemeClr w14:val="tx1"/>
                  </w14:solidFill>
                </w14:textFill>
              </w:rPr>
              <w:t>清掏处理</w:t>
            </w:r>
            <w:r>
              <w:rPr>
                <w:rFonts w:hint="eastAsia"/>
                <w:color w:val="000000" w:themeColor="text1"/>
                <w:kern w:val="21"/>
                <w:sz w:val="24"/>
                <w:lang w:val="en-US" w:eastAsia="zh-CN"/>
                <w14:textFill>
                  <w14:solidFill>
                    <w14:schemeClr w14:val="tx1"/>
                  </w14:solidFill>
                </w14:textFill>
              </w:rPr>
              <w:t>，不外排</w:t>
            </w:r>
            <w:r>
              <w:rPr>
                <w:rFonts w:hint="eastAsia"/>
                <w:color w:val="000000" w:themeColor="text1"/>
                <w:sz w:val="24"/>
                <w14:textFill>
                  <w14:solidFill>
                    <w14:schemeClr w14:val="tx1"/>
                  </w14:solidFill>
                </w14:textFill>
              </w:rPr>
              <w:t>。故项目施工期不设废水排放标准。</w:t>
            </w:r>
          </w:p>
          <w:p w14:paraId="41640F3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（2）运营期</w:t>
            </w:r>
          </w:p>
          <w:p w14:paraId="36490A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运营期无生产废水，劳动人员生活污水</w:t>
            </w:r>
            <w:r>
              <w:rPr>
                <w:rFonts w:hint="eastAsia"/>
                <w:color w:val="000000" w:themeColor="text1"/>
                <w:kern w:val="21"/>
                <w:sz w:val="24"/>
                <w:lang w:val="en-US" w:eastAsia="zh-CN"/>
                <w14:textFill>
                  <w14:solidFill>
                    <w14:schemeClr w14:val="tx1"/>
                  </w14:solidFill>
                </w14:textFill>
              </w:rPr>
              <w:t>依托</w:t>
            </w:r>
            <w:r>
              <w:rPr>
                <w:rFonts w:hint="eastAsia"/>
                <w:color w:val="000000" w:themeColor="text1"/>
                <w:sz w:val="24"/>
                <w:lang w:val="en-US" w:eastAsia="zh-CN"/>
                <w14:textFill>
                  <w14:solidFill>
                    <w14:schemeClr w14:val="tx1"/>
                  </w14:solidFill>
                </w14:textFill>
              </w:rPr>
              <w:t>曲靖市东五六供应链管理有限公司</w:t>
            </w:r>
            <w:r>
              <w:rPr>
                <w:rFonts w:hint="eastAsia"/>
                <w:color w:val="000000" w:themeColor="text1"/>
                <w:kern w:val="21"/>
                <w:sz w:val="24"/>
                <w:lang w:val="en-US" w:eastAsia="zh-CN"/>
                <w14:textFill>
                  <w14:solidFill>
                    <w14:schemeClr w14:val="tx1"/>
                  </w14:solidFill>
                </w14:textFill>
              </w:rPr>
              <w:t>已建1个化粪池（容积：10m</w:t>
            </w:r>
            <w:r>
              <w:rPr>
                <w:rFonts w:hint="eastAsia"/>
                <w:color w:val="000000" w:themeColor="text1"/>
                <w:kern w:val="21"/>
                <w:sz w:val="24"/>
                <w:vertAlign w:val="superscript"/>
                <w:lang w:val="en-US" w:eastAsia="zh-CN"/>
                <w14:textFill>
                  <w14:solidFill>
                    <w14:schemeClr w14:val="tx1"/>
                  </w14:solidFill>
                </w14:textFill>
              </w:rPr>
              <w:t>3</w:t>
            </w:r>
            <w:r>
              <w:rPr>
                <w:rFonts w:hint="eastAsia"/>
                <w:color w:val="000000" w:themeColor="text1"/>
                <w:kern w:val="21"/>
                <w:sz w:val="24"/>
                <w:lang w:val="en-US" w:eastAsia="zh-CN"/>
                <w14:textFill>
                  <w14:solidFill>
                    <w14:schemeClr w14:val="tx1"/>
                  </w14:solidFill>
                </w14:textFill>
              </w:rPr>
              <w:t>）收集</w:t>
            </w:r>
            <w:r>
              <w:rPr>
                <w:rFonts w:hint="eastAsia" w:ascii="Times New Roman" w:hAnsi="Times New Roman" w:cs="Times New Roman"/>
                <w:color w:val="000000" w:themeColor="text1"/>
                <w:sz w:val="24"/>
                <w:vertAlign w:val="baseline"/>
                <w:lang w:val="en-US" w:eastAsia="zh-CN"/>
                <w14:textFill>
                  <w14:solidFill>
                    <w14:schemeClr w14:val="tx1"/>
                  </w14:solidFill>
                </w14:textFill>
              </w:rPr>
              <w:t>后委托</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麒麟区</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环卫部门</w:t>
            </w:r>
            <w:r>
              <w:rPr>
                <w:rFonts w:hint="eastAsia" w:ascii="Times New Roman" w:hAnsi="Times New Roman" w:cs="Times New Roman"/>
                <w:color w:val="000000" w:themeColor="text1"/>
                <w:sz w:val="24"/>
                <w:vertAlign w:val="baseline"/>
                <w:lang w:val="en-US" w:eastAsia="zh-CN"/>
                <w14:textFill>
                  <w14:solidFill>
                    <w14:schemeClr w14:val="tx1"/>
                  </w14:solidFill>
                </w14:textFill>
              </w:rPr>
              <w:t>清掏处理</w:t>
            </w:r>
            <w:r>
              <w:rPr>
                <w:rFonts w:hint="eastAsia"/>
                <w:color w:val="000000" w:themeColor="text1"/>
                <w:kern w:val="21"/>
                <w:sz w:val="24"/>
                <w:lang w:val="en-US" w:eastAsia="zh-CN"/>
                <w14:textFill>
                  <w14:solidFill>
                    <w14:schemeClr w14:val="tx1"/>
                  </w14:solidFill>
                </w14:textFill>
              </w:rPr>
              <w:t>，不外排；</w:t>
            </w:r>
            <w:r>
              <w:rPr>
                <w:rFonts w:hint="eastAsia" w:ascii="Times New Roman" w:hAnsi="Times New Roman" w:cs="Times New Roman"/>
                <w:b w:val="0"/>
                <w:bCs w:val="0"/>
                <w:color w:val="00B050"/>
                <w:kern w:val="2"/>
                <w:sz w:val="24"/>
                <w:szCs w:val="24"/>
                <w:vertAlign w:val="baseline"/>
                <w:lang w:val="en-US" w:eastAsia="zh-CN" w:bidi="ar-SA"/>
              </w:rPr>
              <w:t>项目产生</w:t>
            </w:r>
            <w:r>
              <w:rPr>
                <w:rFonts w:hint="eastAsia" w:cs="Times New Roman"/>
                <w:b w:val="0"/>
                <w:bCs w:val="0"/>
                <w:color w:val="00B050"/>
                <w:kern w:val="2"/>
                <w:sz w:val="24"/>
                <w:szCs w:val="24"/>
                <w:lang w:val="en-US" w:eastAsia="zh-CN" w:bidi="ar-SA"/>
              </w:rPr>
              <w:t>碱洗废水经0.5m</w:t>
            </w:r>
            <w:r>
              <w:rPr>
                <w:rFonts w:hint="eastAsia" w:cs="Times New Roman"/>
                <w:b w:val="0"/>
                <w:bCs w:val="0"/>
                <w:color w:val="00B050"/>
                <w:kern w:val="2"/>
                <w:sz w:val="24"/>
                <w:szCs w:val="24"/>
                <w:vertAlign w:val="superscript"/>
                <w:lang w:val="en-US" w:eastAsia="zh-CN" w:bidi="ar-SA"/>
              </w:rPr>
              <w:t>3</w:t>
            </w:r>
            <w:r>
              <w:rPr>
                <w:rFonts w:hint="eastAsia" w:cs="Times New Roman"/>
                <w:b w:val="0"/>
                <w:bCs w:val="0"/>
                <w:color w:val="00B050"/>
                <w:kern w:val="2"/>
                <w:sz w:val="24"/>
                <w:szCs w:val="24"/>
                <w:vertAlign w:val="baseline"/>
                <w:lang w:val="en-US" w:eastAsia="zh-CN" w:bidi="ar-SA"/>
              </w:rPr>
              <w:t>收集桶收集后委托</w:t>
            </w:r>
            <w:r>
              <w:rPr>
                <w:rFonts w:hint="eastAsia" w:cs="Times New Roman"/>
                <w:b w:val="0"/>
                <w:bCs w:val="0"/>
                <w:color w:val="00B050"/>
                <w:kern w:val="2"/>
                <w:sz w:val="24"/>
                <w:szCs w:val="24"/>
                <w:lang w:val="en-US" w:eastAsia="zh-CN" w:bidi="ar-SA"/>
              </w:rPr>
              <w:t>碱洗废水处置单位进行清运处置</w:t>
            </w:r>
            <w:r>
              <w:rPr>
                <w:rFonts w:hint="eastAsia"/>
                <w:color w:val="000000" w:themeColor="text1"/>
                <w:sz w:val="24"/>
                <w14:textFill>
                  <w14:solidFill>
                    <w14:schemeClr w14:val="tx1"/>
                  </w14:solidFill>
                </w14:textFill>
              </w:rPr>
              <w:t>。故项目运营期不设废水排放标准。</w:t>
            </w:r>
          </w:p>
          <w:p w14:paraId="04E18397">
            <w:pPr>
              <w:keepNext w:val="0"/>
              <w:keepLines w:val="0"/>
              <w:pageBreakBefore w:val="0"/>
              <w:widowControl w:val="0"/>
              <w:tabs>
                <w:tab w:val="left" w:pos="3094"/>
              </w:tabs>
              <w:kinsoku/>
              <w:wordWrap/>
              <w:overflowPunct/>
              <w:topLinePunct w:val="0"/>
              <w:autoSpaceDE/>
              <w:autoSpaceDN/>
              <w:bidi w:val="0"/>
              <w:adjustRightInd/>
              <w:snapToGrid/>
              <w:spacing w:line="360" w:lineRule="auto"/>
              <w:textAlignment w:val="auto"/>
              <w:rPr>
                <w:rFonts w:hint="eastAsia" w:eastAsia="宋体"/>
                <w:b/>
                <w:color w:val="000000" w:themeColor="text1"/>
                <w:sz w:val="24"/>
                <w:szCs w:val="28"/>
                <w:lang w:eastAsia="zh-CN"/>
                <w14:textFill>
                  <w14:solidFill>
                    <w14:schemeClr w14:val="tx1"/>
                  </w14:solidFill>
                </w14:textFill>
              </w:rPr>
            </w:pPr>
            <w:r>
              <w:rPr>
                <w:rFonts w:hint="eastAsia"/>
                <w:b/>
                <w:color w:val="000000" w:themeColor="text1"/>
                <w:sz w:val="24"/>
                <w:szCs w:val="28"/>
                <w:lang w:val="en-US" w:eastAsia="zh-CN"/>
                <w14:textFill>
                  <w14:solidFill>
                    <w14:schemeClr w14:val="tx1"/>
                  </w14:solidFill>
                </w14:textFill>
              </w:rPr>
              <w:t>3.3.3</w:t>
            </w:r>
            <w:r>
              <w:rPr>
                <w:rFonts w:hint="eastAsia"/>
                <w:b/>
                <w:color w:val="000000" w:themeColor="text1"/>
                <w:sz w:val="24"/>
                <w:szCs w:val="28"/>
                <w14:textFill>
                  <w14:solidFill>
                    <w14:schemeClr w14:val="tx1"/>
                  </w14:solidFill>
                </w14:textFill>
              </w:rPr>
              <w:t>噪声排放标准</w:t>
            </w:r>
          </w:p>
          <w:p w14:paraId="3360C747">
            <w:pPr>
              <w:spacing w:line="360" w:lineRule="auto"/>
              <w:ind w:firstLine="482" w:firstLineChars="200"/>
              <w:rPr>
                <w:rFonts w:hint="default"/>
                <w:b/>
                <w:bCs w:val="0"/>
                <w:color w:val="000000" w:themeColor="text1"/>
                <w:sz w:val="24"/>
                <w:lang w:val="en-US" w:eastAsia="zh-CN"/>
                <w14:textFill>
                  <w14:solidFill>
                    <w14:schemeClr w14:val="tx1"/>
                  </w14:solidFill>
                </w14:textFill>
              </w:rPr>
            </w:pPr>
            <w:r>
              <w:rPr>
                <w:rFonts w:hint="eastAsia"/>
                <w:b/>
                <w:bCs w:val="0"/>
                <w:color w:val="000000" w:themeColor="text1"/>
                <w:sz w:val="24"/>
                <w:lang w:eastAsia="zh-CN"/>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1</w:t>
            </w:r>
            <w:r>
              <w:rPr>
                <w:rFonts w:hint="eastAsia"/>
                <w:b/>
                <w:bCs w:val="0"/>
                <w:color w:val="000000" w:themeColor="text1"/>
                <w:sz w:val="24"/>
                <w:lang w:eastAsia="zh-CN"/>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施工期</w:t>
            </w:r>
          </w:p>
          <w:p w14:paraId="18FCFFA7">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施工期噪声执行《建筑施工场界环境噪声排放标准》（GB12523-2011）。标准值见表</w:t>
            </w:r>
            <w:r>
              <w:rPr>
                <w:rFonts w:hint="eastAsia"/>
                <w:bCs/>
                <w:color w:val="000000" w:themeColor="text1"/>
                <w:sz w:val="24"/>
                <w14:textFill>
                  <w14:solidFill>
                    <w14:schemeClr w14:val="tx1"/>
                  </w14:solidFill>
                </w14:textFill>
              </w:rPr>
              <w:t>3</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4所示</w:t>
            </w:r>
            <w:r>
              <w:rPr>
                <w:bCs/>
                <w:color w:val="000000" w:themeColor="text1"/>
                <w:sz w:val="24"/>
                <w14:textFill>
                  <w14:solidFill>
                    <w14:schemeClr w14:val="tx1"/>
                  </w14:solidFill>
                </w14:textFill>
              </w:rPr>
              <w:t>。</w:t>
            </w:r>
          </w:p>
          <w:p w14:paraId="73CA8031">
            <w:pPr>
              <w:widowControl w:val="0"/>
              <w:snapToGrid/>
              <w:spacing w:before="0" w:after="0" w:line="240" w:lineRule="auto"/>
              <w:ind w:right="0"/>
              <w:jc w:val="cente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t>表3.3-4  建筑施工场界环境噪声排放标准  单位：dB(A)</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74"/>
              <w:gridCol w:w="3819"/>
            </w:tblGrid>
            <w:tr w14:paraId="1C14C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443" w:type="dxa"/>
                  <w:tcBorders>
                    <w:top w:val="single" w:color="000000" w:sz="4" w:space="0"/>
                    <w:left w:val="single" w:color="000000" w:sz="4" w:space="0"/>
                    <w:bottom w:val="single" w:color="000000" w:sz="4" w:space="0"/>
                    <w:right w:val="single" w:color="000000" w:sz="4" w:space="0"/>
                  </w:tcBorders>
                  <w:noWrap/>
                  <w:vAlign w:val="center"/>
                </w:tcPr>
                <w:p w14:paraId="7CABF830">
                  <w:pPr>
                    <w:spacing w:line="240" w:lineRule="auto"/>
                    <w:ind w:firstLine="0" w:firstLineChars="0"/>
                    <w:jc w:val="center"/>
                    <w:rPr>
                      <w:b/>
                      <w:bCs w:val="0"/>
                      <w:color w:val="000000" w:themeColor="text1"/>
                      <w:sz w:val="21"/>
                      <w14:textFill>
                        <w14:solidFill>
                          <w14:schemeClr w14:val="tx1"/>
                        </w14:solidFill>
                      </w14:textFill>
                    </w:rPr>
                  </w:pPr>
                  <w:r>
                    <w:rPr>
                      <w:b/>
                      <w:bCs w:val="0"/>
                      <w:color w:val="000000" w:themeColor="text1"/>
                      <w:sz w:val="21"/>
                      <w14:textFill>
                        <w14:solidFill>
                          <w14:schemeClr w14:val="tx1"/>
                        </w14:solidFill>
                      </w14:textFill>
                    </w:rPr>
                    <w:t>昼间</w:t>
                  </w:r>
                </w:p>
              </w:tc>
              <w:tc>
                <w:tcPr>
                  <w:tcW w:w="3819" w:type="dxa"/>
                  <w:tcBorders>
                    <w:top w:val="single" w:color="000000" w:sz="4" w:space="0"/>
                    <w:left w:val="single" w:color="000000" w:sz="4" w:space="0"/>
                    <w:bottom w:val="single" w:color="000000" w:sz="4" w:space="0"/>
                    <w:right w:val="single" w:color="000000" w:sz="4" w:space="0"/>
                  </w:tcBorders>
                  <w:noWrap/>
                  <w:vAlign w:val="center"/>
                </w:tcPr>
                <w:p w14:paraId="7A299EE5">
                  <w:pPr>
                    <w:spacing w:line="240" w:lineRule="auto"/>
                    <w:ind w:firstLine="0" w:firstLineChars="0"/>
                    <w:jc w:val="center"/>
                    <w:rPr>
                      <w:b/>
                      <w:bCs w:val="0"/>
                      <w:color w:val="000000" w:themeColor="text1"/>
                      <w:sz w:val="21"/>
                      <w14:textFill>
                        <w14:solidFill>
                          <w14:schemeClr w14:val="tx1"/>
                        </w14:solidFill>
                      </w14:textFill>
                    </w:rPr>
                  </w:pPr>
                  <w:r>
                    <w:rPr>
                      <w:b/>
                      <w:bCs w:val="0"/>
                      <w:color w:val="000000" w:themeColor="text1"/>
                      <w:sz w:val="21"/>
                      <w14:textFill>
                        <w14:solidFill>
                          <w14:schemeClr w14:val="tx1"/>
                        </w14:solidFill>
                      </w14:textFill>
                    </w:rPr>
                    <w:t>夜间</w:t>
                  </w:r>
                </w:p>
              </w:tc>
            </w:tr>
            <w:tr w14:paraId="68FBD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 w:hRule="atLeast"/>
                <w:jc w:val="center"/>
              </w:trPr>
              <w:tc>
                <w:tcPr>
                  <w:tcW w:w="4474" w:type="dxa"/>
                  <w:tcBorders>
                    <w:top w:val="single" w:color="000000" w:sz="4" w:space="0"/>
                    <w:left w:val="single" w:color="000000" w:sz="4" w:space="0"/>
                    <w:bottom w:val="single" w:color="000000" w:sz="4" w:space="0"/>
                    <w:right w:val="single" w:color="000000" w:sz="4" w:space="0"/>
                  </w:tcBorders>
                  <w:noWrap/>
                  <w:vAlign w:val="center"/>
                </w:tcPr>
                <w:p w14:paraId="523EEF63">
                  <w:pPr>
                    <w:spacing w:line="240" w:lineRule="auto"/>
                    <w:ind w:firstLine="0" w:firstLineChars="0"/>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70</w:t>
                  </w:r>
                </w:p>
              </w:tc>
              <w:tc>
                <w:tcPr>
                  <w:tcW w:w="3819" w:type="dxa"/>
                  <w:tcBorders>
                    <w:top w:val="single" w:color="000000" w:sz="4" w:space="0"/>
                    <w:left w:val="single" w:color="000000" w:sz="4" w:space="0"/>
                    <w:bottom w:val="single" w:color="000000" w:sz="4" w:space="0"/>
                    <w:right w:val="single" w:color="000000" w:sz="4" w:space="0"/>
                  </w:tcBorders>
                  <w:noWrap/>
                  <w:vAlign w:val="center"/>
                </w:tcPr>
                <w:p w14:paraId="3AD05D2E">
                  <w:pPr>
                    <w:spacing w:line="240" w:lineRule="auto"/>
                    <w:ind w:firstLine="0" w:firstLineChars="0"/>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55</w:t>
                  </w:r>
                </w:p>
              </w:tc>
            </w:tr>
          </w:tbl>
          <w:p w14:paraId="1EC9E84D">
            <w:pPr>
              <w:keepNext w:val="0"/>
              <w:keepLines w:val="0"/>
              <w:pageBreakBefore w:val="0"/>
              <w:widowControl w:val="0"/>
              <w:tabs>
                <w:tab w:val="left" w:pos="3094"/>
              </w:tabs>
              <w:kinsoku/>
              <w:wordWrap/>
              <w:overflowPunct/>
              <w:topLinePunct w:val="0"/>
              <w:autoSpaceDE/>
              <w:autoSpaceDN/>
              <w:bidi w:val="0"/>
              <w:adjustRightInd/>
              <w:snapToGrid/>
              <w:spacing w:line="360" w:lineRule="auto"/>
              <w:ind w:firstLine="482" w:firstLineChars="200"/>
              <w:jc w:val="both"/>
              <w:textAlignment w:val="auto"/>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（2）运营期</w:t>
            </w:r>
          </w:p>
          <w:p w14:paraId="0F2D6C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
                <w:color w:val="000000" w:themeColor="text1"/>
                <w:kern w:val="0"/>
                <w:sz w:val="21"/>
                <w:szCs w:val="21"/>
                <w14:textFill>
                  <w14:solidFill>
                    <w14:schemeClr w14:val="tx1"/>
                  </w14:solidFill>
                </w14:textFill>
              </w:rPr>
            </w:pPr>
            <w:r>
              <w:rPr>
                <w:rFonts w:hint="eastAsia"/>
                <w:color w:val="000000" w:themeColor="text1"/>
                <w:kern w:val="0"/>
                <w:sz w:val="24"/>
                <w14:textFill>
                  <w14:solidFill>
                    <w14:schemeClr w14:val="tx1"/>
                  </w14:solidFill>
                </w14:textFill>
              </w:rPr>
              <w:t>项目</w:t>
            </w:r>
            <w:r>
              <w:rPr>
                <w:rFonts w:hint="eastAsia"/>
                <w:color w:val="000000" w:themeColor="text1"/>
                <w:kern w:val="0"/>
                <w:sz w:val="24"/>
                <w:lang w:val="en-US" w:eastAsia="zh-CN"/>
                <w14:textFill>
                  <w14:solidFill>
                    <w14:schemeClr w14:val="tx1"/>
                  </w14:solidFill>
                </w14:textFill>
              </w:rPr>
              <w:t>区声环境功能区划为2类，故项目运营期厂</w:t>
            </w:r>
            <w:r>
              <w:rPr>
                <w:rFonts w:hint="eastAsia"/>
                <w:color w:val="000000" w:themeColor="text1"/>
                <w:kern w:val="0"/>
                <w:sz w:val="24"/>
                <w14:textFill>
                  <w14:solidFill>
                    <w14:schemeClr w14:val="tx1"/>
                  </w14:solidFill>
                </w14:textFill>
              </w:rPr>
              <w:t>界噪声排放执行《工业企业厂界环境噪声排放标准》（GB12348-2008）中的</w:t>
            </w:r>
            <w:r>
              <w:rPr>
                <w:rFonts w:hint="eastAsia"/>
                <w:color w:val="000000" w:themeColor="text1"/>
                <w:kern w:val="0"/>
                <w:sz w:val="24"/>
                <w:lang w:val="en-US" w:eastAsia="zh-CN"/>
                <w14:textFill>
                  <w14:solidFill>
                    <w14:schemeClr w14:val="tx1"/>
                  </w14:solidFill>
                </w14:textFill>
              </w:rPr>
              <w:t>2</w:t>
            </w:r>
            <w:r>
              <w:rPr>
                <w:rFonts w:hint="eastAsia"/>
                <w:color w:val="000000" w:themeColor="text1"/>
                <w:kern w:val="0"/>
                <w:sz w:val="24"/>
                <w14:textFill>
                  <w14:solidFill>
                    <w14:schemeClr w14:val="tx1"/>
                  </w14:solidFill>
                </w14:textFill>
              </w:rPr>
              <w:t>类区标准。</w:t>
            </w:r>
            <w:r>
              <w:rPr>
                <w:color w:val="000000" w:themeColor="text1"/>
                <w:kern w:val="0"/>
                <w:sz w:val="24"/>
                <w14:textFill>
                  <w14:solidFill>
                    <w14:schemeClr w14:val="tx1"/>
                  </w14:solidFill>
                </w14:textFill>
              </w:rPr>
              <w:t>标准值见表3</w:t>
            </w:r>
            <w:r>
              <w:rPr>
                <w:rFonts w:hint="eastAsia"/>
                <w:color w:val="000000" w:themeColor="text1"/>
                <w:kern w:val="0"/>
                <w:sz w:val="24"/>
                <w:lang w:val="en-US" w:eastAsia="zh-CN"/>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5所示</w:t>
            </w:r>
            <w:r>
              <w:rPr>
                <w:color w:val="000000" w:themeColor="text1"/>
                <w:kern w:val="0"/>
                <w:sz w:val="24"/>
                <w14:textFill>
                  <w14:solidFill>
                    <w14:schemeClr w14:val="tx1"/>
                  </w14:solidFill>
                </w14:textFill>
              </w:rPr>
              <w:t>。</w:t>
            </w:r>
          </w:p>
          <w:p w14:paraId="47D813F4">
            <w:pPr>
              <w:widowControl w:val="0"/>
              <w:snapToGrid/>
              <w:spacing w:before="0" w:after="0" w:line="240" w:lineRule="auto"/>
              <w:ind w:right="0"/>
              <w:jc w:val="cente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t>表3.3-5  工业企业厂界噪声排放标准  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0"/>
              <w:gridCol w:w="2537"/>
              <w:gridCol w:w="2538"/>
            </w:tblGrid>
            <w:tr w14:paraId="48F8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111" w:type="dxa"/>
                  <w:tcBorders>
                    <w:top w:val="single" w:color="auto" w:sz="4" w:space="0"/>
                    <w:left w:val="single" w:color="auto" w:sz="4" w:space="0"/>
                    <w:bottom w:val="single" w:color="auto" w:sz="4" w:space="0"/>
                    <w:right w:val="single" w:color="auto" w:sz="4" w:space="0"/>
                  </w:tcBorders>
                  <w:noWrap/>
                  <w:vAlign w:val="center"/>
                </w:tcPr>
                <w:p w14:paraId="3440A2D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val="0"/>
                      <w:color w:val="000000" w:themeColor="text1"/>
                      <w:sz w:val="21"/>
                      <w14:textFill>
                        <w14:solidFill>
                          <w14:schemeClr w14:val="tx1"/>
                        </w14:solidFill>
                      </w14:textFill>
                    </w:rPr>
                  </w:pPr>
                  <w:r>
                    <w:rPr>
                      <w:b/>
                      <w:bCs w:val="0"/>
                      <w:color w:val="000000" w:themeColor="text1"/>
                      <w:sz w:val="21"/>
                      <w14:textFill>
                        <w14:solidFill>
                          <w14:schemeClr w14:val="tx1"/>
                        </w14:solidFill>
                      </w14:textFill>
                    </w:rPr>
                    <w:t>声环境功能区划类别</w:t>
                  </w:r>
                </w:p>
              </w:tc>
              <w:tc>
                <w:tcPr>
                  <w:tcW w:w="2498" w:type="dxa"/>
                  <w:tcBorders>
                    <w:top w:val="single" w:color="auto" w:sz="4" w:space="0"/>
                    <w:left w:val="single" w:color="auto" w:sz="4" w:space="0"/>
                    <w:bottom w:val="single" w:color="auto" w:sz="4" w:space="0"/>
                    <w:right w:val="single" w:color="auto" w:sz="4" w:space="0"/>
                  </w:tcBorders>
                  <w:noWrap/>
                  <w:vAlign w:val="center"/>
                </w:tcPr>
                <w:p w14:paraId="5FE84926">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昼间</w:t>
                  </w:r>
                </w:p>
              </w:tc>
              <w:tc>
                <w:tcPr>
                  <w:tcW w:w="2498" w:type="dxa"/>
                  <w:tcBorders>
                    <w:top w:val="single" w:color="auto" w:sz="4" w:space="0"/>
                    <w:left w:val="single" w:color="auto" w:sz="4" w:space="0"/>
                    <w:bottom w:val="single" w:color="auto" w:sz="4" w:space="0"/>
                    <w:right w:val="single" w:color="auto" w:sz="4" w:space="0"/>
                  </w:tcBorders>
                  <w:noWrap/>
                  <w:vAlign w:val="center"/>
                </w:tcPr>
                <w:p w14:paraId="5721E1D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val="0"/>
                      <w:color w:val="000000" w:themeColor="text1"/>
                      <w:sz w:val="21"/>
                      <w14:textFill>
                        <w14:solidFill>
                          <w14:schemeClr w14:val="tx1"/>
                        </w14:solidFill>
                      </w14:textFill>
                    </w:rPr>
                  </w:pPr>
                  <w:r>
                    <w:rPr>
                      <w:b/>
                      <w:bCs w:val="0"/>
                      <w:color w:val="000000" w:themeColor="text1"/>
                      <w:sz w:val="21"/>
                      <w14:textFill>
                        <w14:solidFill>
                          <w14:schemeClr w14:val="tx1"/>
                        </w14:solidFill>
                      </w14:textFill>
                    </w:rPr>
                    <w:t>夜间</w:t>
                  </w:r>
                </w:p>
              </w:tc>
            </w:tr>
            <w:tr w14:paraId="408C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1" w:type="dxa"/>
                  <w:tcBorders>
                    <w:top w:val="single" w:color="auto" w:sz="4" w:space="0"/>
                    <w:left w:val="single" w:color="auto" w:sz="4" w:space="0"/>
                    <w:bottom w:val="single" w:color="auto" w:sz="4" w:space="0"/>
                    <w:right w:val="single" w:color="auto" w:sz="4" w:space="0"/>
                  </w:tcBorders>
                  <w:noWrap/>
                  <w:vAlign w:val="center"/>
                </w:tcPr>
                <w:p w14:paraId="1A8E2EE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14:textFill>
                        <w14:solidFill>
                          <w14:schemeClr w14:val="tx1"/>
                        </w14:solidFill>
                      </w14:textFill>
                    </w:rPr>
                  </w:pPr>
                  <w:r>
                    <w:rPr>
                      <w:rFonts w:hint="eastAsia"/>
                      <w:bCs/>
                      <w:color w:val="000000" w:themeColor="text1"/>
                      <w:sz w:val="21"/>
                      <w:lang w:val="en-US" w:eastAsia="zh-CN"/>
                      <w14:textFill>
                        <w14:solidFill>
                          <w14:schemeClr w14:val="tx1"/>
                        </w14:solidFill>
                      </w14:textFill>
                    </w:rPr>
                    <w:t>2</w:t>
                  </w:r>
                  <w:r>
                    <w:rPr>
                      <w:bCs/>
                      <w:color w:val="000000" w:themeColor="text1"/>
                      <w:sz w:val="21"/>
                      <w14:textFill>
                        <w14:solidFill>
                          <w14:schemeClr w14:val="tx1"/>
                        </w14:solidFill>
                      </w14:textFill>
                    </w:rPr>
                    <w:t>类</w:t>
                  </w:r>
                </w:p>
              </w:tc>
              <w:tc>
                <w:tcPr>
                  <w:tcW w:w="2498" w:type="dxa"/>
                  <w:tcBorders>
                    <w:top w:val="single" w:color="auto" w:sz="4" w:space="0"/>
                    <w:left w:val="single" w:color="auto" w:sz="4" w:space="0"/>
                    <w:bottom w:val="single" w:color="auto" w:sz="4" w:space="0"/>
                    <w:right w:val="single" w:color="auto" w:sz="4" w:space="0"/>
                  </w:tcBorders>
                  <w:noWrap/>
                  <w:vAlign w:val="center"/>
                </w:tcPr>
                <w:p w14:paraId="564EAB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000000" w:themeColor="text1"/>
                      <w:sz w:val="21"/>
                      <w:lang w:val="en-US" w:eastAsia="zh-CN"/>
                      <w14:textFill>
                        <w14:solidFill>
                          <w14:schemeClr w14:val="tx1"/>
                        </w14:solidFill>
                      </w14:textFill>
                    </w:rPr>
                  </w:pPr>
                  <w:r>
                    <w:rPr>
                      <w:rFonts w:hint="eastAsia"/>
                      <w:bCs/>
                      <w:color w:val="000000" w:themeColor="text1"/>
                      <w:sz w:val="21"/>
                      <w:lang w:val="en-US" w:eastAsia="zh-CN"/>
                      <w14:textFill>
                        <w14:solidFill>
                          <w14:schemeClr w14:val="tx1"/>
                        </w14:solidFill>
                      </w14:textFill>
                    </w:rPr>
                    <w:t>60</w:t>
                  </w:r>
                </w:p>
              </w:tc>
              <w:tc>
                <w:tcPr>
                  <w:tcW w:w="2498" w:type="dxa"/>
                  <w:tcBorders>
                    <w:top w:val="single" w:color="auto" w:sz="4" w:space="0"/>
                    <w:left w:val="single" w:color="auto" w:sz="4" w:space="0"/>
                    <w:bottom w:val="single" w:color="auto" w:sz="4" w:space="0"/>
                    <w:right w:val="single" w:color="auto" w:sz="4" w:space="0"/>
                  </w:tcBorders>
                  <w:noWrap/>
                  <w:vAlign w:val="center"/>
                </w:tcPr>
                <w:p w14:paraId="5BED89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5</w:t>
                  </w:r>
                  <w:r>
                    <w:rPr>
                      <w:rFonts w:hint="eastAsia" w:cs="Times New Roman"/>
                      <w:bCs/>
                      <w:color w:val="000000" w:themeColor="text1"/>
                      <w:kern w:val="2"/>
                      <w:sz w:val="21"/>
                      <w:szCs w:val="21"/>
                      <w:lang w:val="en-US" w:eastAsia="zh-CN" w:bidi="ar-SA"/>
                      <w14:textFill>
                        <w14:solidFill>
                          <w14:schemeClr w14:val="tx1"/>
                        </w14:solidFill>
                      </w14:textFill>
                    </w:rPr>
                    <w:t>0</w:t>
                  </w:r>
                </w:p>
              </w:tc>
            </w:tr>
          </w:tbl>
          <w:p w14:paraId="4DF744D5">
            <w:pPr>
              <w:keepNext w:val="0"/>
              <w:keepLines w:val="0"/>
              <w:pageBreakBefore w:val="0"/>
              <w:widowControl w:val="0"/>
              <w:tabs>
                <w:tab w:val="left" w:pos="3094"/>
              </w:tabs>
              <w:kinsoku/>
              <w:wordWrap/>
              <w:overflowPunct/>
              <w:topLinePunct w:val="0"/>
              <w:autoSpaceDE/>
              <w:autoSpaceDN/>
              <w:bidi w:val="0"/>
              <w:adjustRightInd/>
              <w:snapToGrid/>
              <w:spacing w:line="360" w:lineRule="auto"/>
              <w:textAlignment w:val="auto"/>
              <w:rPr>
                <w:b/>
                <w:color w:val="000000" w:themeColor="text1"/>
                <w:sz w:val="24"/>
                <w:szCs w:val="28"/>
                <w14:textFill>
                  <w14:solidFill>
                    <w14:schemeClr w14:val="tx1"/>
                  </w14:solidFill>
                </w14:textFill>
              </w:rPr>
            </w:pPr>
            <w:r>
              <w:rPr>
                <w:rFonts w:hint="eastAsia"/>
                <w:b/>
                <w:color w:val="000000" w:themeColor="text1"/>
                <w:sz w:val="24"/>
                <w:szCs w:val="28"/>
                <w:lang w:val="en-US" w:eastAsia="zh-CN"/>
                <w14:textFill>
                  <w14:solidFill>
                    <w14:schemeClr w14:val="tx1"/>
                  </w14:solidFill>
                </w14:textFill>
              </w:rPr>
              <w:t>3.3.4</w:t>
            </w:r>
            <w:r>
              <w:rPr>
                <w:rFonts w:hint="eastAsia"/>
                <w:b/>
                <w:color w:val="000000" w:themeColor="text1"/>
                <w:sz w:val="24"/>
                <w:szCs w:val="28"/>
                <w14:textFill>
                  <w14:solidFill>
                    <w14:schemeClr w14:val="tx1"/>
                  </w14:solidFill>
                </w14:textFill>
              </w:rPr>
              <w:t>固体废弃物</w:t>
            </w:r>
          </w:p>
          <w:p w14:paraId="15E61565">
            <w:pPr>
              <w:pageBreakBefore w:val="0"/>
              <w:kinsoku/>
              <w:wordWrap/>
              <w:overflowPunct/>
              <w:topLinePunct w:val="0"/>
              <w:bidi w:val="0"/>
              <w:adjustRightInd w:val="0"/>
              <w:snapToGrid w:val="0"/>
              <w:spacing w:line="360" w:lineRule="auto"/>
              <w:ind w:firstLine="480" w:firstLineChars="200"/>
              <w:jc w:val="both"/>
              <w:rPr>
                <w:rFonts w:hint="eastAsia"/>
                <w:color w:val="000000" w:themeColor="text1"/>
                <w:kern w:val="0"/>
                <w:sz w:val="24"/>
                <w:szCs w:val="20"/>
                <w14:textFill>
                  <w14:solidFill>
                    <w14:schemeClr w14:val="tx1"/>
                  </w14:solidFill>
                </w14:textFill>
              </w:rPr>
            </w:pP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lang w:val="en-US" w:eastAsia="zh-CN"/>
                <w14:textFill>
                  <w14:solidFill>
                    <w14:schemeClr w14:val="tx1"/>
                  </w14:solidFill>
                </w14:textFill>
              </w:rPr>
              <w:t>1</w:t>
            </w: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14:textFill>
                  <w14:solidFill>
                    <w14:schemeClr w14:val="tx1"/>
                  </w14:solidFill>
                </w14:textFill>
              </w:rPr>
              <w:t>一般工业固废执行《一般工业固体废物贮存和填埋污染控制标准》（GB18599-2020）要求；</w:t>
            </w:r>
          </w:p>
          <w:p w14:paraId="17929ABA">
            <w:pPr>
              <w:pageBreakBefore w:val="0"/>
              <w:kinsoku/>
              <w:wordWrap/>
              <w:overflowPunct/>
              <w:topLinePunct w:val="0"/>
              <w:bidi w:val="0"/>
              <w:adjustRightInd w:val="0"/>
              <w:snapToGrid w:val="0"/>
              <w:spacing w:line="360" w:lineRule="auto"/>
              <w:ind w:firstLine="480" w:firstLineChars="200"/>
              <w:jc w:val="both"/>
              <w:rPr>
                <w:rFonts w:ascii="宋体" w:hAnsi="宋体" w:cs="宋体"/>
                <w:color w:val="000000" w:themeColor="text1"/>
                <w:kern w:val="0"/>
                <w:sz w:val="24"/>
                <w14:textFill>
                  <w14:solidFill>
                    <w14:schemeClr w14:val="tx1"/>
                  </w14:solidFill>
                </w14:textFill>
              </w:rPr>
            </w:pP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lang w:val="en-US" w:eastAsia="zh-CN"/>
                <w14:textFill>
                  <w14:solidFill>
                    <w14:schemeClr w14:val="tx1"/>
                  </w14:solidFill>
                </w14:textFill>
              </w:rPr>
              <w:t>2</w:t>
            </w: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14:textFill>
                  <w14:solidFill>
                    <w14:schemeClr w14:val="tx1"/>
                  </w14:solidFill>
                </w14:textFill>
              </w:rPr>
              <w:t>危险废物执行《危险废物贮存污染控制标准》（GB18597-2023）要求。</w:t>
            </w:r>
          </w:p>
        </w:tc>
      </w:tr>
      <w:tr w14:paraId="18F12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27" w:type="dxa"/>
            <w:vAlign w:val="center"/>
          </w:tcPr>
          <w:p w14:paraId="50D96032">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总量</w:t>
            </w:r>
          </w:p>
          <w:p w14:paraId="104E0CDF">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控制</w:t>
            </w:r>
          </w:p>
          <w:p w14:paraId="4F50A7CC">
            <w:pPr>
              <w:pageBreakBefore w:val="0"/>
              <w:kinsoku/>
              <w:wordWrap/>
              <w:overflowPunct/>
              <w:topLinePunct w:val="0"/>
              <w:bidi w:val="0"/>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指标</w:t>
            </w:r>
          </w:p>
        </w:tc>
        <w:tc>
          <w:tcPr>
            <w:tcW w:w="8461" w:type="dxa"/>
            <w:vAlign w:val="center"/>
          </w:tcPr>
          <w:p w14:paraId="26CA5A8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一、废气</w:t>
            </w:r>
          </w:p>
          <w:p w14:paraId="797D3D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eastAsia="宋体"/>
                <w:color w:val="0000FF"/>
                <w:sz w:val="24"/>
                <w:vertAlign w:val="baseline"/>
                <w:lang w:val="en-US" w:eastAsia="zh-CN"/>
              </w:rPr>
            </w:pPr>
            <w:r>
              <w:rPr>
                <w:rFonts w:hint="eastAsia"/>
                <w:color w:val="0000FF"/>
                <w:sz w:val="24"/>
              </w:rPr>
              <w:t>环评核算</w:t>
            </w:r>
            <w:r>
              <w:rPr>
                <w:rFonts w:hint="eastAsia"/>
                <w:bCs/>
                <w:color w:val="0000FF"/>
                <w:sz w:val="24"/>
                <w:lang w:val="en-US" w:eastAsia="zh-CN"/>
              </w:rPr>
              <w:t>NMHC</w:t>
            </w:r>
            <w:r>
              <w:rPr>
                <w:rFonts w:hint="eastAsia"/>
                <w:bCs/>
                <w:color w:val="0000FF"/>
                <w:sz w:val="24"/>
              </w:rPr>
              <w:t>排放量为</w:t>
            </w:r>
            <w:r>
              <w:rPr>
                <w:rFonts w:hint="eastAsia"/>
                <w:bCs/>
                <w:color w:val="0000FF"/>
                <w:sz w:val="24"/>
                <w:lang w:val="en-US" w:eastAsia="zh-CN"/>
              </w:rPr>
              <w:t>0.420t/a，其中有组织NMHC</w:t>
            </w:r>
            <w:r>
              <w:rPr>
                <w:rFonts w:hint="eastAsia"/>
                <w:bCs/>
                <w:color w:val="0000FF"/>
                <w:sz w:val="24"/>
              </w:rPr>
              <w:t>排放量</w:t>
            </w:r>
            <w:r>
              <w:rPr>
                <w:rFonts w:hint="eastAsia"/>
                <w:bCs/>
                <w:color w:val="0000FF"/>
                <w:sz w:val="24"/>
                <w:lang w:val="en-US" w:eastAsia="zh-CN"/>
              </w:rPr>
              <w:t>0.125t</w:t>
            </w:r>
            <w:r>
              <w:rPr>
                <w:rFonts w:hint="eastAsia"/>
                <w:bCs/>
                <w:color w:val="0000FF"/>
                <w:sz w:val="24"/>
              </w:rPr>
              <w:t>/a</w:t>
            </w:r>
            <w:r>
              <w:rPr>
                <w:rFonts w:hint="eastAsia"/>
                <w:bCs/>
                <w:color w:val="0000FF"/>
                <w:sz w:val="24"/>
                <w:lang w:eastAsia="zh-CN"/>
              </w:rPr>
              <w:t>，</w:t>
            </w:r>
            <w:r>
              <w:rPr>
                <w:rFonts w:hint="eastAsia"/>
                <w:bCs/>
                <w:color w:val="0000FF"/>
                <w:sz w:val="24"/>
                <w:lang w:val="en-US" w:eastAsia="zh-CN"/>
              </w:rPr>
              <w:t>无组织NMHC</w:t>
            </w:r>
            <w:r>
              <w:rPr>
                <w:rFonts w:hint="eastAsia"/>
                <w:bCs/>
                <w:color w:val="0000FF"/>
                <w:sz w:val="24"/>
              </w:rPr>
              <w:t>排放量</w:t>
            </w:r>
            <w:r>
              <w:rPr>
                <w:rFonts w:hint="eastAsia"/>
                <w:bCs/>
                <w:color w:val="0000FF"/>
                <w:sz w:val="24"/>
                <w:lang w:val="en-US" w:eastAsia="zh-CN"/>
              </w:rPr>
              <w:t>0.295t/a。</w:t>
            </w:r>
          </w:p>
          <w:p w14:paraId="47847B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根据国家及上级生态环境部门要求，目前纳入总量控制指标管理的主要污染物有二氧化硫（SO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）、氮氧化物（NOx）、挥发性有机物（VOCs）。纳入总量核发的污染物为有组织排放。</w:t>
            </w:r>
          </w:p>
          <w:p w14:paraId="0D8D6A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eastAsia="宋体"/>
                <w:color w:val="0000FF"/>
                <w:sz w:val="24"/>
                <w:lang w:val="en-US" w:eastAsia="zh-CN"/>
              </w:rPr>
            </w:pPr>
            <w:r>
              <w:rPr>
                <w:rFonts w:hint="eastAsia"/>
                <w:color w:val="0000FF"/>
                <w:sz w:val="24"/>
              </w:rPr>
              <w:t>根据环评核算，</w:t>
            </w:r>
            <w:r>
              <w:rPr>
                <w:rFonts w:hint="eastAsia"/>
                <w:color w:val="0000FF"/>
                <w:sz w:val="24"/>
                <w:lang w:val="en-US" w:eastAsia="zh-CN"/>
              </w:rPr>
              <w:t>项目VOCs总量建议为</w:t>
            </w:r>
            <w:r>
              <w:rPr>
                <w:rFonts w:hint="eastAsia"/>
                <w:bCs/>
                <w:color w:val="0000FF"/>
                <w:sz w:val="24"/>
                <w:lang w:val="en-US" w:eastAsia="zh-CN"/>
              </w:rPr>
              <w:t>0.420t/a</w:t>
            </w:r>
            <w:r>
              <w:rPr>
                <w:rFonts w:hint="eastAsia"/>
                <w:bCs/>
                <w:color w:val="0000FF"/>
                <w:sz w:val="24"/>
                <w:lang w:eastAsia="zh-CN"/>
              </w:rPr>
              <w:t>，</w:t>
            </w:r>
            <w:r>
              <w:rPr>
                <w:rFonts w:hint="eastAsia"/>
                <w:bCs/>
                <w:color w:val="0000FF"/>
                <w:sz w:val="24"/>
                <w:lang w:val="en-US" w:eastAsia="zh-CN"/>
              </w:rPr>
              <w:t>环评要求项目应按照主管部门要求落实总量来源。</w:t>
            </w:r>
          </w:p>
          <w:p w14:paraId="7A612F99">
            <w:pPr>
              <w:pageBreakBefore w:val="0"/>
              <w:tabs>
                <w:tab w:val="left" w:pos="1399"/>
              </w:tabs>
              <w:kinsoku/>
              <w:wordWrap/>
              <w:overflowPunct/>
              <w:topLinePunct w:val="0"/>
              <w:bidi w:val="0"/>
              <w:adjustRightInd w:val="0"/>
              <w:snapToGrid w:val="0"/>
              <w:spacing w:line="360" w:lineRule="auto"/>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二、废水</w:t>
            </w:r>
          </w:p>
          <w:p w14:paraId="2474ACA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项目采取雨污分流，</w:t>
            </w:r>
            <w:r>
              <w:rPr>
                <w:rFonts w:hint="eastAsia" w:ascii="Times New Roman" w:hAnsi="Times New Roman" w:cs="Times New Roman"/>
                <w:b w:val="0"/>
                <w:bCs w:val="0"/>
                <w:color w:val="00B050"/>
                <w:kern w:val="2"/>
                <w:sz w:val="24"/>
                <w:szCs w:val="24"/>
                <w:vertAlign w:val="baseline"/>
                <w:lang w:val="en-US" w:eastAsia="zh-CN" w:bidi="ar-SA"/>
              </w:rPr>
              <w:t>项目产生</w:t>
            </w:r>
            <w:r>
              <w:rPr>
                <w:rFonts w:hint="eastAsia" w:cs="Times New Roman"/>
                <w:b w:val="0"/>
                <w:bCs w:val="0"/>
                <w:color w:val="00B050"/>
                <w:kern w:val="2"/>
                <w:sz w:val="24"/>
                <w:szCs w:val="24"/>
                <w:lang w:val="en-US" w:eastAsia="zh-CN" w:bidi="ar-SA"/>
              </w:rPr>
              <w:t>碱洗废水经0.5m</w:t>
            </w:r>
            <w:r>
              <w:rPr>
                <w:rFonts w:hint="eastAsia" w:cs="Times New Roman"/>
                <w:b w:val="0"/>
                <w:bCs w:val="0"/>
                <w:color w:val="00B050"/>
                <w:kern w:val="2"/>
                <w:sz w:val="24"/>
                <w:szCs w:val="24"/>
                <w:vertAlign w:val="superscript"/>
                <w:lang w:val="en-US" w:eastAsia="zh-CN" w:bidi="ar-SA"/>
              </w:rPr>
              <w:t>3</w:t>
            </w:r>
            <w:r>
              <w:rPr>
                <w:rFonts w:hint="eastAsia" w:cs="Times New Roman"/>
                <w:b w:val="0"/>
                <w:bCs w:val="0"/>
                <w:color w:val="00B050"/>
                <w:kern w:val="2"/>
                <w:sz w:val="24"/>
                <w:szCs w:val="24"/>
                <w:vertAlign w:val="baseline"/>
                <w:lang w:val="en-US" w:eastAsia="zh-CN" w:bidi="ar-SA"/>
              </w:rPr>
              <w:t>收集桶收集后委托</w:t>
            </w:r>
            <w:r>
              <w:rPr>
                <w:rFonts w:hint="eastAsia" w:cs="Times New Roman"/>
                <w:b w:val="0"/>
                <w:bCs w:val="0"/>
                <w:color w:val="00B050"/>
                <w:kern w:val="2"/>
                <w:sz w:val="24"/>
                <w:szCs w:val="24"/>
                <w:lang w:val="en-US" w:eastAsia="zh-CN" w:bidi="ar-SA"/>
              </w:rPr>
              <w:t>碱洗废水处置单位进行清运处置；</w:t>
            </w:r>
            <w:r>
              <w:rPr>
                <w:rFonts w:hint="eastAsia" w:ascii="Times New Roman" w:hAnsi="Times New Roman" w:cs="Times New Roman"/>
                <w:color w:val="000000" w:themeColor="text1"/>
                <w:sz w:val="24"/>
                <w:lang w:val="en-US" w:eastAsia="zh-CN"/>
                <w14:textFill>
                  <w14:solidFill>
                    <w14:schemeClr w14:val="tx1"/>
                  </w14:solidFill>
                </w14:textFill>
              </w:rPr>
              <w:t>生活污水</w:t>
            </w:r>
            <w:r>
              <w:rPr>
                <w:rFonts w:hint="eastAsia"/>
                <w:color w:val="000000" w:themeColor="text1"/>
                <w:kern w:val="21"/>
                <w:sz w:val="24"/>
                <w:lang w:val="en-US" w:eastAsia="zh-CN"/>
                <w14:textFill>
                  <w14:solidFill>
                    <w14:schemeClr w14:val="tx1"/>
                  </w14:solidFill>
                </w14:textFill>
              </w:rPr>
              <w:t>依托</w:t>
            </w:r>
            <w:r>
              <w:rPr>
                <w:rFonts w:hint="eastAsia"/>
                <w:color w:val="000000" w:themeColor="text1"/>
                <w:sz w:val="24"/>
                <w:lang w:val="en-US" w:eastAsia="zh-CN"/>
                <w14:textFill>
                  <w14:solidFill>
                    <w14:schemeClr w14:val="tx1"/>
                  </w14:solidFill>
                </w14:textFill>
              </w:rPr>
              <w:t>曲靖市东五六供应链管理有限公司</w:t>
            </w:r>
            <w:r>
              <w:rPr>
                <w:rFonts w:hint="eastAsia"/>
                <w:color w:val="000000" w:themeColor="text1"/>
                <w:kern w:val="21"/>
                <w:sz w:val="24"/>
                <w:lang w:val="en-US" w:eastAsia="zh-CN"/>
                <w14:textFill>
                  <w14:solidFill>
                    <w14:schemeClr w14:val="tx1"/>
                  </w14:solidFill>
                </w14:textFill>
              </w:rPr>
              <w:t>已建化粪池（容积：10m</w:t>
            </w:r>
            <w:r>
              <w:rPr>
                <w:rFonts w:hint="eastAsia"/>
                <w:color w:val="000000" w:themeColor="text1"/>
                <w:kern w:val="21"/>
                <w:sz w:val="24"/>
                <w:vertAlign w:val="superscript"/>
                <w:lang w:val="en-US" w:eastAsia="zh-CN"/>
                <w14:textFill>
                  <w14:solidFill>
                    <w14:schemeClr w14:val="tx1"/>
                  </w14:solidFill>
                </w14:textFill>
              </w:rPr>
              <w:t>3</w:t>
            </w:r>
            <w:r>
              <w:rPr>
                <w:rFonts w:hint="eastAsia"/>
                <w:color w:val="000000" w:themeColor="text1"/>
                <w:kern w:val="21"/>
                <w:sz w:val="24"/>
                <w:lang w:val="en-US" w:eastAsia="zh-CN"/>
                <w14:textFill>
                  <w14:solidFill>
                    <w14:schemeClr w14:val="tx1"/>
                  </w14:solidFill>
                </w14:textFill>
              </w:rPr>
              <w:t>）收集</w:t>
            </w:r>
            <w:r>
              <w:rPr>
                <w:rFonts w:hint="eastAsia" w:ascii="Times New Roman" w:hAnsi="Times New Roman" w:cs="Times New Roman"/>
                <w:color w:val="000000" w:themeColor="text1"/>
                <w:sz w:val="24"/>
                <w:vertAlign w:val="baseline"/>
                <w:lang w:val="en-US" w:eastAsia="zh-CN"/>
                <w14:textFill>
                  <w14:solidFill>
                    <w14:schemeClr w14:val="tx1"/>
                  </w14:solidFill>
                </w14:textFill>
              </w:rPr>
              <w:t>后委托</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麒麟区</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环卫部门</w:t>
            </w:r>
            <w:r>
              <w:rPr>
                <w:rFonts w:hint="eastAsia" w:ascii="Times New Roman" w:hAnsi="Times New Roman" w:cs="Times New Roman"/>
                <w:color w:val="000000" w:themeColor="text1"/>
                <w:sz w:val="24"/>
                <w:vertAlign w:val="baseline"/>
                <w:lang w:val="en-US" w:eastAsia="zh-CN"/>
                <w14:textFill>
                  <w14:solidFill>
                    <w14:schemeClr w14:val="tx1"/>
                  </w14:solidFill>
                </w14:textFill>
              </w:rPr>
              <w:t>清掏处理</w:t>
            </w:r>
            <w:r>
              <w:rPr>
                <w:rFonts w:hint="eastAsia"/>
                <w:color w:val="000000" w:themeColor="text1"/>
                <w:kern w:val="21"/>
                <w:sz w:val="24"/>
                <w:lang w:val="en-US" w:eastAsia="zh-CN"/>
                <w14:textFill>
                  <w14:solidFill>
                    <w14:schemeClr w14:val="tx1"/>
                  </w14:solidFill>
                </w14:textFill>
              </w:rPr>
              <w:t>，不外排</w:t>
            </w:r>
            <w:r>
              <w:rPr>
                <w:rFonts w:hint="eastAsia" w:cs="Times New Roman"/>
                <w:color w:val="000000" w:themeColor="text1"/>
                <w:kern w:val="2"/>
                <w:sz w:val="24"/>
                <w:szCs w:val="24"/>
                <w:lang w:val="en-US" w:eastAsia="zh-CN" w:bidi="ar-SA"/>
                <w14:textFill>
                  <w14:solidFill>
                    <w14:schemeClr w14:val="tx1"/>
                  </w14:solidFill>
                </w14:textFill>
              </w:rPr>
              <w:t>。</w:t>
            </w:r>
          </w:p>
          <w:p w14:paraId="0F122F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000000" w:themeColor="text1"/>
                <w:kern w:val="0"/>
                <w:sz w:val="24"/>
                <w:lang w:val="en-US"/>
                <w14:textFill>
                  <w14:solidFill>
                    <w14:schemeClr w14:val="tx1"/>
                  </w14:solidFill>
                </w14:textFill>
              </w:rPr>
            </w:pPr>
            <w:r>
              <w:rPr>
                <w:rFonts w:hint="eastAsia"/>
                <w:color w:val="000000" w:themeColor="text1"/>
                <w:sz w:val="24"/>
                <w:lang w:val="en-US" w:eastAsia="zh-CN"/>
                <w14:textFill>
                  <w14:solidFill>
                    <w14:schemeClr w14:val="tx1"/>
                  </w14:solidFill>
                </w14:textFill>
              </w:rPr>
              <w:t>故本次环评不设废水排放总量控制指标。</w:t>
            </w:r>
          </w:p>
          <w:p w14:paraId="108C33A9">
            <w:pPr>
              <w:pageBreakBefore w:val="0"/>
              <w:kinsoku/>
              <w:wordWrap/>
              <w:overflowPunct/>
              <w:topLinePunct w:val="0"/>
              <w:bidi w:val="0"/>
              <w:adjustRightInd w:val="0"/>
              <w:snapToGrid w:val="0"/>
              <w:spacing w:line="360" w:lineRule="auto"/>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三、固体废弃物</w:t>
            </w:r>
          </w:p>
          <w:p w14:paraId="6622BF97">
            <w:pPr>
              <w:pageBreakBefore w:val="0"/>
              <w:kinsoku/>
              <w:wordWrap/>
              <w:overflowPunct/>
              <w:topLinePunct w:val="0"/>
              <w:bidi w:val="0"/>
              <w:adjustRightInd w:val="0"/>
              <w:snapToGrid w:val="0"/>
              <w:spacing w:line="360" w:lineRule="auto"/>
              <w:ind w:firstLine="480" w:firstLineChars="200"/>
              <w:jc w:val="left"/>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固体废弃物处置率100%。</w:t>
            </w:r>
          </w:p>
        </w:tc>
      </w:tr>
    </w:tbl>
    <w:p w14:paraId="53B922AB">
      <w:pPr>
        <w:pStyle w:val="22"/>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both"/>
        <w:textAlignment w:val="auto"/>
        <w:outlineLvl w:val="0"/>
        <w:rPr>
          <w:rFonts w:hint="eastAsia" w:ascii="黑体" w:hAnsi="黑体" w:eastAsia="黑体" w:cs="黑体"/>
          <w:color w:val="000000" w:themeColor="text1"/>
          <w:kern w:val="2"/>
          <w:sz w:val="28"/>
          <w:szCs w:val="36"/>
          <w:lang w:val="en-US" w:eastAsia="zh-CN" w:bidi="ar-SA"/>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bookmarkStart w:id="21" w:name="_Toc30954"/>
      <w:r>
        <w:rPr>
          <w:rFonts w:hint="eastAsia" w:ascii="宋体" w:hAnsi="宋体" w:eastAsia="宋体" w:cs="宋体"/>
          <w:b/>
          <w:bCs/>
          <w:color w:val="000000" w:themeColor="text1"/>
          <w:kern w:val="2"/>
          <w:sz w:val="32"/>
          <w:szCs w:val="32"/>
          <w:lang w:val="en-US" w:eastAsia="zh-CN" w:bidi="ar-SA"/>
          <w14:textFill>
            <w14:solidFill>
              <w14:schemeClr w14:val="tx1"/>
            </w14:solidFill>
          </w14:textFill>
        </w:rPr>
        <w:t>四、主要环境影响和保护措施</w:t>
      </w:r>
      <w:bookmarkEnd w:id="21"/>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549"/>
      </w:tblGrid>
      <w:tr w14:paraId="656FA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vAlign w:val="center"/>
          </w:tcPr>
          <w:p w14:paraId="5639CD36">
            <w:pPr>
              <w:keepNext w:val="0"/>
              <w:keepLines w:val="0"/>
              <w:pageBreakBefore w:val="0"/>
              <w:widowControl w:val="0"/>
              <w:kinsoku/>
              <w:wordWrap/>
              <w:overflowPunct/>
              <w:topLinePunct w:val="0"/>
              <w:autoSpaceDE/>
              <w:autoSpaceDN/>
              <w:bidi w:val="0"/>
              <w:adjustRightInd/>
              <w:snapToGrid/>
              <w:spacing w:before="0" w:beforeAutospacing="0" w:after="0" w:afterAutospacing="0"/>
              <w:jc w:val="center"/>
              <w:rPr>
                <w:rFonts w:ascii="宋体" w:hAnsi="宋体" w:eastAsia="宋体" w:cs="宋体"/>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施工期环境保护措施</w:t>
            </w:r>
          </w:p>
        </w:tc>
        <w:tc>
          <w:tcPr>
            <w:tcW w:w="4601" w:type="pct"/>
            <w:vAlign w:val="center"/>
          </w:tcPr>
          <w:p w14:paraId="2DE42436">
            <w:pPr>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b/>
                <w:color w:val="000000" w:themeColor="text1"/>
                <w:kern w:val="21"/>
                <w:sz w:val="28"/>
                <w:szCs w:val="28"/>
                <w:lang w:val="en-US" w:eastAsia="zh-CN"/>
                <w14:textFill>
                  <w14:solidFill>
                    <w14:schemeClr w14:val="tx1"/>
                  </w14:solidFill>
                </w14:textFill>
              </w:rPr>
            </w:pPr>
            <w:r>
              <w:rPr>
                <w:rFonts w:hint="eastAsia"/>
                <w:b/>
                <w:color w:val="000000" w:themeColor="text1"/>
                <w:kern w:val="21"/>
                <w:sz w:val="28"/>
                <w:szCs w:val="28"/>
                <w:lang w:val="en-US" w:eastAsia="zh-CN"/>
                <w14:textFill>
                  <w14:solidFill>
                    <w14:schemeClr w14:val="tx1"/>
                  </w14:solidFill>
                </w14:textFill>
              </w:rPr>
              <w:t>4.1施工期环境影响和环境保护措施</w:t>
            </w:r>
          </w:p>
          <w:p w14:paraId="5ACD20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color w:val="000000" w:themeColor="text1"/>
                <w:kern w:val="21"/>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根据现场踏勘：</w:t>
            </w:r>
            <w:r>
              <w:rPr>
                <w:rFonts w:hint="eastAsia" w:cs="Times New Roman"/>
                <w:color w:val="000000" w:themeColor="text1"/>
                <w:sz w:val="24"/>
                <w:szCs w:val="24"/>
                <w:lang w:val="en-US" w:eastAsia="zh-CN"/>
                <w14:textFill>
                  <w14:solidFill>
                    <w14:schemeClr w14:val="tx1"/>
                  </w14:solidFill>
                </w14:textFill>
              </w:rPr>
              <w:t>建设单位拟租用</w:t>
            </w:r>
            <w:r>
              <w:rPr>
                <w:rFonts w:hint="eastAsia"/>
                <w:color w:val="000000" w:themeColor="text1"/>
                <w:sz w:val="24"/>
                <w:lang w:val="en-US" w:eastAsia="zh-CN"/>
                <w14:textFill>
                  <w14:solidFill>
                    <w14:schemeClr w14:val="tx1"/>
                  </w14:solidFill>
                </w14:textFill>
              </w:rPr>
              <w:t>曲靖市东五六供应链管理有限公司已建厂房改造建设危险废物贮存场所；</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现阶段</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施工期主要进行</w:t>
            </w:r>
            <w:r>
              <w:rPr>
                <w:rFonts w:hint="default" w:ascii="Times New Roman" w:hAnsi="Times New Roman" w:cs="Times New Roman"/>
                <w:color w:val="000000" w:themeColor="text1"/>
                <w:sz w:val="24"/>
                <w:szCs w:val="24"/>
                <w:lang w:val="en-US" w:eastAsia="zh-CN" w:bidi="ar-SA"/>
                <w14:textFill>
                  <w14:solidFill>
                    <w14:schemeClr w14:val="tx1"/>
                  </w14:solidFill>
                </w14:textFill>
              </w:rPr>
              <w:t>生产车间改造、</w:t>
            </w:r>
            <w:r>
              <w:rPr>
                <w:rFonts w:hint="default" w:ascii="Times New Roman" w:hAnsi="Times New Roman" w:cs="Times New Roman"/>
                <w:color w:val="000000" w:themeColor="text1"/>
                <w:sz w:val="24"/>
                <w:szCs w:val="24"/>
                <w:lang w:val="en-US" w:bidi="ar-SA"/>
                <w14:textFill>
                  <w14:solidFill>
                    <w14:schemeClr w14:val="tx1"/>
                  </w14:solidFill>
                </w14:textFill>
              </w:rPr>
              <w:t>生产设备安装及环保设施安装</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，建设工期为</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个月，施工期产生的污染物主要为粉尘、噪声、固废、废水等，经采取相应措施后污染物产生量较小</w:t>
            </w:r>
            <w:r>
              <w:rPr>
                <w:rFonts w:hint="default" w:ascii="Times New Roman" w:hAnsi="Times New Roman" w:eastAsia="宋体" w:cs="Times New Roman"/>
                <w:b w:val="0"/>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pacing w:val="-10"/>
                <w:sz w:val="24"/>
                <w:szCs w:val="24"/>
                <w:highlight w:val="none"/>
                <w14:textFill>
                  <w14:solidFill>
                    <w14:schemeClr w14:val="tx1"/>
                  </w14:solidFill>
                </w14:textFill>
              </w:rPr>
              <w:t>其主要环境保护措施如下：</w:t>
            </w:r>
          </w:p>
          <w:p w14:paraId="63494AD3">
            <w:pPr>
              <w:keepNext/>
              <w:keepLines w:val="0"/>
              <w:pageBreakBefore w:val="0"/>
              <w:widowControl w:val="0"/>
              <w:kinsoku/>
              <w:wordWrap/>
              <w:overflowPunct/>
              <w:topLinePunct w:val="0"/>
              <w:autoSpaceDE/>
              <w:autoSpaceDN/>
              <w:bidi w:val="0"/>
              <w:adjustRightInd/>
              <w:snapToGrid/>
              <w:spacing w:line="360" w:lineRule="auto"/>
              <w:rPr>
                <w:b/>
                <w:color w:val="000000" w:themeColor="text1"/>
                <w:kern w:val="21"/>
                <w:sz w:val="24"/>
                <w14:textFill>
                  <w14:solidFill>
                    <w14:schemeClr w14:val="tx1"/>
                  </w14:solidFill>
                </w14:textFill>
              </w:rPr>
            </w:pPr>
            <w:r>
              <w:rPr>
                <w:rFonts w:hint="eastAsia"/>
                <w:b/>
                <w:color w:val="000000" w:themeColor="text1"/>
                <w:kern w:val="21"/>
                <w:sz w:val="24"/>
                <w:lang w:val="en-US" w:eastAsia="zh-CN"/>
                <w14:textFill>
                  <w14:solidFill>
                    <w14:schemeClr w14:val="tx1"/>
                  </w14:solidFill>
                </w14:textFill>
              </w:rPr>
              <w:t>4.1.1施工期废气环境影响和环境保护措施</w:t>
            </w:r>
          </w:p>
          <w:p w14:paraId="350DF32B">
            <w:pPr>
              <w:keepNext/>
              <w:keepLines w:val="0"/>
              <w:pageBreakBefore w:val="0"/>
              <w:widowControl w:val="0"/>
              <w:kinsoku/>
              <w:wordWrap/>
              <w:overflowPunct/>
              <w:topLinePunct w:val="0"/>
              <w:autoSpaceDE/>
              <w:autoSpaceDN/>
              <w:bidi w:val="0"/>
              <w:adjustRightInd/>
              <w:snapToGrid/>
              <w:spacing w:line="360" w:lineRule="auto"/>
              <w:ind w:firstLine="482" w:firstLineChars="200"/>
              <w:jc w:val="both"/>
              <w:rPr>
                <w:b/>
                <w:bCs/>
                <w:color w:val="000000" w:themeColor="text1"/>
                <w:kern w:val="21"/>
                <w:sz w:val="24"/>
                <w14:textFill>
                  <w14:solidFill>
                    <w14:schemeClr w14:val="tx1"/>
                  </w14:solidFill>
                </w14:textFill>
              </w:rPr>
            </w:pPr>
            <w:r>
              <w:rPr>
                <w:rFonts w:hint="eastAsia"/>
                <w:b/>
                <w:bCs/>
                <w:color w:val="000000" w:themeColor="text1"/>
                <w:kern w:val="21"/>
                <w:sz w:val="24"/>
                <w:lang w:val="en-US" w:eastAsia="zh-CN"/>
                <w14:textFill>
                  <w14:solidFill>
                    <w14:schemeClr w14:val="tx1"/>
                  </w14:solidFill>
                </w14:textFill>
              </w:rPr>
              <w:t>1、</w:t>
            </w:r>
            <w:r>
              <w:rPr>
                <w:rFonts w:hint="eastAsia"/>
                <w:b/>
                <w:bCs/>
                <w:color w:val="000000" w:themeColor="text1"/>
                <w:kern w:val="21"/>
                <w:sz w:val="24"/>
                <w14:textFill>
                  <w14:solidFill>
                    <w14:schemeClr w14:val="tx1"/>
                  </w14:solidFill>
                </w14:textFill>
              </w:rPr>
              <w:t>扬尘</w:t>
            </w:r>
          </w:p>
          <w:p w14:paraId="06CD1846">
            <w:pPr>
              <w:keepNext/>
              <w:keepLines w:val="0"/>
              <w:pageBreakBefore w:val="0"/>
              <w:widowControl w:val="0"/>
              <w:kinsoku/>
              <w:wordWrap/>
              <w:overflowPunct/>
              <w:topLinePunct w:val="0"/>
              <w:autoSpaceDE/>
              <w:autoSpaceDN/>
              <w:bidi w:val="0"/>
              <w:adjustRightInd/>
              <w:snapToGrid/>
              <w:spacing w:line="360" w:lineRule="auto"/>
              <w:ind w:firstLine="480" w:firstLineChars="200"/>
              <w:jc w:val="both"/>
              <w:rPr>
                <w:color w:val="000000" w:themeColor="text1"/>
                <w:kern w:val="21"/>
                <w:sz w:val="24"/>
                <w14:textFill>
                  <w14:solidFill>
                    <w14:schemeClr w14:val="tx1"/>
                  </w14:solidFill>
                </w14:textFill>
              </w:rPr>
            </w:pPr>
            <w:r>
              <w:rPr>
                <w:rFonts w:hint="eastAsia"/>
                <w:color w:val="000000" w:themeColor="text1"/>
                <w:kern w:val="21"/>
                <w:sz w:val="24"/>
                <w:lang w:val="en-US" w:eastAsia="zh-CN"/>
                <w14:textFill>
                  <w14:solidFill>
                    <w14:schemeClr w14:val="tx1"/>
                  </w14:solidFill>
                </w14:textFill>
              </w:rPr>
              <w:t>施工废气主要为施工扬尘，施工扬尘来源于物料运输、物料堆存、材料切割打磨等，施工期</w:t>
            </w:r>
            <w:r>
              <w:rPr>
                <w:color w:val="000000" w:themeColor="text1"/>
                <w:kern w:val="21"/>
                <w:sz w:val="24"/>
                <w14:textFill>
                  <w14:solidFill>
                    <w14:schemeClr w14:val="tx1"/>
                  </w14:solidFill>
                </w14:textFill>
              </w:rPr>
              <w:t>会产生不同影响程度的扬尘污染，扬尘的产生量与施工方式、土壤含水量、气象条件等有关。</w:t>
            </w:r>
          </w:p>
          <w:p w14:paraId="332D1040">
            <w:pPr>
              <w:keepNext/>
              <w:keepLines w:val="0"/>
              <w:pageBreakBefore w:val="0"/>
              <w:widowControl w:val="0"/>
              <w:kinsoku/>
              <w:wordWrap/>
              <w:overflowPunct/>
              <w:topLinePunct w:val="0"/>
              <w:autoSpaceDE/>
              <w:autoSpaceDN/>
              <w:bidi w:val="0"/>
              <w:adjustRightInd/>
              <w:snapToGrid/>
              <w:spacing w:line="360" w:lineRule="auto"/>
              <w:ind w:firstLine="480" w:firstLineChars="200"/>
              <w:jc w:val="both"/>
              <w:rPr>
                <w:rFonts w:hint="eastAsia" w:eastAsia="宋体"/>
                <w:color w:val="000000" w:themeColor="text1"/>
                <w:kern w:val="21"/>
                <w:sz w:val="24"/>
                <w:lang w:eastAsia="zh-CN"/>
                <w14:textFill>
                  <w14:solidFill>
                    <w14:schemeClr w14:val="tx1"/>
                  </w14:solidFill>
                </w14:textFill>
              </w:rPr>
            </w:pPr>
            <w:r>
              <w:rPr>
                <w:color w:val="000000" w:themeColor="text1"/>
                <w:kern w:val="21"/>
                <w:sz w:val="24"/>
                <w14:textFill>
                  <w14:solidFill>
                    <w14:schemeClr w14:val="tx1"/>
                  </w14:solidFill>
                </w14:textFill>
              </w:rPr>
              <w:t>为减小施工扬尘的影响，</w:t>
            </w:r>
            <w:r>
              <w:rPr>
                <w:rFonts w:hint="eastAsia"/>
                <w:color w:val="000000" w:themeColor="text1"/>
                <w:kern w:val="21"/>
                <w:sz w:val="24"/>
                <w14:textFill>
                  <w14:solidFill>
                    <w14:schemeClr w14:val="tx1"/>
                  </w14:solidFill>
                </w14:textFill>
              </w:rPr>
              <w:t>环评要求施工单位应采取以下措施</w:t>
            </w:r>
            <w:r>
              <w:rPr>
                <w:rFonts w:hint="eastAsia"/>
                <w:color w:val="000000" w:themeColor="text1"/>
                <w:kern w:val="21"/>
                <w:sz w:val="24"/>
                <w:lang w:eastAsia="zh-CN"/>
                <w14:textFill>
                  <w14:solidFill>
                    <w14:schemeClr w14:val="tx1"/>
                  </w14:solidFill>
                </w14:textFill>
              </w:rPr>
              <w:t>：</w:t>
            </w:r>
          </w:p>
          <w:p w14:paraId="6901BA72">
            <w:pPr>
              <w:keepNext/>
              <w:keepLines w:val="0"/>
              <w:pageBreakBefore w:val="0"/>
              <w:widowControl w:val="0"/>
              <w:kinsoku/>
              <w:wordWrap/>
              <w:overflowPunct/>
              <w:topLinePunct w:val="0"/>
              <w:autoSpaceDE/>
              <w:autoSpaceDN/>
              <w:bidi w:val="0"/>
              <w:adjustRightInd/>
              <w:snapToGrid/>
              <w:spacing w:line="360" w:lineRule="auto"/>
              <w:ind w:firstLine="480" w:firstLineChars="200"/>
              <w:jc w:val="both"/>
              <w:rPr>
                <w:rFonts w:hint="default" w:eastAsia="宋体"/>
                <w:color w:val="000000" w:themeColor="text1"/>
                <w:kern w:val="21"/>
                <w:sz w:val="24"/>
                <w:lang w:val="en-US" w:eastAsia="zh-CN"/>
                <w14:textFill>
                  <w14:solidFill>
                    <w14:schemeClr w14:val="tx1"/>
                  </w14:solidFill>
                </w14:textFill>
              </w:rPr>
            </w:pPr>
            <w:r>
              <w:rPr>
                <w:rFonts w:hint="eastAsia"/>
                <w:color w:val="000000" w:themeColor="text1"/>
                <w:kern w:val="21"/>
                <w:sz w:val="24"/>
                <w:lang w:val="en-US" w:eastAsia="zh-CN"/>
                <w14:textFill>
                  <w14:solidFill>
                    <w14:schemeClr w14:val="tx1"/>
                  </w14:solidFill>
                </w14:textFill>
              </w:rPr>
              <w:t>①</w:t>
            </w:r>
            <w:r>
              <w:rPr>
                <w:color w:val="000000" w:themeColor="text1"/>
                <w:kern w:val="21"/>
                <w:sz w:val="24"/>
                <w14:textFill>
                  <w14:solidFill>
                    <w14:schemeClr w14:val="tx1"/>
                  </w14:solidFill>
                </w14:textFill>
              </w:rPr>
              <w:t>易扬尘物料覆盖。</w:t>
            </w:r>
            <w:r>
              <w:rPr>
                <w:color w:val="000000" w:themeColor="text1"/>
                <w:kern w:val="0"/>
                <w:sz w:val="24"/>
                <w:u w:val="none"/>
                <w14:textFill>
                  <w14:solidFill>
                    <w14:schemeClr w14:val="tx1"/>
                  </w14:solidFill>
                </w14:textFill>
              </w:rPr>
              <w:t>所有砂石、灰土、灰浆等易扬尘材料都必须以不透水的隔尘布完全覆盖或放置在顶部和四周均有遮蔽的范围内；防尘布或遮蔽装置的完好率必须大于95%；小批量且在8小时之内投入使用的物料除外</w:t>
            </w:r>
            <w:r>
              <w:rPr>
                <w:rFonts w:hint="eastAsia"/>
                <w:color w:val="000000" w:themeColor="text1"/>
                <w:kern w:val="21"/>
                <w:sz w:val="24"/>
                <w:lang w:val="en-US" w:eastAsia="zh-CN"/>
                <w14:textFill>
                  <w14:solidFill>
                    <w14:schemeClr w14:val="tx1"/>
                  </w14:solidFill>
                </w14:textFill>
              </w:rPr>
              <w:t>。</w:t>
            </w:r>
          </w:p>
          <w:p w14:paraId="0716F05E">
            <w:pPr>
              <w:keepNext/>
              <w:keepLines w:val="0"/>
              <w:pageBreakBefore w:val="0"/>
              <w:widowControl w:val="0"/>
              <w:kinsoku/>
              <w:wordWrap/>
              <w:overflowPunct/>
              <w:topLinePunct w:val="0"/>
              <w:autoSpaceDE/>
              <w:autoSpaceDN/>
              <w:bidi w:val="0"/>
              <w:adjustRightInd/>
              <w:snapToGrid/>
              <w:spacing w:line="360" w:lineRule="auto"/>
              <w:ind w:firstLine="480" w:firstLineChars="200"/>
              <w:jc w:val="both"/>
              <w:rPr>
                <w:color w:val="000000" w:themeColor="text1"/>
                <w:kern w:val="21"/>
                <w:sz w:val="24"/>
                <w14:textFill>
                  <w14:solidFill>
                    <w14:schemeClr w14:val="tx1"/>
                  </w14:solidFill>
                </w14:textFill>
              </w:rPr>
            </w:pPr>
            <w:r>
              <w:rPr>
                <w:rFonts w:hint="eastAsia"/>
                <w:color w:val="000000" w:themeColor="text1"/>
                <w:kern w:val="21"/>
                <w:sz w:val="24"/>
                <w:lang w:val="en-US" w:eastAsia="zh-CN"/>
                <w14:textFill>
                  <w14:solidFill>
                    <w14:schemeClr w14:val="tx1"/>
                  </w14:solidFill>
                </w14:textFill>
              </w:rPr>
              <w:t>②厂区</w:t>
            </w:r>
            <w:r>
              <w:rPr>
                <w:color w:val="000000" w:themeColor="text1"/>
                <w:kern w:val="21"/>
                <w:sz w:val="24"/>
                <w14:textFill>
                  <w14:solidFill>
                    <w14:schemeClr w14:val="tx1"/>
                  </w14:solidFill>
                </w14:textFill>
              </w:rPr>
              <w:t>定期</w:t>
            </w:r>
            <w:r>
              <w:rPr>
                <w:rFonts w:hint="eastAsia"/>
                <w:color w:val="000000" w:themeColor="text1"/>
                <w:kern w:val="21"/>
                <w:sz w:val="24"/>
                <w14:textFill>
                  <w14:solidFill>
                    <w14:schemeClr w14:val="tx1"/>
                  </w14:solidFill>
                </w14:textFill>
              </w:rPr>
              <w:t>洒水</w:t>
            </w:r>
            <w:r>
              <w:rPr>
                <w:color w:val="000000" w:themeColor="text1"/>
                <w:kern w:val="21"/>
                <w:sz w:val="24"/>
                <w14:textFill>
                  <w14:solidFill>
                    <w14:schemeClr w14:val="tx1"/>
                  </w14:solidFill>
                </w14:textFill>
              </w:rPr>
              <w:t>抑尘</w:t>
            </w:r>
            <w:r>
              <w:rPr>
                <w:color w:val="000000" w:themeColor="text1"/>
                <w:kern w:val="0"/>
                <w:sz w:val="24"/>
                <w:u w:val="none"/>
                <w14:textFill>
                  <w14:solidFill>
                    <w14:schemeClr w14:val="tx1"/>
                  </w14:solidFill>
                </w14:textFill>
              </w:rPr>
              <w:t>。</w:t>
            </w:r>
          </w:p>
          <w:p w14:paraId="00790010">
            <w:pPr>
              <w:keepNext/>
              <w:keepLines w:val="0"/>
              <w:pageBreakBefore w:val="0"/>
              <w:widowControl w:val="0"/>
              <w:kinsoku/>
              <w:wordWrap/>
              <w:overflowPunct/>
              <w:topLinePunct w:val="0"/>
              <w:autoSpaceDE/>
              <w:autoSpaceDN/>
              <w:bidi w:val="0"/>
              <w:adjustRightInd/>
              <w:snapToGrid/>
              <w:spacing w:line="360" w:lineRule="auto"/>
              <w:ind w:firstLine="480" w:firstLineChars="200"/>
              <w:jc w:val="left"/>
              <w:rPr>
                <w:color w:val="000000" w:themeColor="text1"/>
                <w:kern w:val="21"/>
                <w:sz w:val="24"/>
                <w14:textFill>
                  <w14:solidFill>
                    <w14:schemeClr w14:val="tx1"/>
                  </w14:solidFill>
                </w14:textFill>
              </w:rPr>
            </w:pPr>
            <w:r>
              <w:rPr>
                <w:rFonts w:hint="eastAsia"/>
                <w:color w:val="000000" w:themeColor="text1"/>
                <w:kern w:val="21"/>
                <w:sz w:val="24"/>
                <w:lang w:val="en-US" w:eastAsia="zh-CN"/>
                <w14:textFill>
                  <w14:solidFill>
                    <w14:schemeClr w14:val="tx1"/>
                  </w14:solidFill>
                </w14:textFill>
              </w:rPr>
              <w:t>③</w:t>
            </w:r>
            <w:r>
              <w:rPr>
                <w:rFonts w:hint="eastAsia" w:ascii="Times New Roman" w:eastAsia="宋体"/>
                <w:color w:val="000000" w:themeColor="text1"/>
                <w:kern w:val="21"/>
                <w:sz w:val="24"/>
                <w:lang w:val="en-US" w:eastAsia="zh-CN"/>
                <w14:textFill>
                  <w14:solidFill>
                    <w14:schemeClr w14:val="tx1"/>
                  </w14:solidFill>
                </w14:textFill>
              </w:rPr>
              <w:t>大风天气下，尤其在春、秋季节时，合理安排施工时间，避免大风天气下进行</w:t>
            </w:r>
            <w:r>
              <w:rPr>
                <w:rFonts w:hint="eastAsia"/>
                <w:color w:val="000000" w:themeColor="text1"/>
                <w:kern w:val="21"/>
                <w:sz w:val="24"/>
                <w:lang w:val="en-US" w:eastAsia="zh-CN"/>
                <w14:textFill>
                  <w14:solidFill>
                    <w14:schemeClr w14:val="tx1"/>
                  </w14:solidFill>
                </w14:textFill>
              </w:rPr>
              <w:t>施工</w:t>
            </w:r>
            <w:r>
              <w:rPr>
                <w:rFonts w:hint="eastAsia" w:ascii="Times New Roman" w:eastAsia="宋体"/>
                <w:color w:val="000000" w:themeColor="text1"/>
                <w:kern w:val="21"/>
                <w:sz w:val="24"/>
                <w:lang w:val="en-US" w:eastAsia="zh-CN"/>
                <w14:textFill>
                  <w14:solidFill>
                    <w14:schemeClr w14:val="tx1"/>
                  </w14:solidFill>
                </w14:textFill>
              </w:rPr>
              <w:t>作业。</w:t>
            </w:r>
          </w:p>
          <w:p w14:paraId="4857AE6C">
            <w:pPr>
              <w:keepNext/>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eastAsia" w:eastAsia="宋体"/>
                <w:color w:val="000000" w:themeColor="text1"/>
                <w:kern w:val="21"/>
                <w:sz w:val="24"/>
                <w:lang w:val="en-US" w:eastAsia="zh-CN"/>
                <w14:textFill>
                  <w14:solidFill>
                    <w14:schemeClr w14:val="tx1"/>
                  </w14:solidFill>
                </w14:textFill>
              </w:rPr>
            </w:pPr>
            <w:r>
              <w:rPr>
                <w:rFonts w:hint="eastAsia"/>
                <w:color w:val="000000" w:themeColor="text1"/>
                <w:kern w:val="21"/>
                <w:sz w:val="24"/>
                <w:lang w:val="en-US" w:eastAsia="zh-CN"/>
                <w14:textFill>
                  <w14:solidFill>
                    <w14:schemeClr w14:val="tx1"/>
                  </w14:solidFill>
                </w14:textFill>
              </w:rPr>
              <w:t>④</w:t>
            </w:r>
            <w:r>
              <w:rPr>
                <w:rFonts w:hint="eastAsia"/>
                <w:color w:val="000000" w:themeColor="text1"/>
                <w:kern w:val="21"/>
                <w:sz w:val="24"/>
                <w14:textFill>
                  <w14:solidFill>
                    <w14:schemeClr w14:val="tx1"/>
                  </w14:solidFill>
                </w14:textFill>
              </w:rPr>
              <w:t>加强施工现场运输车辆管理。</w:t>
            </w:r>
            <w:r>
              <w:rPr>
                <w:rFonts w:hint="eastAsia"/>
                <w:color w:val="000000" w:themeColor="text1"/>
                <w:kern w:val="0"/>
                <w:sz w:val="24"/>
                <w:u w:val="none"/>
                <w14:textFill>
                  <w14:solidFill>
                    <w14:schemeClr w14:val="tx1"/>
                  </w14:solidFill>
                </w14:textFill>
              </w:rPr>
              <w:t>进出建筑工地的运输车辆必须车身整洁，装载车厢完好，装载货物堆码整齐，不得污染道路；运输车辆严禁带泥上路，严禁超载，渣土及易抛洒材料实行封闭车辆运输，防止建筑材料、垃圾和尘土飞扬、洒落和流溢，在进出施工工地的出入口地面设置湿润的草席，以减轻汽车轮胎行驶携带的扬尘。</w:t>
            </w:r>
          </w:p>
          <w:p w14:paraId="376E4F5A">
            <w:pPr>
              <w:keepNext/>
              <w:keepLines w:val="0"/>
              <w:pageBreakBefore w:val="0"/>
              <w:widowControl w:val="0"/>
              <w:kinsoku/>
              <w:wordWrap/>
              <w:overflowPunct/>
              <w:topLinePunct w:val="0"/>
              <w:autoSpaceDE/>
              <w:autoSpaceDN/>
              <w:bidi w:val="0"/>
              <w:adjustRightInd/>
              <w:snapToGrid/>
              <w:spacing w:line="360" w:lineRule="auto"/>
              <w:ind w:firstLine="480" w:firstLineChars="200"/>
              <w:jc w:val="left"/>
              <w:rPr>
                <w:color w:val="000000" w:themeColor="text1"/>
                <w:kern w:val="21"/>
                <w:sz w:val="24"/>
                <w14:textFill>
                  <w14:solidFill>
                    <w14:schemeClr w14:val="tx1"/>
                  </w14:solidFill>
                </w14:textFill>
              </w:rPr>
            </w:pPr>
            <w:r>
              <w:rPr>
                <w:rFonts w:hint="eastAsia"/>
                <w:color w:val="000000" w:themeColor="text1"/>
                <w:kern w:val="21"/>
                <w:sz w:val="24"/>
                <w:lang w:val="en-US" w:eastAsia="zh-CN"/>
                <w14:textFill>
                  <w14:solidFill>
                    <w14:schemeClr w14:val="tx1"/>
                  </w14:solidFill>
                </w14:textFill>
              </w:rPr>
              <w:t>⑤</w:t>
            </w:r>
            <w:r>
              <w:rPr>
                <w:rFonts w:hint="eastAsia"/>
                <w:color w:val="000000" w:themeColor="text1"/>
                <w:kern w:val="21"/>
                <w:sz w:val="24"/>
                <w14:textFill>
                  <w14:solidFill>
                    <w14:schemeClr w14:val="tx1"/>
                  </w14:solidFill>
                </w14:textFill>
              </w:rPr>
              <w:t>将扬尘防治措施纳入施工合同。</w:t>
            </w:r>
          </w:p>
          <w:p w14:paraId="7A617503">
            <w:pPr>
              <w:keepNext/>
              <w:keepLines w:val="0"/>
              <w:pageBreakBefore w:val="0"/>
              <w:widowControl w:val="0"/>
              <w:kinsoku/>
              <w:wordWrap/>
              <w:overflowPunct/>
              <w:topLinePunct w:val="0"/>
              <w:autoSpaceDE/>
              <w:autoSpaceDN/>
              <w:bidi w:val="0"/>
              <w:adjustRightInd/>
              <w:snapToGrid/>
              <w:spacing w:line="360" w:lineRule="auto"/>
              <w:ind w:firstLine="480" w:firstLineChars="200"/>
              <w:jc w:val="left"/>
              <w:rPr>
                <w:color w:val="000000" w:themeColor="text1"/>
                <w:kern w:val="21"/>
                <w:sz w:val="24"/>
                <w14:textFill>
                  <w14:solidFill>
                    <w14:schemeClr w14:val="tx1"/>
                  </w14:solidFill>
                </w14:textFill>
              </w:rPr>
            </w:pPr>
            <w:r>
              <w:rPr>
                <w:color w:val="000000" w:themeColor="text1"/>
                <w:kern w:val="21"/>
                <w:sz w:val="24"/>
                <w14:textFill>
                  <w14:solidFill>
                    <w14:schemeClr w14:val="tx1"/>
                  </w14:solidFill>
                </w14:textFill>
              </w:rPr>
              <w:t>施工期产生的扬尘污染是短期的，随着施工活动的结束，施工扬尘对环境空气的影响也就随之结束。</w:t>
            </w:r>
          </w:p>
          <w:p w14:paraId="7865A139">
            <w:pPr>
              <w:keepNext/>
              <w:keepLines w:val="0"/>
              <w:pageBreakBefore w:val="0"/>
              <w:widowControl w:val="0"/>
              <w:kinsoku/>
              <w:wordWrap/>
              <w:overflowPunct/>
              <w:topLinePunct w:val="0"/>
              <w:autoSpaceDE/>
              <w:autoSpaceDN/>
              <w:bidi w:val="0"/>
              <w:adjustRightInd/>
              <w:snapToGrid/>
              <w:spacing w:line="360" w:lineRule="auto"/>
              <w:ind w:firstLine="482" w:firstLineChars="200"/>
              <w:rPr>
                <w:b/>
                <w:bCs/>
                <w:color w:val="000000" w:themeColor="text1"/>
                <w:kern w:val="21"/>
                <w:sz w:val="24"/>
                <w14:textFill>
                  <w14:solidFill>
                    <w14:schemeClr w14:val="tx1"/>
                  </w14:solidFill>
                </w14:textFill>
              </w:rPr>
            </w:pPr>
            <w:r>
              <w:rPr>
                <w:rFonts w:hint="eastAsia"/>
                <w:b/>
                <w:bCs/>
                <w:color w:val="000000" w:themeColor="text1"/>
                <w:kern w:val="21"/>
                <w:sz w:val="24"/>
                <w14:textFill>
                  <w14:solidFill>
                    <w14:schemeClr w14:val="tx1"/>
                  </w14:solidFill>
                </w14:textFill>
              </w:rPr>
              <w:t>（2）施工机械、运输车辆尾气</w:t>
            </w:r>
          </w:p>
          <w:p w14:paraId="443FBE31">
            <w:pPr>
              <w:keepNext/>
              <w:keepLines w:val="0"/>
              <w:pageBreakBefore w:val="0"/>
              <w:widowControl w:val="0"/>
              <w:kinsoku/>
              <w:wordWrap/>
              <w:overflowPunct/>
              <w:topLinePunct w:val="0"/>
              <w:autoSpaceDE/>
              <w:autoSpaceDN/>
              <w:bidi w:val="0"/>
              <w:adjustRightInd/>
              <w:snapToGrid/>
              <w:spacing w:line="360" w:lineRule="auto"/>
              <w:ind w:firstLine="480" w:firstLineChars="200"/>
              <w:rPr>
                <w:color w:val="000000" w:themeColor="text1"/>
                <w:kern w:val="21"/>
                <w:sz w:val="24"/>
                <w14:textFill>
                  <w14:solidFill>
                    <w14:schemeClr w14:val="tx1"/>
                  </w14:solidFill>
                </w14:textFill>
              </w:rPr>
            </w:pPr>
            <w:r>
              <w:rPr>
                <w:rFonts w:hint="eastAsia"/>
                <w:color w:val="000000" w:themeColor="text1"/>
                <w:kern w:val="21"/>
                <w:sz w:val="24"/>
                <w14:textFill>
                  <w14:solidFill>
                    <w14:schemeClr w14:val="tx1"/>
                  </w14:solidFill>
                </w14:textFill>
              </w:rPr>
              <w:t>施工机械和运输车辆在运行时排放的尾气会对环境产生一定的影响。环评要求施工单位严格运输车辆及施工机械管理，维持车辆及机械设备运行良好。</w:t>
            </w:r>
          </w:p>
          <w:p w14:paraId="726A367B">
            <w:pPr>
              <w:keepNext/>
              <w:keepLines w:val="0"/>
              <w:pageBreakBefore w:val="0"/>
              <w:widowControl w:val="0"/>
              <w:kinsoku/>
              <w:wordWrap/>
              <w:overflowPunct/>
              <w:topLinePunct w:val="0"/>
              <w:autoSpaceDE/>
              <w:autoSpaceDN/>
              <w:bidi w:val="0"/>
              <w:adjustRightInd/>
              <w:snapToGrid/>
              <w:spacing w:line="360" w:lineRule="auto"/>
              <w:ind w:firstLine="480" w:firstLineChars="200"/>
              <w:rPr>
                <w:color w:val="000000" w:themeColor="text1"/>
                <w:kern w:val="21"/>
                <w:sz w:val="24"/>
                <w14:textFill>
                  <w14:solidFill>
                    <w14:schemeClr w14:val="tx1"/>
                  </w14:solidFill>
                </w14:textFill>
              </w:rPr>
            </w:pPr>
            <w:r>
              <w:rPr>
                <w:color w:val="000000" w:themeColor="text1"/>
                <w:kern w:val="21"/>
                <w:sz w:val="24"/>
                <w:lang w:val="zh-CN"/>
                <w14:textFill>
                  <w14:solidFill>
                    <w14:schemeClr w14:val="tx1"/>
                  </w14:solidFill>
                </w14:textFill>
              </w:rPr>
              <w:t>施工机械废气主要是CO、碳氢化合物等，其产生量及废气中污染物浓度视其使用频率及发动机对燃料的燃烧情况而异。施工机械废气属低架点源无组织排放性质，具有间断性产生、产生量较小、产生点相对分散、易被稀释扩散等特点，加之项目区施工范围相对较大，施工场地周围较空旷，大气扩散条件相对较好，故一般情况下，施工机械和运输车辆所产生污染在空气中经自然扩散和稀释后，对评价区域的空气环境质量影响不大。</w:t>
            </w:r>
          </w:p>
          <w:p w14:paraId="7A5F1C5E">
            <w:pPr>
              <w:keepNext/>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olor w:val="000000" w:themeColor="text1"/>
                <w:kern w:val="21"/>
                <w:sz w:val="24"/>
                <w14:textFill>
                  <w14:solidFill>
                    <w14:schemeClr w14:val="tx1"/>
                  </w14:solidFill>
                </w14:textFill>
              </w:rPr>
            </w:pPr>
            <w:r>
              <w:rPr>
                <w:rFonts w:hint="eastAsia"/>
                <w:color w:val="000000" w:themeColor="text1"/>
                <w:kern w:val="21"/>
                <w:sz w:val="24"/>
                <w14:textFill>
                  <w14:solidFill>
                    <w14:schemeClr w14:val="tx1"/>
                  </w14:solidFill>
                </w14:textFill>
              </w:rPr>
              <w:t>随着</w:t>
            </w:r>
            <w:r>
              <w:rPr>
                <w:rFonts w:hint="eastAsia"/>
                <w:color w:val="000000" w:themeColor="text1"/>
                <w:kern w:val="21"/>
                <w:sz w:val="24"/>
                <w:lang w:val="en-US" w:eastAsia="zh-CN"/>
                <w14:textFill>
                  <w14:solidFill>
                    <w14:schemeClr w14:val="tx1"/>
                  </w14:solidFill>
                </w14:textFill>
              </w:rPr>
              <w:t>施工</w:t>
            </w:r>
            <w:r>
              <w:rPr>
                <w:rFonts w:hint="eastAsia"/>
                <w:color w:val="000000" w:themeColor="text1"/>
                <w:kern w:val="21"/>
                <w:sz w:val="24"/>
                <w14:textFill>
                  <w14:solidFill>
                    <w14:schemeClr w14:val="tx1"/>
                  </w14:solidFill>
                </w14:textFill>
              </w:rPr>
              <w:t>结束，对环境的不利影响随之结束。</w:t>
            </w:r>
          </w:p>
          <w:p w14:paraId="2DA0F902">
            <w:pPr>
              <w:keepNext/>
              <w:keepLines w:val="0"/>
              <w:pageBreakBefore w:val="0"/>
              <w:widowControl w:val="0"/>
              <w:kinsoku/>
              <w:wordWrap/>
              <w:overflowPunct/>
              <w:topLinePunct w:val="0"/>
              <w:autoSpaceDE/>
              <w:autoSpaceDN/>
              <w:bidi w:val="0"/>
              <w:adjustRightInd/>
              <w:snapToGrid/>
              <w:spacing w:line="360" w:lineRule="auto"/>
              <w:rPr>
                <w:b/>
                <w:color w:val="000000" w:themeColor="text1"/>
                <w:kern w:val="21"/>
                <w:sz w:val="24"/>
                <w14:textFill>
                  <w14:solidFill>
                    <w14:schemeClr w14:val="tx1"/>
                  </w14:solidFill>
                </w14:textFill>
              </w:rPr>
            </w:pPr>
            <w:r>
              <w:rPr>
                <w:rFonts w:hint="eastAsia"/>
                <w:b/>
                <w:color w:val="000000" w:themeColor="text1"/>
                <w:kern w:val="21"/>
                <w:sz w:val="24"/>
                <w:lang w:val="en-US" w:eastAsia="zh-CN"/>
                <w14:textFill>
                  <w14:solidFill>
                    <w14:schemeClr w14:val="tx1"/>
                  </w14:solidFill>
                </w14:textFill>
              </w:rPr>
              <w:t>4.1.2施工期</w:t>
            </w:r>
            <w:r>
              <w:rPr>
                <w:rFonts w:hint="eastAsia"/>
                <w:b/>
                <w:color w:val="000000" w:themeColor="text1"/>
                <w:kern w:val="21"/>
                <w:sz w:val="24"/>
                <w14:textFill>
                  <w14:solidFill>
                    <w14:schemeClr w14:val="tx1"/>
                  </w14:solidFill>
                </w14:textFill>
              </w:rPr>
              <w:t>废水</w:t>
            </w:r>
            <w:r>
              <w:rPr>
                <w:rFonts w:hint="eastAsia"/>
                <w:b/>
                <w:color w:val="000000" w:themeColor="text1"/>
                <w:kern w:val="21"/>
                <w:sz w:val="24"/>
                <w:lang w:val="en-US" w:eastAsia="zh-CN"/>
                <w14:textFill>
                  <w14:solidFill>
                    <w14:schemeClr w14:val="tx1"/>
                  </w14:solidFill>
                </w14:textFill>
              </w:rPr>
              <w:t>环境影响和环境保护措施</w:t>
            </w:r>
          </w:p>
          <w:p w14:paraId="08E9A691">
            <w:pPr>
              <w:keepNext/>
              <w:keepLines w:val="0"/>
              <w:pageBreakBefore w:val="0"/>
              <w:widowControl w:val="0"/>
              <w:kinsoku/>
              <w:wordWrap/>
              <w:overflowPunct/>
              <w:topLinePunct w:val="0"/>
              <w:autoSpaceDE/>
              <w:autoSpaceDN/>
              <w:bidi w:val="0"/>
              <w:adjustRightInd/>
              <w:snapToGrid/>
              <w:spacing w:line="360" w:lineRule="auto"/>
              <w:ind w:firstLine="482" w:firstLineChars="200"/>
              <w:rPr>
                <w:b/>
                <w:bCs/>
                <w:color w:val="000000" w:themeColor="text1"/>
                <w:kern w:val="21"/>
                <w:sz w:val="24"/>
                <w14:textFill>
                  <w14:solidFill>
                    <w14:schemeClr w14:val="tx1"/>
                  </w14:solidFill>
                </w14:textFill>
              </w:rPr>
            </w:pPr>
            <w:bookmarkStart w:id="22" w:name="_Toc14957231"/>
            <w:r>
              <w:rPr>
                <w:b/>
                <w:bCs/>
                <w:color w:val="000000" w:themeColor="text1"/>
                <w:kern w:val="21"/>
                <w:sz w:val="24"/>
                <w14:textFill>
                  <w14:solidFill>
                    <w14:schemeClr w14:val="tx1"/>
                  </w14:solidFill>
                </w14:textFill>
              </w:rPr>
              <w:t>（1）施工废水</w:t>
            </w:r>
            <w:bookmarkEnd w:id="22"/>
          </w:p>
          <w:p w14:paraId="2B140C95">
            <w:pPr>
              <w:keepNext/>
              <w:keepLines w:val="0"/>
              <w:pageBreakBefore w:val="0"/>
              <w:widowControl w:val="0"/>
              <w:kinsoku/>
              <w:wordWrap/>
              <w:overflowPunct/>
              <w:topLinePunct w:val="0"/>
              <w:autoSpaceDE/>
              <w:autoSpaceDN/>
              <w:bidi w:val="0"/>
              <w:adjustRightInd/>
              <w:snapToGrid/>
              <w:spacing w:line="360" w:lineRule="auto"/>
              <w:ind w:firstLine="480" w:firstLineChars="200"/>
              <w:rPr>
                <w:color w:val="000000" w:themeColor="text1"/>
                <w:kern w:val="21"/>
                <w:sz w:val="24"/>
                <w:lang w:val="zh-CN"/>
                <w14:textFill>
                  <w14:solidFill>
                    <w14:schemeClr w14:val="tx1"/>
                  </w14:solidFill>
                </w14:textFill>
              </w:rPr>
            </w:pPr>
            <w:r>
              <w:rPr>
                <w:color w:val="000000" w:themeColor="text1"/>
                <w:kern w:val="21"/>
                <w:sz w:val="24"/>
                <w:lang w:val="zh-CN"/>
                <w14:textFill>
                  <w14:solidFill>
                    <w14:schemeClr w14:val="tx1"/>
                  </w14:solidFill>
                </w14:textFill>
              </w:rPr>
              <w:t>施工废水</w:t>
            </w:r>
            <w:r>
              <w:rPr>
                <w:rFonts w:hint="eastAsia"/>
                <w:color w:val="000000" w:themeColor="text1"/>
                <w:kern w:val="21"/>
                <w:sz w:val="24"/>
                <w:lang w:val="en-US" w:eastAsia="zh-CN"/>
                <w14:textFill>
                  <w14:solidFill>
                    <w14:schemeClr w14:val="tx1"/>
                  </w14:solidFill>
                </w14:textFill>
              </w:rPr>
              <w:t>主要为新建工程</w:t>
            </w:r>
            <w:r>
              <w:rPr>
                <w:color w:val="000000" w:themeColor="text1"/>
                <w:kern w:val="21"/>
                <w:sz w:val="24"/>
                <w:lang w:val="zh-CN"/>
                <w14:textFill>
                  <w14:solidFill>
                    <w14:schemeClr w14:val="tx1"/>
                  </w14:solidFill>
                </w14:textFill>
              </w:rPr>
              <w:t>在建筑材料冲洗时产生。</w:t>
            </w:r>
            <w:r>
              <w:rPr>
                <w:rFonts w:hint="eastAsia"/>
                <w:color w:val="000000" w:themeColor="text1"/>
                <w:kern w:val="21"/>
                <w:sz w:val="24"/>
                <w14:textFill>
                  <w14:solidFill>
                    <w14:schemeClr w14:val="tx1"/>
                  </w14:solidFill>
                </w14:textFill>
              </w:rPr>
              <w:t>环评要求施工场地</w:t>
            </w:r>
            <w:r>
              <w:rPr>
                <w:color w:val="000000" w:themeColor="text1"/>
                <w:kern w:val="21"/>
                <w:sz w:val="24"/>
                <w:lang w:val="zh-CN"/>
                <w14:textFill>
                  <w14:solidFill>
                    <w14:schemeClr w14:val="tx1"/>
                  </w14:solidFill>
                </w14:textFill>
              </w:rPr>
              <w:t>设置临时</w:t>
            </w:r>
            <w:r>
              <w:rPr>
                <w:rFonts w:hint="eastAsia"/>
                <w:color w:val="000000" w:themeColor="text1"/>
                <w:kern w:val="21"/>
                <w:sz w:val="24"/>
                <w:lang w:val="en-US" w:eastAsia="zh-CN"/>
                <w14:textFill>
                  <w14:solidFill>
                    <w14:schemeClr w14:val="tx1"/>
                  </w14:solidFill>
                </w14:textFill>
              </w:rPr>
              <w:t>沉淀池（容积：2m</w:t>
            </w:r>
            <w:r>
              <w:rPr>
                <w:rFonts w:hint="eastAsia"/>
                <w:color w:val="000000" w:themeColor="text1"/>
                <w:kern w:val="21"/>
                <w:sz w:val="24"/>
                <w:vertAlign w:val="superscript"/>
                <w:lang w:val="en-US" w:eastAsia="zh-CN"/>
                <w14:textFill>
                  <w14:solidFill>
                    <w14:schemeClr w14:val="tx1"/>
                  </w14:solidFill>
                </w14:textFill>
              </w:rPr>
              <w:t>3</w:t>
            </w:r>
            <w:r>
              <w:rPr>
                <w:rFonts w:hint="eastAsia"/>
                <w:color w:val="000000" w:themeColor="text1"/>
                <w:kern w:val="21"/>
                <w:sz w:val="24"/>
                <w:lang w:val="en-US" w:eastAsia="zh-CN"/>
                <w14:textFill>
                  <w14:solidFill>
                    <w14:schemeClr w14:val="tx1"/>
                  </w14:solidFill>
                </w14:textFill>
              </w:rPr>
              <w:t>）</w:t>
            </w:r>
            <w:r>
              <w:rPr>
                <w:rFonts w:hint="eastAsia"/>
                <w:color w:val="000000" w:themeColor="text1"/>
                <w:kern w:val="21"/>
                <w:sz w:val="24"/>
                <w14:textFill>
                  <w14:solidFill>
                    <w14:schemeClr w14:val="tx1"/>
                  </w14:solidFill>
                </w14:textFill>
              </w:rPr>
              <w:t>用于收集施工废水，</w:t>
            </w:r>
            <w:r>
              <w:rPr>
                <w:rFonts w:hint="eastAsia"/>
                <w:color w:val="000000" w:themeColor="text1"/>
                <w:kern w:val="21"/>
                <w:sz w:val="24"/>
                <w:lang w:val="en-US" w:eastAsia="zh-CN"/>
                <w14:textFill>
                  <w14:solidFill>
                    <w14:schemeClr w14:val="tx1"/>
                  </w14:solidFill>
                </w14:textFill>
              </w:rPr>
              <w:t>施工</w:t>
            </w:r>
            <w:r>
              <w:rPr>
                <w:rFonts w:hint="eastAsia"/>
                <w:color w:val="000000" w:themeColor="text1"/>
                <w:kern w:val="21"/>
                <w:sz w:val="24"/>
                <w14:textFill>
                  <w14:solidFill>
                    <w14:schemeClr w14:val="tx1"/>
                  </w14:solidFill>
                </w14:textFill>
              </w:rPr>
              <w:t>废水经</w:t>
            </w:r>
            <w:r>
              <w:rPr>
                <w:rFonts w:hint="eastAsia"/>
                <w:color w:val="000000" w:themeColor="text1"/>
                <w:kern w:val="21"/>
                <w:sz w:val="24"/>
                <w:lang w:val="en-US" w:eastAsia="zh-CN"/>
                <w14:textFill>
                  <w14:solidFill>
                    <w14:schemeClr w14:val="tx1"/>
                  </w14:solidFill>
                </w14:textFill>
              </w:rPr>
              <w:t>收集</w:t>
            </w:r>
            <w:r>
              <w:rPr>
                <w:rFonts w:hint="eastAsia"/>
                <w:color w:val="000000" w:themeColor="text1"/>
                <w:kern w:val="21"/>
                <w:sz w:val="24"/>
                <w14:textFill>
                  <w14:solidFill>
                    <w14:schemeClr w14:val="tx1"/>
                  </w14:solidFill>
                </w14:textFill>
              </w:rPr>
              <w:t>后</w:t>
            </w:r>
            <w:r>
              <w:rPr>
                <w:color w:val="000000" w:themeColor="text1"/>
                <w:kern w:val="21"/>
                <w:sz w:val="24"/>
                <w:lang w:val="zh-CN"/>
                <w14:textFill>
                  <w14:solidFill>
                    <w14:schemeClr w14:val="tx1"/>
                  </w14:solidFill>
                </w14:textFill>
              </w:rPr>
              <w:t>回用</w:t>
            </w:r>
            <w:r>
              <w:rPr>
                <w:rFonts w:hint="eastAsia"/>
                <w:color w:val="000000" w:themeColor="text1"/>
                <w:kern w:val="21"/>
                <w:sz w:val="24"/>
                <w14:textFill>
                  <w14:solidFill>
                    <w14:schemeClr w14:val="tx1"/>
                  </w14:solidFill>
                </w14:textFill>
              </w:rPr>
              <w:t>于</w:t>
            </w:r>
            <w:r>
              <w:rPr>
                <w:rFonts w:hint="eastAsia"/>
                <w:color w:val="000000" w:themeColor="text1"/>
                <w:kern w:val="21"/>
                <w:sz w:val="24"/>
                <w:lang w:val="en-US" w:eastAsia="zh-CN"/>
                <w14:textFill>
                  <w14:solidFill>
                    <w14:schemeClr w14:val="tx1"/>
                  </w14:solidFill>
                </w14:textFill>
              </w:rPr>
              <w:t>混凝土拌和或</w:t>
            </w:r>
            <w:r>
              <w:rPr>
                <w:color w:val="000000" w:themeColor="text1"/>
                <w:kern w:val="21"/>
                <w:sz w:val="24"/>
                <w:lang w:val="zh-CN"/>
                <w14:textFill>
                  <w14:solidFill>
                    <w14:schemeClr w14:val="tx1"/>
                  </w14:solidFill>
                </w14:textFill>
              </w:rPr>
              <w:t>场地洒水抑尘，不外排。</w:t>
            </w:r>
          </w:p>
          <w:p w14:paraId="163C6101">
            <w:pPr>
              <w:keepNext/>
              <w:keepLines w:val="0"/>
              <w:pageBreakBefore w:val="0"/>
              <w:widowControl w:val="0"/>
              <w:kinsoku/>
              <w:wordWrap/>
              <w:overflowPunct/>
              <w:topLinePunct w:val="0"/>
              <w:autoSpaceDE/>
              <w:autoSpaceDN/>
              <w:bidi w:val="0"/>
              <w:adjustRightInd/>
              <w:snapToGrid/>
              <w:spacing w:line="360" w:lineRule="auto"/>
              <w:ind w:firstLine="482" w:firstLineChars="200"/>
              <w:rPr>
                <w:b/>
                <w:bCs/>
                <w:color w:val="000000" w:themeColor="text1"/>
                <w:kern w:val="21"/>
                <w:sz w:val="24"/>
                <w14:textFill>
                  <w14:solidFill>
                    <w14:schemeClr w14:val="tx1"/>
                  </w14:solidFill>
                </w14:textFill>
              </w:rPr>
            </w:pPr>
            <w:bookmarkStart w:id="23" w:name="_Toc14957232"/>
            <w:r>
              <w:rPr>
                <w:b/>
                <w:bCs/>
                <w:color w:val="000000" w:themeColor="text1"/>
                <w:kern w:val="21"/>
                <w:sz w:val="24"/>
                <w14:textFill>
                  <w14:solidFill>
                    <w14:schemeClr w14:val="tx1"/>
                  </w14:solidFill>
                </w14:textFill>
              </w:rPr>
              <w:t>（2）施工人员</w:t>
            </w:r>
            <w:r>
              <w:rPr>
                <w:rFonts w:hint="eastAsia"/>
                <w:b/>
                <w:bCs/>
                <w:color w:val="000000" w:themeColor="text1"/>
                <w:kern w:val="21"/>
                <w:sz w:val="24"/>
                <w:lang w:eastAsia="zh-CN"/>
                <w14:textFill>
                  <w14:solidFill>
                    <w14:schemeClr w14:val="tx1"/>
                  </w14:solidFill>
                </w14:textFill>
              </w:rPr>
              <w:t>生活污水</w:t>
            </w:r>
            <w:bookmarkEnd w:id="23"/>
          </w:p>
          <w:p w14:paraId="75655B82">
            <w:pPr>
              <w:keepNext/>
              <w:keepLines w:val="0"/>
              <w:pageBreakBefore w:val="0"/>
              <w:widowControl w:val="0"/>
              <w:kinsoku/>
              <w:wordWrap/>
              <w:overflowPunct/>
              <w:topLinePunct w:val="0"/>
              <w:autoSpaceDE/>
              <w:autoSpaceDN/>
              <w:bidi w:val="0"/>
              <w:adjustRightInd/>
              <w:snapToGrid/>
              <w:spacing w:line="360" w:lineRule="auto"/>
              <w:ind w:firstLine="480" w:firstLineChars="200"/>
              <w:rPr>
                <w:rFonts w:hint="default"/>
                <w:color w:val="000000" w:themeColor="text1"/>
                <w:kern w:val="21"/>
                <w:sz w:val="24"/>
                <w:lang w:val="en-US"/>
                <w14:textFill>
                  <w14:solidFill>
                    <w14:schemeClr w14:val="tx1"/>
                  </w14:solidFill>
                </w14:textFill>
              </w:rPr>
            </w:pPr>
            <w:r>
              <w:rPr>
                <w:rFonts w:hint="eastAsia"/>
                <w:color w:val="000000" w:themeColor="text1"/>
                <w:kern w:val="21"/>
                <w:sz w:val="24"/>
                <w14:textFill>
                  <w14:solidFill>
                    <w14:schemeClr w14:val="tx1"/>
                  </w14:solidFill>
                </w14:textFill>
              </w:rPr>
              <w:t>施工场地不设食宿营地，</w:t>
            </w:r>
            <w:r>
              <w:rPr>
                <w:color w:val="000000" w:themeColor="text1"/>
                <w:kern w:val="21"/>
                <w:sz w:val="24"/>
                <w:lang w:val="zh-CN"/>
                <w14:textFill>
                  <w14:solidFill>
                    <w14:schemeClr w14:val="tx1"/>
                  </w14:solidFill>
                </w14:textFill>
              </w:rPr>
              <w:t>施工员工</w:t>
            </w:r>
            <w:r>
              <w:rPr>
                <w:rFonts w:hint="eastAsia"/>
                <w:color w:val="000000" w:themeColor="text1"/>
                <w:kern w:val="21"/>
                <w:sz w:val="24"/>
                <w:lang w:val="zh-CN"/>
                <w14:textFill>
                  <w14:solidFill>
                    <w14:schemeClr w14:val="tx1"/>
                  </w14:solidFill>
                </w14:textFill>
              </w:rPr>
              <w:t>生活污水</w:t>
            </w:r>
            <w:r>
              <w:rPr>
                <w:color w:val="000000" w:themeColor="text1"/>
                <w:kern w:val="21"/>
                <w:sz w:val="24"/>
                <w:lang w:val="zh-CN"/>
                <w14:textFill>
                  <w14:solidFill>
                    <w14:schemeClr w14:val="tx1"/>
                  </w14:solidFill>
                </w14:textFill>
              </w:rPr>
              <w:t>主要为</w:t>
            </w:r>
            <w:r>
              <w:rPr>
                <w:rFonts w:hint="eastAsia"/>
                <w:color w:val="000000" w:themeColor="text1"/>
                <w:kern w:val="21"/>
                <w:sz w:val="24"/>
                <w14:textFill>
                  <w14:solidFill>
                    <w14:schemeClr w14:val="tx1"/>
                  </w14:solidFill>
                </w14:textFill>
              </w:rPr>
              <w:t>盥洗</w:t>
            </w:r>
            <w:r>
              <w:rPr>
                <w:color w:val="000000" w:themeColor="text1"/>
                <w:kern w:val="21"/>
                <w:sz w:val="24"/>
                <w:lang w:val="zh-CN"/>
                <w14:textFill>
                  <w14:solidFill>
                    <w14:schemeClr w14:val="tx1"/>
                  </w14:solidFill>
                </w14:textFill>
              </w:rPr>
              <w:t>废水</w:t>
            </w:r>
            <w:r>
              <w:rPr>
                <w:rFonts w:hint="eastAsia"/>
                <w:color w:val="000000" w:themeColor="text1"/>
                <w:kern w:val="21"/>
                <w:sz w:val="24"/>
                <w:lang w:val="zh-CN"/>
                <w14:textFill>
                  <w14:solidFill>
                    <w14:schemeClr w14:val="tx1"/>
                  </w14:solidFill>
                </w14:textFill>
              </w:rPr>
              <w:t>。</w:t>
            </w:r>
            <w:r>
              <w:rPr>
                <w:rFonts w:hint="eastAsia"/>
                <w:color w:val="000000" w:themeColor="text1"/>
                <w:kern w:val="21"/>
                <w:sz w:val="24"/>
                <w:lang w:val="en-US" w:eastAsia="zh-CN"/>
                <w14:textFill>
                  <w14:solidFill>
                    <w14:schemeClr w14:val="tx1"/>
                  </w14:solidFill>
                </w14:textFill>
              </w:rPr>
              <w:t>施工人员生活污水依托</w:t>
            </w:r>
            <w:r>
              <w:rPr>
                <w:rFonts w:hint="eastAsia"/>
                <w:color w:val="000000" w:themeColor="text1"/>
                <w:sz w:val="24"/>
                <w:lang w:val="en-US" w:eastAsia="zh-CN"/>
                <w14:textFill>
                  <w14:solidFill>
                    <w14:schemeClr w14:val="tx1"/>
                  </w14:solidFill>
                </w14:textFill>
              </w:rPr>
              <w:t>曲靖市东五六供应链管理有限公司</w:t>
            </w:r>
            <w:r>
              <w:rPr>
                <w:rFonts w:hint="eastAsia"/>
                <w:color w:val="000000" w:themeColor="text1"/>
                <w:kern w:val="21"/>
                <w:sz w:val="24"/>
                <w:lang w:val="en-US" w:eastAsia="zh-CN"/>
                <w14:textFill>
                  <w14:solidFill>
                    <w14:schemeClr w14:val="tx1"/>
                  </w14:solidFill>
                </w14:textFill>
              </w:rPr>
              <w:t>已建1个化粪池（容积：10m</w:t>
            </w:r>
            <w:r>
              <w:rPr>
                <w:rFonts w:hint="eastAsia"/>
                <w:color w:val="000000" w:themeColor="text1"/>
                <w:kern w:val="21"/>
                <w:sz w:val="24"/>
                <w:vertAlign w:val="superscript"/>
                <w:lang w:val="en-US" w:eastAsia="zh-CN"/>
                <w14:textFill>
                  <w14:solidFill>
                    <w14:schemeClr w14:val="tx1"/>
                  </w14:solidFill>
                </w14:textFill>
              </w:rPr>
              <w:t>3</w:t>
            </w:r>
            <w:r>
              <w:rPr>
                <w:rFonts w:hint="eastAsia"/>
                <w:color w:val="000000" w:themeColor="text1"/>
                <w:kern w:val="21"/>
                <w:sz w:val="24"/>
                <w:lang w:val="en-US" w:eastAsia="zh-CN"/>
                <w14:textFill>
                  <w14:solidFill>
                    <w14:schemeClr w14:val="tx1"/>
                  </w14:solidFill>
                </w14:textFill>
              </w:rPr>
              <w:t>）收集</w:t>
            </w:r>
            <w:r>
              <w:rPr>
                <w:rFonts w:hint="eastAsia" w:ascii="Times New Roman" w:hAnsi="Times New Roman" w:cs="Times New Roman"/>
                <w:color w:val="000000" w:themeColor="text1"/>
                <w:sz w:val="24"/>
                <w:vertAlign w:val="baseline"/>
                <w:lang w:val="en-US" w:eastAsia="zh-CN"/>
                <w14:textFill>
                  <w14:solidFill>
                    <w14:schemeClr w14:val="tx1"/>
                  </w14:solidFill>
                </w14:textFill>
              </w:rPr>
              <w:t>后委托</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麒麟区</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环卫部门</w:t>
            </w:r>
            <w:r>
              <w:rPr>
                <w:rFonts w:hint="eastAsia" w:ascii="Times New Roman" w:hAnsi="Times New Roman" w:cs="Times New Roman"/>
                <w:color w:val="000000" w:themeColor="text1"/>
                <w:sz w:val="24"/>
                <w:vertAlign w:val="baseline"/>
                <w:lang w:val="en-US" w:eastAsia="zh-CN"/>
                <w14:textFill>
                  <w14:solidFill>
                    <w14:schemeClr w14:val="tx1"/>
                  </w14:solidFill>
                </w14:textFill>
              </w:rPr>
              <w:t>清掏处理</w:t>
            </w:r>
            <w:r>
              <w:rPr>
                <w:rFonts w:hint="eastAsia"/>
                <w:color w:val="000000" w:themeColor="text1"/>
                <w:kern w:val="21"/>
                <w:sz w:val="24"/>
                <w:lang w:val="en-US" w:eastAsia="zh-CN"/>
                <w14:textFill>
                  <w14:solidFill>
                    <w14:schemeClr w14:val="tx1"/>
                  </w14:solidFill>
                </w14:textFill>
              </w:rPr>
              <w:t>，不外排。</w:t>
            </w:r>
          </w:p>
          <w:p w14:paraId="7CA62362">
            <w:pPr>
              <w:keepNext/>
              <w:keepLines w:val="0"/>
              <w:pageBreakBefore w:val="0"/>
              <w:widowControl w:val="0"/>
              <w:kinsoku/>
              <w:wordWrap/>
              <w:overflowPunct/>
              <w:topLinePunct w:val="0"/>
              <w:autoSpaceDE/>
              <w:autoSpaceDN/>
              <w:bidi w:val="0"/>
              <w:adjustRightInd/>
              <w:snapToGrid/>
              <w:spacing w:line="360" w:lineRule="auto"/>
              <w:rPr>
                <w:b/>
                <w:color w:val="000000" w:themeColor="text1"/>
                <w:kern w:val="21"/>
                <w:sz w:val="24"/>
                <w14:textFill>
                  <w14:solidFill>
                    <w14:schemeClr w14:val="tx1"/>
                  </w14:solidFill>
                </w14:textFill>
              </w:rPr>
            </w:pPr>
            <w:r>
              <w:rPr>
                <w:rFonts w:hint="eastAsia"/>
                <w:b/>
                <w:color w:val="000000" w:themeColor="text1"/>
                <w:kern w:val="21"/>
                <w:sz w:val="24"/>
                <w:lang w:val="en-US" w:eastAsia="zh-CN"/>
                <w14:textFill>
                  <w14:solidFill>
                    <w14:schemeClr w14:val="tx1"/>
                  </w14:solidFill>
                </w14:textFill>
              </w:rPr>
              <w:t>4.1.3施工期</w:t>
            </w:r>
            <w:r>
              <w:rPr>
                <w:rFonts w:hint="eastAsia"/>
                <w:b/>
                <w:color w:val="000000" w:themeColor="text1"/>
                <w:kern w:val="21"/>
                <w:sz w:val="24"/>
                <w14:textFill>
                  <w14:solidFill>
                    <w14:schemeClr w14:val="tx1"/>
                  </w14:solidFill>
                </w14:textFill>
              </w:rPr>
              <w:t>噪声</w:t>
            </w:r>
            <w:r>
              <w:rPr>
                <w:rFonts w:hint="eastAsia"/>
                <w:b/>
                <w:color w:val="000000" w:themeColor="text1"/>
                <w:kern w:val="21"/>
                <w:sz w:val="24"/>
                <w:lang w:val="en-US" w:eastAsia="zh-CN"/>
                <w14:textFill>
                  <w14:solidFill>
                    <w14:schemeClr w14:val="tx1"/>
                  </w14:solidFill>
                </w14:textFill>
              </w:rPr>
              <w:t>环境影响和环境保护措施</w:t>
            </w:r>
          </w:p>
          <w:p w14:paraId="6CC4D2A6">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施工期噪声主要来源于施工过程中使用的电锯、手工钻、电钻等机械设备，噪声源强在80～105dB（A）之间。为减轻施工噪声对周边区域的影响，项目施工期间采取了以下缓解措施对施工噪声进行控制：</w:t>
            </w:r>
          </w:p>
          <w:p w14:paraId="3148B6F2">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①优先选用低噪声施工设备，施工设备定期进行维护保养，避免因设备故障产生高噪声的现象</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p>
          <w:p w14:paraId="7183042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②采取合理的施工方式，合理布局施工设备，尽量避免多台施工设备同时施工，</w:t>
            </w:r>
          </w:p>
          <w:p w14:paraId="4C06F3C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对高噪声施工设备安装</w:t>
            </w:r>
            <w:r>
              <w:rPr>
                <w:rFonts w:hint="eastAsia" w:cs="Times New Roman"/>
                <w:bCs/>
                <w:color w:val="000000" w:themeColor="text1"/>
                <w:spacing w:val="-10"/>
                <w:sz w:val="24"/>
                <w:szCs w:val="24"/>
                <w:highlight w:val="none"/>
                <w:lang w:eastAsia="zh-CN"/>
                <w14:textFill>
                  <w14:solidFill>
                    <w14:schemeClr w14:val="tx1"/>
                  </w14:solidFill>
                </w14:textFill>
              </w:rPr>
              <w:t>减振</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垫</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p>
          <w:p w14:paraId="0BECFD7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③合理安排施工时间，禁止在午间（12</w:t>
            </w:r>
            <w:r>
              <w:rPr>
                <w:rFonts w:hint="eastAsia"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00</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14</w:t>
            </w:r>
            <w:r>
              <w:rPr>
                <w:rFonts w:hint="eastAsia" w:cs="Times New Roman"/>
                <w:bCs/>
                <w:color w:val="000000" w:themeColor="text1"/>
                <w:spacing w:val="-10"/>
                <w:sz w:val="24"/>
                <w:szCs w:val="24"/>
                <w:highlight w:val="none"/>
                <w:lang w:eastAsia="zh-CN"/>
                <w14:textFill>
                  <w14:solidFill>
                    <w14:schemeClr w14:val="tx1"/>
                  </w14:solidFill>
                </w14:textFill>
              </w:rPr>
              <w:t>:00）</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夜间（06</w:t>
            </w:r>
            <w:r>
              <w:rPr>
                <w:rFonts w:hint="eastAsia"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00</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22</w:t>
            </w:r>
            <w:r>
              <w:rPr>
                <w:rFonts w:hint="eastAsia"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00）</w:t>
            </w:r>
          </w:p>
          <w:p w14:paraId="6F79F83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进行施工</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p>
          <w:p w14:paraId="58F1DDC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④项目施工主要是在室内进行，厂房墙体以及关闭门窗施工对噪声有一定的阻隔衰减作用</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p>
          <w:p w14:paraId="7681D31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⑤加强对施工人员的管理，做到文明施工，施工过程搬运</w:t>
            </w:r>
            <w:r>
              <w:rPr>
                <w:rFonts w:hint="eastAsia" w:cs="Times New Roman"/>
                <w:bCs/>
                <w:color w:val="000000" w:themeColor="text1"/>
                <w:spacing w:val="-10"/>
                <w:sz w:val="24"/>
                <w:szCs w:val="24"/>
                <w:highlight w:val="none"/>
                <w:lang w:eastAsia="zh-CN"/>
                <w14:textFill>
                  <w14:solidFill>
                    <w14:schemeClr w14:val="tx1"/>
                  </w14:solidFill>
                </w14:textFill>
              </w:rPr>
              <w:t>物体</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必须轻拿轻放，严禁抛掷</w:t>
            </w:r>
            <w:r>
              <w:rPr>
                <w:rFonts w:hint="eastAsia" w:cs="Times New Roman"/>
                <w:bCs/>
                <w:color w:val="000000" w:themeColor="text1"/>
                <w:spacing w:val="-10"/>
                <w:sz w:val="24"/>
                <w:szCs w:val="24"/>
                <w:highlight w:val="none"/>
                <w:lang w:eastAsia="zh-CN"/>
                <w14:textFill>
                  <w14:solidFill>
                    <w14:schemeClr w14:val="tx1"/>
                  </w14:solidFill>
                </w14:textFill>
              </w:rPr>
              <w:t>物体</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而造成噪声</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p>
          <w:p w14:paraId="119C18FB">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⑥施工场界噪声应符合《建筑施工场界环境噪声排放标准》（GB12523-2011），</w:t>
            </w:r>
          </w:p>
          <w:p w14:paraId="47FD41F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即：昼间≤70dB，夜间≤55dB。</w:t>
            </w:r>
          </w:p>
          <w:p w14:paraId="02DE41B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项目施工噪声影响随着施工结束而消失，对周围环境影响较小。</w:t>
            </w:r>
          </w:p>
          <w:p w14:paraId="74E34543">
            <w:pPr>
              <w:keepNext/>
              <w:keepLines w:val="0"/>
              <w:pageBreakBefore w:val="0"/>
              <w:widowControl w:val="0"/>
              <w:kinsoku/>
              <w:wordWrap/>
              <w:overflowPunct/>
              <w:topLinePunct w:val="0"/>
              <w:autoSpaceDE/>
              <w:autoSpaceDN/>
              <w:bidi w:val="0"/>
              <w:adjustRightInd/>
              <w:snapToGrid/>
              <w:spacing w:line="360" w:lineRule="auto"/>
              <w:textAlignment w:val="auto"/>
              <w:rPr>
                <w:b/>
                <w:color w:val="000000" w:themeColor="text1"/>
                <w:kern w:val="21"/>
                <w:sz w:val="24"/>
                <w14:textFill>
                  <w14:solidFill>
                    <w14:schemeClr w14:val="tx1"/>
                  </w14:solidFill>
                </w14:textFill>
              </w:rPr>
            </w:pPr>
            <w:r>
              <w:rPr>
                <w:rFonts w:hint="eastAsia"/>
                <w:b/>
                <w:color w:val="000000" w:themeColor="text1"/>
                <w:kern w:val="21"/>
                <w:sz w:val="24"/>
                <w:lang w:val="en-US" w:eastAsia="zh-CN"/>
                <w14:textFill>
                  <w14:solidFill>
                    <w14:schemeClr w14:val="tx1"/>
                  </w14:solidFill>
                </w14:textFill>
              </w:rPr>
              <w:t>4.1.4施工期</w:t>
            </w:r>
            <w:r>
              <w:rPr>
                <w:rFonts w:hint="eastAsia"/>
                <w:b/>
                <w:color w:val="000000" w:themeColor="text1"/>
                <w:kern w:val="21"/>
                <w:sz w:val="24"/>
                <w14:textFill>
                  <w14:solidFill>
                    <w14:schemeClr w14:val="tx1"/>
                  </w14:solidFill>
                </w14:textFill>
              </w:rPr>
              <w:t>固体废物处置及影响分析</w:t>
            </w:r>
          </w:p>
          <w:p w14:paraId="0B593FB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bCs/>
                <w:color w:val="00B050"/>
                <w:spacing w:val="-10"/>
                <w:sz w:val="24"/>
                <w:szCs w:val="24"/>
                <w:highlight w:val="none"/>
              </w:rPr>
            </w:pPr>
            <w:r>
              <w:rPr>
                <w:rFonts w:hint="default" w:ascii="Times New Roman" w:hAnsi="Times New Roman" w:eastAsia="宋体" w:cs="Times New Roman"/>
                <w:bCs/>
                <w:color w:val="00B050"/>
                <w:spacing w:val="-10"/>
                <w:sz w:val="24"/>
                <w:szCs w:val="24"/>
                <w:highlight w:val="none"/>
              </w:rPr>
              <w:t>施工期产生的固体废物主要为施工人员生活垃圾、废弃施工材料和废包装材料等，废弃施工材料和废包装材</w:t>
            </w:r>
            <w:r>
              <w:rPr>
                <w:rFonts w:hint="eastAsia" w:cs="Times New Roman"/>
                <w:bCs/>
                <w:color w:val="00B050"/>
                <w:spacing w:val="-10"/>
                <w:sz w:val="24"/>
                <w:szCs w:val="24"/>
                <w:highlight w:val="none"/>
                <w:lang w:eastAsia="zh-CN"/>
              </w:rPr>
              <w:t>料不</w:t>
            </w:r>
            <w:r>
              <w:rPr>
                <w:rFonts w:hint="default" w:ascii="Times New Roman" w:hAnsi="Times New Roman" w:eastAsia="宋体" w:cs="Times New Roman"/>
                <w:bCs/>
                <w:color w:val="00B050"/>
                <w:spacing w:val="-10"/>
                <w:sz w:val="24"/>
                <w:szCs w:val="24"/>
                <w:highlight w:val="none"/>
              </w:rPr>
              <w:t>能回收利用的部分送至废品回收站，不能回收利用的部分分类收集后清运至当地建设部门指定的地点处理；生活垃圾</w:t>
            </w:r>
            <w:r>
              <w:rPr>
                <w:rFonts w:hint="eastAsia" w:ascii="Times New Roman" w:hAnsi="Times New Roman" w:eastAsia="宋体" w:cs="Times New Roman"/>
                <w:bCs/>
                <w:color w:val="00B050"/>
                <w:spacing w:val="-10"/>
                <w:sz w:val="24"/>
                <w:szCs w:val="24"/>
                <w:highlight w:val="none"/>
                <w:lang w:val="en-US" w:eastAsia="zh-CN"/>
              </w:rPr>
              <w:t>经垃圾桶</w:t>
            </w:r>
            <w:r>
              <w:rPr>
                <w:rFonts w:hint="default" w:ascii="Times New Roman" w:hAnsi="Times New Roman" w:eastAsia="宋体" w:cs="Times New Roman"/>
                <w:bCs/>
                <w:color w:val="00B050"/>
                <w:spacing w:val="-10"/>
                <w:sz w:val="24"/>
                <w:szCs w:val="24"/>
                <w:highlight w:val="none"/>
              </w:rPr>
              <w:t>收集后送至</w:t>
            </w:r>
            <w:r>
              <w:rPr>
                <w:rFonts w:hint="default" w:ascii="Times New Roman" w:hAnsi="Times New Roman" w:eastAsia="宋体" w:cs="Times New Roman"/>
                <w:bCs/>
                <w:color w:val="00B050"/>
                <w:spacing w:val="-10"/>
                <w:sz w:val="24"/>
                <w:szCs w:val="24"/>
                <w:highlight w:val="none"/>
                <w:lang w:val="en-US" w:eastAsia="zh-CN"/>
              </w:rPr>
              <w:t>珠街社区</w:t>
            </w:r>
            <w:r>
              <w:rPr>
                <w:rFonts w:hint="default" w:ascii="Times New Roman" w:hAnsi="Times New Roman" w:eastAsia="宋体" w:cs="Times New Roman"/>
                <w:bCs/>
                <w:color w:val="00B050"/>
                <w:spacing w:val="-10"/>
                <w:sz w:val="24"/>
                <w:szCs w:val="24"/>
                <w:highlight w:val="none"/>
              </w:rPr>
              <w:t>垃圾堆放点，委托</w:t>
            </w:r>
            <w:r>
              <w:rPr>
                <w:rFonts w:hint="eastAsia" w:ascii="Times New Roman" w:hAnsi="Times New Roman" w:eastAsia="宋体" w:cs="Times New Roman"/>
                <w:bCs/>
                <w:color w:val="00B050"/>
                <w:spacing w:val="-10"/>
                <w:sz w:val="24"/>
                <w:szCs w:val="24"/>
                <w:highlight w:val="none"/>
                <w:lang w:val="en-US" w:eastAsia="zh-CN"/>
              </w:rPr>
              <w:t>麒麟区</w:t>
            </w:r>
            <w:r>
              <w:rPr>
                <w:rFonts w:hint="default" w:ascii="Times New Roman" w:hAnsi="Times New Roman" w:eastAsia="宋体" w:cs="Times New Roman"/>
                <w:bCs/>
                <w:color w:val="00B050"/>
                <w:spacing w:val="-10"/>
                <w:sz w:val="24"/>
                <w:szCs w:val="24"/>
                <w:highlight w:val="none"/>
              </w:rPr>
              <w:t>环卫部门清运处置。项目施工期产生的固体废物均得到妥善处理，对周围环境影响较小。</w:t>
            </w:r>
          </w:p>
          <w:p w14:paraId="6D31A87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t>4.1.5施工期</w:t>
            </w:r>
            <w:r>
              <w:rPr>
                <w:rFonts w:hint="default" w:ascii="Times New Roman" w:hAnsi="Times New Roman" w:eastAsia="宋体" w:cs="Times New Roman"/>
                <w:b/>
                <w:bCs w:val="0"/>
                <w:color w:val="000000" w:themeColor="text1"/>
                <w:spacing w:val="-10"/>
                <w:sz w:val="24"/>
                <w:szCs w:val="24"/>
                <w:highlight w:val="none"/>
                <w14:textFill>
                  <w14:solidFill>
                    <w14:schemeClr w14:val="tx1"/>
                  </w14:solidFill>
                </w14:textFill>
              </w:rPr>
              <w:t>生态</w:t>
            </w:r>
            <w:r>
              <w:rPr>
                <w:rFonts w:hint="eastAsia" w:cs="Times New Roman"/>
                <w:b/>
                <w:bCs w:val="0"/>
                <w:color w:val="000000" w:themeColor="text1"/>
                <w:spacing w:val="-10"/>
                <w:sz w:val="24"/>
                <w:szCs w:val="24"/>
                <w:highlight w:val="none"/>
                <w:lang w:eastAsia="zh-CN"/>
                <w14:textFill>
                  <w14:solidFill>
                    <w14:schemeClr w14:val="tx1"/>
                  </w14:solidFill>
                </w14:textFill>
              </w:rPr>
              <w:t>环境</w:t>
            </w:r>
            <w:r>
              <w:rPr>
                <w:rFonts w:hint="eastAsia"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t>影响分析</w:t>
            </w:r>
          </w:p>
          <w:p w14:paraId="5FA725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建设单位拟租用</w:t>
            </w:r>
            <w:r>
              <w:rPr>
                <w:rFonts w:hint="eastAsia"/>
                <w:color w:val="000000" w:themeColor="text1"/>
                <w:sz w:val="24"/>
                <w:lang w:val="en-US" w:eastAsia="zh-CN"/>
                <w14:textFill>
                  <w14:solidFill>
                    <w14:schemeClr w14:val="tx1"/>
                  </w14:solidFill>
                </w14:textFill>
              </w:rPr>
              <w:t>曲靖市东五六供应链管理有限公司已建厂房改造建设危险废物贮存场所</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项目</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区域范围内已完成地面硬化，本项目主要进行设备安装调试</w:t>
            </w:r>
            <w:r>
              <w:rPr>
                <w:rFonts w:hint="eastAsia" w:cs="Times New Roman"/>
                <w:bCs/>
                <w:color w:val="000000" w:themeColor="text1"/>
                <w:spacing w:val="-10"/>
                <w:sz w:val="24"/>
                <w:szCs w:val="24"/>
                <w:highlight w:val="none"/>
                <w:lang w:val="en-US" w:eastAsia="zh-CN"/>
                <w14:textFill>
                  <w14:solidFill>
                    <w14:schemeClr w14:val="tx1"/>
                  </w14:solidFill>
                </w14:textFill>
              </w:rPr>
              <w:t>和地面防渗施工</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，不涉及土地开挖等施工作业，故无生态环境影响产生。</w:t>
            </w:r>
          </w:p>
          <w:p w14:paraId="3987DAA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color w:val="000000" w:themeColor="text1"/>
                <w:kern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综上所述，项目施工期均采取相应的措施对施工产生的废气、噪声、废水和固体废物进行妥善处理，施工期影响随施工结束而消失，对环境影响较小。</w:t>
            </w:r>
            <w:r>
              <w:rPr>
                <w:rFonts w:hint="eastAsia"/>
                <w:color w:val="000000" w:themeColor="text1"/>
                <w:kern w:val="21"/>
                <w:highlight w:val="none"/>
                <w:lang w:val="en-US" w:eastAsia="zh-CN"/>
                <w14:textFill>
                  <w14:solidFill>
                    <w14:schemeClr w14:val="tx1"/>
                  </w14:solidFill>
                </w14:textFill>
              </w:rPr>
              <w:t xml:space="preserve">  </w:t>
            </w:r>
          </w:p>
        </w:tc>
      </w:tr>
      <w:tr w14:paraId="62084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vAlign w:val="center"/>
          </w:tcPr>
          <w:p w14:paraId="7A782313">
            <w:pPr>
              <w:keepNext w:val="0"/>
              <w:keepLines w:val="0"/>
              <w:pageBreakBefore w:val="0"/>
              <w:widowControl w:val="0"/>
              <w:kinsoku/>
              <w:wordWrap/>
              <w:overflowPunct/>
              <w:topLinePunct w:val="0"/>
              <w:autoSpaceDE/>
              <w:autoSpaceDN/>
              <w:bidi w:val="0"/>
              <w:adjustRightInd/>
              <w:snapToGrid/>
              <w:jc w:val="center"/>
              <w:rPr>
                <w:rFonts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运营期环境影响和保护措施</w:t>
            </w:r>
          </w:p>
        </w:tc>
        <w:tc>
          <w:tcPr>
            <w:tcW w:w="4601" w:type="pct"/>
            <w:vAlign w:val="center"/>
          </w:tcPr>
          <w:p w14:paraId="2B185B08">
            <w:pPr>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color w:val="000000" w:themeColor="text1"/>
                <w:kern w:val="21"/>
                <w:sz w:val="28"/>
                <w:szCs w:val="28"/>
                <w:lang w:val="en-US" w:eastAsia="zh-CN"/>
                <w14:textFill>
                  <w14:solidFill>
                    <w14:schemeClr w14:val="tx1"/>
                  </w14:solidFill>
                </w14:textFill>
              </w:rPr>
            </w:pPr>
            <w:r>
              <w:rPr>
                <w:rFonts w:hint="eastAsia" w:ascii="Times New Roman" w:hAnsi="Times New Roman" w:eastAsia="宋体" w:cs="Times New Roman"/>
                <w:b/>
                <w:color w:val="000000" w:themeColor="text1"/>
                <w:kern w:val="21"/>
                <w:sz w:val="28"/>
                <w:szCs w:val="28"/>
                <w:lang w:val="en-US" w:eastAsia="zh-CN"/>
                <w14:textFill>
                  <w14:solidFill>
                    <w14:schemeClr w14:val="tx1"/>
                  </w14:solidFill>
                </w14:textFill>
              </w:rPr>
              <w:t>4.2运营期环境影响和保护措施</w:t>
            </w:r>
          </w:p>
          <w:p w14:paraId="6AC4F24C">
            <w:pPr>
              <w:keepNext/>
              <w:keepLines w:val="0"/>
              <w:pageBreakBefore w:val="0"/>
              <w:widowControl w:val="0"/>
              <w:kinsoku/>
              <w:wordWrap/>
              <w:overflowPunct/>
              <w:topLinePunct w:val="0"/>
              <w:autoSpaceDE/>
              <w:autoSpaceDN/>
              <w:bidi w:val="0"/>
              <w:adjustRightInd/>
              <w:snapToGrid/>
              <w:spacing w:line="360" w:lineRule="auto"/>
              <w:textAlignment w:val="auto"/>
              <w:rPr>
                <w:rFonts w:eastAsia="宋体"/>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4.2.1</w:t>
            </w:r>
            <w:r>
              <w:rPr>
                <w:rFonts w:hint="eastAsia" w:eastAsia="宋体"/>
                <w:b/>
                <w:color w:val="000000" w:themeColor="text1"/>
                <w:sz w:val="24"/>
                <w14:textFill>
                  <w14:solidFill>
                    <w14:schemeClr w14:val="tx1"/>
                  </w14:solidFill>
                </w14:textFill>
              </w:rPr>
              <w:t>运营期</w:t>
            </w:r>
            <w:r>
              <w:rPr>
                <w:rFonts w:eastAsia="宋体"/>
                <w:b/>
                <w:color w:val="000000" w:themeColor="text1"/>
                <w:sz w:val="24"/>
                <w14:textFill>
                  <w14:solidFill>
                    <w14:schemeClr w14:val="tx1"/>
                  </w14:solidFill>
                </w14:textFill>
              </w:rPr>
              <w:t>废气</w:t>
            </w:r>
            <w:r>
              <w:rPr>
                <w:rFonts w:hint="eastAsia" w:eastAsia="宋体"/>
                <w:b/>
                <w:color w:val="000000" w:themeColor="text1"/>
                <w:sz w:val="24"/>
                <w14:textFill>
                  <w14:solidFill>
                    <w14:schemeClr w14:val="tx1"/>
                  </w14:solidFill>
                </w14:textFill>
              </w:rPr>
              <w:t>环境影响及保护措施</w:t>
            </w:r>
          </w:p>
          <w:p w14:paraId="08563DE1">
            <w:pPr>
              <w:keepNext/>
              <w:keepLines w:val="0"/>
              <w:pageBreakBefore w:val="0"/>
              <w:widowControl w:val="0"/>
              <w:kinsoku/>
              <w:wordWrap/>
              <w:overflowPunct/>
              <w:topLinePunct w:val="0"/>
              <w:autoSpaceDE/>
              <w:autoSpaceDN/>
              <w:bidi w:val="0"/>
              <w:adjustRightInd/>
              <w:snapToGrid/>
              <w:spacing w:line="360" w:lineRule="auto"/>
              <w:ind w:firstLine="482" w:firstLineChars="200"/>
              <w:rPr>
                <w:rFonts w:eastAsia="宋体"/>
                <w:b/>
                <w:color w:val="000000" w:themeColor="text1"/>
                <w:sz w:val="24"/>
                <w14:textFill>
                  <w14:solidFill>
                    <w14:schemeClr w14:val="tx1"/>
                  </w14:solidFill>
                </w14:textFill>
              </w:rPr>
            </w:pPr>
            <w:r>
              <w:rPr>
                <w:rFonts w:hint="eastAsia" w:eastAsia="宋体"/>
                <w:b/>
                <w:color w:val="000000" w:themeColor="text1"/>
                <w:sz w:val="24"/>
                <w14:textFill>
                  <w14:solidFill>
                    <w14:schemeClr w14:val="tx1"/>
                  </w14:solidFill>
                </w14:textFill>
              </w:rPr>
              <w:t>1、产排污环节及污染物种类</w:t>
            </w:r>
          </w:p>
          <w:p w14:paraId="24DC2558">
            <w:pPr>
              <w:keepNext/>
              <w:keepLines w:val="0"/>
              <w:pageBreakBefore w:val="0"/>
              <w:widowControl w:val="0"/>
              <w:kinsoku/>
              <w:wordWrap/>
              <w:overflowPunct/>
              <w:topLinePunct w:val="0"/>
              <w:autoSpaceDE/>
              <w:autoSpaceDN/>
              <w:bidi w:val="0"/>
              <w:adjustRightInd/>
              <w:snapToGrid/>
              <w:spacing w:line="360" w:lineRule="auto"/>
              <w:ind w:firstLine="480" w:firstLineChars="200"/>
              <w:rPr>
                <w:rFonts w:eastAsia="宋体"/>
                <w:bCs/>
                <w:color w:val="000000" w:themeColor="text1"/>
                <w:sz w:val="24"/>
                <w14:textFill>
                  <w14:solidFill>
                    <w14:schemeClr w14:val="tx1"/>
                  </w14:solidFill>
                </w14:textFill>
              </w:rPr>
            </w:pPr>
            <w:r>
              <w:rPr>
                <w:rFonts w:hint="eastAsia" w:eastAsia="宋体"/>
                <w:bCs/>
                <w:color w:val="000000" w:themeColor="text1"/>
                <w:sz w:val="24"/>
                <w14:textFill>
                  <w14:solidFill>
                    <w14:schemeClr w14:val="tx1"/>
                  </w14:solidFill>
                </w14:textFill>
              </w:rPr>
              <w:t>项目产排污环节及污染物种类见表4</w:t>
            </w:r>
            <w:r>
              <w:rPr>
                <w:rFonts w:hint="eastAsia"/>
                <w:bCs/>
                <w:color w:val="000000" w:themeColor="text1"/>
                <w:sz w:val="24"/>
                <w:lang w:val="en-US" w:eastAsia="zh-CN"/>
                <w14:textFill>
                  <w14:solidFill>
                    <w14:schemeClr w14:val="tx1"/>
                  </w14:solidFill>
                </w14:textFill>
              </w:rPr>
              <w:t>.2</w:t>
            </w:r>
            <w:r>
              <w:rPr>
                <w:rFonts w:hint="eastAsia" w:eastAsia="宋体"/>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1所示</w:t>
            </w:r>
            <w:r>
              <w:rPr>
                <w:rFonts w:hint="eastAsia" w:eastAsia="宋体"/>
                <w:bCs/>
                <w:color w:val="000000" w:themeColor="text1"/>
                <w:sz w:val="24"/>
                <w14:textFill>
                  <w14:solidFill>
                    <w14:schemeClr w14:val="tx1"/>
                  </w14:solidFill>
                </w14:textFill>
              </w:rPr>
              <w:t>。</w:t>
            </w:r>
          </w:p>
          <w:p w14:paraId="5A0F25E3">
            <w:pPr>
              <w:keepNext/>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表</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4.2</w:t>
            </w:r>
            <w:r>
              <w:rPr>
                <w:rFonts w:hint="default" w:ascii="Times New Roman" w:hAnsi="Times New Roman" w:eastAsia="宋体" w:cs="Times New Roman"/>
                <w:b/>
                <w:bCs w:val="0"/>
                <w:color w:val="000000" w:themeColor="text1"/>
                <w:szCs w:val="21"/>
                <w14:textFill>
                  <w14:solidFill>
                    <w14:schemeClr w14:val="tx1"/>
                  </w14:solidFill>
                </w14:textFill>
              </w:rPr>
              <w:t>-</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1</w:t>
            </w:r>
            <w:r>
              <w:rPr>
                <w:rFonts w:hint="default" w:ascii="Times New Roman" w:hAnsi="Times New Roman" w:eastAsia="宋体" w:cs="Times New Roman"/>
                <w:b/>
                <w:bCs w:val="0"/>
                <w:color w:val="000000" w:themeColor="text1"/>
                <w:szCs w:val="21"/>
                <w14:textFill>
                  <w14:solidFill>
                    <w14:schemeClr w14:val="tx1"/>
                  </w14:solidFill>
                </w14:textFill>
              </w:rPr>
              <w:t xml:space="preserve">  产排污环节及污染物种类一览表</w:t>
            </w:r>
          </w:p>
          <w:tbl>
            <w:tblPr>
              <w:tblStyle w:val="26"/>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463"/>
              <w:gridCol w:w="2343"/>
              <w:gridCol w:w="1316"/>
              <w:gridCol w:w="1414"/>
            </w:tblGrid>
            <w:tr w14:paraId="0A39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92" w:type="dxa"/>
                  <w:noWrap/>
                  <w:vAlign w:val="center"/>
                </w:tcPr>
                <w:p w14:paraId="27ED03FB">
                  <w:pPr>
                    <w:keepNext/>
                    <w:keepLines w:val="0"/>
                    <w:pageBreakBefore w:val="0"/>
                    <w:widowControl w:val="0"/>
                    <w:kinsoku/>
                    <w:wordWrap/>
                    <w:overflowPunct/>
                    <w:topLinePunct w:val="0"/>
                    <w:autoSpaceDE/>
                    <w:autoSpaceDN/>
                    <w:bidi w:val="0"/>
                    <w:adjustRightInd/>
                    <w:snapToGrid/>
                    <w:jc w:val="center"/>
                    <w:rPr>
                      <w:rFonts w:eastAsia="宋体"/>
                      <w:b/>
                      <w:bCs/>
                      <w:color w:val="000000" w:themeColor="text1"/>
                      <w:szCs w:val="20"/>
                      <w14:textFill>
                        <w14:solidFill>
                          <w14:schemeClr w14:val="tx1"/>
                        </w14:solidFill>
                      </w14:textFill>
                    </w:rPr>
                  </w:pPr>
                  <w:r>
                    <w:rPr>
                      <w:rFonts w:hint="eastAsia" w:eastAsia="宋体"/>
                      <w:b/>
                      <w:bCs/>
                      <w:color w:val="000000" w:themeColor="text1"/>
                      <w:szCs w:val="20"/>
                      <w14:textFill>
                        <w14:solidFill>
                          <w14:schemeClr w14:val="tx1"/>
                        </w14:solidFill>
                      </w14:textFill>
                    </w:rPr>
                    <w:t>序号</w:t>
                  </w:r>
                </w:p>
              </w:tc>
              <w:tc>
                <w:tcPr>
                  <w:tcW w:w="2484" w:type="dxa"/>
                  <w:noWrap/>
                  <w:vAlign w:val="center"/>
                </w:tcPr>
                <w:p w14:paraId="07F57989">
                  <w:pPr>
                    <w:keepNext/>
                    <w:keepLines w:val="0"/>
                    <w:pageBreakBefore w:val="0"/>
                    <w:widowControl w:val="0"/>
                    <w:kinsoku/>
                    <w:wordWrap/>
                    <w:overflowPunct/>
                    <w:topLinePunct w:val="0"/>
                    <w:autoSpaceDE/>
                    <w:autoSpaceDN/>
                    <w:bidi w:val="0"/>
                    <w:adjustRightInd/>
                    <w:snapToGrid/>
                    <w:jc w:val="center"/>
                    <w:rPr>
                      <w:rFonts w:eastAsia="宋体"/>
                      <w:b/>
                      <w:bCs/>
                      <w:color w:val="000000" w:themeColor="text1"/>
                      <w:szCs w:val="20"/>
                      <w14:textFill>
                        <w14:solidFill>
                          <w14:schemeClr w14:val="tx1"/>
                        </w14:solidFill>
                      </w14:textFill>
                    </w:rPr>
                  </w:pPr>
                  <w:r>
                    <w:rPr>
                      <w:rFonts w:hint="eastAsia" w:eastAsia="宋体"/>
                      <w:b/>
                      <w:bCs/>
                      <w:color w:val="000000" w:themeColor="text1"/>
                      <w:szCs w:val="20"/>
                      <w14:textFill>
                        <w14:solidFill>
                          <w14:schemeClr w14:val="tx1"/>
                        </w14:solidFill>
                      </w14:textFill>
                    </w:rPr>
                    <w:t>产排污环节</w:t>
                  </w:r>
                </w:p>
              </w:tc>
              <w:tc>
                <w:tcPr>
                  <w:tcW w:w="2363" w:type="dxa"/>
                  <w:noWrap/>
                  <w:vAlign w:val="center"/>
                </w:tcPr>
                <w:p w14:paraId="1D69A28D">
                  <w:pPr>
                    <w:keepNext/>
                    <w:keepLines w:val="0"/>
                    <w:pageBreakBefore w:val="0"/>
                    <w:widowControl w:val="0"/>
                    <w:kinsoku/>
                    <w:wordWrap/>
                    <w:overflowPunct/>
                    <w:topLinePunct w:val="0"/>
                    <w:autoSpaceDE/>
                    <w:autoSpaceDN/>
                    <w:bidi w:val="0"/>
                    <w:adjustRightInd/>
                    <w:snapToGrid/>
                    <w:jc w:val="center"/>
                    <w:rPr>
                      <w:rFonts w:eastAsia="宋体"/>
                      <w:b/>
                      <w:bCs/>
                      <w:color w:val="000000" w:themeColor="text1"/>
                      <w:szCs w:val="20"/>
                      <w14:textFill>
                        <w14:solidFill>
                          <w14:schemeClr w14:val="tx1"/>
                        </w14:solidFill>
                      </w14:textFill>
                    </w:rPr>
                  </w:pPr>
                  <w:r>
                    <w:rPr>
                      <w:rFonts w:hint="eastAsia" w:eastAsia="宋体"/>
                      <w:b/>
                      <w:bCs/>
                      <w:color w:val="000000" w:themeColor="text1"/>
                      <w:szCs w:val="20"/>
                      <w14:textFill>
                        <w14:solidFill>
                          <w14:schemeClr w14:val="tx1"/>
                        </w14:solidFill>
                      </w14:textFill>
                    </w:rPr>
                    <w:t>污染物种类</w:t>
                  </w:r>
                </w:p>
              </w:tc>
              <w:tc>
                <w:tcPr>
                  <w:tcW w:w="1326" w:type="dxa"/>
                  <w:noWrap/>
                  <w:vAlign w:val="center"/>
                </w:tcPr>
                <w:p w14:paraId="05C545E3">
                  <w:pPr>
                    <w:keepNext/>
                    <w:keepLines w:val="0"/>
                    <w:pageBreakBefore w:val="0"/>
                    <w:widowControl w:val="0"/>
                    <w:kinsoku/>
                    <w:wordWrap/>
                    <w:overflowPunct/>
                    <w:topLinePunct w:val="0"/>
                    <w:autoSpaceDE/>
                    <w:autoSpaceDN/>
                    <w:bidi w:val="0"/>
                    <w:adjustRightInd/>
                    <w:snapToGrid/>
                    <w:jc w:val="center"/>
                    <w:rPr>
                      <w:rFonts w:eastAsia="宋体"/>
                      <w:b/>
                      <w:bCs/>
                      <w:color w:val="000000" w:themeColor="text1"/>
                      <w:szCs w:val="20"/>
                      <w14:textFill>
                        <w14:solidFill>
                          <w14:schemeClr w14:val="tx1"/>
                        </w14:solidFill>
                      </w14:textFill>
                    </w:rPr>
                  </w:pPr>
                  <w:r>
                    <w:rPr>
                      <w:rFonts w:hint="eastAsia" w:eastAsia="宋体"/>
                      <w:b/>
                      <w:bCs/>
                      <w:color w:val="000000" w:themeColor="text1"/>
                      <w:szCs w:val="20"/>
                      <w14:textFill>
                        <w14:solidFill>
                          <w14:schemeClr w14:val="tx1"/>
                        </w14:solidFill>
                      </w14:textFill>
                    </w:rPr>
                    <w:t>排放形式</w:t>
                  </w:r>
                </w:p>
              </w:tc>
              <w:tc>
                <w:tcPr>
                  <w:tcW w:w="1425" w:type="dxa"/>
                  <w:noWrap/>
                  <w:vAlign w:val="center"/>
                </w:tcPr>
                <w:p w14:paraId="250FA204">
                  <w:pPr>
                    <w:keepNext/>
                    <w:keepLines w:val="0"/>
                    <w:pageBreakBefore w:val="0"/>
                    <w:widowControl w:val="0"/>
                    <w:kinsoku/>
                    <w:wordWrap/>
                    <w:overflowPunct/>
                    <w:topLinePunct w:val="0"/>
                    <w:autoSpaceDE/>
                    <w:autoSpaceDN/>
                    <w:bidi w:val="0"/>
                    <w:adjustRightInd/>
                    <w:snapToGrid/>
                    <w:jc w:val="center"/>
                    <w:rPr>
                      <w:rFonts w:eastAsia="宋体"/>
                      <w:b/>
                      <w:bCs/>
                      <w:color w:val="000000" w:themeColor="text1"/>
                      <w:szCs w:val="20"/>
                      <w14:textFill>
                        <w14:solidFill>
                          <w14:schemeClr w14:val="tx1"/>
                        </w14:solidFill>
                      </w14:textFill>
                    </w:rPr>
                  </w:pPr>
                  <w:r>
                    <w:rPr>
                      <w:rFonts w:hint="eastAsia" w:eastAsia="宋体"/>
                      <w:b/>
                      <w:bCs/>
                      <w:color w:val="000000" w:themeColor="text1"/>
                      <w:szCs w:val="20"/>
                      <w14:textFill>
                        <w14:solidFill>
                          <w14:schemeClr w14:val="tx1"/>
                        </w14:solidFill>
                      </w14:textFill>
                    </w:rPr>
                    <w:t>排放口编号</w:t>
                  </w:r>
                </w:p>
              </w:tc>
            </w:tr>
            <w:tr w14:paraId="3A4A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noWrap/>
                  <w:vAlign w:val="center"/>
                </w:tcPr>
                <w:p w14:paraId="5691A614">
                  <w:pPr>
                    <w:keepNext/>
                    <w:keepLines w:val="0"/>
                    <w:pageBreakBefore w:val="0"/>
                    <w:widowControl w:val="0"/>
                    <w:kinsoku/>
                    <w:wordWrap/>
                    <w:overflowPunct/>
                    <w:topLinePunct w:val="0"/>
                    <w:autoSpaceDE/>
                    <w:autoSpaceDN/>
                    <w:bidi w:val="0"/>
                    <w:adjustRightInd/>
                    <w:snapToGrid/>
                    <w:jc w:val="center"/>
                    <w:rPr>
                      <w:rFonts w:eastAsia="宋体"/>
                      <w:color w:val="000000" w:themeColor="text1"/>
                      <w:szCs w:val="20"/>
                      <w14:textFill>
                        <w14:solidFill>
                          <w14:schemeClr w14:val="tx1"/>
                        </w14:solidFill>
                      </w14:textFill>
                    </w:rPr>
                  </w:pPr>
                  <w:r>
                    <w:rPr>
                      <w:rFonts w:hint="eastAsia" w:eastAsia="宋体"/>
                      <w:color w:val="000000" w:themeColor="text1"/>
                      <w:szCs w:val="20"/>
                      <w14:textFill>
                        <w14:solidFill>
                          <w14:schemeClr w14:val="tx1"/>
                        </w14:solidFill>
                      </w14:textFill>
                    </w:rPr>
                    <w:t>1</w:t>
                  </w:r>
                </w:p>
              </w:tc>
              <w:tc>
                <w:tcPr>
                  <w:tcW w:w="2484" w:type="dxa"/>
                  <w:noWrap/>
                  <w:vAlign w:val="center"/>
                </w:tcPr>
                <w:p w14:paraId="2567DB22">
                  <w:pPr>
                    <w:keepNext/>
                    <w:keepLines w:val="0"/>
                    <w:pageBreakBefore w:val="0"/>
                    <w:widowControl w:val="0"/>
                    <w:kinsoku/>
                    <w:wordWrap/>
                    <w:overflowPunct/>
                    <w:topLinePunct w:val="0"/>
                    <w:autoSpaceDE/>
                    <w:autoSpaceDN/>
                    <w:bidi w:val="0"/>
                    <w:adjustRightInd/>
                    <w:snapToGrid/>
                    <w:jc w:val="center"/>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废矿物油贮存</w:t>
                  </w:r>
                </w:p>
              </w:tc>
              <w:tc>
                <w:tcPr>
                  <w:tcW w:w="2363" w:type="dxa"/>
                  <w:noWrap/>
                  <w:vAlign w:val="center"/>
                </w:tcPr>
                <w:p w14:paraId="297E63DA">
                  <w:pPr>
                    <w:keepNext/>
                    <w:keepLines w:val="0"/>
                    <w:pageBreakBefore w:val="0"/>
                    <w:widowControl w:val="0"/>
                    <w:kinsoku/>
                    <w:wordWrap/>
                    <w:overflowPunct/>
                    <w:topLinePunct w:val="0"/>
                    <w:autoSpaceDE/>
                    <w:autoSpaceDN/>
                    <w:bidi w:val="0"/>
                    <w:adjustRightInd/>
                    <w:snapToGrid/>
                    <w:jc w:val="center"/>
                    <w:rPr>
                      <w:rFonts w:hint="default" w:eastAsia="宋体"/>
                      <w:color w:val="000000" w:themeColor="text1"/>
                      <w:szCs w:val="20"/>
                      <w:vertAlign w:val="baseline"/>
                      <w:lang w:val="en-US" w:eastAsia="zh-CN"/>
                      <w14:textFill>
                        <w14:solidFill>
                          <w14:schemeClr w14:val="tx1"/>
                        </w14:solidFill>
                      </w14:textFill>
                    </w:rPr>
                  </w:pPr>
                  <w:r>
                    <w:rPr>
                      <w:rFonts w:hint="eastAsia"/>
                      <w:color w:val="000000" w:themeColor="text1"/>
                      <w:szCs w:val="20"/>
                      <w:vertAlign w:val="baseline"/>
                      <w:lang w:val="en-US" w:eastAsia="zh-CN"/>
                      <w14:textFill>
                        <w14:solidFill>
                          <w14:schemeClr w14:val="tx1"/>
                        </w14:solidFill>
                      </w14:textFill>
                    </w:rPr>
                    <w:t>VOCs、异味</w:t>
                  </w:r>
                </w:p>
              </w:tc>
              <w:tc>
                <w:tcPr>
                  <w:tcW w:w="1326" w:type="dxa"/>
                  <w:vMerge w:val="restart"/>
                  <w:noWrap/>
                  <w:vAlign w:val="center"/>
                </w:tcPr>
                <w:p w14:paraId="069C351B">
                  <w:pPr>
                    <w:keepNext/>
                    <w:keepLines w:val="0"/>
                    <w:pageBreakBefore w:val="0"/>
                    <w:widowControl w:val="0"/>
                    <w:kinsoku/>
                    <w:wordWrap/>
                    <w:overflowPunct/>
                    <w:topLinePunct w:val="0"/>
                    <w:autoSpaceDE/>
                    <w:autoSpaceDN/>
                    <w:bidi w:val="0"/>
                    <w:adjustRightInd/>
                    <w:snapToGrid/>
                    <w:jc w:val="center"/>
                    <w:rPr>
                      <w:rFonts w:eastAsia="宋体"/>
                      <w:color w:val="000000" w:themeColor="text1"/>
                      <w:szCs w:val="20"/>
                      <w14:textFill>
                        <w14:solidFill>
                          <w14:schemeClr w14:val="tx1"/>
                        </w14:solidFill>
                      </w14:textFill>
                    </w:rPr>
                  </w:pPr>
                  <w:r>
                    <w:rPr>
                      <w:rFonts w:hint="eastAsia" w:ascii="Times New Roman" w:eastAsia="宋体"/>
                      <w:color w:val="000000" w:themeColor="text1"/>
                      <w:szCs w:val="20"/>
                      <w:lang w:val="en-US" w:eastAsia="zh-CN"/>
                      <w14:textFill>
                        <w14:solidFill>
                          <w14:schemeClr w14:val="tx1"/>
                        </w14:solidFill>
                      </w14:textFill>
                    </w:rPr>
                    <w:t>有组织</w:t>
                  </w:r>
                </w:p>
              </w:tc>
              <w:tc>
                <w:tcPr>
                  <w:tcW w:w="1425" w:type="dxa"/>
                  <w:vMerge w:val="restart"/>
                  <w:noWrap/>
                  <w:vAlign w:val="center"/>
                </w:tcPr>
                <w:p w14:paraId="475DEA3F">
                  <w:pPr>
                    <w:keepNext/>
                    <w:keepLines w:val="0"/>
                    <w:pageBreakBefore w:val="0"/>
                    <w:widowControl w:val="0"/>
                    <w:kinsoku/>
                    <w:wordWrap/>
                    <w:overflowPunct/>
                    <w:topLinePunct w:val="0"/>
                    <w:autoSpaceDE/>
                    <w:autoSpaceDN/>
                    <w:bidi w:val="0"/>
                    <w:adjustRightInd/>
                    <w:snapToGrid/>
                    <w:jc w:val="center"/>
                    <w:rPr>
                      <w:rFonts w:hint="default" w:eastAsia="宋体"/>
                      <w:color w:val="000000" w:themeColor="text1"/>
                      <w:szCs w:val="20"/>
                      <w:lang w:val="en-US" w:eastAsia="zh-CN"/>
                      <w14:textFill>
                        <w14:solidFill>
                          <w14:schemeClr w14:val="tx1"/>
                        </w14:solidFill>
                      </w14:textFill>
                    </w:rPr>
                  </w:pPr>
                  <w:r>
                    <w:rPr>
                      <w:rFonts w:hint="eastAsia" w:ascii="Times New Roman" w:eastAsia="宋体"/>
                      <w:color w:val="000000" w:themeColor="text1"/>
                      <w:szCs w:val="20"/>
                      <w:lang w:val="en-US" w:eastAsia="zh-CN"/>
                      <w14:textFill>
                        <w14:solidFill>
                          <w14:schemeClr w14:val="tx1"/>
                        </w14:solidFill>
                      </w14:textFill>
                    </w:rPr>
                    <w:t>DA001</w:t>
                  </w:r>
                </w:p>
              </w:tc>
            </w:tr>
            <w:tr w14:paraId="560A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dxa"/>
                  <w:noWrap/>
                  <w:vAlign w:val="center"/>
                </w:tcPr>
                <w:p w14:paraId="3698B8C5">
                  <w:pPr>
                    <w:keepNext/>
                    <w:keepLines w:val="0"/>
                    <w:pageBreakBefore w:val="0"/>
                    <w:widowControl w:val="0"/>
                    <w:kinsoku/>
                    <w:wordWrap/>
                    <w:overflowPunct/>
                    <w:topLinePunct w:val="0"/>
                    <w:autoSpaceDE/>
                    <w:autoSpaceDN/>
                    <w:bidi w:val="0"/>
                    <w:adjustRightInd/>
                    <w:snapToGrid/>
                    <w:jc w:val="center"/>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2</w:t>
                  </w:r>
                </w:p>
              </w:tc>
              <w:tc>
                <w:tcPr>
                  <w:tcW w:w="2484" w:type="dxa"/>
                  <w:noWrap/>
                  <w:vAlign w:val="center"/>
                </w:tcPr>
                <w:p w14:paraId="5F38EE46">
                  <w:pPr>
                    <w:keepNext/>
                    <w:keepLines w:val="0"/>
                    <w:pageBreakBefore w:val="0"/>
                    <w:widowControl w:val="0"/>
                    <w:kinsoku/>
                    <w:wordWrap/>
                    <w:overflowPunct/>
                    <w:topLinePunct w:val="0"/>
                    <w:autoSpaceDE/>
                    <w:autoSpaceDN/>
                    <w:bidi w:val="0"/>
                    <w:adjustRightInd/>
                    <w:snapToGrid/>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废铅蓄电池贮存</w:t>
                  </w:r>
                </w:p>
              </w:tc>
              <w:tc>
                <w:tcPr>
                  <w:tcW w:w="2363" w:type="dxa"/>
                  <w:noWrap/>
                  <w:vAlign w:val="center"/>
                </w:tcPr>
                <w:p w14:paraId="66E008AC">
                  <w:pPr>
                    <w:keepNext/>
                    <w:keepLines w:val="0"/>
                    <w:pageBreakBefore w:val="0"/>
                    <w:widowControl w:val="0"/>
                    <w:kinsoku/>
                    <w:wordWrap/>
                    <w:overflowPunct/>
                    <w:topLinePunct w:val="0"/>
                    <w:autoSpaceDE/>
                    <w:autoSpaceDN/>
                    <w:bidi w:val="0"/>
                    <w:adjustRightInd/>
                    <w:snapToGrid/>
                    <w:jc w:val="center"/>
                    <w:rPr>
                      <w:rFonts w:hint="default"/>
                      <w:color w:val="000000" w:themeColor="text1"/>
                      <w:szCs w:val="20"/>
                      <w:vertAlign w:val="baseline"/>
                      <w:lang w:val="en-US" w:eastAsia="zh-CN"/>
                      <w14:textFill>
                        <w14:solidFill>
                          <w14:schemeClr w14:val="tx1"/>
                        </w14:solidFill>
                      </w14:textFill>
                    </w:rPr>
                  </w:pPr>
                  <w:r>
                    <w:rPr>
                      <w:rFonts w:hint="eastAsia"/>
                      <w:color w:val="000000" w:themeColor="text1"/>
                      <w:szCs w:val="20"/>
                      <w:vertAlign w:val="baseline"/>
                      <w:lang w:val="en-US" w:eastAsia="zh-CN"/>
                      <w14:textFill>
                        <w14:solidFill>
                          <w14:schemeClr w14:val="tx1"/>
                        </w14:solidFill>
                      </w14:textFill>
                    </w:rPr>
                    <w:t>酸性废气</w:t>
                  </w:r>
                </w:p>
              </w:tc>
              <w:tc>
                <w:tcPr>
                  <w:tcW w:w="1326" w:type="dxa"/>
                  <w:vMerge w:val="continue"/>
                  <w:noWrap/>
                  <w:vAlign w:val="center"/>
                </w:tcPr>
                <w:p w14:paraId="5A001A39">
                  <w:pPr>
                    <w:keepNext/>
                    <w:keepLines w:val="0"/>
                    <w:pageBreakBefore w:val="0"/>
                    <w:widowControl w:val="0"/>
                    <w:kinsoku/>
                    <w:wordWrap/>
                    <w:overflowPunct/>
                    <w:topLinePunct w:val="0"/>
                    <w:autoSpaceDE/>
                    <w:autoSpaceDN/>
                    <w:bidi w:val="0"/>
                    <w:adjustRightInd/>
                    <w:snapToGrid/>
                    <w:jc w:val="center"/>
                    <w:rPr>
                      <w:rFonts w:hint="eastAsia" w:ascii="Times New Roman" w:eastAsia="宋体"/>
                      <w:color w:val="000000" w:themeColor="text1"/>
                      <w:szCs w:val="20"/>
                      <w:lang w:val="en-US" w:eastAsia="zh-CN"/>
                      <w14:textFill>
                        <w14:solidFill>
                          <w14:schemeClr w14:val="tx1"/>
                        </w14:solidFill>
                      </w14:textFill>
                    </w:rPr>
                  </w:pPr>
                </w:p>
              </w:tc>
              <w:tc>
                <w:tcPr>
                  <w:tcW w:w="1425" w:type="dxa"/>
                  <w:vMerge w:val="continue"/>
                  <w:noWrap/>
                  <w:vAlign w:val="center"/>
                </w:tcPr>
                <w:p w14:paraId="6C3E65DC">
                  <w:pPr>
                    <w:keepNext/>
                    <w:keepLines w:val="0"/>
                    <w:pageBreakBefore w:val="0"/>
                    <w:widowControl w:val="0"/>
                    <w:kinsoku/>
                    <w:wordWrap/>
                    <w:overflowPunct/>
                    <w:topLinePunct w:val="0"/>
                    <w:autoSpaceDE/>
                    <w:autoSpaceDN/>
                    <w:bidi w:val="0"/>
                    <w:adjustRightInd/>
                    <w:snapToGrid/>
                    <w:jc w:val="center"/>
                    <w:rPr>
                      <w:rFonts w:hint="eastAsia" w:ascii="Times New Roman" w:eastAsia="宋体"/>
                      <w:color w:val="000000" w:themeColor="text1"/>
                      <w:szCs w:val="20"/>
                      <w:lang w:val="en-US" w:eastAsia="zh-CN"/>
                      <w14:textFill>
                        <w14:solidFill>
                          <w14:schemeClr w14:val="tx1"/>
                        </w14:solidFill>
                      </w14:textFill>
                    </w:rPr>
                  </w:pPr>
                </w:p>
              </w:tc>
            </w:tr>
            <w:tr w14:paraId="1925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dxa"/>
                  <w:noWrap/>
                  <w:vAlign w:val="center"/>
                </w:tcPr>
                <w:p w14:paraId="6ED4916A">
                  <w:pPr>
                    <w:keepNext/>
                    <w:keepLines w:val="0"/>
                    <w:pageBreakBefore w:val="0"/>
                    <w:widowControl w:val="0"/>
                    <w:kinsoku/>
                    <w:wordWrap/>
                    <w:overflowPunct/>
                    <w:topLinePunct w:val="0"/>
                    <w:autoSpaceDE/>
                    <w:autoSpaceDN/>
                    <w:bidi w:val="0"/>
                    <w:adjustRightInd/>
                    <w:snapToGrid/>
                    <w:jc w:val="center"/>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w:t>
                  </w:r>
                </w:p>
              </w:tc>
              <w:tc>
                <w:tcPr>
                  <w:tcW w:w="2484" w:type="dxa"/>
                  <w:noWrap/>
                  <w:vAlign w:val="center"/>
                </w:tcPr>
                <w:p w14:paraId="48B58A78">
                  <w:pPr>
                    <w:keepNext/>
                    <w:keepLines w:val="0"/>
                    <w:pageBreakBefore w:val="0"/>
                    <w:widowControl w:val="0"/>
                    <w:kinsoku/>
                    <w:wordWrap/>
                    <w:overflowPunct/>
                    <w:topLinePunct w:val="0"/>
                    <w:autoSpaceDE/>
                    <w:autoSpaceDN/>
                    <w:bidi w:val="0"/>
                    <w:adjustRightInd/>
                    <w:snapToGrid/>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废矿物油装卸</w:t>
                  </w:r>
                </w:p>
              </w:tc>
              <w:tc>
                <w:tcPr>
                  <w:tcW w:w="2363" w:type="dxa"/>
                  <w:noWrap/>
                  <w:vAlign w:val="center"/>
                </w:tcPr>
                <w:p w14:paraId="1EDD9113">
                  <w:pPr>
                    <w:keepNext/>
                    <w:keepLines w:val="0"/>
                    <w:pageBreakBefore w:val="0"/>
                    <w:widowControl w:val="0"/>
                    <w:kinsoku/>
                    <w:wordWrap/>
                    <w:overflowPunct/>
                    <w:topLinePunct w:val="0"/>
                    <w:autoSpaceDE/>
                    <w:autoSpaceDN/>
                    <w:bidi w:val="0"/>
                    <w:adjustRightInd/>
                    <w:snapToGrid/>
                    <w:jc w:val="center"/>
                    <w:rPr>
                      <w:rFonts w:hint="default"/>
                      <w:bCs/>
                      <w:color w:val="000000" w:themeColor="text1"/>
                      <w:kern w:val="0"/>
                      <w:szCs w:val="21"/>
                      <w:lang w:val="en-US" w:eastAsia="zh-CN"/>
                      <w14:textFill>
                        <w14:solidFill>
                          <w14:schemeClr w14:val="tx1"/>
                        </w14:solidFill>
                      </w14:textFill>
                    </w:rPr>
                  </w:pPr>
                  <w:r>
                    <w:rPr>
                      <w:rFonts w:hint="eastAsia"/>
                      <w:color w:val="000000" w:themeColor="text1"/>
                      <w:szCs w:val="20"/>
                      <w:vertAlign w:val="baseline"/>
                      <w:lang w:val="en-US" w:eastAsia="zh-CN"/>
                      <w14:textFill>
                        <w14:solidFill>
                          <w14:schemeClr w14:val="tx1"/>
                        </w14:solidFill>
                      </w14:textFill>
                    </w:rPr>
                    <w:t>VOCs、异味</w:t>
                  </w:r>
                </w:p>
              </w:tc>
              <w:tc>
                <w:tcPr>
                  <w:tcW w:w="1326" w:type="dxa"/>
                  <w:noWrap/>
                  <w:vAlign w:val="center"/>
                </w:tcPr>
                <w:p w14:paraId="3A072F95">
                  <w:pPr>
                    <w:keepNext/>
                    <w:keepLines w:val="0"/>
                    <w:pageBreakBefore w:val="0"/>
                    <w:widowControl w:val="0"/>
                    <w:kinsoku/>
                    <w:wordWrap/>
                    <w:overflowPunct/>
                    <w:topLinePunct w:val="0"/>
                    <w:autoSpaceDE/>
                    <w:autoSpaceDN/>
                    <w:bidi w:val="0"/>
                    <w:adjustRightInd/>
                    <w:snapToGrid/>
                    <w:jc w:val="center"/>
                    <w:rPr>
                      <w:rFonts w:hint="default" w:ascii="Times New Roman"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无组织</w:t>
                  </w:r>
                </w:p>
              </w:tc>
              <w:tc>
                <w:tcPr>
                  <w:tcW w:w="1425" w:type="dxa"/>
                  <w:noWrap/>
                  <w:vAlign w:val="center"/>
                </w:tcPr>
                <w:p w14:paraId="0F2FB6D7">
                  <w:pPr>
                    <w:keepNext/>
                    <w:keepLines w:val="0"/>
                    <w:pageBreakBefore w:val="0"/>
                    <w:widowControl w:val="0"/>
                    <w:kinsoku/>
                    <w:wordWrap/>
                    <w:overflowPunct/>
                    <w:topLinePunct w:val="0"/>
                    <w:autoSpaceDE/>
                    <w:autoSpaceDN/>
                    <w:bidi w:val="0"/>
                    <w:adjustRightInd/>
                    <w:snapToGrid/>
                    <w:jc w:val="center"/>
                    <w:rPr>
                      <w:rFonts w:hint="default" w:ascii="Times New Roman"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r>
            <w:tr w14:paraId="7DD5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92" w:type="dxa"/>
                  <w:noWrap/>
                  <w:vAlign w:val="center"/>
                </w:tcPr>
                <w:p w14:paraId="3DC84547">
                  <w:pPr>
                    <w:keepNext/>
                    <w:keepLines w:val="0"/>
                    <w:pageBreakBefore w:val="0"/>
                    <w:widowControl w:val="0"/>
                    <w:kinsoku/>
                    <w:wordWrap/>
                    <w:overflowPunct/>
                    <w:topLinePunct w:val="0"/>
                    <w:autoSpaceDE/>
                    <w:autoSpaceDN/>
                    <w:bidi w:val="0"/>
                    <w:adjustRightInd/>
                    <w:snapToGrid/>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4</w:t>
                  </w:r>
                </w:p>
              </w:tc>
              <w:tc>
                <w:tcPr>
                  <w:tcW w:w="2484" w:type="dxa"/>
                  <w:noWrap/>
                  <w:vAlign w:val="center"/>
                </w:tcPr>
                <w:p w14:paraId="086A80B2">
                  <w:pPr>
                    <w:keepNext/>
                    <w:keepLines w:val="0"/>
                    <w:pageBreakBefore w:val="0"/>
                    <w:widowControl w:val="0"/>
                    <w:kinsoku/>
                    <w:wordWrap/>
                    <w:overflowPunct/>
                    <w:topLinePunct w:val="0"/>
                    <w:autoSpaceDE/>
                    <w:autoSpaceDN/>
                    <w:bidi w:val="0"/>
                    <w:adjustRightInd/>
                    <w:snapToGrid/>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其他危险废物（废镉镍电池、废铅蓄电池）贮存</w:t>
                  </w:r>
                </w:p>
              </w:tc>
              <w:tc>
                <w:tcPr>
                  <w:tcW w:w="2363" w:type="dxa"/>
                  <w:noWrap/>
                  <w:vAlign w:val="center"/>
                </w:tcPr>
                <w:p w14:paraId="7499207C">
                  <w:pPr>
                    <w:keepNext/>
                    <w:keepLines w:val="0"/>
                    <w:pageBreakBefore w:val="0"/>
                    <w:widowControl w:val="0"/>
                    <w:kinsoku/>
                    <w:wordWrap/>
                    <w:overflowPunct/>
                    <w:topLinePunct w:val="0"/>
                    <w:autoSpaceDE/>
                    <w:autoSpaceDN/>
                    <w:bidi w:val="0"/>
                    <w:adjustRightInd/>
                    <w:snapToGrid/>
                    <w:jc w:val="center"/>
                    <w:rPr>
                      <w:rFonts w:hint="default"/>
                      <w:bCs/>
                      <w:color w:val="000000" w:themeColor="text1"/>
                      <w:kern w:val="0"/>
                      <w:szCs w:val="21"/>
                      <w:lang w:val="en-US" w:eastAsia="zh-CN"/>
                      <w14:textFill>
                        <w14:solidFill>
                          <w14:schemeClr w14:val="tx1"/>
                        </w14:solidFill>
                      </w14:textFill>
                    </w:rPr>
                  </w:pPr>
                  <w:r>
                    <w:rPr>
                      <w:rFonts w:hint="eastAsia"/>
                      <w:color w:val="000000" w:themeColor="text1"/>
                      <w:szCs w:val="20"/>
                      <w:vertAlign w:val="baseline"/>
                      <w:lang w:val="en-US" w:eastAsia="zh-CN"/>
                      <w14:textFill>
                        <w14:solidFill>
                          <w14:schemeClr w14:val="tx1"/>
                        </w14:solidFill>
                      </w14:textFill>
                    </w:rPr>
                    <w:t>VOCs、酸性废气、异味</w:t>
                  </w:r>
                </w:p>
              </w:tc>
              <w:tc>
                <w:tcPr>
                  <w:tcW w:w="1326" w:type="dxa"/>
                  <w:noWrap/>
                  <w:vAlign w:val="center"/>
                </w:tcPr>
                <w:p w14:paraId="36835E35">
                  <w:pPr>
                    <w:keepNext/>
                    <w:keepLines w:val="0"/>
                    <w:pageBreakBefore w:val="0"/>
                    <w:widowControl w:val="0"/>
                    <w:kinsoku/>
                    <w:wordWrap/>
                    <w:overflowPunct/>
                    <w:topLinePunct w:val="0"/>
                    <w:autoSpaceDE/>
                    <w:autoSpaceDN/>
                    <w:bidi w:val="0"/>
                    <w:adjustRightInd/>
                    <w:snapToGrid/>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无组织</w:t>
                  </w:r>
                </w:p>
              </w:tc>
              <w:tc>
                <w:tcPr>
                  <w:tcW w:w="1425" w:type="dxa"/>
                  <w:noWrap/>
                  <w:vAlign w:val="center"/>
                </w:tcPr>
                <w:p w14:paraId="7B94CAEE">
                  <w:pPr>
                    <w:keepNext/>
                    <w:keepLines w:val="0"/>
                    <w:pageBreakBefore w:val="0"/>
                    <w:widowControl w:val="0"/>
                    <w:kinsoku/>
                    <w:wordWrap/>
                    <w:overflowPunct/>
                    <w:topLinePunct w:val="0"/>
                    <w:autoSpaceDE/>
                    <w:autoSpaceDN/>
                    <w:bidi w:val="0"/>
                    <w:adjustRightInd/>
                    <w:snapToGrid/>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r>
          </w:tbl>
          <w:p w14:paraId="1B5C8693">
            <w:pPr>
              <w:keepNext/>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eastAsia="宋体"/>
                <w:b/>
                <w:color w:val="000000" w:themeColor="text1"/>
                <w:sz w:val="24"/>
                <w14:textFill>
                  <w14:solidFill>
                    <w14:schemeClr w14:val="tx1"/>
                  </w14:solidFill>
                </w14:textFill>
              </w:rPr>
            </w:pPr>
            <w:r>
              <w:rPr>
                <w:rFonts w:hint="eastAsia" w:eastAsia="宋体"/>
                <w:b/>
                <w:color w:val="000000" w:themeColor="text1"/>
                <w:sz w:val="24"/>
                <w14:textFill>
                  <w14:solidFill>
                    <w14:schemeClr w14:val="tx1"/>
                  </w14:solidFill>
                </w14:textFill>
              </w:rPr>
              <w:t>2、污染物治理设施</w:t>
            </w:r>
          </w:p>
          <w:p w14:paraId="01742A75">
            <w:pPr>
              <w:keepNext/>
              <w:keepLines w:val="0"/>
              <w:pageBreakBefore w:val="0"/>
              <w:widowControl w:val="0"/>
              <w:kinsoku/>
              <w:wordWrap/>
              <w:overflowPunct/>
              <w:topLinePunct w:val="0"/>
              <w:autoSpaceDE/>
              <w:autoSpaceDN/>
              <w:bidi w:val="0"/>
              <w:adjustRightInd/>
              <w:snapToGrid/>
              <w:spacing w:line="360" w:lineRule="auto"/>
              <w:ind w:firstLine="480" w:firstLineChars="200"/>
              <w:rPr>
                <w:rFonts w:eastAsia="宋体"/>
                <w:bCs/>
                <w:color w:val="00B050"/>
                <w:sz w:val="24"/>
              </w:rPr>
            </w:pPr>
            <w:r>
              <w:rPr>
                <w:rFonts w:hint="eastAsia" w:eastAsia="宋体"/>
                <w:bCs/>
                <w:color w:val="00B050"/>
                <w:sz w:val="24"/>
              </w:rPr>
              <w:t>污染物治理设施情况见表4</w:t>
            </w:r>
            <w:r>
              <w:rPr>
                <w:rFonts w:hint="eastAsia"/>
                <w:bCs/>
                <w:color w:val="00B050"/>
                <w:sz w:val="24"/>
                <w:lang w:val="en-US" w:eastAsia="zh-CN"/>
              </w:rPr>
              <w:t>.2</w:t>
            </w:r>
            <w:r>
              <w:rPr>
                <w:rFonts w:hint="eastAsia" w:eastAsia="宋体"/>
                <w:bCs/>
                <w:color w:val="00B050"/>
                <w:sz w:val="24"/>
              </w:rPr>
              <w:t>-</w:t>
            </w:r>
            <w:r>
              <w:rPr>
                <w:rFonts w:hint="eastAsia"/>
                <w:bCs/>
                <w:color w:val="00B050"/>
                <w:sz w:val="24"/>
                <w:lang w:val="en-US" w:eastAsia="zh-CN"/>
              </w:rPr>
              <w:t>2所示</w:t>
            </w:r>
            <w:r>
              <w:rPr>
                <w:rFonts w:hint="eastAsia" w:eastAsia="宋体"/>
                <w:bCs/>
                <w:color w:val="00B050"/>
                <w:sz w:val="24"/>
              </w:rPr>
              <w:t>。</w:t>
            </w:r>
          </w:p>
          <w:p w14:paraId="1F615EBF">
            <w:pPr>
              <w:keepNext/>
              <w:keepLines w:val="0"/>
              <w:pageBreakBefore w:val="0"/>
              <w:widowControl w:val="0"/>
              <w:kinsoku/>
              <w:wordWrap/>
              <w:overflowPunct/>
              <w:topLinePunct w:val="0"/>
              <w:autoSpaceDE/>
              <w:autoSpaceDN/>
              <w:bidi w:val="0"/>
              <w:adjustRightInd/>
              <w:snapToGrid/>
              <w:jc w:val="center"/>
              <w:rPr>
                <w:rFonts w:hint="eastAsia" w:ascii="Times New Roman" w:hAnsi="Times New Roman" w:eastAsia="宋体" w:cs="Times New Roman"/>
                <w:b/>
                <w:bCs w:val="0"/>
                <w:color w:val="00B050"/>
                <w:szCs w:val="21"/>
              </w:rPr>
            </w:pPr>
            <w:r>
              <w:rPr>
                <w:rFonts w:hint="eastAsia" w:ascii="Times New Roman" w:hAnsi="Times New Roman" w:eastAsia="宋体" w:cs="Times New Roman"/>
                <w:b/>
                <w:bCs w:val="0"/>
                <w:color w:val="00B050"/>
                <w:szCs w:val="21"/>
              </w:rPr>
              <w:t>表</w:t>
            </w:r>
            <w:r>
              <w:rPr>
                <w:rFonts w:hint="eastAsia" w:ascii="Times New Roman" w:hAnsi="Times New Roman" w:eastAsia="宋体" w:cs="Times New Roman"/>
                <w:b/>
                <w:bCs w:val="0"/>
                <w:color w:val="00B050"/>
                <w:szCs w:val="21"/>
                <w:lang w:val="en-US" w:eastAsia="zh-CN"/>
              </w:rPr>
              <w:t>4.2</w:t>
            </w:r>
            <w:r>
              <w:rPr>
                <w:rFonts w:hint="eastAsia" w:ascii="Times New Roman" w:hAnsi="Times New Roman" w:eastAsia="宋体" w:cs="Times New Roman"/>
                <w:b/>
                <w:bCs w:val="0"/>
                <w:color w:val="00B050"/>
                <w:szCs w:val="21"/>
              </w:rPr>
              <w:t>-</w:t>
            </w:r>
            <w:r>
              <w:rPr>
                <w:rFonts w:hint="eastAsia" w:ascii="Times New Roman" w:hAnsi="Times New Roman" w:eastAsia="宋体" w:cs="Times New Roman"/>
                <w:b/>
                <w:bCs w:val="0"/>
                <w:color w:val="00B050"/>
                <w:szCs w:val="21"/>
                <w:lang w:val="en-US" w:eastAsia="zh-CN"/>
              </w:rPr>
              <w:t>2</w:t>
            </w:r>
            <w:r>
              <w:rPr>
                <w:rFonts w:hint="eastAsia" w:ascii="Times New Roman" w:hAnsi="Times New Roman" w:eastAsia="宋体" w:cs="Times New Roman"/>
                <w:b/>
                <w:bCs w:val="0"/>
                <w:color w:val="00B050"/>
                <w:szCs w:val="21"/>
              </w:rPr>
              <w:t xml:space="preserve">  大气污染物治理设施情况一览表</w:t>
            </w:r>
          </w:p>
          <w:tbl>
            <w:tblPr>
              <w:tblStyle w:val="26"/>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283"/>
              <w:gridCol w:w="1168"/>
              <w:gridCol w:w="1402"/>
              <w:gridCol w:w="1110"/>
              <w:gridCol w:w="1633"/>
              <w:gridCol w:w="905"/>
            </w:tblGrid>
            <w:tr w14:paraId="1C0F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2" w:type="dxa"/>
                  <w:noWrap/>
                  <w:vAlign w:val="center"/>
                </w:tcPr>
                <w:p w14:paraId="06C83324">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eastAsia="宋体"/>
                      <w:b/>
                      <w:bCs/>
                      <w:color w:val="00B050"/>
                      <w:szCs w:val="21"/>
                    </w:rPr>
                  </w:pPr>
                  <w:r>
                    <w:rPr>
                      <w:rFonts w:hint="eastAsia" w:eastAsia="宋体"/>
                      <w:b/>
                      <w:bCs/>
                      <w:color w:val="00B050"/>
                      <w:szCs w:val="21"/>
                    </w:rPr>
                    <w:t>排口编号</w:t>
                  </w:r>
                </w:p>
              </w:tc>
              <w:tc>
                <w:tcPr>
                  <w:tcW w:w="1283" w:type="dxa"/>
                  <w:noWrap/>
                  <w:vAlign w:val="center"/>
                </w:tcPr>
                <w:p w14:paraId="40E67039">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eastAsia="宋体"/>
                      <w:b/>
                      <w:bCs/>
                      <w:color w:val="00B050"/>
                      <w:szCs w:val="21"/>
                    </w:rPr>
                  </w:pPr>
                  <w:r>
                    <w:rPr>
                      <w:rFonts w:hint="eastAsia" w:eastAsia="宋体"/>
                      <w:b/>
                      <w:bCs/>
                      <w:color w:val="00B050"/>
                      <w:szCs w:val="21"/>
                    </w:rPr>
                    <w:t>产排污环节</w:t>
                  </w:r>
                </w:p>
              </w:tc>
              <w:tc>
                <w:tcPr>
                  <w:tcW w:w="1168" w:type="dxa"/>
                  <w:noWrap/>
                  <w:vAlign w:val="center"/>
                </w:tcPr>
                <w:p w14:paraId="236DB8D7">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eastAsia="宋体"/>
                      <w:b/>
                      <w:bCs/>
                      <w:color w:val="00B050"/>
                      <w:szCs w:val="21"/>
                    </w:rPr>
                  </w:pPr>
                  <w:r>
                    <w:rPr>
                      <w:rFonts w:hint="eastAsia" w:eastAsia="宋体"/>
                      <w:b/>
                      <w:bCs/>
                      <w:color w:val="00B050"/>
                      <w:szCs w:val="21"/>
                    </w:rPr>
                    <w:t>污染物</w:t>
                  </w:r>
                </w:p>
              </w:tc>
              <w:tc>
                <w:tcPr>
                  <w:tcW w:w="1402" w:type="dxa"/>
                  <w:noWrap/>
                  <w:vAlign w:val="center"/>
                </w:tcPr>
                <w:p w14:paraId="5240C1AF">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eastAsia="宋体"/>
                      <w:b/>
                      <w:bCs/>
                      <w:color w:val="00B050"/>
                      <w:szCs w:val="21"/>
                    </w:rPr>
                  </w:pPr>
                  <w:r>
                    <w:rPr>
                      <w:rFonts w:hint="eastAsia" w:eastAsia="宋体"/>
                      <w:b/>
                      <w:bCs/>
                      <w:color w:val="00B050"/>
                      <w:szCs w:val="21"/>
                    </w:rPr>
                    <w:t>污染治理设施</w:t>
                  </w:r>
                </w:p>
              </w:tc>
              <w:tc>
                <w:tcPr>
                  <w:tcW w:w="1110" w:type="dxa"/>
                  <w:noWrap/>
                  <w:vAlign w:val="center"/>
                </w:tcPr>
                <w:p w14:paraId="5C2540B4">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eastAsia="宋体"/>
                      <w:b/>
                      <w:bCs/>
                      <w:color w:val="00B050"/>
                      <w:szCs w:val="21"/>
                    </w:rPr>
                  </w:pPr>
                  <w:r>
                    <w:rPr>
                      <w:rFonts w:hint="eastAsia" w:eastAsia="宋体"/>
                      <w:b/>
                      <w:bCs/>
                      <w:color w:val="00B050"/>
                      <w:szCs w:val="21"/>
                    </w:rPr>
                    <w:t>收集效率</w:t>
                  </w:r>
                </w:p>
              </w:tc>
              <w:tc>
                <w:tcPr>
                  <w:tcW w:w="1633" w:type="dxa"/>
                  <w:noWrap/>
                  <w:vAlign w:val="center"/>
                </w:tcPr>
                <w:p w14:paraId="0E02A705">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eastAsia="宋体"/>
                      <w:b/>
                      <w:bCs/>
                      <w:color w:val="00B050"/>
                      <w:szCs w:val="21"/>
                    </w:rPr>
                  </w:pPr>
                  <w:r>
                    <w:rPr>
                      <w:rFonts w:hint="eastAsia" w:eastAsia="宋体"/>
                      <w:b/>
                      <w:bCs/>
                      <w:color w:val="00B050"/>
                      <w:szCs w:val="21"/>
                    </w:rPr>
                    <w:t>去除率</w:t>
                  </w:r>
                </w:p>
              </w:tc>
              <w:tc>
                <w:tcPr>
                  <w:tcW w:w="905" w:type="dxa"/>
                  <w:noWrap/>
                  <w:vAlign w:val="center"/>
                </w:tcPr>
                <w:p w14:paraId="608F3B7D">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b/>
                      <w:bCs/>
                      <w:color w:val="00B050"/>
                      <w:szCs w:val="21"/>
                      <w:lang w:val="en-US" w:eastAsia="zh-CN"/>
                    </w:rPr>
                  </w:pPr>
                  <w:r>
                    <w:rPr>
                      <w:rFonts w:hint="eastAsia" w:eastAsia="宋体"/>
                      <w:b/>
                      <w:bCs/>
                      <w:color w:val="00B050"/>
                      <w:szCs w:val="21"/>
                    </w:rPr>
                    <w:t>可行技术</w:t>
                  </w:r>
                  <w:r>
                    <w:rPr>
                      <w:rFonts w:hint="eastAsia"/>
                      <w:b/>
                      <w:bCs/>
                      <w:color w:val="00B050"/>
                      <w:szCs w:val="21"/>
                      <w:lang w:val="en-US" w:eastAsia="zh-CN"/>
                    </w:rPr>
                    <w:t>判别</w:t>
                  </w:r>
                </w:p>
              </w:tc>
            </w:tr>
            <w:tr w14:paraId="2BEF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22" w:type="dxa"/>
                  <w:vMerge w:val="restart"/>
                  <w:noWrap/>
                  <w:vAlign w:val="center"/>
                </w:tcPr>
                <w:p w14:paraId="4A6DDB87">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FF0000"/>
                      <w:szCs w:val="21"/>
                      <w:lang w:val="en-US" w:eastAsia="zh-CN"/>
                    </w:rPr>
                  </w:pPr>
                  <w:r>
                    <w:rPr>
                      <w:rFonts w:hint="eastAsia" w:ascii="Times New Roman" w:eastAsia="宋体"/>
                      <w:color w:val="FF0000"/>
                      <w:szCs w:val="21"/>
                      <w:lang w:val="en-US" w:eastAsia="zh-CN"/>
                    </w:rPr>
                    <w:t>DA001</w:t>
                  </w:r>
                </w:p>
              </w:tc>
              <w:tc>
                <w:tcPr>
                  <w:tcW w:w="1283" w:type="dxa"/>
                  <w:noWrap/>
                  <w:vAlign w:val="center"/>
                </w:tcPr>
                <w:p w14:paraId="490BC6ED">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B050"/>
                      <w:kern w:val="2"/>
                      <w:sz w:val="21"/>
                      <w:szCs w:val="20"/>
                      <w:lang w:val="en-US" w:eastAsia="zh-CN" w:bidi="ar-SA"/>
                    </w:rPr>
                  </w:pPr>
                  <w:r>
                    <w:rPr>
                      <w:rFonts w:hint="eastAsia"/>
                      <w:color w:val="00B050"/>
                      <w:szCs w:val="20"/>
                      <w:lang w:val="en-US" w:eastAsia="zh-CN"/>
                    </w:rPr>
                    <w:t>废矿物油储存</w:t>
                  </w:r>
                </w:p>
              </w:tc>
              <w:tc>
                <w:tcPr>
                  <w:tcW w:w="1168" w:type="dxa"/>
                  <w:noWrap/>
                  <w:vAlign w:val="center"/>
                </w:tcPr>
                <w:p w14:paraId="4F5B1AE9">
                  <w:pPr>
                    <w:keepNext/>
                    <w:keepLines w:val="0"/>
                    <w:pageBreakBefore w:val="0"/>
                    <w:widowControl w:val="0"/>
                    <w:kinsoku/>
                    <w:wordWrap/>
                    <w:overflowPunct/>
                    <w:topLinePunct w:val="0"/>
                    <w:autoSpaceDE/>
                    <w:autoSpaceDN/>
                    <w:bidi w:val="0"/>
                    <w:adjustRightInd/>
                    <w:snapToGrid/>
                    <w:jc w:val="center"/>
                    <w:rPr>
                      <w:rFonts w:hint="default"/>
                      <w:color w:val="00B050"/>
                      <w:szCs w:val="20"/>
                      <w:vertAlign w:val="baseline"/>
                      <w:lang w:val="en-US" w:eastAsia="zh-CN"/>
                    </w:rPr>
                  </w:pPr>
                  <w:r>
                    <w:rPr>
                      <w:rFonts w:hint="eastAsia"/>
                      <w:color w:val="00B050"/>
                      <w:szCs w:val="20"/>
                      <w:vertAlign w:val="baseline"/>
                      <w:lang w:val="en-US" w:eastAsia="zh-CN"/>
                    </w:rPr>
                    <w:t>NMHC、臭气浓度</w:t>
                  </w:r>
                </w:p>
              </w:tc>
              <w:tc>
                <w:tcPr>
                  <w:tcW w:w="1402" w:type="dxa"/>
                  <w:noWrap/>
                  <w:vAlign w:val="center"/>
                </w:tcPr>
                <w:p w14:paraId="73335EEF">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cs="Times New Roman"/>
                      <w:color w:val="00B050"/>
                      <w:sz w:val="21"/>
                      <w:szCs w:val="21"/>
                      <w:lang w:val="en-US" w:eastAsia="zh-CN"/>
                    </w:rPr>
                    <w:t>活性炭吸附</w:t>
                  </w:r>
                </w:p>
              </w:tc>
              <w:tc>
                <w:tcPr>
                  <w:tcW w:w="1110" w:type="dxa"/>
                  <w:noWrap/>
                  <w:vAlign w:val="center"/>
                </w:tcPr>
                <w:p w14:paraId="560EAA45">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olor w:val="00B050"/>
                      <w:szCs w:val="21"/>
                      <w:lang w:val="en-US" w:eastAsia="zh-CN"/>
                    </w:rPr>
                  </w:pPr>
                  <w:r>
                    <w:rPr>
                      <w:rFonts w:hint="eastAsia"/>
                      <w:color w:val="00B050"/>
                      <w:szCs w:val="21"/>
                      <w:lang w:val="en-US" w:eastAsia="zh-CN"/>
                    </w:rPr>
                    <w:t>100%</w:t>
                  </w:r>
                </w:p>
              </w:tc>
              <w:tc>
                <w:tcPr>
                  <w:tcW w:w="1633" w:type="dxa"/>
                  <w:noWrap/>
                  <w:vAlign w:val="center"/>
                </w:tcPr>
                <w:p w14:paraId="0183307E">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B050"/>
                      <w:szCs w:val="21"/>
                      <w:lang w:val="en-US" w:eastAsia="zh-CN"/>
                    </w:rPr>
                  </w:pPr>
                  <w:r>
                    <w:rPr>
                      <w:rFonts w:hint="eastAsia"/>
                      <w:color w:val="00B050"/>
                      <w:szCs w:val="21"/>
                      <w:lang w:val="en-US" w:eastAsia="zh-CN"/>
                    </w:rPr>
                    <w:t>VOCs:55%</w:t>
                  </w:r>
                </w:p>
              </w:tc>
              <w:tc>
                <w:tcPr>
                  <w:tcW w:w="905" w:type="dxa"/>
                  <w:noWrap/>
                  <w:vAlign w:val="center"/>
                </w:tcPr>
                <w:p w14:paraId="1458263F">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eastAsia="宋体"/>
                      <w:color w:val="00B050"/>
                      <w:szCs w:val="21"/>
                    </w:rPr>
                  </w:pPr>
                  <w:r>
                    <w:rPr>
                      <w:rFonts w:hint="eastAsia" w:eastAsia="宋体"/>
                      <w:color w:val="00B050"/>
                      <w:szCs w:val="21"/>
                    </w:rPr>
                    <w:t>是</w:t>
                  </w:r>
                </w:p>
              </w:tc>
            </w:tr>
            <w:tr w14:paraId="4EF5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22" w:type="dxa"/>
                  <w:vMerge w:val="continue"/>
                  <w:noWrap/>
                  <w:vAlign w:val="center"/>
                </w:tcPr>
                <w:p w14:paraId="57F44149">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eastAsia="宋体"/>
                      <w:color w:val="00B050"/>
                      <w:szCs w:val="21"/>
                      <w:lang w:val="en-US" w:eastAsia="zh-CN"/>
                    </w:rPr>
                  </w:pPr>
                </w:p>
              </w:tc>
              <w:tc>
                <w:tcPr>
                  <w:tcW w:w="1283" w:type="dxa"/>
                  <w:noWrap/>
                  <w:vAlign w:val="center"/>
                </w:tcPr>
                <w:p w14:paraId="5260D2C0">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B050"/>
                      <w:szCs w:val="20"/>
                      <w:lang w:val="en-US" w:eastAsia="zh-CN"/>
                    </w:rPr>
                  </w:pPr>
                  <w:r>
                    <w:rPr>
                      <w:rFonts w:hint="eastAsia"/>
                      <w:color w:val="00B050"/>
                      <w:szCs w:val="20"/>
                      <w:lang w:val="en-US" w:eastAsia="zh-CN"/>
                    </w:rPr>
                    <w:t>废铅蓄电池贮存</w:t>
                  </w:r>
                </w:p>
              </w:tc>
              <w:tc>
                <w:tcPr>
                  <w:tcW w:w="1168" w:type="dxa"/>
                  <w:noWrap/>
                  <w:vAlign w:val="center"/>
                </w:tcPr>
                <w:p w14:paraId="0A0ABAFD">
                  <w:pPr>
                    <w:keepNext/>
                    <w:keepLines w:val="0"/>
                    <w:pageBreakBefore w:val="0"/>
                    <w:widowControl w:val="0"/>
                    <w:kinsoku/>
                    <w:wordWrap/>
                    <w:overflowPunct/>
                    <w:topLinePunct w:val="0"/>
                    <w:autoSpaceDE/>
                    <w:autoSpaceDN/>
                    <w:bidi w:val="0"/>
                    <w:adjustRightInd/>
                    <w:snapToGrid/>
                    <w:jc w:val="center"/>
                    <w:rPr>
                      <w:rFonts w:hint="default"/>
                      <w:color w:val="00B050"/>
                      <w:szCs w:val="20"/>
                      <w:vertAlign w:val="baseline"/>
                      <w:lang w:val="en-US" w:eastAsia="zh-CN"/>
                    </w:rPr>
                  </w:pPr>
                  <w:r>
                    <w:rPr>
                      <w:rFonts w:hint="eastAsia"/>
                      <w:color w:val="00B050"/>
                      <w:szCs w:val="20"/>
                      <w:vertAlign w:val="baseline"/>
                      <w:lang w:val="en-US" w:eastAsia="zh-CN"/>
                    </w:rPr>
                    <w:t>酸性废气</w:t>
                  </w:r>
                </w:p>
              </w:tc>
              <w:tc>
                <w:tcPr>
                  <w:tcW w:w="1402" w:type="dxa"/>
                  <w:noWrap/>
                  <w:vAlign w:val="center"/>
                </w:tcPr>
                <w:p w14:paraId="0236E745">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B050"/>
                      <w:sz w:val="21"/>
                      <w:szCs w:val="21"/>
                      <w:lang w:val="en-US" w:eastAsia="zh-CN"/>
                    </w:rPr>
                  </w:pPr>
                  <w:r>
                    <w:rPr>
                      <w:rFonts w:hint="eastAsia" w:cs="Times New Roman"/>
                      <w:color w:val="00B050"/>
                      <w:sz w:val="21"/>
                      <w:szCs w:val="21"/>
                      <w:lang w:val="en-US" w:eastAsia="zh-CN"/>
                    </w:rPr>
                    <w:t>集气罩+碱洗塔</w:t>
                  </w:r>
                </w:p>
              </w:tc>
              <w:tc>
                <w:tcPr>
                  <w:tcW w:w="1110" w:type="dxa"/>
                  <w:noWrap/>
                  <w:vAlign w:val="center"/>
                </w:tcPr>
                <w:p w14:paraId="7DCBC883">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B050"/>
                      <w:szCs w:val="21"/>
                      <w:lang w:val="en-US" w:eastAsia="zh-CN"/>
                    </w:rPr>
                  </w:pPr>
                  <w:r>
                    <w:rPr>
                      <w:rFonts w:hint="eastAsia"/>
                      <w:color w:val="00B050"/>
                      <w:szCs w:val="21"/>
                      <w:lang w:val="en-US" w:eastAsia="zh-CN"/>
                    </w:rPr>
                    <w:t>90%</w:t>
                  </w:r>
                </w:p>
              </w:tc>
              <w:tc>
                <w:tcPr>
                  <w:tcW w:w="1633" w:type="dxa"/>
                  <w:noWrap/>
                  <w:vAlign w:val="center"/>
                </w:tcPr>
                <w:p w14:paraId="567AA95F">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B050"/>
                      <w:szCs w:val="21"/>
                      <w:lang w:val="en-US" w:eastAsia="zh-CN"/>
                    </w:rPr>
                  </w:pPr>
                  <w:r>
                    <w:rPr>
                      <w:rFonts w:hint="eastAsia"/>
                      <w:color w:val="00B050"/>
                      <w:szCs w:val="21"/>
                      <w:lang w:val="en-US" w:eastAsia="zh-CN"/>
                    </w:rPr>
                    <w:t>90%</w:t>
                  </w:r>
                </w:p>
              </w:tc>
              <w:tc>
                <w:tcPr>
                  <w:tcW w:w="905" w:type="dxa"/>
                  <w:noWrap/>
                  <w:vAlign w:val="center"/>
                </w:tcPr>
                <w:p w14:paraId="35A705BF">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00B050"/>
                      <w:szCs w:val="21"/>
                      <w:lang w:val="en-US" w:eastAsia="zh-CN"/>
                    </w:rPr>
                  </w:pPr>
                  <w:r>
                    <w:rPr>
                      <w:rFonts w:hint="eastAsia"/>
                      <w:color w:val="00B050"/>
                      <w:szCs w:val="21"/>
                      <w:lang w:val="en-US" w:eastAsia="zh-CN"/>
                    </w:rPr>
                    <w:t>是</w:t>
                  </w:r>
                </w:p>
              </w:tc>
            </w:tr>
            <w:tr w14:paraId="403C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22" w:type="dxa"/>
                  <w:vMerge w:val="restart"/>
                  <w:noWrap/>
                  <w:vAlign w:val="center"/>
                </w:tcPr>
                <w:p w14:paraId="5DBA22AF">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无组织</w:t>
                  </w:r>
                </w:p>
              </w:tc>
              <w:tc>
                <w:tcPr>
                  <w:tcW w:w="1283" w:type="dxa"/>
                  <w:noWrap/>
                  <w:vAlign w:val="center"/>
                </w:tcPr>
                <w:p w14:paraId="03DC1452">
                  <w:pPr>
                    <w:keepNext/>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废矿物油装卸区</w:t>
                  </w:r>
                </w:p>
              </w:tc>
              <w:tc>
                <w:tcPr>
                  <w:tcW w:w="1168" w:type="dxa"/>
                  <w:noWrap/>
                  <w:vAlign w:val="center"/>
                </w:tcPr>
                <w:p w14:paraId="5E5943B7">
                  <w:pPr>
                    <w:keepNext/>
                    <w:keepLines w:val="0"/>
                    <w:pageBreakBefore w:val="0"/>
                    <w:widowControl w:val="0"/>
                    <w:kinsoku/>
                    <w:wordWrap/>
                    <w:overflowPunct/>
                    <w:topLinePunct w:val="0"/>
                    <w:autoSpaceDE/>
                    <w:autoSpaceDN/>
                    <w:bidi w:val="0"/>
                    <w:adjustRightInd/>
                    <w:snapToGrid/>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olor w:val="000000" w:themeColor="text1"/>
                      <w:szCs w:val="20"/>
                      <w:vertAlign w:val="baseline"/>
                      <w:lang w:val="en-US" w:eastAsia="zh-CN"/>
                      <w14:textFill>
                        <w14:solidFill>
                          <w14:schemeClr w14:val="tx1"/>
                        </w14:solidFill>
                      </w14:textFill>
                    </w:rPr>
                    <w:t>NMHC、臭气浓度</w:t>
                  </w:r>
                </w:p>
              </w:tc>
              <w:tc>
                <w:tcPr>
                  <w:tcW w:w="1402" w:type="dxa"/>
                  <w:noWrap/>
                  <w:vAlign w:val="center"/>
                </w:tcPr>
                <w:p w14:paraId="6DD1CFD0">
                  <w:pPr>
                    <w:keepNext/>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w:t>
                  </w:r>
                </w:p>
              </w:tc>
              <w:tc>
                <w:tcPr>
                  <w:tcW w:w="1110" w:type="dxa"/>
                  <w:noWrap/>
                  <w:vAlign w:val="center"/>
                </w:tcPr>
                <w:p w14:paraId="04747EC9">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633" w:type="dxa"/>
                  <w:noWrap/>
                  <w:vAlign w:val="center"/>
                </w:tcPr>
                <w:p w14:paraId="3A14C11D">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05" w:type="dxa"/>
                  <w:noWrap/>
                  <w:vAlign w:val="center"/>
                </w:tcPr>
                <w:p w14:paraId="73AD36A7">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6E9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2" w:type="dxa"/>
                  <w:vMerge w:val="continue"/>
                  <w:noWrap/>
                  <w:vAlign w:val="center"/>
                </w:tcPr>
                <w:p w14:paraId="5F87726E">
                  <w:pPr>
                    <w:keepNext/>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eastAsia="宋体"/>
                      <w:color w:val="000000" w:themeColor="text1"/>
                      <w:szCs w:val="21"/>
                      <w:lang w:val="en-US" w:eastAsia="zh-CN"/>
                      <w14:textFill>
                        <w14:solidFill>
                          <w14:schemeClr w14:val="tx1"/>
                        </w14:solidFill>
                      </w14:textFill>
                    </w:rPr>
                  </w:pPr>
                </w:p>
              </w:tc>
              <w:tc>
                <w:tcPr>
                  <w:tcW w:w="1283" w:type="dxa"/>
                  <w:noWrap/>
                  <w:vAlign w:val="center"/>
                </w:tcPr>
                <w:p w14:paraId="3E621E36">
                  <w:pPr>
                    <w:keepNext/>
                    <w:keepLines w:val="0"/>
                    <w:pageBreakBefore w:val="0"/>
                    <w:widowControl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其他危险废物（废镉镍电池、废铅蓄电池）贮存</w:t>
                  </w:r>
                </w:p>
              </w:tc>
              <w:tc>
                <w:tcPr>
                  <w:tcW w:w="1168" w:type="dxa"/>
                  <w:noWrap/>
                  <w:vAlign w:val="center"/>
                </w:tcPr>
                <w:p w14:paraId="0D88979C">
                  <w:pPr>
                    <w:keepNext/>
                    <w:keepLines w:val="0"/>
                    <w:pageBreakBefore w:val="0"/>
                    <w:widowControl w:val="0"/>
                    <w:kinsoku/>
                    <w:wordWrap/>
                    <w:overflowPunct/>
                    <w:topLinePunct w:val="0"/>
                    <w:autoSpaceDE/>
                    <w:autoSpaceDN/>
                    <w:bidi w:val="0"/>
                    <w:adjustRightInd/>
                    <w:snapToGrid/>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olor w:val="000000" w:themeColor="text1"/>
                      <w:szCs w:val="20"/>
                      <w:vertAlign w:val="baseline"/>
                      <w:lang w:val="en-US" w:eastAsia="zh-CN"/>
                      <w14:textFill>
                        <w14:solidFill>
                          <w14:schemeClr w14:val="tx1"/>
                        </w14:solidFill>
                      </w14:textFill>
                    </w:rPr>
                    <w:t>NMHC、臭气浓度</w:t>
                  </w:r>
                </w:p>
              </w:tc>
              <w:tc>
                <w:tcPr>
                  <w:tcW w:w="1402" w:type="dxa"/>
                  <w:noWrap/>
                  <w:vAlign w:val="center"/>
                </w:tcPr>
                <w:p w14:paraId="3DEF7EC1">
                  <w:pPr>
                    <w:keepNext/>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w:t>
                  </w:r>
                </w:p>
              </w:tc>
              <w:tc>
                <w:tcPr>
                  <w:tcW w:w="1110" w:type="dxa"/>
                  <w:noWrap/>
                  <w:vAlign w:val="center"/>
                </w:tcPr>
                <w:p w14:paraId="2AD9B66D">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633" w:type="dxa"/>
                  <w:noWrap/>
                  <w:vAlign w:val="center"/>
                </w:tcPr>
                <w:p w14:paraId="3273D591">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05" w:type="dxa"/>
                  <w:noWrap/>
                  <w:vAlign w:val="center"/>
                </w:tcPr>
                <w:p w14:paraId="4069D3B8">
                  <w:pPr>
                    <w:keepNext/>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14:paraId="025353D4">
            <w:pPr>
              <w:keepNext/>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000000" w:themeColor="text1"/>
                <w:sz w:val="24"/>
                <w:u w:val="none"/>
                <w14:textFill>
                  <w14:solidFill>
                    <w14:schemeClr w14:val="tx1"/>
                  </w14:solidFill>
                </w14:textFill>
              </w:rPr>
            </w:pPr>
            <w:r>
              <w:rPr>
                <w:rFonts w:hint="eastAsia" w:ascii="Times New Roman" w:hAnsi="Times New Roman" w:eastAsia="宋体" w:cs="Times New Roman"/>
                <w:b/>
                <w:bCs w:val="0"/>
                <w:color w:val="000000" w:themeColor="text1"/>
                <w:sz w:val="24"/>
                <w:u w:val="none"/>
                <w14:textFill>
                  <w14:solidFill>
                    <w14:schemeClr w14:val="tx1"/>
                  </w14:solidFill>
                </w14:textFill>
              </w:rPr>
              <w:t>3、排放口基本情况</w:t>
            </w:r>
          </w:p>
          <w:p w14:paraId="0B3795D2">
            <w:pPr>
              <w:keepNext/>
              <w:keepLines w:val="0"/>
              <w:pageBreakBefore w:val="0"/>
              <w:widowControl w:val="0"/>
              <w:kinsoku/>
              <w:wordWrap/>
              <w:overflowPunct/>
              <w:topLinePunct w:val="0"/>
              <w:autoSpaceDE/>
              <w:autoSpaceDN/>
              <w:bidi w:val="0"/>
              <w:adjustRightInd/>
              <w:snapToGrid/>
              <w:spacing w:line="360" w:lineRule="auto"/>
              <w:ind w:firstLine="480" w:firstLineChars="200"/>
              <w:rPr>
                <w:rFonts w:ascii="Times New Roman" w:hAnsi="Times New Roman" w:eastAsia="宋体" w:cs="Times New Roman"/>
                <w:bCs/>
                <w:color w:val="000000" w:themeColor="text1"/>
                <w:sz w:val="24"/>
                <w:u w:val="none"/>
                <w14:textFill>
                  <w14:solidFill>
                    <w14:schemeClr w14:val="tx1"/>
                  </w14:solidFill>
                </w14:textFill>
              </w:rPr>
            </w:pPr>
            <w:r>
              <w:rPr>
                <w:rFonts w:hint="eastAsia" w:cs="Times New Roman"/>
                <w:bCs/>
                <w:color w:val="000000" w:themeColor="text1"/>
                <w:sz w:val="24"/>
                <w:u w:val="none"/>
                <w:lang w:val="en-US" w:eastAsia="zh-CN"/>
                <w14:textFill>
                  <w14:solidFill>
                    <w14:schemeClr w14:val="tx1"/>
                  </w14:solidFill>
                </w14:textFill>
              </w:rPr>
              <w:t>项目</w:t>
            </w:r>
            <w:r>
              <w:rPr>
                <w:rFonts w:hint="eastAsia" w:ascii="Times New Roman" w:hAnsi="Times New Roman" w:eastAsia="宋体" w:cs="Times New Roman"/>
                <w:bCs/>
                <w:color w:val="000000" w:themeColor="text1"/>
                <w:sz w:val="24"/>
                <w:u w:val="none"/>
                <w14:textFill>
                  <w14:solidFill>
                    <w14:schemeClr w14:val="tx1"/>
                  </w14:solidFill>
                </w14:textFill>
              </w:rPr>
              <w:t>排放口基本情况见表4</w:t>
            </w:r>
            <w:r>
              <w:rPr>
                <w:rFonts w:hint="eastAsia" w:cs="Times New Roman"/>
                <w:bCs/>
                <w:color w:val="000000" w:themeColor="text1"/>
                <w:sz w:val="24"/>
                <w:u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4"/>
                <w:u w:val="none"/>
                <w14:textFill>
                  <w14:solidFill>
                    <w14:schemeClr w14:val="tx1"/>
                  </w14:solidFill>
                </w14:textFill>
              </w:rPr>
              <w:t>-</w:t>
            </w:r>
            <w:r>
              <w:rPr>
                <w:rFonts w:hint="eastAsia" w:cs="Times New Roman"/>
                <w:bCs/>
                <w:color w:val="000000" w:themeColor="text1"/>
                <w:sz w:val="24"/>
                <w:u w:val="none"/>
                <w:lang w:val="en-US" w:eastAsia="zh-CN"/>
                <w14:textFill>
                  <w14:solidFill>
                    <w14:schemeClr w14:val="tx1"/>
                  </w14:solidFill>
                </w14:textFill>
              </w:rPr>
              <w:t>3所示</w:t>
            </w:r>
            <w:r>
              <w:rPr>
                <w:rFonts w:hint="eastAsia" w:ascii="Times New Roman" w:hAnsi="Times New Roman" w:eastAsia="宋体" w:cs="Times New Roman"/>
                <w:bCs/>
                <w:color w:val="000000" w:themeColor="text1"/>
                <w:sz w:val="24"/>
                <w:u w:val="none"/>
                <w14:textFill>
                  <w14:solidFill>
                    <w14:schemeClr w14:val="tx1"/>
                  </w14:solidFill>
                </w14:textFill>
              </w:rPr>
              <w:t>。</w:t>
            </w:r>
          </w:p>
          <w:p w14:paraId="17A3C26C">
            <w:pPr>
              <w:keepNext/>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val="0"/>
                <w:color w:val="000000" w:themeColor="text1"/>
                <w:szCs w:val="21"/>
                <w14:textFill>
                  <w14:solidFill>
                    <w14:schemeClr w14:val="tx1"/>
                  </w14:solidFill>
                </w14:textFill>
              </w:rPr>
            </w:pPr>
            <w:r>
              <w:rPr>
                <w:rFonts w:hint="eastAsia" w:ascii="宋体" w:hAnsi="宋体" w:eastAsia="宋体" w:cs="宋体"/>
                <w:b/>
                <w:bCs w:val="0"/>
                <w:color w:val="000000" w:themeColor="text1"/>
                <w:szCs w:val="21"/>
                <w14:textFill>
                  <w14:solidFill>
                    <w14:schemeClr w14:val="tx1"/>
                  </w14:solidFill>
                </w14:textFill>
              </w:rPr>
              <w:t>表4</w:t>
            </w:r>
            <w:r>
              <w:rPr>
                <w:rFonts w:hint="eastAsia" w:ascii="宋体" w:hAnsi="宋体" w:eastAsia="宋体" w:cs="宋体"/>
                <w:b/>
                <w:bCs w:val="0"/>
                <w:color w:val="000000" w:themeColor="text1"/>
                <w:szCs w:val="21"/>
                <w:lang w:val="en-US" w:eastAsia="zh-CN"/>
                <w14:textFill>
                  <w14:solidFill>
                    <w14:schemeClr w14:val="tx1"/>
                  </w14:solidFill>
                </w14:textFill>
              </w:rPr>
              <w:t>.2</w:t>
            </w:r>
            <w:r>
              <w:rPr>
                <w:rFonts w:hint="eastAsia" w:ascii="宋体" w:hAnsi="宋体" w:eastAsia="宋体" w:cs="宋体"/>
                <w:b/>
                <w:bCs w:val="0"/>
                <w:color w:val="000000" w:themeColor="text1"/>
                <w:szCs w:val="21"/>
                <w14:textFill>
                  <w14:solidFill>
                    <w14:schemeClr w14:val="tx1"/>
                  </w14:solidFill>
                </w14:textFill>
              </w:rPr>
              <w:t>-</w:t>
            </w:r>
            <w:r>
              <w:rPr>
                <w:rFonts w:hint="eastAsia" w:ascii="宋体" w:hAnsi="宋体" w:eastAsia="宋体" w:cs="宋体"/>
                <w:b/>
                <w:bCs w:val="0"/>
                <w:color w:val="000000" w:themeColor="text1"/>
                <w:szCs w:val="21"/>
                <w:lang w:val="en-US" w:eastAsia="zh-CN"/>
                <w14:textFill>
                  <w14:solidFill>
                    <w14:schemeClr w14:val="tx1"/>
                  </w14:solidFill>
                </w14:textFill>
              </w:rPr>
              <w:t>3</w:t>
            </w:r>
            <w:r>
              <w:rPr>
                <w:rFonts w:hint="eastAsia" w:ascii="宋体" w:hAnsi="宋体" w:eastAsia="宋体" w:cs="宋体"/>
                <w:b/>
                <w:bCs w:val="0"/>
                <w:color w:val="000000" w:themeColor="text1"/>
                <w:szCs w:val="21"/>
                <w14:textFill>
                  <w14:solidFill>
                    <w14:schemeClr w14:val="tx1"/>
                  </w14:solidFill>
                </w14:textFill>
              </w:rPr>
              <w:t xml:space="preserve">  排放口基本情况一览表</w:t>
            </w:r>
          </w:p>
          <w:tbl>
            <w:tblPr>
              <w:tblStyle w:val="26"/>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122"/>
              <w:gridCol w:w="1102"/>
              <w:gridCol w:w="1181"/>
              <w:gridCol w:w="1087"/>
              <w:gridCol w:w="889"/>
              <w:gridCol w:w="1036"/>
              <w:gridCol w:w="1006"/>
            </w:tblGrid>
            <w:tr w14:paraId="1A8B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76" w:type="pct"/>
                  <w:vMerge w:val="restart"/>
                  <w:noWrap w:val="0"/>
                  <w:vAlign w:val="center"/>
                </w:tcPr>
                <w:p w14:paraId="35E461BD">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b/>
                      <w:bCs/>
                      <w:color w:val="000000" w:themeColor="text1"/>
                      <w:sz w:val="21"/>
                      <w:szCs w:val="21"/>
                      <w:u w:val="none"/>
                      <w14:textFill>
                        <w14:solidFill>
                          <w14:schemeClr w14:val="tx1"/>
                        </w14:solidFill>
                      </w14:textFill>
                    </w:rPr>
                  </w:pPr>
                  <w:r>
                    <w:rPr>
                      <w:rFonts w:ascii="Times New Roman" w:hAnsi="Times New Roman" w:eastAsia="宋体" w:cs="Times New Roman"/>
                      <w:b/>
                      <w:bCs/>
                      <w:color w:val="000000" w:themeColor="text1"/>
                      <w:sz w:val="21"/>
                      <w:szCs w:val="21"/>
                      <w:u w:val="none"/>
                      <w14:textFill>
                        <w14:solidFill>
                          <w14:schemeClr w14:val="tx1"/>
                        </w14:solidFill>
                      </w14:textFill>
                    </w:rPr>
                    <w:t>名称</w:t>
                  </w:r>
                </w:p>
              </w:tc>
              <w:tc>
                <w:tcPr>
                  <w:tcW w:w="1324" w:type="pct"/>
                  <w:gridSpan w:val="2"/>
                  <w:noWrap w:val="0"/>
                  <w:vAlign w:val="center"/>
                </w:tcPr>
                <w:p w14:paraId="1ABA7303">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b/>
                      <w:bCs/>
                      <w:color w:val="000000" w:themeColor="text1"/>
                      <w:sz w:val="21"/>
                      <w:szCs w:val="21"/>
                      <w:u w:val="none"/>
                      <w14:textFill>
                        <w14:solidFill>
                          <w14:schemeClr w14:val="tx1"/>
                        </w14:solidFill>
                      </w14:textFill>
                    </w:rPr>
                  </w:pPr>
                  <w:r>
                    <w:rPr>
                      <w:rFonts w:ascii="Times New Roman" w:hAnsi="Times New Roman" w:eastAsia="宋体" w:cs="Times New Roman"/>
                      <w:b/>
                      <w:bCs/>
                      <w:color w:val="000000" w:themeColor="text1"/>
                      <w:sz w:val="21"/>
                      <w:szCs w:val="21"/>
                      <w:u w:val="none"/>
                      <w14:textFill>
                        <w14:solidFill>
                          <w14:schemeClr w14:val="tx1"/>
                        </w14:solidFill>
                      </w14:textFill>
                    </w:rPr>
                    <w:t>排气筒底部中心坐标</w:t>
                  </w:r>
                </w:p>
              </w:tc>
              <w:tc>
                <w:tcPr>
                  <w:tcW w:w="703" w:type="pct"/>
                  <w:vMerge w:val="restart"/>
                  <w:noWrap w:val="0"/>
                  <w:vAlign w:val="center"/>
                </w:tcPr>
                <w:p w14:paraId="0B63DFDA">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b/>
                      <w:bCs/>
                      <w:color w:val="000000" w:themeColor="text1"/>
                      <w:sz w:val="21"/>
                      <w:szCs w:val="21"/>
                      <w:u w:val="none"/>
                      <w14:textFill>
                        <w14:solidFill>
                          <w14:schemeClr w14:val="tx1"/>
                        </w14:solidFill>
                      </w14:textFill>
                    </w:rPr>
                  </w:pPr>
                  <w:r>
                    <w:rPr>
                      <w:rFonts w:ascii="Times New Roman" w:hAnsi="Times New Roman" w:eastAsia="宋体" w:cs="Times New Roman"/>
                      <w:b/>
                      <w:bCs/>
                      <w:color w:val="000000" w:themeColor="text1"/>
                      <w:sz w:val="21"/>
                      <w:szCs w:val="21"/>
                      <w:u w:val="none"/>
                      <w14:textFill>
                        <w14:solidFill>
                          <w14:schemeClr w14:val="tx1"/>
                        </w14:solidFill>
                      </w14:textFill>
                    </w:rPr>
                    <w:t>排气筒高度/m</w:t>
                  </w:r>
                </w:p>
              </w:tc>
              <w:tc>
                <w:tcPr>
                  <w:tcW w:w="647" w:type="pct"/>
                  <w:vMerge w:val="restart"/>
                  <w:noWrap w:val="0"/>
                  <w:vAlign w:val="center"/>
                </w:tcPr>
                <w:p w14:paraId="00E95C2C">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b/>
                      <w:bCs/>
                      <w:color w:val="000000" w:themeColor="text1"/>
                      <w:sz w:val="21"/>
                      <w:szCs w:val="21"/>
                      <w:u w:val="none"/>
                      <w14:textFill>
                        <w14:solidFill>
                          <w14:schemeClr w14:val="tx1"/>
                        </w14:solidFill>
                      </w14:textFill>
                    </w:rPr>
                  </w:pPr>
                  <w:r>
                    <w:rPr>
                      <w:rFonts w:ascii="Times New Roman" w:hAnsi="Times New Roman" w:eastAsia="宋体" w:cs="Times New Roman"/>
                      <w:b/>
                      <w:bCs/>
                      <w:color w:val="000000" w:themeColor="text1"/>
                      <w:sz w:val="21"/>
                      <w:szCs w:val="21"/>
                      <w:u w:val="none"/>
                      <w14:textFill>
                        <w14:solidFill>
                          <w14:schemeClr w14:val="tx1"/>
                        </w14:solidFill>
                      </w14:textFill>
                    </w:rPr>
                    <w:t>排气筒出口内径/m</w:t>
                  </w:r>
                </w:p>
              </w:tc>
              <w:tc>
                <w:tcPr>
                  <w:tcW w:w="529" w:type="pct"/>
                  <w:vMerge w:val="restart"/>
                  <w:noWrap w:val="0"/>
                  <w:vAlign w:val="center"/>
                </w:tcPr>
                <w:p w14:paraId="41939459">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b/>
                      <w:bCs/>
                      <w:color w:val="000000" w:themeColor="text1"/>
                      <w:sz w:val="21"/>
                      <w:szCs w:val="21"/>
                      <w:u w:val="none"/>
                      <w14:textFill>
                        <w14:solidFill>
                          <w14:schemeClr w14:val="tx1"/>
                        </w14:solidFill>
                      </w14:textFill>
                    </w:rPr>
                  </w:pPr>
                  <w:r>
                    <w:rPr>
                      <w:rFonts w:ascii="Times New Roman" w:hAnsi="Times New Roman" w:eastAsia="宋体" w:cs="Times New Roman"/>
                      <w:b/>
                      <w:bCs/>
                      <w:color w:val="000000" w:themeColor="text1"/>
                      <w:sz w:val="21"/>
                      <w:szCs w:val="21"/>
                      <w:u w:val="none"/>
                      <w14:textFill>
                        <w14:solidFill>
                          <w14:schemeClr w14:val="tx1"/>
                        </w14:solidFill>
                      </w14:textFill>
                    </w:rPr>
                    <w:t>烟气温度/℃</w:t>
                  </w:r>
                </w:p>
              </w:tc>
              <w:tc>
                <w:tcPr>
                  <w:tcW w:w="617" w:type="pct"/>
                  <w:vMerge w:val="restart"/>
                  <w:noWrap w:val="0"/>
                  <w:vAlign w:val="center"/>
                </w:tcPr>
                <w:p w14:paraId="7941914C">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b/>
                      <w:bCs/>
                      <w:color w:val="000000" w:themeColor="text1"/>
                      <w:sz w:val="21"/>
                      <w:szCs w:val="21"/>
                      <w:u w:val="none"/>
                      <w14:textFill>
                        <w14:solidFill>
                          <w14:schemeClr w14:val="tx1"/>
                        </w14:solidFill>
                      </w14:textFill>
                    </w:rPr>
                  </w:pPr>
                  <w:r>
                    <w:rPr>
                      <w:rFonts w:ascii="Times New Roman" w:hAnsi="Times New Roman" w:eastAsia="宋体" w:cs="Times New Roman"/>
                      <w:b/>
                      <w:bCs/>
                      <w:color w:val="000000" w:themeColor="text1"/>
                      <w:sz w:val="21"/>
                      <w:szCs w:val="21"/>
                      <w:u w:val="none"/>
                      <w14:textFill>
                        <w14:solidFill>
                          <w14:schemeClr w14:val="tx1"/>
                        </w14:solidFill>
                      </w14:textFill>
                    </w:rPr>
                    <w:t>年排放小时数/h</w:t>
                  </w:r>
                </w:p>
              </w:tc>
              <w:tc>
                <w:tcPr>
                  <w:tcW w:w="599" w:type="pct"/>
                  <w:vMerge w:val="restart"/>
                  <w:noWrap w:val="0"/>
                  <w:vAlign w:val="center"/>
                </w:tcPr>
                <w:p w14:paraId="6129CC42">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b/>
                      <w:bCs/>
                      <w:color w:val="000000" w:themeColor="text1"/>
                      <w:sz w:val="21"/>
                      <w:szCs w:val="21"/>
                      <w:u w:val="none"/>
                      <w14:textFill>
                        <w14:solidFill>
                          <w14:schemeClr w14:val="tx1"/>
                        </w14:solidFill>
                      </w14:textFill>
                    </w:rPr>
                  </w:pPr>
                  <w:r>
                    <w:rPr>
                      <w:rFonts w:hint="eastAsia" w:ascii="Times New Roman" w:hAnsi="Times New Roman" w:eastAsia="宋体" w:cs="Times New Roman"/>
                      <w:b/>
                      <w:bCs/>
                      <w:color w:val="000000" w:themeColor="text1"/>
                      <w:sz w:val="21"/>
                      <w:szCs w:val="21"/>
                      <w:u w:val="none"/>
                      <w14:textFill>
                        <w14:solidFill>
                          <w14:schemeClr w14:val="tx1"/>
                        </w14:solidFill>
                      </w14:textFill>
                    </w:rPr>
                    <w:t>排放口类型</w:t>
                  </w:r>
                </w:p>
              </w:tc>
            </w:tr>
            <w:tr w14:paraId="1AEE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76" w:type="pct"/>
                  <w:vMerge w:val="continue"/>
                  <w:noWrap w:val="0"/>
                  <w:vAlign w:val="center"/>
                </w:tcPr>
                <w:p w14:paraId="754B51F6">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color w:val="000000" w:themeColor="text1"/>
                      <w:sz w:val="21"/>
                      <w:szCs w:val="21"/>
                      <w:u w:val="none"/>
                      <w14:textFill>
                        <w14:solidFill>
                          <w14:schemeClr w14:val="tx1"/>
                        </w14:solidFill>
                      </w14:textFill>
                    </w:rPr>
                  </w:pPr>
                </w:p>
              </w:tc>
              <w:tc>
                <w:tcPr>
                  <w:tcW w:w="668" w:type="pct"/>
                  <w:noWrap w:val="0"/>
                  <w:vAlign w:val="center"/>
                </w:tcPr>
                <w:p w14:paraId="12AFA5BA">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经度</w:t>
                  </w:r>
                </w:p>
              </w:tc>
              <w:tc>
                <w:tcPr>
                  <w:tcW w:w="656" w:type="pct"/>
                  <w:noWrap w:val="0"/>
                  <w:vAlign w:val="center"/>
                </w:tcPr>
                <w:p w14:paraId="4CA2ACF1">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纬度</w:t>
                  </w:r>
                </w:p>
              </w:tc>
              <w:tc>
                <w:tcPr>
                  <w:tcW w:w="703" w:type="pct"/>
                  <w:vMerge w:val="continue"/>
                  <w:noWrap w:val="0"/>
                  <w:vAlign w:val="center"/>
                </w:tcPr>
                <w:p w14:paraId="477E4CAD">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color w:val="000000" w:themeColor="text1"/>
                      <w:sz w:val="21"/>
                      <w:szCs w:val="21"/>
                      <w:u w:val="none"/>
                      <w14:textFill>
                        <w14:solidFill>
                          <w14:schemeClr w14:val="tx1"/>
                        </w14:solidFill>
                      </w14:textFill>
                    </w:rPr>
                  </w:pPr>
                </w:p>
              </w:tc>
              <w:tc>
                <w:tcPr>
                  <w:tcW w:w="647" w:type="pct"/>
                  <w:vMerge w:val="continue"/>
                  <w:noWrap w:val="0"/>
                  <w:vAlign w:val="center"/>
                </w:tcPr>
                <w:p w14:paraId="31D784F7">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color w:val="000000" w:themeColor="text1"/>
                      <w:sz w:val="21"/>
                      <w:szCs w:val="21"/>
                      <w:u w:val="none"/>
                      <w14:textFill>
                        <w14:solidFill>
                          <w14:schemeClr w14:val="tx1"/>
                        </w14:solidFill>
                      </w14:textFill>
                    </w:rPr>
                  </w:pPr>
                </w:p>
              </w:tc>
              <w:tc>
                <w:tcPr>
                  <w:tcW w:w="529" w:type="pct"/>
                  <w:vMerge w:val="continue"/>
                  <w:noWrap w:val="0"/>
                  <w:vAlign w:val="center"/>
                </w:tcPr>
                <w:p w14:paraId="763D6039">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color w:val="000000" w:themeColor="text1"/>
                      <w:sz w:val="21"/>
                      <w:szCs w:val="21"/>
                      <w:u w:val="none"/>
                      <w14:textFill>
                        <w14:solidFill>
                          <w14:schemeClr w14:val="tx1"/>
                        </w14:solidFill>
                      </w14:textFill>
                    </w:rPr>
                  </w:pPr>
                </w:p>
              </w:tc>
              <w:tc>
                <w:tcPr>
                  <w:tcW w:w="617" w:type="pct"/>
                  <w:vMerge w:val="continue"/>
                  <w:noWrap w:val="0"/>
                  <w:vAlign w:val="center"/>
                </w:tcPr>
                <w:p w14:paraId="29C04995">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color w:val="000000" w:themeColor="text1"/>
                      <w:sz w:val="21"/>
                      <w:szCs w:val="21"/>
                      <w:u w:val="none"/>
                      <w14:textFill>
                        <w14:solidFill>
                          <w14:schemeClr w14:val="tx1"/>
                        </w14:solidFill>
                      </w14:textFill>
                    </w:rPr>
                  </w:pPr>
                </w:p>
              </w:tc>
              <w:tc>
                <w:tcPr>
                  <w:tcW w:w="599" w:type="pct"/>
                  <w:vMerge w:val="continue"/>
                  <w:noWrap w:val="0"/>
                  <w:vAlign w:val="center"/>
                </w:tcPr>
                <w:p w14:paraId="1501D9D3">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宋体" w:cs="Times New Roman"/>
                      <w:color w:val="000000" w:themeColor="text1"/>
                      <w:sz w:val="21"/>
                      <w:szCs w:val="21"/>
                      <w:u w:val="none"/>
                      <w14:textFill>
                        <w14:solidFill>
                          <w14:schemeClr w14:val="tx1"/>
                        </w14:solidFill>
                      </w14:textFill>
                    </w:rPr>
                  </w:pPr>
                </w:p>
              </w:tc>
            </w:tr>
            <w:tr w14:paraId="58CF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6" w:type="pct"/>
                  <w:noWrap w:val="0"/>
                  <w:vAlign w:val="center"/>
                </w:tcPr>
                <w:p w14:paraId="0538A504">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DA001</w:t>
                  </w:r>
                </w:p>
              </w:tc>
              <w:tc>
                <w:tcPr>
                  <w:tcW w:w="668" w:type="pct"/>
                  <w:noWrap w:val="0"/>
                  <w:vAlign w:val="center"/>
                </w:tcPr>
                <w:p w14:paraId="2B297537">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103°53′6.283″</w:t>
                  </w:r>
                </w:p>
              </w:tc>
              <w:tc>
                <w:tcPr>
                  <w:tcW w:w="656" w:type="pct"/>
                  <w:noWrap w:val="0"/>
                  <w:vAlign w:val="center"/>
                </w:tcPr>
                <w:p w14:paraId="16D1195F">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25°30′45.636″</w:t>
                  </w:r>
                </w:p>
              </w:tc>
              <w:tc>
                <w:tcPr>
                  <w:tcW w:w="703" w:type="pct"/>
                  <w:noWrap w:val="0"/>
                  <w:vAlign w:val="center"/>
                </w:tcPr>
                <w:p w14:paraId="7D0CC021">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15</w:t>
                  </w:r>
                </w:p>
              </w:tc>
              <w:tc>
                <w:tcPr>
                  <w:tcW w:w="647" w:type="pct"/>
                  <w:noWrap w:val="0"/>
                  <w:vAlign w:val="center"/>
                </w:tcPr>
                <w:p w14:paraId="62C0B669">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0.3</w:t>
                  </w:r>
                </w:p>
              </w:tc>
              <w:tc>
                <w:tcPr>
                  <w:tcW w:w="529" w:type="pct"/>
                  <w:noWrap w:val="0"/>
                  <w:vAlign w:val="center"/>
                </w:tcPr>
                <w:p w14:paraId="08AFD1DC">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常温</w:t>
                  </w:r>
                </w:p>
              </w:tc>
              <w:tc>
                <w:tcPr>
                  <w:tcW w:w="617" w:type="pct"/>
                  <w:noWrap w:val="0"/>
                  <w:vAlign w:val="center"/>
                </w:tcPr>
                <w:p w14:paraId="275C39B0">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8760</w:t>
                  </w:r>
                </w:p>
              </w:tc>
              <w:tc>
                <w:tcPr>
                  <w:tcW w:w="599" w:type="pct"/>
                  <w:noWrap w:val="0"/>
                  <w:vAlign w:val="center"/>
                </w:tcPr>
                <w:p w14:paraId="32008B1E">
                  <w:pPr>
                    <w:keepNext/>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一般排口</w:t>
                  </w:r>
                </w:p>
              </w:tc>
            </w:tr>
          </w:tbl>
          <w:p w14:paraId="156E4209">
            <w:pPr>
              <w:keepNext/>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000000" w:themeColor="text1"/>
                <w:sz w:val="24"/>
                <w:u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u w:val="none"/>
                <w:lang w:val="en-US" w:eastAsia="zh-CN"/>
                <w14:textFill>
                  <w14:solidFill>
                    <w14:schemeClr w14:val="tx1"/>
                  </w14:solidFill>
                </w14:textFill>
              </w:rPr>
              <w:t>4</w:t>
            </w:r>
            <w:r>
              <w:rPr>
                <w:rFonts w:hint="eastAsia" w:ascii="Times New Roman" w:hAnsi="Times New Roman" w:eastAsia="宋体" w:cs="Times New Roman"/>
                <w:b/>
                <w:bCs w:val="0"/>
                <w:color w:val="000000" w:themeColor="text1"/>
                <w:sz w:val="24"/>
                <w:u w:val="none"/>
                <w14:textFill>
                  <w14:solidFill>
                    <w14:schemeClr w14:val="tx1"/>
                  </w14:solidFill>
                </w14:textFill>
              </w:rPr>
              <w:t>、源强核算</w:t>
            </w:r>
            <w:r>
              <w:rPr>
                <w:rFonts w:hint="eastAsia" w:cs="Times New Roman"/>
                <w:b/>
                <w:bCs w:val="0"/>
                <w:color w:val="000000" w:themeColor="text1"/>
                <w:sz w:val="24"/>
                <w:u w:val="none"/>
                <w:lang w:val="en-US" w:eastAsia="zh-CN"/>
                <w14:textFill>
                  <w14:solidFill>
                    <w14:schemeClr w14:val="tx1"/>
                  </w14:solidFill>
                </w14:textFill>
              </w:rPr>
              <w:t>情况</w:t>
            </w:r>
          </w:p>
          <w:p w14:paraId="534C086A">
            <w:pPr>
              <w:pStyle w:val="7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00B050"/>
                <w:sz w:val="24"/>
                <w:lang w:val="en-US" w:eastAsia="zh-CN"/>
              </w:rPr>
            </w:pPr>
            <w:r>
              <w:rPr>
                <w:rFonts w:hint="eastAsia"/>
                <w:b/>
                <w:bCs/>
                <w:color w:val="00B050"/>
                <w:sz w:val="24"/>
                <w:lang w:val="en-US" w:eastAsia="zh-CN"/>
              </w:rPr>
              <w:t>（1）储罐呼吸废气</w:t>
            </w:r>
          </w:p>
          <w:p w14:paraId="5CB253D9">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B050"/>
                <w:sz w:val="24"/>
                <w:szCs w:val="21"/>
                <w:lang w:val="en-US" w:eastAsia="zh-CN" w:bidi="ar-SA"/>
              </w:rPr>
            </w:pPr>
            <w:r>
              <w:rPr>
                <w:rFonts w:hint="eastAsia"/>
                <w:color w:val="00B050"/>
                <w:sz w:val="24"/>
                <w:lang w:val="en-US" w:eastAsia="zh-CN"/>
              </w:rPr>
              <w:t>废矿物油储罐</w:t>
            </w:r>
            <w:r>
              <w:rPr>
                <w:rFonts w:hint="eastAsia" w:ascii="Times New Roman" w:hAnsi="Times New Roman" w:eastAsia="宋体" w:cs="Times New Roman"/>
                <w:color w:val="00B050"/>
                <w:sz w:val="24"/>
                <w:szCs w:val="21"/>
                <w:lang w:val="en-US" w:eastAsia="zh-CN" w:bidi="ar-SA"/>
              </w:rPr>
              <w:t>采用固定顶罐，储罐呼吸废气包括装卸过程的蒸发损耗（大呼吸）和储罐贮存时的蒸发损耗（小呼吸），主要成分为烃类，以NMHC计。</w:t>
            </w:r>
          </w:p>
          <w:p w14:paraId="2F8EA5B3">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B050"/>
                <w:sz w:val="24"/>
                <w:szCs w:val="21"/>
                <w:lang w:val="en-US" w:eastAsia="zh-CN" w:bidi="ar-SA"/>
              </w:rPr>
            </w:pPr>
            <w:r>
              <w:rPr>
                <w:rFonts w:hint="eastAsia" w:ascii="Times New Roman" w:hAnsi="Times New Roman" w:cs="Times New Roman"/>
                <w:color w:val="00B050"/>
                <w:sz w:val="24"/>
                <w:szCs w:val="21"/>
                <w:lang w:val="en-US" w:eastAsia="zh-CN" w:bidi="ar-SA"/>
              </w:rPr>
              <w:t>项目废矿物油储罐置于室内且避光，日常情况下受环境温度影响较小，同时由于废矿物油</w:t>
            </w:r>
            <w:r>
              <w:rPr>
                <w:rFonts w:hint="eastAsia" w:cs="Times New Roman"/>
                <w:color w:val="00B050"/>
                <w:sz w:val="24"/>
                <w:szCs w:val="21"/>
                <w:lang w:val="en-US" w:eastAsia="zh-CN" w:bidi="ar-SA"/>
              </w:rPr>
              <w:t>饱合蒸汽压</w:t>
            </w:r>
            <w:r>
              <w:rPr>
                <w:rFonts w:hint="eastAsia" w:ascii="Times New Roman" w:hAnsi="Times New Roman" w:cs="Times New Roman"/>
                <w:color w:val="00B050"/>
                <w:sz w:val="24"/>
                <w:szCs w:val="21"/>
                <w:lang w:val="en-US" w:eastAsia="zh-CN" w:bidi="ar-SA"/>
              </w:rPr>
              <w:t>较低，结合项目废矿物油周转频次较高，故废矿物油贮存时产生的蒸发损耗（小呼吸）是极小的，本次环评予以忽略，不进行小呼吸废气的核算。</w:t>
            </w:r>
          </w:p>
          <w:p w14:paraId="6EA1E7C6">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固定顶罐</w:t>
            </w:r>
            <w:r>
              <w:rPr>
                <w:rFonts w:hint="eastAsia" w:ascii="Times New Roman" w:hAnsi="Times New Roman" w:cs="Times New Roman"/>
                <w:color w:val="00B050"/>
                <w:sz w:val="24"/>
                <w:szCs w:val="21"/>
                <w:lang w:val="en-US" w:eastAsia="zh-CN" w:bidi="ar-SA"/>
              </w:rPr>
              <w:t>大呼吸</w:t>
            </w:r>
            <w:r>
              <w:rPr>
                <w:rFonts w:hint="eastAsia" w:ascii="Times New Roman" w:hAnsi="Times New Roman" w:eastAsia="宋体" w:cs="Times New Roman"/>
                <w:color w:val="00B050"/>
                <w:sz w:val="24"/>
                <w:szCs w:val="21"/>
                <w:lang w:val="en-US" w:eastAsia="zh-CN" w:bidi="ar-SA"/>
              </w:rPr>
              <w:t>呼吸损耗采用中国石油化工系统推荐公式计算</w:t>
            </w:r>
            <w:r>
              <w:rPr>
                <w:rFonts w:hint="eastAsia" w:ascii="Times New Roman" w:hAnsi="Times New Roman" w:cs="Times New Roman"/>
                <w:color w:val="00B050"/>
                <w:sz w:val="24"/>
                <w:szCs w:val="21"/>
                <w:lang w:val="en-US" w:eastAsia="zh-CN" w:bidi="ar-SA"/>
              </w:rPr>
              <w:t>：</w:t>
            </w:r>
          </w:p>
          <w:p w14:paraId="6F8262F5">
            <w:pPr>
              <w:widowControl w:val="0"/>
              <w:spacing w:line="360" w:lineRule="auto"/>
              <w:jc w:val="center"/>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Lw=4.188×10</w:t>
            </w:r>
            <w:r>
              <w:rPr>
                <w:rFonts w:hint="eastAsia" w:ascii="Times New Roman" w:hAnsi="Times New Roman" w:eastAsia="宋体" w:cs="Times New Roman"/>
                <w:color w:val="00B050"/>
                <w:sz w:val="24"/>
                <w:szCs w:val="21"/>
                <w:vertAlign w:val="superscript"/>
                <w:lang w:val="en-US" w:eastAsia="zh-CN" w:bidi="ar-SA"/>
              </w:rPr>
              <w:t>-7</w:t>
            </w:r>
            <w:r>
              <w:rPr>
                <w:rFonts w:hint="eastAsia" w:ascii="Times New Roman" w:hAnsi="Times New Roman" w:eastAsia="宋体" w:cs="Times New Roman"/>
                <w:color w:val="00B050"/>
                <w:sz w:val="24"/>
                <w:szCs w:val="21"/>
                <w:lang w:val="en-US" w:eastAsia="zh-CN" w:bidi="ar-SA"/>
              </w:rPr>
              <w:t>×M×P×K</w:t>
            </w:r>
            <w:r>
              <w:rPr>
                <w:rFonts w:hint="eastAsia" w:ascii="Times New Roman" w:hAnsi="Times New Roman" w:eastAsia="宋体" w:cs="Times New Roman"/>
                <w:color w:val="00B050"/>
                <w:sz w:val="24"/>
                <w:szCs w:val="21"/>
                <w:vertAlign w:val="subscript"/>
                <w:lang w:val="en-US" w:eastAsia="zh-CN" w:bidi="ar-SA"/>
              </w:rPr>
              <w:t>N</w:t>
            </w:r>
            <w:r>
              <w:rPr>
                <w:rFonts w:hint="eastAsia" w:ascii="Times New Roman" w:hAnsi="Times New Roman" w:eastAsia="宋体" w:cs="Times New Roman"/>
                <w:color w:val="00B050"/>
                <w:sz w:val="24"/>
                <w:szCs w:val="21"/>
                <w:lang w:val="en-US" w:eastAsia="zh-CN" w:bidi="ar-SA"/>
              </w:rPr>
              <w:t>×K</w:t>
            </w:r>
            <w:r>
              <w:rPr>
                <w:rFonts w:hint="eastAsia" w:ascii="Times New Roman" w:hAnsi="Times New Roman" w:eastAsia="宋体" w:cs="Times New Roman"/>
                <w:color w:val="00B050"/>
                <w:sz w:val="24"/>
                <w:szCs w:val="21"/>
                <w:vertAlign w:val="subscript"/>
                <w:lang w:val="en-US" w:eastAsia="zh-CN" w:bidi="ar-SA"/>
              </w:rPr>
              <w:t>c</w:t>
            </w:r>
          </w:p>
          <w:p w14:paraId="261C8FEC">
            <w:pPr>
              <w:widowControl w:val="0"/>
              <w:spacing w:line="360" w:lineRule="auto"/>
              <w:ind w:firstLine="480" w:firstLineChars="200"/>
              <w:jc w:val="both"/>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式中：</w:t>
            </w:r>
          </w:p>
          <w:p w14:paraId="333C9038">
            <w:pPr>
              <w:widowControl w:val="0"/>
              <w:spacing w:line="360" w:lineRule="auto"/>
              <w:ind w:firstLine="480" w:firstLineChars="200"/>
              <w:jc w:val="both"/>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Lw——储罐工作损失（kg/m</w:t>
            </w:r>
            <w:r>
              <w:rPr>
                <w:rFonts w:hint="eastAsia" w:ascii="Times New Roman" w:hAnsi="Times New Roman" w:eastAsia="宋体" w:cs="Times New Roman"/>
                <w:color w:val="00B050"/>
                <w:sz w:val="24"/>
                <w:szCs w:val="21"/>
                <w:vertAlign w:val="superscript"/>
                <w:lang w:val="en-US" w:eastAsia="zh-CN" w:bidi="ar-SA"/>
              </w:rPr>
              <w:t>3</w:t>
            </w:r>
            <w:r>
              <w:rPr>
                <w:rFonts w:hint="eastAsia" w:ascii="Times New Roman" w:hAnsi="Times New Roman" w:eastAsia="宋体" w:cs="Times New Roman"/>
                <w:color w:val="00B050"/>
                <w:sz w:val="24"/>
                <w:szCs w:val="21"/>
                <w:lang w:val="en-US" w:eastAsia="zh-CN" w:bidi="ar-SA"/>
              </w:rPr>
              <w:t>投入量）；</w:t>
            </w:r>
          </w:p>
          <w:p w14:paraId="5A9A4DF0">
            <w:pPr>
              <w:widowControl w:val="0"/>
              <w:spacing w:line="360" w:lineRule="auto"/>
              <w:ind w:firstLine="480" w:firstLineChars="200"/>
              <w:jc w:val="both"/>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M——储罐内蒸气的分子量；由于储罐呼吸损耗的物质为复杂的混合物烃类物质，无统一的真实蒸气分子量和蒸汽压力数据。废矿物油储罐大呼吸产生的废气主要为C</w:t>
            </w:r>
            <w:r>
              <w:rPr>
                <w:rFonts w:hint="eastAsia" w:ascii="Times New Roman" w:hAnsi="Times New Roman" w:eastAsia="宋体" w:cs="Times New Roman"/>
                <w:color w:val="00B050"/>
                <w:sz w:val="24"/>
                <w:szCs w:val="21"/>
                <w:vertAlign w:val="subscript"/>
                <w:lang w:val="en-US" w:eastAsia="zh-CN" w:bidi="ar-SA"/>
              </w:rPr>
              <w:t>20</w:t>
            </w:r>
            <w:r>
              <w:rPr>
                <w:rFonts w:hint="eastAsia" w:ascii="Times New Roman" w:hAnsi="Times New Roman" w:eastAsia="宋体" w:cs="Times New Roman"/>
                <w:color w:val="00B050"/>
                <w:sz w:val="24"/>
                <w:szCs w:val="21"/>
                <w:lang w:val="en-US" w:eastAsia="zh-CN" w:bidi="ar-SA"/>
              </w:rPr>
              <w:t>~C</w:t>
            </w:r>
            <w:r>
              <w:rPr>
                <w:rFonts w:hint="eastAsia" w:ascii="Times New Roman" w:hAnsi="Times New Roman" w:eastAsia="宋体" w:cs="Times New Roman"/>
                <w:color w:val="00B050"/>
                <w:sz w:val="24"/>
                <w:szCs w:val="21"/>
                <w:vertAlign w:val="subscript"/>
                <w:lang w:val="en-US" w:eastAsia="zh-CN" w:bidi="ar-SA"/>
              </w:rPr>
              <w:t>40</w:t>
            </w:r>
            <w:r>
              <w:rPr>
                <w:rFonts w:hint="eastAsia" w:ascii="Times New Roman" w:hAnsi="Times New Roman" w:eastAsia="宋体" w:cs="Times New Roman"/>
                <w:color w:val="00B050"/>
                <w:sz w:val="24"/>
                <w:szCs w:val="21"/>
                <w:lang w:val="en-US" w:eastAsia="zh-CN" w:bidi="ar-SA"/>
              </w:rPr>
              <w:t>的复杂烃类混合物，以C</w:t>
            </w:r>
            <w:r>
              <w:rPr>
                <w:rFonts w:hint="eastAsia" w:ascii="Times New Roman" w:hAnsi="Times New Roman" w:eastAsia="宋体" w:cs="Times New Roman"/>
                <w:color w:val="00B050"/>
                <w:sz w:val="24"/>
                <w:szCs w:val="21"/>
                <w:vertAlign w:val="subscript"/>
                <w:lang w:val="en-US" w:eastAsia="zh-CN" w:bidi="ar-SA"/>
              </w:rPr>
              <w:t>20</w:t>
            </w:r>
            <w:r>
              <w:rPr>
                <w:rFonts w:hint="eastAsia" w:ascii="Times New Roman" w:hAnsi="Times New Roman" w:eastAsia="宋体" w:cs="Times New Roman"/>
                <w:color w:val="00B050"/>
                <w:sz w:val="24"/>
                <w:szCs w:val="21"/>
                <w:lang w:val="en-US" w:eastAsia="zh-CN" w:bidi="ar-SA"/>
              </w:rPr>
              <w:t>H</w:t>
            </w:r>
            <w:r>
              <w:rPr>
                <w:rFonts w:hint="eastAsia" w:ascii="Times New Roman" w:hAnsi="Times New Roman" w:eastAsia="宋体" w:cs="Times New Roman"/>
                <w:color w:val="00B050"/>
                <w:sz w:val="24"/>
                <w:szCs w:val="21"/>
                <w:vertAlign w:val="subscript"/>
                <w:lang w:val="en-US" w:eastAsia="zh-CN" w:bidi="ar-SA"/>
              </w:rPr>
              <w:t>42</w:t>
            </w:r>
            <w:r>
              <w:rPr>
                <w:rFonts w:hint="eastAsia" w:ascii="Times New Roman" w:hAnsi="Times New Roman" w:eastAsia="宋体" w:cs="Times New Roman"/>
                <w:color w:val="00B050"/>
                <w:sz w:val="24"/>
                <w:szCs w:val="21"/>
                <w:lang w:val="en-US" w:eastAsia="zh-CN" w:bidi="ar-SA"/>
              </w:rPr>
              <w:t>为代表，</w:t>
            </w:r>
            <w:r>
              <w:rPr>
                <w:rFonts w:hint="eastAsia" w:cs="Times New Roman"/>
                <w:color w:val="00B050"/>
                <w:sz w:val="24"/>
                <w:szCs w:val="21"/>
                <w:lang w:val="en-US" w:eastAsia="zh-CN" w:bidi="ar-SA"/>
              </w:rPr>
              <w:t>其</w:t>
            </w:r>
            <w:r>
              <w:rPr>
                <w:rFonts w:hint="eastAsia" w:ascii="Times New Roman" w:hAnsi="Times New Roman" w:eastAsia="宋体" w:cs="Times New Roman"/>
                <w:color w:val="00B050"/>
                <w:sz w:val="24"/>
                <w:szCs w:val="21"/>
                <w:lang w:val="en-US" w:eastAsia="zh-CN" w:bidi="ar-SA"/>
              </w:rPr>
              <w:t>分子量为282（C</w:t>
            </w:r>
            <w:r>
              <w:rPr>
                <w:rFonts w:hint="eastAsia" w:ascii="Times New Roman" w:hAnsi="Times New Roman" w:eastAsia="宋体" w:cs="Times New Roman"/>
                <w:color w:val="00B050"/>
                <w:sz w:val="24"/>
                <w:szCs w:val="21"/>
                <w:vertAlign w:val="subscript"/>
                <w:lang w:val="en-US" w:eastAsia="zh-CN" w:bidi="ar-SA"/>
              </w:rPr>
              <w:t>20</w:t>
            </w:r>
            <w:r>
              <w:rPr>
                <w:rFonts w:hint="eastAsia" w:ascii="Times New Roman" w:hAnsi="Times New Roman" w:eastAsia="宋体" w:cs="Times New Roman"/>
                <w:color w:val="00B050"/>
                <w:sz w:val="24"/>
                <w:szCs w:val="21"/>
                <w:lang w:val="en-US" w:eastAsia="zh-CN" w:bidi="ar-SA"/>
              </w:rPr>
              <w:t>H</w:t>
            </w:r>
            <w:r>
              <w:rPr>
                <w:rFonts w:hint="eastAsia" w:ascii="Times New Roman" w:hAnsi="Times New Roman" w:eastAsia="宋体" w:cs="Times New Roman"/>
                <w:color w:val="00B050"/>
                <w:sz w:val="24"/>
                <w:szCs w:val="21"/>
                <w:vertAlign w:val="subscript"/>
                <w:lang w:val="en-US" w:eastAsia="zh-CN" w:bidi="ar-SA"/>
              </w:rPr>
              <w:t>42</w:t>
            </w:r>
            <w:r>
              <w:rPr>
                <w:rFonts w:hint="eastAsia" w:ascii="Times New Roman" w:hAnsi="Times New Roman" w:eastAsia="宋体" w:cs="Times New Roman"/>
                <w:color w:val="00B050"/>
                <w:sz w:val="24"/>
                <w:szCs w:val="21"/>
                <w:lang w:val="en-US" w:eastAsia="zh-CN" w:bidi="ar-SA"/>
              </w:rPr>
              <w:t>）</w:t>
            </w:r>
          </w:p>
          <w:p w14:paraId="2C4DF8B0">
            <w:pPr>
              <w:widowControl w:val="0"/>
              <w:spacing w:line="360" w:lineRule="auto"/>
              <w:ind w:firstLine="480" w:firstLineChars="200"/>
              <w:jc w:val="both"/>
              <w:rPr>
                <w:rFonts w:hint="default"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P——在大量液体状态下，真实的蒸汽压力（Pa）；</w:t>
            </w:r>
            <w:r>
              <w:rPr>
                <w:rFonts w:hint="eastAsia" w:ascii="Times New Roman" w:hAnsi="Times New Roman" w:cs="Times New Roman"/>
                <w:color w:val="00B050"/>
                <w:sz w:val="24"/>
                <w:szCs w:val="21"/>
                <w:lang w:val="en-US" w:eastAsia="zh-CN" w:bidi="ar-SA"/>
              </w:rPr>
              <w:t>取值667Pa</w:t>
            </w:r>
          </w:p>
          <w:p w14:paraId="5AFCBA72">
            <w:pPr>
              <w:widowControl w:val="0"/>
              <w:spacing w:line="360" w:lineRule="auto"/>
              <w:ind w:firstLine="480" w:firstLineChars="200"/>
              <w:jc w:val="both"/>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K</w:t>
            </w:r>
            <w:r>
              <w:rPr>
                <w:rFonts w:hint="eastAsia" w:ascii="Times New Roman" w:hAnsi="Times New Roman" w:eastAsia="宋体" w:cs="Times New Roman"/>
                <w:color w:val="00B050"/>
                <w:sz w:val="24"/>
                <w:szCs w:val="21"/>
                <w:vertAlign w:val="subscript"/>
                <w:lang w:val="en-US" w:eastAsia="zh-CN" w:bidi="ar-SA"/>
              </w:rPr>
              <w:t>N</w:t>
            </w:r>
            <w:r>
              <w:rPr>
                <w:rFonts w:hint="eastAsia" w:ascii="Times New Roman" w:hAnsi="Times New Roman" w:eastAsia="宋体" w:cs="Times New Roman"/>
                <w:color w:val="00B050"/>
                <w:sz w:val="24"/>
                <w:szCs w:val="21"/>
                <w:lang w:val="en-US" w:eastAsia="zh-CN" w:bidi="ar-SA"/>
              </w:rPr>
              <w:t>——周转因子（无量纲），取值按年周转次数（K）确定，K≤36，K</w:t>
            </w:r>
            <w:r>
              <w:rPr>
                <w:rFonts w:hint="eastAsia" w:ascii="Times New Roman" w:hAnsi="Times New Roman" w:eastAsia="宋体" w:cs="Times New Roman"/>
                <w:color w:val="00B050"/>
                <w:sz w:val="24"/>
                <w:szCs w:val="21"/>
                <w:vertAlign w:val="subscript"/>
                <w:lang w:val="en-US" w:eastAsia="zh-CN" w:bidi="ar-SA"/>
              </w:rPr>
              <w:t>N</w:t>
            </w:r>
            <w:r>
              <w:rPr>
                <w:rFonts w:hint="eastAsia" w:ascii="Times New Roman" w:hAnsi="Times New Roman" w:eastAsia="宋体" w:cs="Times New Roman"/>
                <w:color w:val="00B050"/>
                <w:sz w:val="24"/>
                <w:szCs w:val="21"/>
                <w:lang w:val="en-US" w:eastAsia="zh-CN" w:bidi="ar-SA"/>
              </w:rPr>
              <w:t>=1；36&lt;K≤220，K</w:t>
            </w:r>
            <w:r>
              <w:rPr>
                <w:rFonts w:hint="eastAsia" w:ascii="Times New Roman" w:hAnsi="Times New Roman" w:eastAsia="宋体" w:cs="Times New Roman"/>
                <w:color w:val="00B050"/>
                <w:sz w:val="24"/>
                <w:szCs w:val="21"/>
                <w:vertAlign w:val="subscript"/>
                <w:lang w:val="en-US" w:eastAsia="zh-CN" w:bidi="ar-SA"/>
              </w:rPr>
              <w:t>N</w:t>
            </w:r>
            <w:r>
              <w:rPr>
                <w:rFonts w:hint="eastAsia" w:ascii="Times New Roman" w:hAnsi="Times New Roman" w:eastAsia="宋体" w:cs="Times New Roman"/>
                <w:color w:val="00B050"/>
                <w:sz w:val="24"/>
                <w:szCs w:val="21"/>
                <w:lang w:val="en-US" w:eastAsia="zh-CN" w:bidi="ar-SA"/>
              </w:rPr>
              <w:t>=11.467×K</w:t>
            </w:r>
            <w:r>
              <w:rPr>
                <w:rFonts w:hint="eastAsia" w:ascii="Times New Roman" w:hAnsi="Times New Roman" w:eastAsia="宋体" w:cs="Times New Roman"/>
                <w:color w:val="00B050"/>
                <w:sz w:val="24"/>
                <w:szCs w:val="21"/>
                <w:vertAlign w:val="superscript"/>
                <w:lang w:val="en-US" w:eastAsia="zh-CN" w:bidi="ar-SA"/>
              </w:rPr>
              <w:t>-0.7026</w:t>
            </w:r>
            <w:r>
              <w:rPr>
                <w:rFonts w:hint="eastAsia" w:ascii="Times New Roman" w:hAnsi="Times New Roman" w:eastAsia="宋体" w:cs="Times New Roman"/>
                <w:color w:val="00B050"/>
                <w:sz w:val="24"/>
                <w:szCs w:val="21"/>
                <w:lang w:val="en-US" w:eastAsia="zh-CN" w:bidi="ar-SA"/>
              </w:rPr>
              <w:t>；K&gt;220，K</w:t>
            </w:r>
            <w:r>
              <w:rPr>
                <w:rFonts w:hint="eastAsia" w:ascii="Times New Roman" w:hAnsi="Times New Roman" w:eastAsia="宋体" w:cs="Times New Roman"/>
                <w:color w:val="00B050"/>
                <w:sz w:val="24"/>
                <w:szCs w:val="21"/>
                <w:vertAlign w:val="subscript"/>
                <w:lang w:val="en-US" w:eastAsia="zh-CN" w:bidi="ar-SA"/>
              </w:rPr>
              <w:t>N</w:t>
            </w:r>
            <w:r>
              <w:rPr>
                <w:rFonts w:hint="eastAsia" w:ascii="Times New Roman" w:hAnsi="Times New Roman" w:eastAsia="宋体" w:cs="Times New Roman"/>
                <w:color w:val="00B050"/>
                <w:sz w:val="24"/>
                <w:szCs w:val="21"/>
                <w:lang w:val="en-US" w:eastAsia="zh-CN" w:bidi="ar-SA"/>
              </w:rPr>
              <w:t>=0.26；</w:t>
            </w:r>
          </w:p>
          <w:p w14:paraId="54D6C4FA">
            <w:pPr>
              <w:widowControl w:val="0"/>
              <w:spacing w:line="360" w:lineRule="auto"/>
              <w:ind w:firstLine="480" w:firstLineChars="200"/>
              <w:jc w:val="both"/>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K</w:t>
            </w:r>
            <w:r>
              <w:rPr>
                <w:rFonts w:hint="eastAsia" w:ascii="Times New Roman" w:hAnsi="Times New Roman" w:eastAsia="宋体" w:cs="Times New Roman"/>
                <w:color w:val="00B050"/>
                <w:sz w:val="24"/>
                <w:szCs w:val="21"/>
                <w:vertAlign w:val="subscript"/>
                <w:lang w:val="en-US" w:eastAsia="zh-CN" w:bidi="ar-SA"/>
              </w:rPr>
              <w:t>c</w:t>
            </w:r>
            <w:r>
              <w:rPr>
                <w:rFonts w:hint="eastAsia" w:ascii="Times New Roman" w:hAnsi="Times New Roman" w:eastAsia="宋体" w:cs="Times New Roman"/>
                <w:color w:val="00B050"/>
                <w:sz w:val="24"/>
                <w:szCs w:val="21"/>
                <w:lang w:val="en-US" w:eastAsia="zh-CN" w:bidi="ar-SA"/>
              </w:rPr>
              <w:t>——产品因子，石油原油K</w:t>
            </w:r>
            <w:r>
              <w:rPr>
                <w:rFonts w:hint="eastAsia" w:ascii="Times New Roman" w:hAnsi="Times New Roman" w:eastAsia="宋体" w:cs="Times New Roman"/>
                <w:color w:val="00B050"/>
                <w:sz w:val="24"/>
                <w:szCs w:val="21"/>
                <w:vertAlign w:val="subscript"/>
                <w:lang w:val="en-US" w:eastAsia="zh-CN" w:bidi="ar-SA"/>
              </w:rPr>
              <w:t>c</w:t>
            </w:r>
            <w:r>
              <w:rPr>
                <w:rFonts w:hint="eastAsia" w:ascii="Times New Roman" w:hAnsi="Times New Roman" w:eastAsia="宋体" w:cs="Times New Roman"/>
                <w:color w:val="00B050"/>
                <w:sz w:val="24"/>
                <w:szCs w:val="21"/>
                <w:lang w:val="en-US" w:eastAsia="zh-CN" w:bidi="ar-SA"/>
              </w:rPr>
              <w:t>取0.65，其他的有机液体取1.0，</w:t>
            </w:r>
            <w:r>
              <w:rPr>
                <w:rFonts w:hint="eastAsia" w:ascii="Times New Roman" w:hAnsi="Times New Roman" w:eastAsia="宋体" w:cs="Times New Roman"/>
                <w:b/>
                <w:bCs/>
                <w:color w:val="00B050"/>
                <w:sz w:val="24"/>
                <w:szCs w:val="21"/>
                <w:lang w:val="en-US" w:eastAsia="zh-CN" w:bidi="ar-SA"/>
              </w:rPr>
              <w:t>本项目取1.0</w:t>
            </w:r>
            <w:r>
              <w:rPr>
                <w:rFonts w:hint="eastAsia" w:ascii="Times New Roman" w:hAnsi="Times New Roman" w:eastAsia="宋体" w:cs="Times New Roman"/>
                <w:color w:val="00B050"/>
                <w:sz w:val="24"/>
                <w:szCs w:val="21"/>
                <w:lang w:val="en-US" w:eastAsia="zh-CN" w:bidi="ar-SA"/>
              </w:rPr>
              <w:t>。</w:t>
            </w:r>
          </w:p>
          <w:p w14:paraId="70083303">
            <w:pPr>
              <w:widowControl w:val="0"/>
              <w:spacing w:line="360" w:lineRule="auto"/>
              <w:ind w:firstLine="482" w:firstLineChars="200"/>
              <w:jc w:val="both"/>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b/>
                <w:bCs/>
                <w:color w:val="00B050"/>
                <w:sz w:val="24"/>
                <w:szCs w:val="21"/>
                <w:lang w:val="en-US" w:eastAsia="zh-CN" w:bidi="ar-SA"/>
              </w:rPr>
              <w:t>根据上述参数计算，储罐大呼吸蒸发损耗</w:t>
            </w:r>
            <w:r>
              <w:rPr>
                <w:rFonts w:hint="eastAsia" w:ascii="Times New Roman" w:hAnsi="Times New Roman" w:cs="Times New Roman"/>
                <w:b/>
                <w:bCs/>
                <w:color w:val="00B050"/>
                <w:sz w:val="24"/>
                <w:szCs w:val="21"/>
                <w:lang w:val="en-US" w:eastAsia="zh-CN" w:bidi="ar-SA"/>
              </w:rPr>
              <w:t>系数为</w:t>
            </w:r>
            <w:r>
              <w:rPr>
                <w:rFonts w:hint="eastAsia" w:cs="Times New Roman"/>
                <w:b/>
                <w:bCs/>
                <w:color w:val="00B050"/>
                <w:sz w:val="24"/>
                <w:szCs w:val="21"/>
                <w:lang w:val="en-US" w:eastAsia="zh-CN" w:bidi="ar-SA"/>
              </w:rPr>
              <w:t>0.04</w:t>
            </w:r>
            <w:r>
              <w:rPr>
                <w:rFonts w:hint="eastAsia" w:ascii="Times New Roman" w:hAnsi="Times New Roman" w:cs="Times New Roman"/>
                <w:b/>
                <w:bCs/>
                <w:color w:val="00B050"/>
                <w:sz w:val="24"/>
                <w:szCs w:val="21"/>
                <w:vertAlign w:val="baseline"/>
                <w:lang w:val="en-US" w:eastAsia="zh-CN" w:bidi="ar-SA"/>
              </w:rPr>
              <w:t>kg/m</w:t>
            </w:r>
            <w:r>
              <w:rPr>
                <w:rFonts w:hint="eastAsia" w:ascii="Times New Roman" w:hAnsi="Times New Roman" w:cs="Times New Roman"/>
                <w:b/>
                <w:bCs/>
                <w:color w:val="00B050"/>
                <w:sz w:val="24"/>
                <w:szCs w:val="21"/>
                <w:vertAlign w:val="superscript"/>
                <w:lang w:val="en-US" w:eastAsia="zh-CN" w:bidi="ar-SA"/>
              </w:rPr>
              <w:t>3</w:t>
            </w:r>
            <w:r>
              <w:rPr>
                <w:rFonts w:hint="eastAsia" w:ascii="Times New Roman" w:hAnsi="Times New Roman" w:cs="Times New Roman"/>
                <w:b/>
                <w:bCs/>
                <w:color w:val="00B050"/>
                <w:sz w:val="24"/>
                <w:szCs w:val="21"/>
                <w:vertAlign w:val="baseline"/>
                <w:lang w:val="en-US" w:eastAsia="zh-CN" w:bidi="ar-SA"/>
              </w:rPr>
              <w:t>投入量。</w:t>
            </w:r>
            <w:r>
              <w:rPr>
                <w:rFonts w:hint="eastAsia" w:ascii="Times New Roman" w:hAnsi="Times New Roman" w:cs="Times New Roman"/>
                <w:color w:val="00B050"/>
                <w:sz w:val="24"/>
                <w:szCs w:val="21"/>
                <w:vertAlign w:val="baseline"/>
                <w:lang w:val="en-US" w:eastAsia="zh-CN" w:bidi="ar-SA"/>
              </w:rPr>
              <w:t>项目废矿物油年收集量为</w:t>
            </w:r>
            <w:r>
              <w:rPr>
                <w:rFonts w:hint="eastAsia" w:cs="Times New Roman"/>
                <w:color w:val="00B050"/>
                <w:sz w:val="24"/>
                <w:szCs w:val="21"/>
                <w:vertAlign w:val="baseline"/>
                <w:lang w:val="en-US" w:eastAsia="zh-CN" w:bidi="ar-SA"/>
              </w:rPr>
              <w:t>30</w:t>
            </w:r>
            <w:r>
              <w:rPr>
                <w:rFonts w:hint="eastAsia" w:ascii="Times New Roman" w:hAnsi="Times New Roman" w:cs="Times New Roman"/>
                <w:color w:val="00B050"/>
                <w:sz w:val="24"/>
                <w:szCs w:val="21"/>
                <w:vertAlign w:val="baseline"/>
                <w:lang w:val="en-US" w:eastAsia="zh-CN" w:bidi="ar-SA"/>
              </w:rPr>
              <w:t>00t/a，即年装卸废矿物油</w:t>
            </w:r>
            <w:r>
              <w:rPr>
                <w:rFonts w:hint="eastAsia" w:cs="Times New Roman"/>
                <w:color w:val="00B050"/>
                <w:sz w:val="24"/>
                <w:szCs w:val="21"/>
                <w:vertAlign w:val="baseline"/>
                <w:lang w:val="en-US" w:eastAsia="zh-CN" w:bidi="ar-SA"/>
              </w:rPr>
              <w:t>6</w:t>
            </w:r>
            <w:r>
              <w:rPr>
                <w:rFonts w:hint="eastAsia" w:ascii="Times New Roman" w:hAnsi="Times New Roman" w:cs="Times New Roman"/>
                <w:color w:val="00B050"/>
                <w:sz w:val="24"/>
                <w:szCs w:val="21"/>
                <w:vertAlign w:val="baseline"/>
                <w:lang w:val="en-US" w:eastAsia="zh-CN" w:bidi="ar-SA"/>
              </w:rPr>
              <w:t>000t/a，废矿物油密度按0.86g/cm</w:t>
            </w:r>
            <w:r>
              <w:rPr>
                <w:rFonts w:hint="eastAsia" w:ascii="Times New Roman" w:hAnsi="Times New Roman" w:cs="Times New Roman"/>
                <w:color w:val="00B050"/>
                <w:sz w:val="24"/>
                <w:szCs w:val="21"/>
                <w:vertAlign w:val="superscript"/>
                <w:lang w:val="en-US" w:eastAsia="zh-CN" w:bidi="ar-SA"/>
              </w:rPr>
              <w:t>3</w:t>
            </w:r>
            <w:r>
              <w:rPr>
                <w:rFonts w:hint="eastAsia" w:ascii="Times New Roman" w:hAnsi="Times New Roman" w:cs="Times New Roman"/>
                <w:color w:val="00B050"/>
                <w:sz w:val="24"/>
                <w:szCs w:val="21"/>
                <w:vertAlign w:val="baseline"/>
                <w:lang w:val="en-US" w:eastAsia="zh-CN" w:bidi="ar-SA"/>
              </w:rPr>
              <w:t>计，则储罐大呼吸损耗为</w:t>
            </w:r>
            <w:r>
              <w:rPr>
                <w:rFonts w:hint="eastAsia" w:cs="Times New Roman"/>
                <w:color w:val="00B050"/>
                <w:sz w:val="24"/>
                <w:szCs w:val="21"/>
                <w:vertAlign w:val="baseline"/>
                <w:lang w:val="en-US" w:eastAsia="zh-CN" w:bidi="ar-SA"/>
              </w:rPr>
              <w:t>0.277</w:t>
            </w:r>
            <w:r>
              <w:rPr>
                <w:rFonts w:hint="eastAsia" w:ascii="Times New Roman" w:hAnsi="Times New Roman" w:cs="Times New Roman"/>
                <w:color w:val="00B050"/>
                <w:sz w:val="24"/>
                <w:szCs w:val="21"/>
                <w:vertAlign w:val="baseline"/>
                <w:lang w:val="en-US" w:eastAsia="zh-CN" w:bidi="ar-SA"/>
              </w:rPr>
              <w:t>kg/a</w:t>
            </w:r>
            <w:r>
              <w:rPr>
                <w:rFonts w:hint="eastAsia" w:cs="Times New Roman"/>
                <w:color w:val="00B050"/>
                <w:sz w:val="24"/>
                <w:szCs w:val="21"/>
                <w:vertAlign w:val="baseline"/>
                <w:lang w:val="en-US" w:eastAsia="zh-CN" w:bidi="ar-SA"/>
              </w:rPr>
              <w:t>，以NMHC表征</w:t>
            </w:r>
            <w:r>
              <w:rPr>
                <w:rFonts w:hint="eastAsia" w:ascii="Times New Roman" w:hAnsi="Times New Roman" w:cs="Times New Roman"/>
                <w:color w:val="00B050"/>
                <w:sz w:val="24"/>
                <w:szCs w:val="21"/>
                <w:vertAlign w:val="baseline"/>
                <w:lang w:val="en-US" w:eastAsia="zh-CN" w:bidi="ar-SA"/>
              </w:rPr>
              <w:t>。</w:t>
            </w:r>
          </w:p>
          <w:p w14:paraId="0F8F7E6B">
            <w:pPr>
              <w:widowControl w:val="0"/>
              <w:spacing w:line="360" w:lineRule="auto"/>
              <w:ind w:firstLine="482" w:firstLineChars="200"/>
              <w:jc w:val="both"/>
              <w:rPr>
                <w:rFonts w:ascii="Times New Roman" w:hAnsi="Times New Roman" w:eastAsia="宋体" w:cs="Times New Roman"/>
                <w:color w:val="FF0000"/>
                <w:sz w:val="24"/>
                <w:szCs w:val="21"/>
                <w:lang w:val="en-US" w:eastAsia="zh-CN" w:bidi="ar-SA"/>
              </w:rPr>
            </w:pPr>
            <w:r>
              <w:rPr>
                <w:rFonts w:hint="eastAsia" w:cs="Times New Roman"/>
                <w:b/>
                <w:bCs/>
                <w:color w:val="FF0000"/>
                <w:sz w:val="24"/>
                <w:szCs w:val="21"/>
                <w:lang w:val="en-US" w:eastAsia="zh-CN" w:bidi="ar-SA"/>
              </w:rPr>
              <w:t>环评要求：</w:t>
            </w:r>
            <w:r>
              <w:rPr>
                <w:rFonts w:hint="eastAsia" w:cs="Times New Roman"/>
                <w:color w:val="FF0000"/>
                <w:sz w:val="24"/>
                <w:szCs w:val="21"/>
                <w:lang w:val="en-US" w:eastAsia="zh-CN" w:bidi="ar-SA"/>
              </w:rPr>
              <w:t>储罐</w:t>
            </w:r>
            <w:r>
              <w:rPr>
                <w:rFonts w:hint="eastAsia" w:ascii="Times New Roman" w:hAnsi="Times New Roman" w:eastAsia="宋体" w:cs="Times New Roman"/>
                <w:color w:val="FF0000"/>
                <w:sz w:val="24"/>
                <w:szCs w:val="21"/>
                <w:lang w:val="en-US" w:eastAsia="zh-CN" w:bidi="ar-SA"/>
              </w:rPr>
              <w:t>呼吸废气经收集后</w:t>
            </w:r>
            <w:r>
              <w:rPr>
                <w:rFonts w:hint="eastAsia" w:cs="Times New Roman"/>
                <w:color w:val="FF0000"/>
                <w:sz w:val="24"/>
                <w:szCs w:val="21"/>
                <w:lang w:val="en-US" w:eastAsia="zh-CN" w:bidi="ar-SA"/>
              </w:rPr>
              <w:t>通过引风机</w:t>
            </w:r>
            <w:r>
              <w:rPr>
                <w:rFonts w:hint="eastAsia" w:ascii="Times New Roman" w:hAnsi="Times New Roman" w:eastAsia="宋体" w:cs="Times New Roman"/>
                <w:color w:val="FF0000"/>
                <w:sz w:val="24"/>
                <w:szCs w:val="21"/>
                <w:lang w:val="en-US" w:eastAsia="zh-CN" w:bidi="ar-SA"/>
              </w:rPr>
              <w:t>引至</w:t>
            </w:r>
            <w:r>
              <w:rPr>
                <w:rFonts w:hint="eastAsia" w:cs="Times New Roman"/>
                <w:color w:val="FF0000"/>
                <w:sz w:val="24"/>
                <w:szCs w:val="21"/>
                <w:lang w:val="en-US" w:eastAsia="zh-CN" w:bidi="ar-SA"/>
              </w:rPr>
              <w:t>1套活性炭吸附装置</w:t>
            </w:r>
            <w:r>
              <w:rPr>
                <w:rFonts w:hint="eastAsia" w:ascii="Times New Roman" w:hAnsi="Times New Roman" w:eastAsia="宋体" w:cs="Times New Roman"/>
                <w:color w:val="FF0000"/>
                <w:sz w:val="24"/>
                <w:szCs w:val="21"/>
                <w:lang w:val="en-US" w:eastAsia="zh-CN" w:bidi="ar-SA"/>
              </w:rPr>
              <w:t>处理</w:t>
            </w:r>
            <w:r>
              <w:rPr>
                <w:rFonts w:hint="eastAsia" w:ascii="Times New Roman" w:hAnsi="Times New Roman" w:eastAsia="宋体" w:cs="Times New Roman"/>
                <w:color w:val="FF0000"/>
                <w:sz w:val="24"/>
                <w:szCs w:val="24"/>
                <w:lang w:val="en-US" w:eastAsia="zh-CN" w:bidi="ar-SA"/>
              </w:rPr>
              <w:t>，</w:t>
            </w:r>
            <w:r>
              <w:rPr>
                <w:rFonts w:hint="eastAsia"/>
                <w:b w:val="0"/>
                <w:bCs w:val="0"/>
                <w:color w:val="FF0000"/>
                <w:sz w:val="24"/>
                <w:szCs w:val="24"/>
                <w:lang w:val="en-US" w:eastAsia="zh-CN"/>
              </w:rPr>
              <w:t>与处理后酸性废气合并通过一根15m高排气筒（编号：DA001）排放</w:t>
            </w:r>
            <w:r>
              <w:rPr>
                <w:rFonts w:hint="eastAsia" w:ascii="Times New Roman" w:hAnsi="Times New Roman" w:eastAsia="宋体" w:cs="Times New Roman"/>
                <w:color w:val="FF0000"/>
                <w:sz w:val="24"/>
                <w:szCs w:val="21"/>
                <w:lang w:val="en-US" w:eastAsia="zh-CN" w:bidi="ar-SA"/>
              </w:rPr>
              <w:t>。活性炭吸附装置设计风量2</w:t>
            </w:r>
            <w:r>
              <w:rPr>
                <w:rFonts w:hint="eastAsia" w:cs="Times New Roman"/>
                <w:color w:val="FF0000"/>
                <w:sz w:val="24"/>
                <w:szCs w:val="21"/>
                <w:lang w:val="en-US" w:eastAsia="zh-CN" w:bidi="ar-SA"/>
              </w:rPr>
              <w:t>0</w:t>
            </w:r>
            <w:r>
              <w:rPr>
                <w:rFonts w:hint="eastAsia" w:ascii="Times New Roman" w:hAnsi="Times New Roman" w:eastAsia="宋体" w:cs="Times New Roman"/>
                <w:color w:val="FF0000"/>
                <w:sz w:val="24"/>
                <w:szCs w:val="21"/>
                <w:lang w:val="en-US" w:eastAsia="zh-CN" w:bidi="ar-SA"/>
              </w:rPr>
              <w:t>00m</w:t>
            </w:r>
            <w:r>
              <w:rPr>
                <w:rFonts w:hint="eastAsia" w:ascii="Times New Roman" w:hAnsi="Times New Roman" w:eastAsia="宋体" w:cs="Times New Roman"/>
                <w:color w:val="FF0000"/>
                <w:sz w:val="24"/>
                <w:szCs w:val="21"/>
                <w:vertAlign w:val="superscript"/>
                <w:lang w:val="en-US" w:eastAsia="zh-CN" w:bidi="ar-SA"/>
              </w:rPr>
              <w:t>3</w:t>
            </w:r>
            <w:r>
              <w:rPr>
                <w:rFonts w:hint="eastAsia" w:ascii="Times New Roman" w:hAnsi="Times New Roman" w:eastAsia="宋体" w:cs="Times New Roman"/>
                <w:color w:val="FF0000"/>
                <w:sz w:val="24"/>
                <w:szCs w:val="21"/>
                <w:lang w:val="en-US" w:eastAsia="zh-CN" w:bidi="ar-SA"/>
              </w:rPr>
              <w:t>/h，</w:t>
            </w:r>
            <w:r>
              <w:rPr>
                <w:rFonts w:hint="eastAsia" w:cs="Times New Roman"/>
                <w:color w:val="FF0000"/>
                <w:sz w:val="24"/>
                <w:szCs w:val="21"/>
                <w:lang w:val="en-US" w:eastAsia="zh-CN" w:bidi="ar-SA"/>
              </w:rPr>
              <w:t>储罐大呼吸废气由装卸过程产生，全年装卸时长按800h计。</w:t>
            </w:r>
            <w:r>
              <w:rPr>
                <w:rFonts w:hint="eastAsia" w:ascii="Times New Roman" w:hAnsi="Times New Roman" w:eastAsia="宋体" w:cs="Times New Roman"/>
                <w:color w:val="FF0000"/>
                <w:sz w:val="24"/>
                <w:szCs w:val="21"/>
                <w:lang w:val="en-US" w:eastAsia="zh-CN" w:bidi="ar-SA"/>
              </w:rPr>
              <w:t>参考生态环境部发布的《废弃资源综合利用行业系数手册》，活性炭对挥发性有机物去除效率按55%计，储罐呼吸废气产排情况见表</w:t>
            </w:r>
            <w:r>
              <w:rPr>
                <w:rFonts w:hint="eastAsia" w:cs="Times New Roman"/>
                <w:color w:val="FF0000"/>
                <w:sz w:val="24"/>
                <w:szCs w:val="21"/>
                <w:lang w:val="en-US" w:eastAsia="zh-CN" w:bidi="ar-SA"/>
              </w:rPr>
              <w:t>4.2-4所示</w:t>
            </w:r>
            <w:r>
              <w:rPr>
                <w:rFonts w:hint="eastAsia" w:ascii="Times New Roman" w:hAnsi="Times New Roman" w:eastAsia="宋体" w:cs="Times New Roman"/>
                <w:color w:val="FF0000"/>
                <w:sz w:val="24"/>
                <w:szCs w:val="21"/>
                <w:lang w:val="en-US" w:eastAsia="zh-CN" w:bidi="ar-SA"/>
              </w:rPr>
              <w:t>。</w:t>
            </w:r>
          </w:p>
          <w:p w14:paraId="2D578C7C">
            <w:pPr>
              <w:widowControl w:val="0"/>
              <w:jc w:val="center"/>
              <w:rPr>
                <w:rFonts w:hint="eastAsia" w:ascii="宋体" w:hAnsi="宋体" w:eastAsia="宋体" w:cs="宋体"/>
                <w:b/>
                <w:bCs/>
                <w:color w:val="00B050"/>
                <w:sz w:val="21"/>
                <w:szCs w:val="16"/>
                <w:lang w:val="en-US" w:eastAsia="zh-CN" w:bidi="ar-SA"/>
              </w:rPr>
            </w:pPr>
            <w:r>
              <w:rPr>
                <w:rFonts w:hint="eastAsia" w:ascii="宋体" w:hAnsi="宋体" w:eastAsia="宋体" w:cs="宋体"/>
                <w:b/>
                <w:bCs/>
                <w:color w:val="00B050"/>
                <w:sz w:val="21"/>
                <w:szCs w:val="16"/>
                <w:lang w:val="en-US" w:eastAsia="zh-CN" w:bidi="ar-SA"/>
              </w:rPr>
              <w:t>表4.2-</w:t>
            </w:r>
            <w:r>
              <w:rPr>
                <w:rFonts w:hint="eastAsia" w:ascii="宋体" w:hAnsi="宋体" w:cs="宋体"/>
                <w:b/>
                <w:bCs/>
                <w:color w:val="00B050"/>
                <w:sz w:val="21"/>
                <w:szCs w:val="16"/>
                <w:lang w:val="en-US" w:eastAsia="zh-CN" w:bidi="ar-SA"/>
              </w:rPr>
              <w:t>4</w:t>
            </w:r>
            <w:r>
              <w:rPr>
                <w:rFonts w:hint="eastAsia" w:ascii="宋体" w:hAnsi="宋体" w:eastAsia="宋体" w:cs="宋体"/>
                <w:b/>
                <w:bCs/>
                <w:color w:val="00B050"/>
                <w:sz w:val="21"/>
                <w:szCs w:val="16"/>
                <w:lang w:val="en-US" w:eastAsia="zh-CN" w:bidi="ar-SA"/>
              </w:rPr>
              <w:t xml:space="preserve">  储罐呼吸废气产排情况一览表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890"/>
              <w:gridCol w:w="1019"/>
              <w:gridCol w:w="1117"/>
              <w:gridCol w:w="1308"/>
              <w:gridCol w:w="820"/>
              <w:gridCol w:w="1019"/>
              <w:gridCol w:w="1010"/>
            </w:tblGrid>
            <w:tr w14:paraId="797C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1" w:type="dxa"/>
                  <w:tcBorders>
                    <w:tl2br w:val="nil"/>
                    <w:tr2bl w:val="nil"/>
                  </w:tcBorders>
                  <w:vAlign w:val="center"/>
                </w:tcPr>
                <w:p w14:paraId="015414AA">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污染物</w:t>
                  </w:r>
                </w:p>
              </w:tc>
              <w:tc>
                <w:tcPr>
                  <w:tcW w:w="890" w:type="dxa"/>
                  <w:tcBorders>
                    <w:tl2br w:val="nil"/>
                    <w:tr2bl w:val="nil"/>
                  </w:tcBorders>
                  <w:vAlign w:val="center"/>
                </w:tcPr>
                <w:p w14:paraId="3D797FC3">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产生量</w:t>
                  </w:r>
                  <w:r>
                    <w:rPr>
                      <w:rFonts w:hint="eastAsia" w:cs="Times New Roman"/>
                      <w:b/>
                      <w:bCs/>
                      <w:color w:val="00B050"/>
                      <w:sz w:val="21"/>
                      <w:szCs w:val="21"/>
                      <w:lang w:val="en-US" w:eastAsia="zh-CN" w:bidi="ar-SA"/>
                    </w:rPr>
                    <w:t>t</w:t>
                  </w:r>
                  <w:r>
                    <w:rPr>
                      <w:rFonts w:hint="eastAsia" w:ascii="Times New Roman" w:hAnsi="Times New Roman" w:eastAsia="宋体" w:cs="Times New Roman"/>
                      <w:b/>
                      <w:bCs/>
                      <w:color w:val="00B050"/>
                      <w:sz w:val="21"/>
                      <w:szCs w:val="21"/>
                      <w:lang w:val="en-US" w:eastAsia="zh-CN" w:bidi="ar-SA"/>
                    </w:rPr>
                    <w:t>/a</w:t>
                  </w:r>
                </w:p>
              </w:tc>
              <w:tc>
                <w:tcPr>
                  <w:tcW w:w="1019" w:type="dxa"/>
                  <w:tcBorders>
                    <w:tl2br w:val="nil"/>
                    <w:tr2bl w:val="nil"/>
                  </w:tcBorders>
                  <w:vAlign w:val="center"/>
                </w:tcPr>
                <w:p w14:paraId="6B64F7A1">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产生速率</w:t>
                  </w:r>
                  <w:r>
                    <w:rPr>
                      <w:rFonts w:hint="eastAsia" w:ascii="Times New Roman" w:hAnsi="Times New Roman" w:eastAsia="宋体" w:cs="Times New Roman"/>
                      <w:b/>
                      <w:bCs/>
                      <w:color w:val="00B050"/>
                      <w:sz w:val="21"/>
                      <w:szCs w:val="21"/>
                      <w:lang w:val="en-US" w:eastAsia="zh-CN" w:bidi="ar-SA"/>
                    </w:rPr>
                    <w:t>kg/h</w:t>
                  </w:r>
                </w:p>
              </w:tc>
              <w:tc>
                <w:tcPr>
                  <w:tcW w:w="1117" w:type="dxa"/>
                  <w:tcBorders>
                    <w:tl2br w:val="nil"/>
                    <w:tr2bl w:val="nil"/>
                  </w:tcBorders>
                  <w:vAlign w:val="center"/>
                </w:tcPr>
                <w:p w14:paraId="42236F7E">
                  <w:pPr>
                    <w:widowControl w:val="0"/>
                    <w:jc w:val="center"/>
                    <w:rPr>
                      <w:rFonts w:ascii="Times New Roman" w:hAnsi="Times New Roman" w:eastAsia="宋体" w:cs="Times New Roman"/>
                      <w:b/>
                      <w:bCs/>
                      <w:color w:val="00B050"/>
                      <w:sz w:val="21"/>
                      <w:szCs w:val="21"/>
                      <w:vertAlign w:val="superscript"/>
                      <w:lang w:val="en-US" w:eastAsia="zh-CN" w:bidi="ar-SA"/>
                    </w:rPr>
                  </w:pPr>
                  <w:r>
                    <w:rPr>
                      <w:rFonts w:ascii="Times New Roman" w:hAnsi="Times New Roman" w:eastAsia="宋体" w:cs="Times New Roman"/>
                      <w:b/>
                      <w:bCs/>
                      <w:color w:val="00B050"/>
                      <w:sz w:val="21"/>
                      <w:szCs w:val="21"/>
                      <w:lang w:val="en-US" w:eastAsia="zh-CN" w:bidi="ar-SA"/>
                    </w:rPr>
                    <w:t>产生浓度</w:t>
                  </w:r>
                  <w:r>
                    <w:rPr>
                      <w:rFonts w:hint="eastAsia" w:ascii="Times New Roman" w:hAnsi="Times New Roman" w:eastAsia="宋体" w:cs="Times New Roman"/>
                      <w:b/>
                      <w:bCs/>
                      <w:color w:val="00B050"/>
                      <w:sz w:val="21"/>
                      <w:szCs w:val="21"/>
                      <w:lang w:val="en-US" w:eastAsia="zh-CN" w:bidi="ar-SA"/>
                    </w:rPr>
                    <w:t>mg/m</w:t>
                  </w:r>
                  <w:r>
                    <w:rPr>
                      <w:rFonts w:hint="eastAsia" w:ascii="Times New Roman" w:hAnsi="Times New Roman" w:eastAsia="宋体" w:cs="Times New Roman"/>
                      <w:b/>
                      <w:bCs/>
                      <w:color w:val="00B050"/>
                      <w:sz w:val="21"/>
                      <w:szCs w:val="21"/>
                      <w:vertAlign w:val="superscript"/>
                      <w:lang w:val="en-US" w:eastAsia="zh-CN" w:bidi="ar-SA"/>
                    </w:rPr>
                    <w:t>3</w:t>
                  </w:r>
                </w:p>
              </w:tc>
              <w:tc>
                <w:tcPr>
                  <w:tcW w:w="1308" w:type="dxa"/>
                  <w:tcBorders>
                    <w:tl2br w:val="nil"/>
                    <w:tr2bl w:val="nil"/>
                  </w:tcBorders>
                  <w:vAlign w:val="center"/>
                </w:tcPr>
                <w:p w14:paraId="3E401404">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治理设施</w:t>
                  </w:r>
                </w:p>
              </w:tc>
              <w:tc>
                <w:tcPr>
                  <w:tcW w:w="820" w:type="dxa"/>
                  <w:tcBorders>
                    <w:tl2br w:val="nil"/>
                    <w:tr2bl w:val="nil"/>
                  </w:tcBorders>
                  <w:vAlign w:val="center"/>
                </w:tcPr>
                <w:p w14:paraId="7CA37665">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排放量</w:t>
                  </w:r>
                  <w:r>
                    <w:rPr>
                      <w:rFonts w:hint="eastAsia" w:cs="Times New Roman"/>
                      <w:b/>
                      <w:bCs/>
                      <w:color w:val="00B050"/>
                      <w:sz w:val="21"/>
                      <w:szCs w:val="21"/>
                      <w:lang w:val="en-US" w:eastAsia="zh-CN" w:bidi="ar-SA"/>
                    </w:rPr>
                    <w:t>t</w:t>
                  </w:r>
                  <w:r>
                    <w:rPr>
                      <w:rFonts w:hint="eastAsia" w:ascii="Times New Roman" w:hAnsi="Times New Roman" w:eastAsia="宋体" w:cs="Times New Roman"/>
                      <w:b/>
                      <w:bCs/>
                      <w:color w:val="00B050"/>
                      <w:sz w:val="21"/>
                      <w:szCs w:val="21"/>
                      <w:lang w:val="en-US" w:eastAsia="zh-CN" w:bidi="ar-SA"/>
                    </w:rPr>
                    <w:t>/a</w:t>
                  </w:r>
                </w:p>
              </w:tc>
              <w:tc>
                <w:tcPr>
                  <w:tcW w:w="1019" w:type="dxa"/>
                  <w:tcBorders>
                    <w:tl2br w:val="nil"/>
                    <w:tr2bl w:val="nil"/>
                  </w:tcBorders>
                  <w:vAlign w:val="center"/>
                </w:tcPr>
                <w:p w14:paraId="1B0A50FF">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排放速率</w:t>
                  </w:r>
                  <w:r>
                    <w:rPr>
                      <w:rFonts w:hint="eastAsia" w:ascii="Times New Roman" w:hAnsi="Times New Roman" w:eastAsia="宋体" w:cs="Times New Roman"/>
                      <w:b/>
                      <w:bCs/>
                      <w:color w:val="00B050"/>
                      <w:sz w:val="21"/>
                      <w:szCs w:val="21"/>
                      <w:lang w:val="en-US" w:eastAsia="zh-CN" w:bidi="ar-SA"/>
                    </w:rPr>
                    <w:t>kg/h</w:t>
                  </w:r>
                </w:p>
              </w:tc>
              <w:tc>
                <w:tcPr>
                  <w:tcW w:w="1010" w:type="dxa"/>
                  <w:tcBorders>
                    <w:tl2br w:val="nil"/>
                    <w:tr2bl w:val="nil"/>
                  </w:tcBorders>
                  <w:vAlign w:val="center"/>
                </w:tcPr>
                <w:p w14:paraId="3C11CCE9">
                  <w:pPr>
                    <w:widowControl w:val="0"/>
                    <w:jc w:val="center"/>
                    <w:rPr>
                      <w:rFonts w:ascii="Times New Roman" w:hAnsi="Times New Roman" w:eastAsia="宋体" w:cs="Times New Roman"/>
                      <w:b/>
                      <w:bCs/>
                      <w:color w:val="00B050"/>
                      <w:sz w:val="21"/>
                      <w:szCs w:val="21"/>
                      <w:vertAlign w:val="superscript"/>
                      <w:lang w:val="en-US" w:eastAsia="zh-CN" w:bidi="ar-SA"/>
                    </w:rPr>
                  </w:pPr>
                  <w:r>
                    <w:rPr>
                      <w:rFonts w:ascii="Times New Roman" w:hAnsi="Times New Roman" w:eastAsia="宋体" w:cs="Times New Roman"/>
                      <w:b/>
                      <w:bCs/>
                      <w:color w:val="00B050"/>
                      <w:sz w:val="21"/>
                      <w:szCs w:val="21"/>
                      <w:lang w:val="en-US" w:eastAsia="zh-CN" w:bidi="ar-SA"/>
                    </w:rPr>
                    <w:t>排放浓度</w:t>
                  </w:r>
                  <w:r>
                    <w:rPr>
                      <w:rFonts w:hint="eastAsia" w:ascii="Times New Roman" w:hAnsi="Times New Roman" w:eastAsia="宋体" w:cs="Times New Roman"/>
                      <w:b/>
                      <w:bCs/>
                      <w:color w:val="00B050"/>
                      <w:sz w:val="21"/>
                      <w:szCs w:val="21"/>
                      <w:lang w:val="en-US" w:eastAsia="zh-CN" w:bidi="ar-SA"/>
                    </w:rPr>
                    <w:t>mg/m</w:t>
                  </w:r>
                  <w:r>
                    <w:rPr>
                      <w:rFonts w:hint="eastAsia" w:ascii="Times New Roman" w:hAnsi="Times New Roman" w:eastAsia="宋体" w:cs="Times New Roman"/>
                      <w:b/>
                      <w:bCs/>
                      <w:color w:val="00B050"/>
                      <w:sz w:val="21"/>
                      <w:szCs w:val="21"/>
                      <w:vertAlign w:val="superscript"/>
                      <w:lang w:val="en-US" w:eastAsia="zh-CN" w:bidi="ar-SA"/>
                    </w:rPr>
                    <w:t>3</w:t>
                  </w:r>
                </w:p>
              </w:tc>
            </w:tr>
            <w:tr w14:paraId="6312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1" w:type="dxa"/>
                  <w:tcBorders>
                    <w:tl2br w:val="nil"/>
                    <w:tr2bl w:val="nil"/>
                  </w:tcBorders>
                  <w:vAlign w:val="center"/>
                </w:tcPr>
                <w:p w14:paraId="0154DDDA">
                  <w:pPr>
                    <w:widowControl w:val="0"/>
                    <w:jc w:val="center"/>
                    <w:rPr>
                      <w:rFonts w:ascii="Times New Roman" w:hAnsi="Times New Roman" w:eastAsia="宋体" w:cs="Times New Roman"/>
                      <w:color w:val="FF0000"/>
                      <w:sz w:val="21"/>
                      <w:szCs w:val="21"/>
                      <w:vertAlign w:val="subscript"/>
                      <w:lang w:val="en-US" w:eastAsia="zh-CN" w:bidi="ar-SA"/>
                    </w:rPr>
                  </w:pPr>
                  <w:r>
                    <w:rPr>
                      <w:rFonts w:hint="eastAsia" w:ascii="Times New Roman" w:hAnsi="Times New Roman" w:eastAsia="宋体" w:cs="Times New Roman"/>
                      <w:color w:val="FF0000"/>
                      <w:sz w:val="21"/>
                      <w:szCs w:val="21"/>
                      <w:lang w:val="en-US" w:eastAsia="zh-CN" w:bidi="ar-SA"/>
                    </w:rPr>
                    <w:t>NMHC</w:t>
                  </w:r>
                </w:p>
              </w:tc>
              <w:tc>
                <w:tcPr>
                  <w:tcW w:w="890" w:type="dxa"/>
                  <w:tcBorders>
                    <w:tl2br w:val="nil"/>
                    <w:tr2bl w:val="nil"/>
                  </w:tcBorders>
                  <w:vAlign w:val="center"/>
                </w:tcPr>
                <w:p w14:paraId="186658EC">
                  <w:pPr>
                    <w:widowControl w:val="0"/>
                    <w:jc w:val="center"/>
                    <w:rPr>
                      <w:rFonts w:hint="default" w:ascii="Times New Roman" w:hAnsi="Times New Roman" w:eastAsia="宋体" w:cs="Times New Roman"/>
                      <w:color w:val="FF0000"/>
                      <w:sz w:val="21"/>
                      <w:szCs w:val="21"/>
                      <w:lang w:val="en-US" w:eastAsia="zh-CN" w:bidi="ar-SA"/>
                    </w:rPr>
                  </w:pPr>
                  <w:r>
                    <w:rPr>
                      <w:rFonts w:hint="eastAsia" w:cs="Times New Roman"/>
                      <w:color w:val="FF0000"/>
                      <w:sz w:val="21"/>
                      <w:szCs w:val="21"/>
                      <w:lang w:val="en-US" w:eastAsia="zh-CN" w:bidi="ar-SA"/>
                    </w:rPr>
                    <w:t>0.277</w:t>
                  </w:r>
                </w:p>
              </w:tc>
              <w:tc>
                <w:tcPr>
                  <w:tcW w:w="1019" w:type="dxa"/>
                  <w:tcBorders>
                    <w:tl2br w:val="nil"/>
                    <w:tr2bl w:val="nil"/>
                  </w:tcBorders>
                  <w:vAlign w:val="center"/>
                </w:tcPr>
                <w:p w14:paraId="2538862E">
                  <w:pPr>
                    <w:widowControl w:val="0"/>
                    <w:jc w:val="center"/>
                    <w:rPr>
                      <w:rFonts w:hint="default" w:ascii="Times New Roman" w:hAnsi="Times New Roman" w:eastAsia="宋体" w:cs="Times New Roman"/>
                      <w:color w:val="FF0000"/>
                      <w:sz w:val="21"/>
                      <w:szCs w:val="21"/>
                      <w:lang w:val="en-US" w:eastAsia="zh-CN" w:bidi="ar-SA"/>
                    </w:rPr>
                  </w:pPr>
                  <w:r>
                    <w:rPr>
                      <w:rFonts w:hint="eastAsia" w:cs="Times New Roman"/>
                      <w:color w:val="FF0000"/>
                      <w:sz w:val="21"/>
                      <w:szCs w:val="21"/>
                      <w:lang w:val="en-US" w:eastAsia="zh-CN" w:bidi="ar-SA"/>
                    </w:rPr>
                    <w:t>0.346</w:t>
                  </w:r>
                </w:p>
              </w:tc>
              <w:tc>
                <w:tcPr>
                  <w:tcW w:w="1117" w:type="dxa"/>
                  <w:tcBorders>
                    <w:tl2br w:val="nil"/>
                    <w:tr2bl w:val="nil"/>
                  </w:tcBorders>
                  <w:vAlign w:val="center"/>
                </w:tcPr>
                <w:p w14:paraId="1600305E">
                  <w:pPr>
                    <w:widowControl w:val="0"/>
                    <w:jc w:val="center"/>
                    <w:rPr>
                      <w:rFonts w:hint="default" w:ascii="Times New Roman" w:hAnsi="Times New Roman" w:eastAsia="宋体" w:cs="Times New Roman"/>
                      <w:color w:val="FF0000"/>
                      <w:sz w:val="21"/>
                      <w:szCs w:val="21"/>
                      <w:lang w:val="en-US" w:eastAsia="zh-CN" w:bidi="ar-SA"/>
                    </w:rPr>
                  </w:pPr>
                  <w:r>
                    <w:rPr>
                      <w:rFonts w:hint="eastAsia" w:cs="Times New Roman"/>
                      <w:color w:val="FF0000"/>
                      <w:sz w:val="21"/>
                      <w:szCs w:val="21"/>
                      <w:lang w:val="en-US" w:eastAsia="zh-CN" w:bidi="ar-SA"/>
                    </w:rPr>
                    <w:t>173</w:t>
                  </w:r>
                </w:p>
              </w:tc>
              <w:tc>
                <w:tcPr>
                  <w:tcW w:w="1308" w:type="dxa"/>
                  <w:vMerge w:val="restart"/>
                  <w:tcBorders>
                    <w:tl2br w:val="nil"/>
                    <w:tr2bl w:val="nil"/>
                  </w:tcBorders>
                  <w:vAlign w:val="center"/>
                </w:tcPr>
                <w:p w14:paraId="6E5AC024">
                  <w:pPr>
                    <w:widowControl w:val="0"/>
                    <w:jc w:val="center"/>
                    <w:rPr>
                      <w:rFonts w:ascii="Times New Roman" w:hAnsi="Times New Roman" w:eastAsia="宋体" w:cs="Times New Roman"/>
                      <w:color w:val="FF0000"/>
                      <w:sz w:val="21"/>
                      <w:szCs w:val="21"/>
                      <w:lang w:val="en-US" w:eastAsia="zh-CN" w:bidi="ar-SA"/>
                    </w:rPr>
                  </w:pPr>
                  <w:r>
                    <w:rPr>
                      <w:rFonts w:hint="eastAsia" w:ascii="Times New Roman" w:hAnsi="Times New Roman" w:eastAsia="宋体" w:cs="Times New Roman"/>
                      <w:color w:val="FF0000"/>
                      <w:sz w:val="21"/>
                      <w:szCs w:val="21"/>
                      <w:lang w:val="en-US" w:eastAsia="zh-CN" w:bidi="ar-SA"/>
                    </w:rPr>
                    <w:t>活性炭吸附</w:t>
                  </w:r>
                </w:p>
              </w:tc>
              <w:tc>
                <w:tcPr>
                  <w:tcW w:w="820" w:type="dxa"/>
                  <w:tcBorders>
                    <w:tl2br w:val="nil"/>
                    <w:tr2bl w:val="nil"/>
                  </w:tcBorders>
                  <w:vAlign w:val="center"/>
                </w:tcPr>
                <w:p w14:paraId="6C0E5BC3">
                  <w:pPr>
                    <w:widowControl w:val="0"/>
                    <w:jc w:val="center"/>
                    <w:rPr>
                      <w:rFonts w:hint="default" w:ascii="Times New Roman" w:hAnsi="Times New Roman" w:eastAsia="宋体" w:cs="Times New Roman"/>
                      <w:color w:val="FF0000"/>
                      <w:sz w:val="21"/>
                      <w:szCs w:val="21"/>
                      <w:lang w:val="en-US" w:eastAsia="zh-CN" w:bidi="ar-SA"/>
                    </w:rPr>
                  </w:pPr>
                  <w:r>
                    <w:rPr>
                      <w:rFonts w:hint="eastAsia" w:cs="Times New Roman"/>
                      <w:color w:val="FF0000"/>
                      <w:sz w:val="21"/>
                      <w:szCs w:val="21"/>
                      <w:lang w:val="en-US" w:eastAsia="zh-CN" w:bidi="ar-SA"/>
                    </w:rPr>
                    <w:t>0.125</w:t>
                  </w:r>
                </w:p>
              </w:tc>
              <w:tc>
                <w:tcPr>
                  <w:tcW w:w="1019" w:type="dxa"/>
                  <w:tcBorders>
                    <w:tl2br w:val="nil"/>
                    <w:tr2bl w:val="nil"/>
                  </w:tcBorders>
                  <w:vAlign w:val="center"/>
                </w:tcPr>
                <w:p w14:paraId="5C94F24F">
                  <w:pPr>
                    <w:widowControl w:val="0"/>
                    <w:jc w:val="center"/>
                    <w:rPr>
                      <w:rFonts w:hint="default" w:ascii="Times New Roman" w:hAnsi="Times New Roman" w:eastAsia="宋体" w:cs="Times New Roman"/>
                      <w:color w:val="FF0000"/>
                      <w:sz w:val="21"/>
                      <w:szCs w:val="21"/>
                      <w:lang w:val="en-US" w:eastAsia="zh-CN" w:bidi="ar-SA"/>
                    </w:rPr>
                  </w:pPr>
                  <w:r>
                    <w:rPr>
                      <w:rFonts w:hint="eastAsia" w:cs="Times New Roman"/>
                      <w:color w:val="FF0000"/>
                      <w:sz w:val="21"/>
                      <w:szCs w:val="21"/>
                      <w:lang w:val="en-US" w:eastAsia="zh-CN" w:bidi="ar-SA"/>
                    </w:rPr>
                    <w:t>0.156</w:t>
                  </w:r>
                </w:p>
              </w:tc>
              <w:tc>
                <w:tcPr>
                  <w:tcW w:w="1010" w:type="dxa"/>
                  <w:tcBorders>
                    <w:tl2br w:val="nil"/>
                    <w:tr2bl w:val="nil"/>
                  </w:tcBorders>
                  <w:vAlign w:val="center"/>
                </w:tcPr>
                <w:p w14:paraId="1B3163A0">
                  <w:pPr>
                    <w:widowControl w:val="0"/>
                    <w:jc w:val="center"/>
                    <w:rPr>
                      <w:rFonts w:hint="default" w:ascii="Times New Roman" w:hAnsi="Times New Roman" w:eastAsia="宋体" w:cs="Times New Roman"/>
                      <w:color w:val="FF0000"/>
                      <w:sz w:val="21"/>
                      <w:szCs w:val="21"/>
                      <w:lang w:val="en-US" w:eastAsia="zh-CN" w:bidi="ar-SA"/>
                    </w:rPr>
                  </w:pPr>
                  <w:r>
                    <w:rPr>
                      <w:rFonts w:hint="eastAsia" w:cs="Times New Roman"/>
                      <w:color w:val="FF0000"/>
                      <w:sz w:val="21"/>
                      <w:szCs w:val="21"/>
                      <w:lang w:val="en-US" w:eastAsia="zh-CN" w:bidi="ar-SA"/>
                    </w:rPr>
                    <w:t>39</w:t>
                  </w:r>
                </w:p>
              </w:tc>
            </w:tr>
            <w:tr w14:paraId="6BCA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tcBorders>
                    <w:tl2br w:val="nil"/>
                    <w:tr2bl w:val="nil"/>
                  </w:tcBorders>
                  <w:vAlign w:val="center"/>
                </w:tcPr>
                <w:p w14:paraId="052E6B35">
                  <w:pPr>
                    <w:widowControl w:val="0"/>
                    <w:jc w:val="center"/>
                    <w:rPr>
                      <w:rFonts w:hint="default" w:ascii="Times New Roman" w:hAnsi="Times New Roman" w:eastAsia="宋体" w:cs="Times New Roman"/>
                      <w:color w:val="FF0000"/>
                      <w:sz w:val="21"/>
                      <w:szCs w:val="21"/>
                      <w:lang w:val="en-US" w:eastAsia="zh-CN" w:bidi="ar-SA"/>
                    </w:rPr>
                  </w:pPr>
                  <w:r>
                    <w:rPr>
                      <w:rFonts w:hint="eastAsia" w:cs="Times New Roman"/>
                      <w:color w:val="FF0000"/>
                      <w:sz w:val="21"/>
                      <w:szCs w:val="21"/>
                      <w:lang w:val="en-US" w:eastAsia="zh-CN" w:bidi="ar-SA"/>
                    </w:rPr>
                    <w:t>臭气浓度</w:t>
                  </w:r>
                </w:p>
              </w:tc>
              <w:tc>
                <w:tcPr>
                  <w:tcW w:w="890" w:type="dxa"/>
                  <w:tcBorders>
                    <w:tl2br w:val="nil"/>
                    <w:tr2bl w:val="nil"/>
                  </w:tcBorders>
                  <w:vAlign w:val="center"/>
                </w:tcPr>
                <w:p w14:paraId="3C9781DF">
                  <w:pPr>
                    <w:widowControl w:val="0"/>
                    <w:jc w:val="center"/>
                    <w:rPr>
                      <w:rFonts w:hint="default" w:cs="Times New Roman"/>
                      <w:color w:val="FF0000"/>
                      <w:sz w:val="21"/>
                      <w:szCs w:val="21"/>
                      <w:lang w:val="en-US" w:eastAsia="zh-CN" w:bidi="ar-SA"/>
                    </w:rPr>
                  </w:pPr>
                  <w:r>
                    <w:rPr>
                      <w:rFonts w:hint="eastAsia" w:cs="Times New Roman"/>
                      <w:color w:val="FF0000"/>
                      <w:sz w:val="21"/>
                      <w:szCs w:val="21"/>
                      <w:lang w:val="en-US" w:eastAsia="zh-CN" w:bidi="ar-SA"/>
                    </w:rPr>
                    <w:t>少量</w:t>
                  </w:r>
                </w:p>
              </w:tc>
              <w:tc>
                <w:tcPr>
                  <w:tcW w:w="1019" w:type="dxa"/>
                  <w:tcBorders>
                    <w:tl2br w:val="nil"/>
                    <w:tr2bl w:val="nil"/>
                  </w:tcBorders>
                  <w:vAlign w:val="center"/>
                </w:tcPr>
                <w:p w14:paraId="0EA5C722">
                  <w:pPr>
                    <w:widowControl w:val="0"/>
                    <w:jc w:val="center"/>
                    <w:rPr>
                      <w:rFonts w:hint="default" w:cs="Times New Roman"/>
                      <w:color w:val="FF0000"/>
                      <w:sz w:val="21"/>
                      <w:szCs w:val="21"/>
                      <w:lang w:val="en-US" w:eastAsia="zh-CN" w:bidi="ar-SA"/>
                    </w:rPr>
                  </w:pPr>
                  <w:r>
                    <w:rPr>
                      <w:rFonts w:hint="eastAsia" w:cs="Times New Roman"/>
                      <w:color w:val="FF0000"/>
                      <w:sz w:val="21"/>
                      <w:szCs w:val="21"/>
                      <w:lang w:val="en-US" w:eastAsia="zh-CN" w:bidi="ar-SA"/>
                    </w:rPr>
                    <w:t>/</w:t>
                  </w:r>
                </w:p>
              </w:tc>
              <w:tc>
                <w:tcPr>
                  <w:tcW w:w="1117" w:type="dxa"/>
                  <w:tcBorders>
                    <w:tl2br w:val="nil"/>
                    <w:tr2bl w:val="nil"/>
                  </w:tcBorders>
                  <w:vAlign w:val="center"/>
                </w:tcPr>
                <w:p w14:paraId="6520750A">
                  <w:pPr>
                    <w:widowControl w:val="0"/>
                    <w:jc w:val="center"/>
                    <w:rPr>
                      <w:rFonts w:hint="default" w:cs="Times New Roman"/>
                      <w:color w:val="FF0000"/>
                      <w:sz w:val="21"/>
                      <w:szCs w:val="21"/>
                      <w:lang w:val="en-US" w:eastAsia="zh-CN" w:bidi="ar-SA"/>
                    </w:rPr>
                  </w:pPr>
                  <w:r>
                    <w:rPr>
                      <w:rFonts w:hint="eastAsia" w:cs="Times New Roman"/>
                      <w:color w:val="FF0000"/>
                      <w:sz w:val="21"/>
                      <w:szCs w:val="21"/>
                      <w:lang w:val="en-US" w:eastAsia="zh-CN" w:bidi="ar-SA"/>
                    </w:rPr>
                    <w:t>/</w:t>
                  </w:r>
                </w:p>
              </w:tc>
              <w:tc>
                <w:tcPr>
                  <w:tcW w:w="1308" w:type="dxa"/>
                  <w:vMerge w:val="continue"/>
                  <w:tcBorders>
                    <w:tl2br w:val="nil"/>
                    <w:tr2bl w:val="nil"/>
                  </w:tcBorders>
                  <w:vAlign w:val="center"/>
                </w:tcPr>
                <w:p w14:paraId="08D1C329">
                  <w:pPr>
                    <w:widowControl w:val="0"/>
                    <w:jc w:val="center"/>
                    <w:rPr>
                      <w:rFonts w:hint="eastAsia" w:ascii="Times New Roman" w:hAnsi="Times New Roman" w:eastAsia="宋体" w:cs="Times New Roman"/>
                      <w:color w:val="FF0000"/>
                      <w:sz w:val="21"/>
                      <w:szCs w:val="21"/>
                      <w:lang w:val="en-US" w:eastAsia="zh-CN" w:bidi="ar-SA"/>
                    </w:rPr>
                  </w:pPr>
                </w:p>
              </w:tc>
              <w:tc>
                <w:tcPr>
                  <w:tcW w:w="820" w:type="dxa"/>
                  <w:tcBorders>
                    <w:tl2br w:val="nil"/>
                    <w:tr2bl w:val="nil"/>
                  </w:tcBorders>
                  <w:vAlign w:val="center"/>
                </w:tcPr>
                <w:p w14:paraId="2CE81087">
                  <w:pPr>
                    <w:widowControl w:val="0"/>
                    <w:jc w:val="center"/>
                    <w:rPr>
                      <w:rFonts w:hint="default" w:cs="Times New Roman"/>
                      <w:color w:val="FF0000"/>
                      <w:sz w:val="21"/>
                      <w:szCs w:val="21"/>
                      <w:lang w:val="en-US" w:eastAsia="zh-CN" w:bidi="ar-SA"/>
                    </w:rPr>
                  </w:pPr>
                  <w:r>
                    <w:rPr>
                      <w:rFonts w:hint="eastAsia" w:cs="Times New Roman"/>
                      <w:color w:val="FF0000"/>
                      <w:sz w:val="21"/>
                      <w:szCs w:val="21"/>
                      <w:lang w:val="en-US" w:eastAsia="zh-CN" w:bidi="ar-SA"/>
                    </w:rPr>
                    <w:t>少量</w:t>
                  </w:r>
                </w:p>
              </w:tc>
              <w:tc>
                <w:tcPr>
                  <w:tcW w:w="1019" w:type="dxa"/>
                  <w:tcBorders>
                    <w:tl2br w:val="nil"/>
                    <w:tr2bl w:val="nil"/>
                  </w:tcBorders>
                  <w:vAlign w:val="center"/>
                </w:tcPr>
                <w:p w14:paraId="4C7068F3">
                  <w:pPr>
                    <w:widowControl w:val="0"/>
                    <w:jc w:val="center"/>
                    <w:rPr>
                      <w:rFonts w:hint="default" w:ascii="Times New Roman" w:hAnsi="Times New Roman" w:eastAsia="宋体" w:cs="Times New Roman"/>
                      <w:color w:val="FF0000"/>
                      <w:sz w:val="21"/>
                      <w:szCs w:val="21"/>
                      <w:lang w:val="en-US" w:eastAsia="zh-CN" w:bidi="ar-SA"/>
                    </w:rPr>
                  </w:pPr>
                  <w:r>
                    <w:rPr>
                      <w:rFonts w:hint="eastAsia" w:cs="Times New Roman"/>
                      <w:color w:val="FF0000"/>
                      <w:sz w:val="21"/>
                      <w:szCs w:val="21"/>
                      <w:lang w:val="en-US" w:eastAsia="zh-CN" w:bidi="ar-SA"/>
                    </w:rPr>
                    <w:t>/</w:t>
                  </w:r>
                </w:p>
              </w:tc>
              <w:tc>
                <w:tcPr>
                  <w:tcW w:w="1010" w:type="dxa"/>
                  <w:tcBorders>
                    <w:tl2br w:val="nil"/>
                    <w:tr2bl w:val="nil"/>
                  </w:tcBorders>
                  <w:vAlign w:val="center"/>
                </w:tcPr>
                <w:p w14:paraId="7B0BE53F">
                  <w:pPr>
                    <w:widowControl w:val="0"/>
                    <w:jc w:val="center"/>
                    <w:rPr>
                      <w:rFonts w:hint="default" w:cs="Times New Roman"/>
                      <w:color w:val="FF0000"/>
                      <w:sz w:val="21"/>
                      <w:szCs w:val="21"/>
                      <w:lang w:val="en-US" w:eastAsia="zh-CN" w:bidi="ar-SA"/>
                    </w:rPr>
                  </w:pPr>
                  <w:r>
                    <w:rPr>
                      <w:rFonts w:hint="eastAsia" w:cs="Times New Roman"/>
                      <w:color w:val="FF0000"/>
                      <w:sz w:val="21"/>
                      <w:szCs w:val="21"/>
                      <w:lang w:val="en-US" w:eastAsia="zh-CN" w:bidi="ar-SA"/>
                    </w:rPr>
                    <w:t>/</w:t>
                  </w:r>
                </w:p>
              </w:tc>
            </w:tr>
          </w:tbl>
          <w:p w14:paraId="3AEC8D6C">
            <w:pPr>
              <w:widowControl w:val="0"/>
              <w:spacing w:line="360" w:lineRule="auto"/>
              <w:ind w:firstLine="480" w:firstLineChars="200"/>
              <w:jc w:val="both"/>
              <w:rPr>
                <w:rFonts w:hint="default" w:ascii="Times New Roman" w:hAnsi="Times New Roman" w:eastAsia="宋体" w:cs="Times New Roman"/>
                <w:color w:val="00B050"/>
                <w:sz w:val="24"/>
                <w:szCs w:val="21"/>
                <w:vertAlign w:val="baseline"/>
                <w:lang w:val="en-US" w:eastAsia="zh-CN" w:bidi="ar-SA"/>
              </w:rPr>
            </w:pPr>
            <w:r>
              <w:rPr>
                <w:rFonts w:hint="eastAsia" w:ascii="Times New Roman" w:hAnsi="Times New Roman" w:eastAsia="宋体" w:cs="Times New Roman"/>
                <w:color w:val="00B050"/>
                <w:sz w:val="24"/>
                <w:szCs w:val="21"/>
                <w:lang w:val="en-US" w:eastAsia="zh-CN" w:bidi="ar-SA"/>
              </w:rPr>
              <w:t>根据上表，项目储罐呼吸废气经处理后，NMHC排放浓度及排放速率满足《大气污染物综合排放标准》（GB16297－1996）中表2的限值要求</w:t>
            </w:r>
            <w:r>
              <w:rPr>
                <w:rFonts w:hint="eastAsia" w:cs="Times New Roman"/>
                <w:color w:val="00B050"/>
                <w:sz w:val="24"/>
                <w:szCs w:val="21"/>
                <w:lang w:val="en-US" w:eastAsia="zh-CN" w:bidi="ar-SA"/>
              </w:rPr>
              <w:t>，即：排放速率≤10kg/h，排放浓度≤120mg/m</w:t>
            </w:r>
            <w:r>
              <w:rPr>
                <w:rFonts w:hint="eastAsia" w:cs="Times New Roman"/>
                <w:color w:val="00B050"/>
                <w:sz w:val="24"/>
                <w:szCs w:val="21"/>
                <w:vertAlign w:val="superscript"/>
                <w:lang w:val="en-US" w:eastAsia="zh-CN" w:bidi="ar-SA"/>
              </w:rPr>
              <w:t>3</w:t>
            </w:r>
            <w:r>
              <w:rPr>
                <w:rFonts w:hint="eastAsia" w:cs="Times New Roman"/>
                <w:color w:val="00B050"/>
                <w:sz w:val="24"/>
                <w:szCs w:val="21"/>
                <w:vertAlign w:val="baseline"/>
                <w:lang w:val="en-US" w:eastAsia="zh-CN" w:bidi="ar-SA"/>
              </w:rPr>
              <w:t>。另外，储罐装卸过程中将产生少量异味气体（以臭气浓度表征），经活性炭吸附装置处理后经排气筒排放，排放满足</w:t>
            </w:r>
            <w:r>
              <w:rPr>
                <w:rFonts w:hint="eastAsia"/>
                <w:color w:val="00B050"/>
                <w:sz w:val="24"/>
                <w:lang w:val="en-US" w:eastAsia="zh-CN"/>
              </w:rPr>
              <w:t>《恶臭污染物排放标准》（GB14554-93）限值要求，即：臭气浓度排放≤2000（无量纲）。</w:t>
            </w:r>
          </w:p>
          <w:p w14:paraId="12F231D2">
            <w:pPr>
              <w:pStyle w:val="7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00B050"/>
                <w:sz w:val="24"/>
                <w:lang w:val="en-US" w:eastAsia="zh-CN"/>
              </w:rPr>
            </w:pPr>
            <w:r>
              <w:rPr>
                <w:rFonts w:hint="eastAsia"/>
                <w:b/>
                <w:bCs/>
                <w:color w:val="00B050"/>
                <w:sz w:val="24"/>
                <w:lang w:val="en-US" w:eastAsia="zh-CN"/>
              </w:rPr>
              <w:t>（2）废矿物油装卸废气</w:t>
            </w:r>
          </w:p>
          <w:p w14:paraId="038F23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卸车损耗只是卸车过程中为饱和吸入空气而蒸发出来的油气，以及卸油作业结束后罐底残存油品和罐壁</w:t>
            </w:r>
            <w:r>
              <w:rPr>
                <w:rFonts w:hint="eastAsia" w:cs="Times New Roman"/>
                <w:color w:val="00B050"/>
                <w:sz w:val="24"/>
                <w:szCs w:val="21"/>
                <w:lang w:val="en-US" w:eastAsia="zh-CN" w:bidi="ar-SA"/>
              </w:rPr>
              <w:t>黏附</w:t>
            </w:r>
            <w:r>
              <w:rPr>
                <w:rFonts w:hint="eastAsia" w:ascii="Times New Roman" w:hAnsi="Times New Roman" w:eastAsia="宋体" w:cs="Times New Roman"/>
                <w:color w:val="00B050"/>
                <w:sz w:val="24"/>
                <w:szCs w:val="21"/>
                <w:lang w:val="en-US" w:eastAsia="zh-CN" w:bidi="ar-SA"/>
              </w:rPr>
              <w:t>油品</w:t>
            </w:r>
            <w:r>
              <w:rPr>
                <w:rFonts w:hint="eastAsia" w:cs="Times New Roman"/>
                <w:color w:val="00B050"/>
                <w:sz w:val="24"/>
                <w:szCs w:val="21"/>
                <w:lang w:val="en-US" w:eastAsia="zh-CN" w:bidi="ar-SA"/>
              </w:rPr>
              <w:t>气化</w:t>
            </w:r>
            <w:r>
              <w:rPr>
                <w:rFonts w:hint="eastAsia" w:ascii="Times New Roman" w:hAnsi="Times New Roman" w:eastAsia="宋体" w:cs="Times New Roman"/>
                <w:color w:val="00B050"/>
                <w:sz w:val="24"/>
                <w:szCs w:val="21"/>
                <w:lang w:val="en-US" w:eastAsia="zh-CN" w:bidi="ar-SA"/>
              </w:rPr>
              <w:t>所形成的油气。装车损耗是指装车过程中排放出来的油气而造成的损耗。油品蒸发同装油前车内原有的油气浓度有关，原有油气浓度越接近饱和，蒸发损耗量越小。根据《油气回收基础理论及其应用》（黄维秋主编）推荐的车（船）装卸损耗公式，计算本项目油品装车损耗量。</w:t>
            </w:r>
          </w:p>
          <w:p w14:paraId="29F86EC9">
            <w:pPr>
              <w:widowControl w:val="0"/>
              <w:spacing w:before="156" w:beforeLines="50" w:line="360" w:lineRule="auto"/>
              <w:ind w:firstLine="480" w:firstLineChars="200"/>
              <w:jc w:val="both"/>
              <w:rPr>
                <w:rFonts w:ascii="Times New Roman" w:hAnsi="Times New Roman" w:eastAsia="宋体" w:cs="Times New Roman"/>
                <w:color w:val="00B050"/>
                <w:sz w:val="24"/>
                <w:szCs w:val="21"/>
                <w:lang w:val="en-US" w:eastAsia="zh-CN" w:bidi="ar-SA"/>
              </w:rPr>
            </w:pPr>
            <m:oMathPara>
              <m:oMath>
                <m:r>
                  <m:rPr/>
                  <w:rPr>
                    <w:rFonts w:ascii="Cambria Math" w:hAnsi="Cambria Math"/>
                    <w:color w:val="00B050"/>
                    <w:sz w:val="24"/>
                    <w:szCs w:val="24"/>
                  </w:rPr>
                  <m:t>m≈</m:t>
                </m:r>
                <m:f>
                  <m:fPr>
                    <m:ctrlPr>
                      <w:rPr>
                        <w:rFonts w:ascii="Cambria Math" w:hAnsi="Cambria Math"/>
                        <w:i/>
                        <w:iCs/>
                        <w:color w:val="00B050"/>
                        <w:sz w:val="24"/>
                        <w:szCs w:val="24"/>
                      </w:rPr>
                    </m:ctrlPr>
                  </m:fPr>
                  <m:num>
                    <m:r>
                      <m:rPr/>
                      <w:rPr>
                        <w:rFonts w:ascii="Cambria Math" w:hAnsi="Cambria Math"/>
                        <w:color w:val="00B050"/>
                        <w:sz w:val="24"/>
                        <w:szCs w:val="24"/>
                      </w:rPr>
                      <m:t>(</m:t>
                    </m:r>
                    <m:sSub>
                      <m:sSubPr>
                        <m:ctrlPr>
                          <w:rPr>
                            <w:rFonts w:ascii="Cambria Math" w:hAnsi="Cambria Math"/>
                            <w:i/>
                            <w:iCs/>
                            <w:color w:val="00B050"/>
                            <w:sz w:val="24"/>
                            <w:szCs w:val="24"/>
                          </w:rPr>
                        </m:ctrlPr>
                      </m:sSubPr>
                      <m:e>
                        <m:r>
                          <m:rPr/>
                          <w:rPr>
                            <w:rFonts w:ascii="Cambria Math" w:hAnsi="Cambria Math"/>
                            <w:color w:val="00B050"/>
                            <w:sz w:val="24"/>
                            <w:szCs w:val="24"/>
                          </w:rPr>
                          <m:t>P</m:t>
                        </m:r>
                        <m:ctrlPr>
                          <w:rPr>
                            <w:rFonts w:ascii="Cambria Math" w:hAnsi="Cambria Math"/>
                            <w:i/>
                            <w:iCs/>
                            <w:color w:val="00B050"/>
                            <w:sz w:val="24"/>
                            <w:szCs w:val="24"/>
                          </w:rPr>
                        </m:ctrlPr>
                      </m:e>
                      <m:sub>
                        <m:r>
                          <m:rPr/>
                          <w:rPr>
                            <w:rFonts w:ascii="Cambria Math" w:hAnsi="Cambria Math"/>
                            <w:color w:val="00B050"/>
                            <w:sz w:val="24"/>
                            <w:szCs w:val="24"/>
                          </w:rPr>
                          <m:t>a</m:t>
                        </m:r>
                        <m:ctrlPr>
                          <w:rPr>
                            <w:rFonts w:ascii="Cambria Math" w:hAnsi="Cambria Math"/>
                            <w:i/>
                            <w:iCs/>
                            <w:color w:val="00B050"/>
                            <w:sz w:val="24"/>
                            <w:szCs w:val="24"/>
                          </w:rPr>
                        </m:ctrlPr>
                      </m:sub>
                    </m:sSub>
                    <m:r>
                      <m:rPr/>
                      <w:rPr>
                        <w:rFonts w:ascii="Cambria Math" w:hAnsi="Cambria Math"/>
                        <w:color w:val="00B050"/>
                        <w:sz w:val="24"/>
                        <w:szCs w:val="24"/>
                      </w:rPr>
                      <m:t>−</m:t>
                    </m:r>
                    <m:sSub>
                      <m:sSubPr>
                        <m:ctrlPr>
                          <w:rPr>
                            <w:rFonts w:ascii="Cambria Math" w:hAnsi="Cambria Math"/>
                            <w:i/>
                            <w:iCs/>
                            <w:color w:val="00B050"/>
                            <w:sz w:val="24"/>
                            <w:szCs w:val="24"/>
                          </w:rPr>
                        </m:ctrlPr>
                      </m:sSubPr>
                      <m:e>
                        <m:r>
                          <m:rPr/>
                          <w:rPr>
                            <w:rFonts w:ascii="Cambria Math" w:hAnsi="Cambria Math"/>
                            <w:color w:val="00B050"/>
                            <w:sz w:val="24"/>
                            <w:szCs w:val="24"/>
                          </w:rPr>
                          <m:t>E</m:t>
                        </m:r>
                        <m:ctrlPr>
                          <w:rPr>
                            <w:rFonts w:ascii="Cambria Math" w:hAnsi="Cambria Math"/>
                            <w:i/>
                            <w:iCs/>
                            <w:color w:val="00B050"/>
                            <w:sz w:val="24"/>
                            <w:szCs w:val="24"/>
                          </w:rPr>
                        </m:ctrlPr>
                      </m:e>
                      <m:sub>
                        <m:r>
                          <m:rPr/>
                          <w:rPr>
                            <w:rFonts w:ascii="Cambria Math" w:hAnsi="Cambria Math"/>
                            <w:color w:val="00B050"/>
                            <w:sz w:val="24"/>
                            <w:szCs w:val="24"/>
                          </w:rPr>
                          <m:t>1</m:t>
                        </m:r>
                        <m:ctrlPr>
                          <w:rPr>
                            <w:rFonts w:ascii="Cambria Math" w:hAnsi="Cambria Math"/>
                            <w:i/>
                            <w:iCs/>
                            <w:color w:val="00B050"/>
                            <w:sz w:val="24"/>
                            <w:szCs w:val="24"/>
                          </w:rPr>
                        </m:ctrlPr>
                      </m:sub>
                    </m:sSub>
                    <m:sSub>
                      <m:sSubPr>
                        <m:ctrlPr>
                          <w:rPr>
                            <w:rFonts w:ascii="Cambria Math" w:hAnsi="Cambria Math"/>
                            <w:i/>
                            <w:iCs/>
                            <w:color w:val="00B050"/>
                            <w:sz w:val="24"/>
                            <w:szCs w:val="24"/>
                          </w:rPr>
                        </m:ctrlPr>
                      </m:sSubPr>
                      <m:e>
                        <m:r>
                          <m:rPr/>
                          <w:rPr>
                            <w:rFonts w:ascii="Cambria Math" w:hAnsi="Cambria Math"/>
                            <w:color w:val="00B050"/>
                            <w:sz w:val="24"/>
                            <w:szCs w:val="24"/>
                          </w:rPr>
                          <m:t>P</m:t>
                        </m:r>
                        <m:ctrlPr>
                          <w:rPr>
                            <w:rFonts w:ascii="Cambria Math" w:hAnsi="Cambria Math"/>
                            <w:i/>
                            <w:iCs/>
                            <w:color w:val="00B050"/>
                            <w:sz w:val="24"/>
                            <w:szCs w:val="24"/>
                          </w:rPr>
                        </m:ctrlPr>
                      </m:e>
                      <m:sub>
                        <m:r>
                          <m:rPr/>
                          <w:rPr>
                            <w:rFonts w:ascii="Cambria Math" w:hAnsi="Cambria Math"/>
                            <w:color w:val="00B050"/>
                            <w:sz w:val="24"/>
                            <w:szCs w:val="24"/>
                          </w:rPr>
                          <m:t>A</m:t>
                        </m:r>
                        <m:ctrlPr>
                          <w:rPr>
                            <w:rFonts w:ascii="Cambria Math" w:hAnsi="Cambria Math"/>
                            <w:i/>
                            <w:iCs/>
                            <w:color w:val="00B050"/>
                            <w:sz w:val="24"/>
                            <w:szCs w:val="24"/>
                          </w:rPr>
                        </m:ctrlPr>
                      </m:sub>
                    </m:sSub>
                    <m:r>
                      <m:rPr/>
                      <w:rPr>
                        <w:rFonts w:ascii="Cambria Math" w:hAnsi="Cambria Math"/>
                        <w:color w:val="00B050"/>
                        <w:sz w:val="24"/>
                        <w:szCs w:val="24"/>
                      </w:rPr>
                      <m:t>)·E</m:t>
                    </m:r>
                    <m:ctrlPr>
                      <w:rPr>
                        <w:rFonts w:ascii="Cambria Math" w:hAnsi="Cambria Math"/>
                        <w:i/>
                        <w:iCs/>
                        <w:color w:val="00B050"/>
                        <w:sz w:val="24"/>
                        <w:szCs w:val="24"/>
                      </w:rPr>
                    </m:ctrlPr>
                  </m:num>
                  <m:den>
                    <m:sSub>
                      <m:sSubPr>
                        <m:ctrlPr>
                          <w:rPr>
                            <w:rFonts w:ascii="Cambria Math" w:hAnsi="Cambria Math"/>
                            <w:i/>
                            <w:iCs/>
                            <w:color w:val="00B050"/>
                            <w:sz w:val="24"/>
                            <w:szCs w:val="24"/>
                          </w:rPr>
                        </m:ctrlPr>
                      </m:sSubPr>
                      <m:e>
                        <m:r>
                          <m:rPr/>
                          <w:rPr>
                            <w:rFonts w:ascii="Cambria Math" w:hAnsi="Cambria Math"/>
                            <w:color w:val="00B050"/>
                            <w:sz w:val="24"/>
                            <w:szCs w:val="24"/>
                          </w:rPr>
                          <m:t>P</m:t>
                        </m:r>
                        <m:ctrlPr>
                          <w:rPr>
                            <w:rFonts w:ascii="Cambria Math" w:hAnsi="Cambria Math"/>
                            <w:i/>
                            <w:iCs/>
                            <w:color w:val="00B050"/>
                            <w:sz w:val="24"/>
                            <w:szCs w:val="24"/>
                          </w:rPr>
                        </m:ctrlPr>
                      </m:e>
                      <m:sub>
                        <m:r>
                          <m:rPr/>
                          <w:rPr>
                            <w:rFonts w:ascii="Cambria Math" w:hAnsi="Cambria Math"/>
                            <w:color w:val="00B050"/>
                            <w:sz w:val="24"/>
                            <w:szCs w:val="24"/>
                          </w:rPr>
                          <m:t>a</m:t>
                        </m:r>
                        <m:ctrlPr>
                          <w:rPr>
                            <w:rFonts w:ascii="Cambria Math" w:hAnsi="Cambria Math"/>
                            <w:i/>
                            <w:iCs/>
                            <w:color w:val="00B050"/>
                            <w:sz w:val="24"/>
                            <w:szCs w:val="24"/>
                          </w:rPr>
                        </m:ctrlPr>
                      </m:sub>
                    </m:sSub>
                    <m:r>
                      <m:rPr/>
                      <w:rPr>
                        <w:rFonts w:ascii="Cambria Math" w:hAnsi="Cambria Math"/>
                        <w:color w:val="00B050"/>
                        <w:sz w:val="24"/>
                        <w:szCs w:val="24"/>
                      </w:rPr>
                      <m:t>−E</m:t>
                    </m:r>
                    <m:sSub>
                      <m:sSubPr>
                        <m:ctrlPr>
                          <w:rPr>
                            <w:rFonts w:ascii="Cambria Math" w:hAnsi="Cambria Math"/>
                            <w:i/>
                            <w:iCs/>
                            <w:color w:val="00B050"/>
                            <w:sz w:val="24"/>
                            <w:szCs w:val="24"/>
                          </w:rPr>
                        </m:ctrlPr>
                      </m:sSubPr>
                      <m:e>
                        <m:r>
                          <m:rPr/>
                          <w:rPr>
                            <w:rFonts w:ascii="Cambria Math" w:hAnsi="Cambria Math"/>
                            <w:color w:val="00B050"/>
                            <w:sz w:val="24"/>
                            <w:szCs w:val="24"/>
                          </w:rPr>
                          <m:t>P</m:t>
                        </m:r>
                        <m:ctrlPr>
                          <w:rPr>
                            <w:rFonts w:ascii="Cambria Math" w:hAnsi="Cambria Math"/>
                            <w:i/>
                            <w:iCs/>
                            <w:color w:val="00B050"/>
                            <w:sz w:val="24"/>
                            <w:szCs w:val="24"/>
                          </w:rPr>
                        </m:ctrlPr>
                      </m:e>
                      <m:sub>
                        <m:r>
                          <m:rPr/>
                          <w:rPr>
                            <w:rFonts w:ascii="Cambria Math" w:hAnsi="Cambria Math"/>
                            <w:color w:val="00B050"/>
                            <w:sz w:val="24"/>
                            <w:szCs w:val="24"/>
                          </w:rPr>
                          <m:t>A</m:t>
                        </m:r>
                        <m:ctrlPr>
                          <w:rPr>
                            <w:rFonts w:ascii="Cambria Math" w:hAnsi="Cambria Math"/>
                            <w:i/>
                            <w:iCs/>
                            <w:color w:val="00B050"/>
                            <w:sz w:val="24"/>
                            <w:szCs w:val="24"/>
                          </w:rPr>
                        </m:ctrlPr>
                      </m:sub>
                    </m:sSub>
                    <m:ctrlPr>
                      <w:rPr>
                        <w:rFonts w:ascii="Cambria Math" w:hAnsi="Cambria Math"/>
                        <w:i/>
                        <w:iCs/>
                        <w:color w:val="00B050"/>
                        <w:sz w:val="24"/>
                        <w:szCs w:val="24"/>
                      </w:rPr>
                    </m:ctrlPr>
                  </m:den>
                </m:f>
                <m:r>
                  <m:rPr/>
                  <w:rPr>
                    <w:rFonts w:ascii="Cambria Math" w:hAnsi="Cambria Math"/>
                    <w:color w:val="00B050"/>
                    <w:sz w:val="24"/>
                    <w:szCs w:val="24"/>
                  </w:rPr>
                  <m:t>·</m:t>
                </m:r>
                <m:f>
                  <m:fPr>
                    <m:ctrlPr>
                      <w:rPr>
                        <w:rFonts w:ascii="Cambria Math" w:hAnsi="Cambria Math"/>
                        <w:i/>
                        <w:iCs/>
                        <w:color w:val="00B050"/>
                        <w:sz w:val="24"/>
                        <w:szCs w:val="24"/>
                      </w:rPr>
                    </m:ctrlPr>
                  </m:fPr>
                  <m:num>
                    <m:sSub>
                      <m:sSubPr>
                        <m:ctrlPr>
                          <w:rPr>
                            <w:rFonts w:ascii="Cambria Math" w:hAnsi="Cambria Math"/>
                            <w:i/>
                            <w:iCs/>
                            <w:color w:val="00B050"/>
                            <w:sz w:val="24"/>
                            <w:szCs w:val="24"/>
                          </w:rPr>
                        </m:ctrlPr>
                      </m:sSubPr>
                      <m:e>
                        <m:r>
                          <m:rPr/>
                          <w:rPr>
                            <w:rFonts w:ascii="Cambria Math" w:hAnsi="Cambria Math"/>
                            <w:color w:val="00B050"/>
                            <w:sz w:val="24"/>
                            <w:szCs w:val="24"/>
                          </w:rPr>
                          <m:t>P</m:t>
                        </m:r>
                        <m:ctrlPr>
                          <w:rPr>
                            <w:rFonts w:ascii="Cambria Math" w:hAnsi="Cambria Math"/>
                            <w:i/>
                            <w:iCs/>
                            <w:color w:val="00B050"/>
                            <w:sz w:val="24"/>
                            <w:szCs w:val="24"/>
                          </w:rPr>
                        </m:ctrlPr>
                      </m:e>
                      <m:sub>
                        <m:r>
                          <m:rPr/>
                          <w:rPr>
                            <w:rFonts w:ascii="Cambria Math" w:hAnsi="Cambria Math"/>
                            <w:color w:val="00B050"/>
                            <w:sz w:val="24"/>
                            <w:szCs w:val="24"/>
                          </w:rPr>
                          <m:t>A</m:t>
                        </m:r>
                        <m:ctrlPr>
                          <w:rPr>
                            <w:rFonts w:ascii="Cambria Math" w:hAnsi="Cambria Math"/>
                            <w:i/>
                            <w:iCs/>
                            <w:color w:val="00B050"/>
                            <w:sz w:val="24"/>
                            <w:szCs w:val="24"/>
                          </w:rPr>
                        </m:ctrlPr>
                      </m:sub>
                    </m:sSub>
                    <m:sSub>
                      <m:sSubPr>
                        <m:ctrlPr>
                          <w:rPr>
                            <w:rFonts w:ascii="Cambria Math" w:hAnsi="Cambria Math"/>
                            <w:i/>
                            <w:iCs/>
                            <w:color w:val="00B050"/>
                            <w:sz w:val="24"/>
                            <w:szCs w:val="24"/>
                          </w:rPr>
                        </m:ctrlPr>
                      </m:sSubPr>
                      <m:e>
                        <m:r>
                          <m:rPr/>
                          <w:rPr>
                            <w:rFonts w:ascii="Cambria Math" w:hAnsi="Cambria Math"/>
                            <w:color w:val="00B050"/>
                            <w:sz w:val="24"/>
                            <w:szCs w:val="24"/>
                          </w:rPr>
                          <m:t>M</m:t>
                        </m:r>
                        <m:ctrlPr>
                          <w:rPr>
                            <w:rFonts w:ascii="Cambria Math" w:hAnsi="Cambria Math"/>
                            <w:i/>
                            <w:iCs/>
                            <w:color w:val="00B050"/>
                            <w:sz w:val="24"/>
                            <w:szCs w:val="24"/>
                          </w:rPr>
                        </m:ctrlPr>
                      </m:e>
                      <m:sub>
                        <m:r>
                          <m:rPr/>
                          <w:rPr>
                            <w:rFonts w:ascii="Cambria Math" w:hAnsi="Cambria Math"/>
                            <w:color w:val="00B050"/>
                            <w:sz w:val="24"/>
                            <w:szCs w:val="24"/>
                          </w:rPr>
                          <m:t>A</m:t>
                        </m:r>
                        <m:ctrlPr>
                          <w:rPr>
                            <w:rFonts w:ascii="Cambria Math" w:hAnsi="Cambria Math"/>
                            <w:i/>
                            <w:iCs/>
                            <w:color w:val="00B050"/>
                            <w:sz w:val="24"/>
                            <w:szCs w:val="24"/>
                          </w:rPr>
                        </m:ctrlPr>
                      </m:sub>
                    </m:sSub>
                    <m:r>
                      <m:rPr/>
                      <w:rPr>
                        <w:rFonts w:ascii="Cambria Math" w:hAnsi="Cambria Math"/>
                        <w:color w:val="00B050"/>
                        <w:sz w:val="24"/>
                        <w:szCs w:val="24"/>
                      </w:rPr>
                      <m:t>V</m:t>
                    </m:r>
                    <m:ctrlPr>
                      <w:rPr>
                        <w:rFonts w:ascii="Cambria Math" w:hAnsi="Cambria Math"/>
                        <w:i/>
                        <w:iCs/>
                        <w:color w:val="00B050"/>
                        <w:sz w:val="24"/>
                        <w:szCs w:val="24"/>
                      </w:rPr>
                    </m:ctrlPr>
                  </m:num>
                  <m:den>
                    <m:r>
                      <m:rPr/>
                      <w:rPr>
                        <w:rFonts w:ascii="Cambria Math" w:hAnsi="Cambria Math"/>
                        <w:color w:val="00B050"/>
                        <w:sz w:val="24"/>
                        <w:szCs w:val="24"/>
                      </w:rPr>
                      <m:t>RT</m:t>
                    </m:r>
                    <m:ctrlPr>
                      <w:rPr>
                        <w:rFonts w:ascii="Cambria Math" w:hAnsi="Cambria Math"/>
                        <w:i/>
                        <w:iCs/>
                        <w:color w:val="00B050"/>
                        <w:sz w:val="24"/>
                        <w:szCs w:val="24"/>
                      </w:rPr>
                    </m:ctrlPr>
                  </m:den>
                </m:f>
              </m:oMath>
            </m:oMathPara>
          </w:p>
          <w:p w14:paraId="09EA0940">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式中：</w:t>
            </w:r>
          </w:p>
          <w:p w14:paraId="78B47D23">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m——车（船）装卸损耗，kg</w:t>
            </w:r>
          </w:p>
          <w:p w14:paraId="344DEFCC">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P</w:t>
            </w:r>
            <w:r>
              <w:rPr>
                <w:rFonts w:hint="eastAsia" w:ascii="Times New Roman" w:hAnsi="Times New Roman" w:eastAsia="宋体" w:cs="Times New Roman"/>
                <w:color w:val="00B050"/>
                <w:sz w:val="24"/>
                <w:szCs w:val="21"/>
                <w:vertAlign w:val="subscript"/>
                <w:lang w:val="en-US" w:eastAsia="zh-CN" w:bidi="ar-SA"/>
              </w:rPr>
              <w:t>a</w:t>
            </w:r>
            <w:r>
              <w:rPr>
                <w:rFonts w:hint="eastAsia" w:ascii="Times New Roman" w:hAnsi="Times New Roman" w:eastAsia="宋体" w:cs="Times New Roman"/>
                <w:color w:val="00B050"/>
                <w:sz w:val="24"/>
                <w:szCs w:val="21"/>
                <w:lang w:val="en-US" w:eastAsia="zh-CN" w:bidi="ar-SA"/>
              </w:rPr>
              <w:t>——当地大气压，Kpa，曲靖市平均大气压取80Kpa</w:t>
            </w:r>
          </w:p>
          <w:p w14:paraId="03313211">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E</w:t>
            </w:r>
            <w:r>
              <w:rPr>
                <w:rFonts w:hint="eastAsia" w:ascii="Times New Roman" w:hAnsi="Times New Roman" w:eastAsia="宋体" w:cs="Times New Roman"/>
                <w:color w:val="00B050"/>
                <w:sz w:val="24"/>
                <w:szCs w:val="21"/>
                <w:vertAlign w:val="subscript"/>
                <w:lang w:val="en-US" w:eastAsia="zh-CN" w:bidi="ar-SA"/>
              </w:rPr>
              <w:t>1</w:t>
            </w:r>
            <w:r>
              <w:rPr>
                <w:rFonts w:hint="eastAsia" w:ascii="Times New Roman" w:hAnsi="Times New Roman" w:eastAsia="宋体" w:cs="Times New Roman"/>
                <w:color w:val="00B050"/>
                <w:sz w:val="24"/>
                <w:szCs w:val="21"/>
                <w:lang w:val="en-US" w:eastAsia="zh-CN" w:bidi="ar-SA"/>
              </w:rPr>
              <w:t>——装油前车（船）内原有气体的油气摩尔分率饱和度，运输车辆装车前均为空车，即E</w:t>
            </w:r>
            <w:r>
              <w:rPr>
                <w:rFonts w:hint="eastAsia" w:ascii="Times New Roman" w:hAnsi="Times New Roman" w:eastAsia="宋体" w:cs="Times New Roman"/>
                <w:color w:val="00B050"/>
                <w:sz w:val="24"/>
                <w:szCs w:val="21"/>
                <w:vertAlign w:val="subscript"/>
                <w:lang w:val="en-US" w:eastAsia="zh-CN" w:bidi="ar-SA"/>
              </w:rPr>
              <w:t>1</w:t>
            </w:r>
            <w:r>
              <w:rPr>
                <w:rFonts w:hint="eastAsia" w:ascii="Times New Roman" w:hAnsi="Times New Roman" w:eastAsia="宋体" w:cs="Times New Roman"/>
                <w:color w:val="00B050"/>
                <w:sz w:val="24"/>
                <w:szCs w:val="21"/>
                <w:lang w:val="en-US" w:eastAsia="zh-CN" w:bidi="ar-SA"/>
              </w:rPr>
              <w:t>为0。</w:t>
            </w:r>
          </w:p>
          <w:p w14:paraId="30509816">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E——装油时排出气体的平均油气摩尔分率饱和度，查E随E</w:t>
            </w:r>
            <w:r>
              <w:rPr>
                <w:rFonts w:hint="eastAsia" w:ascii="Times New Roman" w:hAnsi="Times New Roman" w:eastAsia="宋体" w:cs="Times New Roman"/>
                <w:color w:val="00B050"/>
                <w:sz w:val="24"/>
                <w:szCs w:val="21"/>
                <w:vertAlign w:val="subscript"/>
                <w:lang w:val="en-US" w:eastAsia="zh-CN" w:bidi="ar-SA"/>
              </w:rPr>
              <w:t>1</w:t>
            </w:r>
            <w:r>
              <w:rPr>
                <w:rFonts w:hint="eastAsia" w:ascii="Times New Roman" w:hAnsi="Times New Roman" w:eastAsia="宋体" w:cs="Times New Roman"/>
                <w:color w:val="00B050"/>
                <w:sz w:val="24"/>
                <w:szCs w:val="21"/>
                <w:lang w:val="en-US" w:eastAsia="zh-CN" w:bidi="ar-SA"/>
              </w:rPr>
              <w:t>的变化关系表可知，当E</w:t>
            </w:r>
            <w:r>
              <w:rPr>
                <w:rFonts w:hint="eastAsia" w:ascii="Times New Roman" w:hAnsi="Times New Roman" w:eastAsia="宋体" w:cs="Times New Roman"/>
                <w:color w:val="00B050"/>
                <w:sz w:val="24"/>
                <w:szCs w:val="21"/>
                <w:vertAlign w:val="subscript"/>
                <w:lang w:val="en-US" w:eastAsia="zh-CN" w:bidi="ar-SA"/>
              </w:rPr>
              <w:t>1</w:t>
            </w:r>
            <w:r>
              <w:rPr>
                <w:rFonts w:hint="eastAsia" w:ascii="Times New Roman" w:hAnsi="Times New Roman" w:eastAsia="宋体" w:cs="Times New Roman"/>
                <w:color w:val="00B050"/>
                <w:sz w:val="24"/>
                <w:szCs w:val="21"/>
                <w:lang w:val="en-US" w:eastAsia="zh-CN" w:bidi="ar-SA"/>
              </w:rPr>
              <w:t>=0时，E=0.55。</w:t>
            </w:r>
          </w:p>
          <w:p w14:paraId="114D331B">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P</w:t>
            </w:r>
            <w:r>
              <w:rPr>
                <w:rFonts w:hint="eastAsia" w:ascii="Times New Roman" w:hAnsi="Times New Roman" w:eastAsia="宋体" w:cs="Times New Roman"/>
                <w:color w:val="00B050"/>
                <w:sz w:val="24"/>
                <w:szCs w:val="21"/>
                <w:vertAlign w:val="subscript"/>
                <w:lang w:val="en-US" w:eastAsia="zh-CN" w:bidi="ar-SA"/>
              </w:rPr>
              <w:t>A</w:t>
            </w:r>
            <w:r>
              <w:rPr>
                <w:rFonts w:hint="eastAsia" w:ascii="Times New Roman" w:hAnsi="Times New Roman" w:eastAsia="宋体" w:cs="Times New Roman"/>
                <w:color w:val="00B050"/>
                <w:sz w:val="24"/>
                <w:szCs w:val="21"/>
                <w:lang w:val="en-US" w:eastAsia="zh-CN" w:bidi="ar-SA"/>
              </w:rPr>
              <w:t>——相当于油温的饱和蒸汽压，KPa。取值0.667KPa。</w:t>
            </w:r>
          </w:p>
          <w:p w14:paraId="5A1BFFD8">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M</w:t>
            </w:r>
            <w:r>
              <w:rPr>
                <w:rFonts w:hint="eastAsia" w:ascii="Times New Roman" w:hAnsi="Times New Roman" w:eastAsia="宋体" w:cs="Times New Roman"/>
                <w:color w:val="00B050"/>
                <w:sz w:val="24"/>
                <w:szCs w:val="21"/>
                <w:vertAlign w:val="subscript"/>
                <w:lang w:val="en-US" w:eastAsia="zh-CN" w:bidi="ar-SA"/>
              </w:rPr>
              <w:t>A</w:t>
            </w:r>
            <w:r>
              <w:rPr>
                <w:rFonts w:hint="eastAsia" w:ascii="Times New Roman" w:hAnsi="Times New Roman" w:eastAsia="宋体" w:cs="Times New Roman"/>
                <w:color w:val="00B050"/>
                <w:sz w:val="24"/>
                <w:szCs w:val="21"/>
                <w:lang w:val="en-US" w:eastAsia="zh-CN" w:bidi="ar-SA"/>
              </w:rPr>
              <w:t>——油气摩尔质量g/mol；取值282g/mol。</w:t>
            </w:r>
          </w:p>
          <w:p w14:paraId="2A382EED">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R——通用气体常数，8.314kJ/Kmol·K</w:t>
            </w:r>
          </w:p>
          <w:p w14:paraId="29806E68">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ascii="Times New Roman" w:hAnsi="Times New Roman" w:eastAsia="宋体" w:cs="Times New Roman"/>
                <w:color w:val="00B050"/>
                <w:sz w:val="24"/>
                <w:szCs w:val="21"/>
                <w:lang w:val="en-US" w:eastAsia="zh-CN" w:bidi="ar-SA"/>
              </w:rPr>
            </w:pPr>
            <w:r>
              <w:rPr>
                <w:rFonts w:hint="eastAsia" w:ascii="Times New Roman" w:hAnsi="Times New Roman" w:eastAsia="宋体" w:cs="Times New Roman"/>
                <w:color w:val="00B050"/>
                <w:sz w:val="24"/>
                <w:szCs w:val="21"/>
                <w:lang w:val="en-US" w:eastAsia="zh-CN" w:bidi="ar-SA"/>
              </w:rPr>
              <w:t>T——排出气体的温度K，平均气温按20℃计，取293.15K</w:t>
            </w:r>
          </w:p>
          <w:p w14:paraId="61F577FA">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color w:val="00B050"/>
                <w:sz w:val="24"/>
                <w:szCs w:val="21"/>
                <w:vertAlign w:val="baseline"/>
                <w:lang w:val="en-US" w:eastAsia="zh-CN" w:bidi="ar-SA"/>
              </w:rPr>
            </w:pPr>
            <w:r>
              <w:rPr>
                <w:rFonts w:hint="eastAsia" w:ascii="Times New Roman" w:hAnsi="Times New Roman" w:eastAsia="宋体" w:cs="Times New Roman"/>
                <w:color w:val="00B050"/>
                <w:sz w:val="24"/>
                <w:szCs w:val="21"/>
                <w:lang w:val="en-US" w:eastAsia="zh-CN" w:bidi="ar-SA"/>
              </w:rPr>
              <w:t>V——装油的体积，m</w:t>
            </w:r>
            <w:r>
              <w:rPr>
                <w:rFonts w:hint="eastAsia" w:ascii="Times New Roman" w:hAnsi="Times New Roman" w:eastAsia="宋体" w:cs="Times New Roman"/>
                <w:color w:val="00B050"/>
                <w:sz w:val="24"/>
                <w:szCs w:val="21"/>
                <w:vertAlign w:val="superscript"/>
                <w:lang w:val="en-US" w:eastAsia="zh-CN" w:bidi="ar-SA"/>
              </w:rPr>
              <w:t>3</w:t>
            </w:r>
            <w:r>
              <w:rPr>
                <w:rFonts w:hint="eastAsia" w:ascii="Times New Roman" w:hAnsi="Times New Roman" w:eastAsia="宋体" w:cs="Times New Roman"/>
                <w:color w:val="00B050"/>
                <w:sz w:val="24"/>
                <w:szCs w:val="21"/>
                <w:vertAlign w:val="baseline"/>
                <w:lang w:val="en-US" w:eastAsia="zh-CN" w:bidi="ar-SA"/>
              </w:rPr>
              <w:t>，</w:t>
            </w:r>
            <w:r>
              <w:rPr>
                <w:rFonts w:hint="eastAsia" w:ascii="Times New Roman" w:hAnsi="Times New Roman" w:cs="Times New Roman"/>
                <w:color w:val="00B050"/>
                <w:sz w:val="24"/>
                <w:szCs w:val="21"/>
                <w:vertAlign w:val="baseline"/>
                <w:lang w:val="en-US" w:eastAsia="zh-CN" w:bidi="ar-SA"/>
              </w:rPr>
              <w:t>项目废矿物油年收集量为</w:t>
            </w:r>
            <w:r>
              <w:rPr>
                <w:rFonts w:hint="eastAsia" w:cs="Times New Roman"/>
                <w:color w:val="00B050"/>
                <w:sz w:val="24"/>
                <w:szCs w:val="21"/>
                <w:vertAlign w:val="baseline"/>
                <w:lang w:val="en-US" w:eastAsia="zh-CN" w:bidi="ar-SA"/>
              </w:rPr>
              <w:t>3000</w:t>
            </w:r>
            <w:r>
              <w:rPr>
                <w:rFonts w:hint="eastAsia" w:ascii="Times New Roman" w:hAnsi="Times New Roman" w:cs="Times New Roman"/>
                <w:color w:val="00B050"/>
                <w:sz w:val="24"/>
                <w:szCs w:val="21"/>
                <w:vertAlign w:val="baseline"/>
                <w:lang w:val="en-US" w:eastAsia="zh-CN" w:bidi="ar-SA"/>
              </w:rPr>
              <w:t>t/a，废矿物油密度按0.86g/cm</w:t>
            </w:r>
            <w:r>
              <w:rPr>
                <w:rFonts w:hint="eastAsia" w:ascii="Times New Roman" w:hAnsi="Times New Roman" w:cs="Times New Roman"/>
                <w:color w:val="00B050"/>
                <w:sz w:val="24"/>
                <w:szCs w:val="21"/>
                <w:vertAlign w:val="superscript"/>
                <w:lang w:val="en-US" w:eastAsia="zh-CN" w:bidi="ar-SA"/>
              </w:rPr>
              <w:t>3</w:t>
            </w:r>
            <w:r>
              <w:rPr>
                <w:rFonts w:hint="eastAsia" w:ascii="Times New Roman" w:hAnsi="Times New Roman" w:cs="Times New Roman"/>
                <w:color w:val="00B050"/>
                <w:sz w:val="24"/>
                <w:szCs w:val="21"/>
                <w:vertAlign w:val="baseline"/>
                <w:lang w:val="en-US" w:eastAsia="zh-CN" w:bidi="ar-SA"/>
              </w:rPr>
              <w:t>计，则体积为</w:t>
            </w:r>
            <w:r>
              <w:rPr>
                <w:rFonts w:hint="eastAsia" w:cs="Times New Roman"/>
                <w:color w:val="00B050"/>
                <w:sz w:val="24"/>
                <w:szCs w:val="21"/>
                <w:vertAlign w:val="baseline"/>
                <w:lang w:val="en-US" w:eastAsia="zh-CN" w:bidi="ar-SA"/>
              </w:rPr>
              <w:t>6936.416</w:t>
            </w:r>
            <w:r>
              <w:rPr>
                <w:rFonts w:hint="eastAsia" w:ascii="Times New Roman" w:hAnsi="Times New Roman" w:cs="Times New Roman"/>
                <w:color w:val="00B050"/>
                <w:sz w:val="24"/>
                <w:szCs w:val="21"/>
                <w:vertAlign w:val="baseline"/>
                <w:lang w:val="en-US" w:eastAsia="zh-CN" w:bidi="ar-SA"/>
              </w:rPr>
              <w:t>m</w:t>
            </w:r>
            <w:r>
              <w:rPr>
                <w:rFonts w:hint="eastAsia" w:ascii="Times New Roman" w:hAnsi="Times New Roman" w:cs="Times New Roman"/>
                <w:color w:val="00B050"/>
                <w:sz w:val="24"/>
                <w:szCs w:val="21"/>
                <w:vertAlign w:val="superscript"/>
                <w:lang w:val="en-US" w:eastAsia="zh-CN" w:bidi="ar-SA"/>
              </w:rPr>
              <w:t>3</w:t>
            </w:r>
            <w:r>
              <w:rPr>
                <w:rFonts w:hint="eastAsia" w:ascii="Times New Roman" w:hAnsi="Times New Roman" w:cs="Times New Roman"/>
                <w:color w:val="00B050"/>
                <w:sz w:val="24"/>
                <w:szCs w:val="21"/>
                <w:vertAlign w:val="baseline"/>
                <w:lang w:val="en-US" w:eastAsia="zh-CN" w:bidi="ar-SA"/>
              </w:rPr>
              <w:t>。</w:t>
            </w:r>
          </w:p>
          <w:p w14:paraId="7158E0EA">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B050"/>
                <w:sz w:val="24"/>
                <w:szCs w:val="21"/>
                <w:lang w:val="en-US" w:eastAsia="zh-CN" w:bidi="ar-SA"/>
              </w:rPr>
              <w:t>根据上述参数计算，项目</w:t>
            </w:r>
            <w:r>
              <w:rPr>
                <w:rFonts w:hint="eastAsia" w:cs="Times New Roman"/>
                <w:color w:val="00B050"/>
                <w:sz w:val="24"/>
                <w:szCs w:val="21"/>
                <w:lang w:val="en-US" w:eastAsia="zh-CN" w:bidi="ar-SA"/>
              </w:rPr>
              <w:t>废矿物油</w:t>
            </w:r>
            <w:r>
              <w:rPr>
                <w:rFonts w:hint="eastAsia" w:ascii="Times New Roman" w:hAnsi="Times New Roman" w:eastAsia="宋体" w:cs="Times New Roman"/>
                <w:color w:val="00B050"/>
                <w:sz w:val="24"/>
                <w:szCs w:val="21"/>
                <w:lang w:val="en-US" w:eastAsia="zh-CN" w:bidi="ar-SA"/>
              </w:rPr>
              <w:t>装卸损耗</w:t>
            </w:r>
            <w:r>
              <w:rPr>
                <w:rFonts w:hint="eastAsia" w:ascii="Times New Roman" w:hAnsi="Times New Roman" w:cs="Times New Roman"/>
                <w:color w:val="00B050"/>
                <w:sz w:val="24"/>
                <w:szCs w:val="21"/>
                <w:vertAlign w:val="baseline"/>
                <w:lang w:val="en-US" w:eastAsia="zh-CN" w:bidi="ar-SA"/>
              </w:rPr>
              <w:t>为</w:t>
            </w:r>
            <w:r>
              <w:rPr>
                <w:rFonts w:hint="eastAsia" w:cs="Times New Roman"/>
                <w:color w:val="00B050"/>
                <w:sz w:val="24"/>
                <w:szCs w:val="21"/>
                <w:vertAlign w:val="baseline"/>
                <w:lang w:val="en-US" w:eastAsia="zh-CN" w:bidi="ar-SA"/>
              </w:rPr>
              <w:t>0.295t</w:t>
            </w:r>
            <w:r>
              <w:rPr>
                <w:rFonts w:hint="eastAsia" w:ascii="Times New Roman" w:hAnsi="Times New Roman" w:cs="Times New Roman"/>
                <w:color w:val="00B050"/>
                <w:sz w:val="24"/>
                <w:szCs w:val="21"/>
                <w:vertAlign w:val="baseline"/>
                <w:lang w:val="en-US" w:eastAsia="zh-CN" w:bidi="ar-SA"/>
              </w:rPr>
              <w:t>/a</w:t>
            </w:r>
            <w:r>
              <w:rPr>
                <w:rFonts w:hint="eastAsia" w:cs="Times New Roman"/>
                <w:color w:val="00B050"/>
                <w:sz w:val="24"/>
                <w:szCs w:val="21"/>
                <w:vertAlign w:val="baseline"/>
                <w:lang w:val="en-US" w:eastAsia="zh-CN" w:bidi="ar-SA"/>
              </w:rPr>
              <w:t>，</w:t>
            </w:r>
            <w:r>
              <w:rPr>
                <w:rFonts w:hint="eastAsia" w:cs="Times New Roman"/>
                <w:color w:val="00B050"/>
                <w:sz w:val="24"/>
                <w:szCs w:val="21"/>
                <w:lang w:val="en-US" w:eastAsia="zh-CN" w:bidi="ar-SA"/>
              </w:rPr>
              <w:t>全年装卸时长按800h计，则排放速率为：0.369</w:t>
            </w:r>
            <w:r>
              <w:rPr>
                <w:rFonts w:hint="eastAsia" w:cs="Times New Roman"/>
                <w:color w:val="00B050"/>
                <w:sz w:val="24"/>
                <w:szCs w:val="21"/>
                <w:vertAlign w:val="baseline"/>
                <w:lang w:val="en-US" w:eastAsia="zh-CN" w:bidi="ar-SA"/>
              </w:rPr>
              <w:t>kg</w:t>
            </w:r>
            <w:r>
              <w:rPr>
                <w:rFonts w:hint="eastAsia" w:ascii="Times New Roman" w:hAnsi="Times New Roman" w:cs="Times New Roman"/>
                <w:color w:val="00B050"/>
                <w:sz w:val="24"/>
                <w:szCs w:val="21"/>
                <w:vertAlign w:val="baseline"/>
                <w:lang w:val="en-US" w:eastAsia="zh-CN" w:bidi="ar-SA"/>
              </w:rPr>
              <w:t>/</w:t>
            </w:r>
            <w:r>
              <w:rPr>
                <w:rFonts w:hint="eastAsia" w:cs="Times New Roman"/>
                <w:color w:val="00B050"/>
                <w:sz w:val="24"/>
                <w:szCs w:val="21"/>
                <w:vertAlign w:val="baseline"/>
                <w:lang w:val="en-US" w:eastAsia="zh-CN" w:bidi="ar-SA"/>
              </w:rPr>
              <w:t>h</w:t>
            </w:r>
            <w:r>
              <w:rPr>
                <w:rFonts w:hint="eastAsia" w:cs="Times New Roman"/>
                <w:color w:val="00B050"/>
                <w:sz w:val="24"/>
                <w:szCs w:val="21"/>
                <w:lang w:val="en-US" w:eastAsia="zh-CN" w:bidi="ar-SA"/>
              </w:rPr>
              <w:t>；</w:t>
            </w:r>
            <w:r>
              <w:rPr>
                <w:rFonts w:hint="eastAsia" w:cs="Times New Roman"/>
                <w:color w:val="000000" w:themeColor="text1"/>
                <w:sz w:val="24"/>
                <w:szCs w:val="21"/>
                <w:vertAlign w:val="baseline"/>
                <w:lang w:val="en-US" w:eastAsia="zh-CN" w:bidi="ar-SA"/>
                <w14:textFill>
                  <w14:solidFill>
                    <w14:schemeClr w14:val="tx1"/>
                  </w14:solidFill>
                </w14:textFill>
              </w:rPr>
              <w:t>损耗的废矿物油以NMHC表征，在贮存区内呈无组织排放。另外，</w:t>
            </w:r>
            <w:r>
              <w:rPr>
                <w:rFonts w:hint="eastAsia"/>
                <w:color w:val="000000" w:themeColor="text1"/>
                <w:sz w:val="24"/>
                <w:lang w:val="en-US" w:eastAsia="zh-CN"/>
                <w14:textFill>
                  <w14:solidFill>
                    <w14:schemeClr w14:val="tx1"/>
                  </w14:solidFill>
                </w14:textFill>
              </w:rPr>
              <w:t>装卸过程将产生少量异味气体（以臭气浓度表征）。废矿物油装卸过程产生的NMHC、臭气浓度经大气稀释扩散后对区域环境空气影响较小。</w:t>
            </w:r>
          </w:p>
          <w:p w14:paraId="2B0BC16F">
            <w:pPr>
              <w:pStyle w:val="7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（3）其他危险废物贮存废气</w:t>
            </w:r>
          </w:p>
          <w:p w14:paraId="4D129755">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除废矿物油外，其他危险废物（</w:t>
            </w:r>
            <w:r>
              <w:rPr>
                <w:rFonts w:hint="eastAsia" w:eastAsia="宋体"/>
                <w:color w:val="000000" w:themeColor="text1"/>
                <w:sz w:val="24"/>
                <w:lang w:val="en-US" w:eastAsia="zh-CN"/>
                <w14:textFill>
                  <w14:solidFill>
                    <w14:schemeClr w14:val="tx1"/>
                  </w14:solidFill>
                </w14:textFill>
              </w:rPr>
              <w:t>HW31、HW49等类别危</w:t>
            </w:r>
            <w:r>
              <w:rPr>
                <w:rFonts w:hint="eastAsia"/>
                <w:color w:val="000000" w:themeColor="text1"/>
                <w:sz w:val="24"/>
                <w:lang w:val="en-US" w:eastAsia="zh-CN"/>
                <w14:textFill>
                  <w14:solidFill>
                    <w14:schemeClr w14:val="tx1"/>
                  </w14:solidFill>
                </w14:textFill>
              </w:rPr>
              <w:t>险废物）贮存过程中将产生VOCs（以NMHC表征）、酸性废气（以HCl计）、异味等。</w:t>
            </w:r>
          </w:p>
          <w:p w14:paraId="6867D4E5">
            <w:pPr>
              <w:pStyle w:val="7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00B050"/>
                <w:sz w:val="24"/>
                <w:lang w:val="en-US" w:eastAsia="zh-CN"/>
              </w:rPr>
            </w:pPr>
            <w:r>
              <w:rPr>
                <w:rFonts w:hint="eastAsia"/>
                <w:b/>
                <w:bCs/>
                <w:color w:val="00B050"/>
                <w:sz w:val="24"/>
                <w:lang w:val="en-US" w:eastAsia="zh-CN"/>
              </w:rPr>
              <w:t>①挥发性有机物</w:t>
            </w:r>
          </w:p>
          <w:p w14:paraId="7D6740AD">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B050"/>
                <w:sz w:val="24"/>
                <w:lang w:val="en-US" w:eastAsia="zh-CN"/>
              </w:rPr>
            </w:pPr>
            <w:r>
              <w:rPr>
                <w:rFonts w:hint="eastAsia"/>
                <w:color w:val="00B050"/>
                <w:sz w:val="24"/>
                <w:lang w:val="en-US" w:eastAsia="zh-CN"/>
              </w:rPr>
              <w:t>项目收集贮</w:t>
            </w:r>
            <w:r>
              <w:rPr>
                <w:rFonts w:hint="eastAsia" w:eastAsia="宋体"/>
                <w:color w:val="00B050"/>
                <w:sz w:val="24"/>
                <w:lang w:val="en-US" w:eastAsia="zh-CN"/>
              </w:rPr>
              <w:t>存的HW08、HW31、HW49等类别危</w:t>
            </w:r>
            <w:r>
              <w:rPr>
                <w:rFonts w:hint="eastAsia"/>
                <w:color w:val="00B050"/>
                <w:sz w:val="24"/>
                <w:lang w:val="en-US" w:eastAsia="zh-CN"/>
              </w:rPr>
              <w:t>险废物中含有或沾染有挥发性有机物，贮存期间产生挥发性有机废气（以NMHC计）。</w:t>
            </w:r>
          </w:p>
          <w:p w14:paraId="0E260C37">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FF0000"/>
                <w:sz w:val="24"/>
                <w:lang w:val="en-US" w:eastAsia="zh-CN"/>
              </w:rPr>
            </w:pPr>
            <w:r>
              <w:rPr>
                <w:rFonts w:hint="eastAsia"/>
                <w:color w:val="00B050"/>
                <w:sz w:val="24"/>
                <w:lang w:val="en-US" w:eastAsia="zh-CN"/>
              </w:rPr>
              <w:t>项目在收集危险废物时不对危险废物进行倒罐、更换包装等，连同危险废物包装一并收集。同时要求产废单位在产废地点落实包装物，并进行密闭。从污染物（NMHC）特征分析，项目收集、贮存的危险废物类别中，以电池中液态或半液态性状的危险废物为挥发性有机物主要逸散源。涉及含NMHC的液态或半液态危险废物采用铁桶、吨桶等密闭包装物进行包装，收集和贮存过程不进行倒罐等操作，危险废物全程处于密闭状态，故逸散的挥发性有机物极少，环评不再进行核算。通过采取加强包装物密闭、及时转移等方式，可有效减少挥发性有机物排放量，少量逸散的挥发性有机物经大气稀释扩散后对区域环境空气影响较小。</w:t>
            </w:r>
          </w:p>
          <w:p w14:paraId="6C593343">
            <w:pPr>
              <w:pStyle w:val="7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FF0000"/>
                <w:sz w:val="24"/>
                <w:lang w:val="en-US" w:eastAsia="zh-CN"/>
              </w:rPr>
            </w:pPr>
            <w:r>
              <w:rPr>
                <w:rFonts w:hint="eastAsia"/>
                <w:b/>
                <w:bCs/>
                <w:color w:val="FF0000"/>
                <w:sz w:val="24"/>
                <w:lang w:val="en-US" w:eastAsia="zh-CN"/>
              </w:rPr>
              <w:t>②酸性废气</w:t>
            </w:r>
          </w:p>
          <w:p w14:paraId="56A2E03C">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FF0000"/>
                <w:sz w:val="24"/>
                <w:lang w:val="en-US" w:eastAsia="zh-CN"/>
              </w:rPr>
            </w:pPr>
            <w:r>
              <w:rPr>
                <w:rFonts w:hint="eastAsia"/>
                <w:color w:val="FF0000"/>
                <w:sz w:val="24"/>
                <w:lang w:val="en-US" w:eastAsia="zh-CN"/>
              </w:rPr>
              <w:t>项目收集和贮存的危险废物类别中涉及废铅蓄电池（HW31），涉及的酸性物质有硫酸。项目不收集破损的废铅蓄电池暂存于1#贮存区、2#贮存区、3#贮存区，故无废铅蓄电池中的硫酸暴露。</w:t>
            </w:r>
          </w:p>
          <w:p w14:paraId="1E478D94">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FF0000"/>
                <w:sz w:val="24"/>
                <w:lang w:val="en-US" w:eastAsia="zh-CN"/>
              </w:rPr>
            </w:pPr>
            <w:r>
              <w:rPr>
                <w:rFonts w:hint="eastAsia"/>
                <w:color w:val="FF0000"/>
                <w:sz w:val="24"/>
                <w:lang w:val="en-US" w:eastAsia="zh-CN"/>
              </w:rPr>
              <w:t>1#贮存区、2#贮存区、3#贮存区贮存废铅蓄电池储存过程中可能会发生破损导致电解液泄漏。铅蓄电池电解液为27%～37%稀硫酸溶液，不会发生发烟现象进而形成硫酸雾。铅蓄电池中一般仅含有4～10L的稀硫酸，在发生泄漏的情况下，泄漏的稀硫酸总量较小，通过加强日常巡视，可及时发现破损泄漏情况，并进行有效收集处理。</w:t>
            </w:r>
          </w:p>
          <w:p w14:paraId="01FAF8D6">
            <w:pPr>
              <w:pStyle w:val="7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val="0"/>
                <w:bCs w:val="0"/>
                <w:color w:val="FF0000"/>
                <w:sz w:val="24"/>
                <w:lang w:val="en-US" w:eastAsia="zh-CN"/>
              </w:rPr>
            </w:pPr>
            <w:r>
              <w:rPr>
                <w:rFonts w:hint="eastAsia"/>
                <w:b/>
                <w:bCs/>
                <w:color w:val="FF0000"/>
                <w:sz w:val="24"/>
                <w:lang w:val="en-US" w:eastAsia="zh-CN"/>
              </w:rPr>
              <w:t>环评要求：</w:t>
            </w:r>
            <w:r>
              <w:rPr>
                <w:rFonts w:hint="eastAsia"/>
                <w:b w:val="0"/>
                <w:bCs w:val="0"/>
                <w:color w:val="FF0000"/>
                <w:sz w:val="24"/>
                <w:lang w:val="en-US" w:eastAsia="zh-CN"/>
              </w:rPr>
              <w:t>废铅蓄电池贮存区（1#贮存区、2#贮存区、3#贮存区）上方设置集气罩，废铅蓄电池破损泄漏产生的酸性废气由集气罩收集后</w:t>
            </w:r>
            <w:r>
              <w:rPr>
                <w:rFonts w:hint="eastAsia" w:cs="Times New Roman"/>
                <w:b w:val="0"/>
                <w:bCs w:val="0"/>
                <w:color w:val="FF0000"/>
                <w:sz w:val="24"/>
                <w:szCs w:val="21"/>
                <w:lang w:val="en-US" w:eastAsia="zh-CN" w:bidi="ar-SA"/>
              </w:rPr>
              <w:t>通过引风机（</w:t>
            </w:r>
            <w:r>
              <w:rPr>
                <w:rFonts w:hint="eastAsia" w:ascii="Times New Roman" w:hAnsi="Times New Roman" w:eastAsia="宋体" w:cs="Times New Roman"/>
                <w:b w:val="0"/>
                <w:bCs w:val="0"/>
                <w:color w:val="FF0000"/>
                <w:sz w:val="24"/>
                <w:szCs w:val="21"/>
                <w:lang w:val="en-US" w:eastAsia="zh-CN" w:bidi="ar-SA"/>
              </w:rPr>
              <w:t>设计风量2</w:t>
            </w:r>
            <w:r>
              <w:rPr>
                <w:rFonts w:hint="eastAsia" w:cs="Times New Roman"/>
                <w:b w:val="0"/>
                <w:bCs w:val="0"/>
                <w:color w:val="FF0000"/>
                <w:sz w:val="24"/>
                <w:szCs w:val="21"/>
                <w:lang w:val="en-US" w:eastAsia="zh-CN" w:bidi="ar-SA"/>
              </w:rPr>
              <w:t>0</w:t>
            </w:r>
            <w:r>
              <w:rPr>
                <w:rFonts w:hint="eastAsia" w:ascii="Times New Roman" w:hAnsi="Times New Roman" w:eastAsia="宋体" w:cs="Times New Roman"/>
                <w:b w:val="0"/>
                <w:bCs w:val="0"/>
                <w:color w:val="FF0000"/>
                <w:sz w:val="24"/>
                <w:szCs w:val="21"/>
                <w:lang w:val="en-US" w:eastAsia="zh-CN" w:bidi="ar-SA"/>
              </w:rPr>
              <w:t>00m</w:t>
            </w:r>
            <w:r>
              <w:rPr>
                <w:rFonts w:hint="eastAsia" w:ascii="Times New Roman" w:hAnsi="Times New Roman" w:eastAsia="宋体" w:cs="Times New Roman"/>
                <w:b w:val="0"/>
                <w:bCs w:val="0"/>
                <w:color w:val="FF0000"/>
                <w:sz w:val="24"/>
                <w:szCs w:val="21"/>
                <w:vertAlign w:val="superscript"/>
                <w:lang w:val="en-US" w:eastAsia="zh-CN" w:bidi="ar-SA"/>
              </w:rPr>
              <w:t>3</w:t>
            </w:r>
            <w:r>
              <w:rPr>
                <w:rFonts w:hint="eastAsia" w:ascii="Times New Roman" w:hAnsi="Times New Roman" w:eastAsia="宋体" w:cs="Times New Roman"/>
                <w:b w:val="0"/>
                <w:bCs w:val="0"/>
                <w:color w:val="FF0000"/>
                <w:sz w:val="24"/>
                <w:szCs w:val="21"/>
                <w:lang w:val="en-US" w:eastAsia="zh-CN" w:bidi="ar-SA"/>
              </w:rPr>
              <w:t>/h</w:t>
            </w:r>
            <w:r>
              <w:rPr>
                <w:rFonts w:hint="eastAsia" w:cs="Times New Roman"/>
                <w:b w:val="0"/>
                <w:bCs w:val="0"/>
                <w:color w:val="FF0000"/>
                <w:sz w:val="24"/>
                <w:szCs w:val="21"/>
                <w:lang w:val="en-US" w:eastAsia="zh-CN" w:bidi="ar-SA"/>
              </w:rPr>
              <w:t>）</w:t>
            </w:r>
            <w:r>
              <w:rPr>
                <w:rFonts w:hint="eastAsia" w:ascii="Times New Roman" w:hAnsi="Times New Roman" w:eastAsia="宋体" w:cs="Times New Roman"/>
                <w:b w:val="0"/>
                <w:bCs w:val="0"/>
                <w:color w:val="FF0000"/>
                <w:sz w:val="24"/>
                <w:szCs w:val="21"/>
                <w:lang w:val="en-US" w:eastAsia="zh-CN" w:bidi="ar-SA"/>
              </w:rPr>
              <w:t>引至</w:t>
            </w:r>
            <w:r>
              <w:rPr>
                <w:rFonts w:hint="eastAsia"/>
                <w:b w:val="0"/>
                <w:bCs w:val="0"/>
                <w:color w:val="FF0000"/>
                <w:sz w:val="24"/>
                <w:lang w:val="en-US" w:eastAsia="zh-CN"/>
              </w:rPr>
              <w:t>1座碱洗塔处理后，</w:t>
            </w:r>
            <w:r>
              <w:rPr>
                <w:rFonts w:hint="eastAsia"/>
                <w:b w:val="0"/>
                <w:bCs w:val="0"/>
                <w:color w:val="FF0000"/>
                <w:sz w:val="24"/>
                <w:szCs w:val="24"/>
                <w:lang w:val="en-US" w:eastAsia="zh-CN"/>
              </w:rPr>
              <w:t>与处理后</w:t>
            </w:r>
            <w:r>
              <w:rPr>
                <w:rFonts w:hint="eastAsia" w:cs="Times New Roman"/>
                <w:color w:val="FF0000"/>
                <w:sz w:val="24"/>
                <w:szCs w:val="24"/>
                <w:lang w:val="en-US" w:eastAsia="zh-CN" w:bidi="ar-SA"/>
              </w:rPr>
              <w:t>储罐</w:t>
            </w:r>
            <w:r>
              <w:rPr>
                <w:rFonts w:hint="eastAsia" w:ascii="Times New Roman" w:hAnsi="Times New Roman" w:eastAsia="宋体" w:cs="Times New Roman"/>
                <w:color w:val="FF0000"/>
                <w:sz w:val="24"/>
                <w:szCs w:val="24"/>
                <w:lang w:val="en-US" w:eastAsia="zh-CN" w:bidi="ar-SA"/>
              </w:rPr>
              <w:t>呼吸废气</w:t>
            </w:r>
            <w:r>
              <w:rPr>
                <w:rFonts w:hint="eastAsia"/>
                <w:b w:val="0"/>
                <w:bCs w:val="0"/>
                <w:color w:val="FF0000"/>
                <w:sz w:val="24"/>
                <w:szCs w:val="24"/>
                <w:lang w:val="en-US" w:eastAsia="zh-CN"/>
              </w:rPr>
              <w:t>合并通过一根15m高排气筒（编号：DA001）排放</w:t>
            </w:r>
            <w:r>
              <w:rPr>
                <w:rFonts w:hint="eastAsia"/>
                <w:b w:val="0"/>
                <w:bCs w:val="0"/>
                <w:color w:val="FF0000"/>
                <w:sz w:val="24"/>
                <w:lang w:val="en-US" w:eastAsia="zh-CN"/>
              </w:rPr>
              <w:t>。</w:t>
            </w:r>
          </w:p>
          <w:p w14:paraId="09E90827">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FF0000"/>
                <w:sz w:val="24"/>
                <w:lang w:val="en-US" w:eastAsia="zh-CN"/>
              </w:rPr>
            </w:pPr>
            <w:r>
              <w:rPr>
                <w:rFonts w:hint="eastAsia"/>
                <w:color w:val="FF0000"/>
                <w:sz w:val="24"/>
                <w:lang w:val="en-US" w:eastAsia="zh-CN"/>
              </w:rPr>
              <w:t>综上，项目</w:t>
            </w:r>
            <w:r>
              <w:rPr>
                <w:rFonts w:hint="eastAsia"/>
                <w:b w:val="0"/>
                <w:bCs w:val="0"/>
                <w:color w:val="FF0000"/>
                <w:sz w:val="24"/>
                <w:lang w:val="en-US" w:eastAsia="zh-CN"/>
              </w:rPr>
              <w:t>废铅蓄电池贮存区（1#贮存区、2#贮存区、3#贮存区）</w:t>
            </w:r>
            <w:r>
              <w:rPr>
                <w:rFonts w:hint="eastAsia"/>
                <w:color w:val="FF0000"/>
                <w:sz w:val="24"/>
                <w:lang w:val="en-US" w:eastAsia="zh-CN"/>
              </w:rPr>
              <w:t>产生的酸性废气量极少，环评不再进行核算。</w:t>
            </w:r>
          </w:p>
          <w:p w14:paraId="3851281C">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FF0000"/>
                <w:sz w:val="24"/>
                <w:lang w:val="en-US" w:eastAsia="zh-CN"/>
              </w:rPr>
            </w:pPr>
            <w:r>
              <w:rPr>
                <w:rFonts w:hint="eastAsia"/>
                <w:color w:val="FF0000"/>
                <w:sz w:val="24"/>
                <w:lang w:val="en-US" w:eastAsia="zh-CN"/>
              </w:rPr>
              <w:t>项目在收集危险废物时不对危险废物进行倒罐、更换包装等，连同危险废物包装一并收集。同时要求产废单位在产废地点落实包装物，并进行密闭。项目收集的废酸中以稀硫酸为主，硫酸雾主要为发烟硫酸（即浓度大于98%的硫酸，大于该浓度硫酸中含有过量的三氧化硫，在敞口时会挥发出一些三氧化硫气体，并立即和空气中的水蒸气结合成细小的硫酸雾滴（硫酸雾））挥发产生。</w:t>
            </w:r>
          </w:p>
          <w:p w14:paraId="58ACB76F">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FF0000"/>
                <w:sz w:val="24"/>
                <w:lang w:val="en-US" w:eastAsia="zh-CN"/>
              </w:rPr>
            </w:pPr>
            <w:r>
              <w:rPr>
                <w:rFonts w:hint="eastAsia"/>
                <w:color w:val="FF0000"/>
                <w:sz w:val="24"/>
                <w:lang w:val="en-US" w:eastAsia="zh-CN"/>
              </w:rPr>
              <w:t>收集和贮存采用、塑料桶/吨桶包装，保持密闭，酸性废气产生量很小，环评不再进行核算。通过采取加强包装物密闭、及时转移等方式，可有效减少酸性废气排放量，少量逸散的酸性废气经大气稀释扩散后对区域环境空气影响较小。</w:t>
            </w:r>
          </w:p>
          <w:p w14:paraId="13938BD0">
            <w:pPr>
              <w:pStyle w:val="7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00B050"/>
                <w:sz w:val="24"/>
                <w:lang w:val="en-US" w:eastAsia="zh-CN"/>
              </w:rPr>
            </w:pPr>
            <w:r>
              <w:rPr>
                <w:rFonts w:hint="eastAsia"/>
                <w:b/>
                <w:bCs/>
                <w:color w:val="00B050"/>
                <w:sz w:val="24"/>
                <w:lang w:val="en-US" w:eastAsia="zh-CN"/>
              </w:rPr>
              <w:t>③异味气体</w:t>
            </w:r>
          </w:p>
          <w:p w14:paraId="29693750">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B050"/>
                <w:sz w:val="24"/>
                <w:lang w:val="en-US" w:eastAsia="zh-CN"/>
              </w:rPr>
            </w:pPr>
            <w:r>
              <w:rPr>
                <w:rFonts w:hint="eastAsia"/>
                <w:color w:val="00B050"/>
                <w:sz w:val="24"/>
                <w:lang w:val="en-US" w:eastAsia="zh-CN"/>
              </w:rPr>
              <w:t>项目危险废物贮存过程中还将产生少量异味，以臭气浓度表征。通过采取包装密闭、闭口包装及时转移等方式，可控制异味气体逸散</w:t>
            </w:r>
            <w:r>
              <w:rPr>
                <w:rFonts w:hint="eastAsia"/>
                <w:color w:val="00B050"/>
                <w:sz w:val="24"/>
                <w:highlight w:val="none"/>
                <w:lang w:val="en-US" w:eastAsia="zh-CN"/>
              </w:rPr>
              <w:t>，</w:t>
            </w:r>
            <w:r>
              <w:rPr>
                <w:rFonts w:hint="eastAsia"/>
                <w:color w:val="00B050"/>
                <w:sz w:val="24"/>
                <w:lang w:val="en-US" w:eastAsia="zh-CN"/>
              </w:rPr>
              <w:t>少量逸散异味经大气稀释扩散后对区域环境空气影响较小。</w:t>
            </w:r>
          </w:p>
          <w:p w14:paraId="7F0344B6">
            <w:pPr>
              <w:pStyle w:val="7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B050"/>
                <w:sz w:val="24"/>
                <w:lang w:val="en-US" w:eastAsia="zh-CN"/>
              </w:rPr>
            </w:pPr>
            <w:r>
              <w:rPr>
                <w:rFonts w:hint="eastAsia"/>
                <w:color w:val="00B050"/>
                <w:sz w:val="24"/>
                <w:lang w:val="en-US" w:eastAsia="zh-CN"/>
              </w:rPr>
              <w:t>项目无组织废气产排情况见表4.2-5所示。</w:t>
            </w:r>
          </w:p>
          <w:p w14:paraId="2665C985">
            <w:pPr>
              <w:widowControl w:val="0"/>
              <w:jc w:val="center"/>
              <w:rPr>
                <w:rFonts w:hint="eastAsia" w:ascii="宋体" w:hAnsi="宋体" w:eastAsia="宋体" w:cs="宋体"/>
                <w:b/>
                <w:bCs/>
                <w:color w:val="00B050"/>
                <w:sz w:val="21"/>
                <w:szCs w:val="16"/>
                <w:lang w:val="en-US" w:eastAsia="zh-CN" w:bidi="ar-SA"/>
              </w:rPr>
            </w:pPr>
            <w:r>
              <w:rPr>
                <w:rFonts w:hint="eastAsia" w:ascii="宋体" w:hAnsi="宋体" w:eastAsia="宋体" w:cs="宋体"/>
                <w:b/>
                <w:bCs/>
                <w:color w:val="00B050"/>
                <w:sz w:val="21"/>
                <w:szCs w:val="16"/>
                <w:lang w:val="en-US" w:eastAsia="zh-CN" w:bidi="ar-SA"/>
              </w:rPr>
              <w:t>表4.2-</w:t>
            </w:r>
            <w:r>
              <w:rPr>
                <w:rFonts w:hint="eastAsia" w:ascii="宋体" w:hAnsi="宋体" w:cs="宋体"/>
                <w:b/>
                <w:bCs/>
                <w:color w:val="00B050"/>
                <w:sz w:val="21"/>
                <w:szCs w:val="16"/>
                <w:lang w:val="en-US" w:eastAsia="zh-CN" w:bidi="ar-SA"/>
              </w:rPr>
              <w:t>5</w:t>
            </w:r>
            <w:r>
              <w:rPr>
                <w:rFonts w:hint="eastAsia" w:ascii="宋体" w:hAnsi="宋体" w:eastAsia="宋体" w:cs="宋体"/>
                <w:b/>
                <w:bCs/>
                <w:color w:val="00B050"/>
                <w:sz w:val="21"/>
                <w:szCs w:val="16"/>
                <w:lang w:val="en-US" w:eastAsia="zh-CN" w:bidi="ar-SA"/>
              </w:rPr>
              <w:t xml:space="preserve"> 无组织废气产排情况一览表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975"/>
              <w:gridCol w:w="1063"/>
              <w:gridCol w:w="1095"/>
              <w:gridCol w:w="1125"/>
              <w:gridCol w:w="981"/>
              <w:gridCol w:w="948"/>
              <w:gridCol w:w="1081"/>
            </w:tblGrid>
            <w:tr w14:paraId="2771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tcBorders>
                    <w:tl2br w:val="nil"/>
                    <w:tr2bl w:val="nil"/>
                  </w:tcBorders>
                  <w:vAlign w:val="center"/>
                </w:tcPr>
                <w:p w14:paraId="512F5AA4">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污染物</w:t>
                  </w:r>
                </w:p>
              </w:tc>
              <w:tc>
                <w:tcPr>
                  <w:tcW w:w="975" w:type="dxa"/>
                  <w:tcBorders>
                    <w:tl2br w:val="nil"/>
                    <w:tr2bl w:val="nil"/>
                  </w:tcBorders>
                  <w:vAlign w:val="center"/>
                </w:tcPr>
                <w:p w14:paraId="5CADAB30">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产生量</w:t>
                  </w:r>
                  <w:r>
                    <w:rPr>
                      <w:rFonts w:hint="eastAsia" w:cs="Times New Roman"/>
                      <w:b/>
                      <w:bCs/>
                      <w:color w:val="00B050"/>
                      <w:sz w:val="21"/>
                      <w:szCs w:val="21"/>
                      <w:lang w:val="en-US" w:eastAsia="zh-CN" w:bidi="ar-SA"/>
                    </w:rPr>
                    <w:t>t</w:t>
                  </w:r>
                  <w:r>
                    <w:rPr>
                      <w:rFonts w:hint="eastAsia" w:ascii="Times New Roman" w:hAnsi="Times New Roman" w:eastAsia="宋体" w:cs="Times New Roman"/>
                      <w:b/>
                      <w:bCs/>
                      <w:color w:val="00B050"/>
                      <w:sz w:val="21"/>
                      <w:szCs w:val="21"/>
                      <w:lang w:val="en-US" w:eastAsia="zh-CN" w:bidi="ar-SA"/>
                    </w:rPr>
                    <w:t>/a</w:t>
                  </w:r>
                </w:p>
              </w:tc>
              <w:tc>
                <w:tcPr>
                  <w:tcW w:w="1063" w:type="dxa"/>
                  <w:tcBorders>
                    <w:tl2br w:val="nil"/>
                    <w:tr2bl w:val="nil"/>
                  </w:tcBorders>
                  <w:vAlign w:val="center"/>
                </w:tcPr>
                <w:p w14:paraId="69859F0C">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产生速率</w:t>
                  </w:r>
                  <w:r>
                    <w:rPr>
                      <w:rFonts w:hint="eastAsia" w:ascii="Times New Roman" w:hAnsi="Times New Roman" w:eastAsia="宋体" w:cs="Times New Roman"/>
                      <w:b/>
                      <w:bCs/>
                      <w:color w:val="00B050"/>
                      <w:sz w:val="21"/>
                      <w:szCs w:val="21"/>
                      <w:lang w:val="en-US" w:eastAsia="zh-CN" w:bidi="ar-SA"/>
                    </w:rPr>
                    <w:t>kg/h</w:t>
                  </w:r>
                </w:p>
              </w:tc>
              <w:tc>
                <w:tcPr>
                  <w:tcW w:w="1095" w:type="dxa"/>
                  <w:tcBorders>
                    <w:tl2br w:val="nil"/>
                    <w:tr2bl w:val="nil"/>
                  </w:tcBorders>
                  <w:vAlign w:val="center"/>
                </w:tcPr>
                <w:p w14:paraId="64704881">
                  <w:pPr>
                    <w:widowControl w:val="0"/>
                    <w:jc w:val="center"/>
                    <w:rPr>
                      <w:rFonts w:ascii="Times New Roman" w:hAnsi="Times New Roman" w:eastAsia="宋体" w:cs="Times New Roman"/>
                      <w:b/>
                      <w:bCs/>
                      <w:color w:val="00B050"/>
                      <w:sz w:val="21"/>
                      <w:szCs w:val="21"/>
                      <w:vertAlign w:val="superscript"/>
                      <w:lang w:val="en-US" w:eastAsia="zh-CN" w:bidi="ar-SA"/>
                    </w:rPr>
                  </w:pPr>
                  <w:r>
                    <w:rPr>
                      <w:rFonts w:ascii="Times New Roman" w:hAnsi="Times New Roman" w:eastAsia="宋体" w:cs="Times New Roman"/>
                      <w:b/>
                      <w:bCs/>
                      <w:color w:val="00B050"/>
                      <w:sz w:val="21"/>
                      <w:szCs w:val="21"/>
                      <w:lang w:val="en-US" w:eastAsia="zh-CN" w:bidi="ar-SA"/>
                    </w:rPr>
                    <w:t>产生浓度</w:t>
                  </w:r>
                  <w:r>
                    <w:rPr>
                      <w:rFonts w:hint="eastAsia" w:ascii="Times New Roman" w:hAnsi="Times New Roman" w:eastAsia="宋体" w:cs="Times New Roman"/>
                      <w:b/>
                      <w:bCs/>
                      <w:color w:val="00B050"/>
                      <w:sz w:val="21"/>
                      <w:szCs w:val="21"/>
                      <w:lang w:val="en-US" w:eastAsia="zh-CN" w:bidi="ar-SA"/>
                    </w:rPr>
                    <w:t>mg/m</w:t>
                  </w:r>
                  <w:r>
                    <w:rPr>
                      <w:rFonts w:hint="eastAsia" w:ascii="Times New Roman" w:hAnsi="Times New Roman" w:eastAsia="宋体" w:cs="Times New Roman"/>
                      <w:b/>
                      <w:bCs/>
                      <w:color w:val="00B050"/>
                      <w:sz w:val="21"/>
                      <w:szCs w:val="21"/>
                      <w:vertAlign w:val="superscript"/>
                      <w:lang w:val="en-US" w:eastAsia="zh-CN" w:bidi="ar-SA"/>
                    </w:rPr>
                    <w:t>3</w:t>
                  </w:r>
                </w:p>
              </w:tc>
              <w:tc>
                <w:tcPr>
                  <w:tcW w:w="1125" w:type="dxa"/>
                  <w:tcBorders>
                    <w:tl2br w:val="nil"/>
                    <w:tr2bl w:val="nil"/>
                  </w:tcBorders>
                  <w:vAlign w:val="center"/>
                </w:tcPr>
                <w:p w14:paraId="3E01F0A7">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治理设施</w:t>
                  </w:r>
                </w:p>
              </w:tc>
              <w:tc>
                <w:tcPr>
                  <w:tcW w:w="981" w:type="dxa"/>
                  <w:tcBorders>
                    <w:tl2br w:val="nil"/>
                    <w:tr2bl w:val="nil"/>
                  </w:tcBorders>
                  <w:vAlign w:val="center"/>
                </w:tcPr>
                <w:p w14:paraId="4377A198">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排放量</w:t>
                  </w:r>
                  <w:r>
                    <w:rPr>
                      <w:rFonts w:hint="eastAsia" w:cs="Times New Roman"/>
                      <w:b/>
                      <w:bCs/>
                      <w:color w:val="00B050"/>
                      <w:sz w:val="21"/>
                      <w:szCs w:val="21"/>
                      <w:lang w:val="en-US" w:eastAsia="zh-CN" w:bidi="ar-SA"/>
                    </w:rPr>
                    <w:t>t</w:t>
                  </w:r>
                  <w:r>
                    <w:rPr>
                      <w:rFonts w:hint="eastAsia" w:ascii="Times New Roman" w:hAnsi="Times New Roman" w:eastAsia="宋体" w:cs="Times New Roman"/>
                      <w:b/>
                      <w:bCs/>
                      <w:color w:val="00B050"/>
                      <w:sz w:val="21"/>
                      <w:szCs w:val="21"/>
                      <w:lang w:val="en-US" w:eastAsia="zh-CN" w:bidi="ar-SA"/>
                    </w:rPr>
                    <w:t>/a</w:t>
                  </w:r>
                </w:p>
              </w:tc>
              <w:tc>
                <w:tcPr>
                  <w:tcW w:w="948" w:type="dxa"/>
                  <w:tcBorders>
                    <w:tl2br w:val="nil"/>
                    <w:tr2bl w:val="nil"/>
                  </w:tcBorders>
                  <w:vAlign w:val="center"/>
                </w:tcPr>
                <w:p w14:paraId="129167DB">
                  <w:pPr>
                    <w:widowControl w:val="0"/>
                    <w:jc w:val="center"/>
                    <w:rPr>
                      <w:rFonts w:ascii="Times New Roman" w:hAnsi="Times New Roman" w:eastAsia="宋体" w:cs="Times New Roman"/>
                      <w:b/>
                      <w:bCs/>
                      <w:color w:val="00B050"/>
                      <w:sz w:val="21"/>
                      <w:szCs w:val="21"/>
                      <w:lang w:val="en-US" w:eastAsia="zh-CN" w:bidi="ar-SA"/>
                    </w:rPr>
                  </w:pPr>
                  <w:r>
                    <w:rPr>
                      <w:rFonts w:ascii="Times New Roman" w:hAnsi="Times New Roman" w:eastAsia="宋体" w:cs="Times New Roman"/>
                      <w:b/>
                      <w:bCs/>
                      <w:color w:val="00B050"/>
                      <w:sz w:val="21"/>
                      <w:szCs w:val="21"/>
                      <w:lang w:val="en-US" w:eastAsia="zh-CN" w:bidi="ar-SA"/>
                    </w:rPr>
                    <w:t>排放速率</w:t>
                  </w:r>
                  <w:r>
                    <w:rPr>
                      <w:rFonts w:hint="eastAsia" w:ascii="Times New Roman" w:hAnsi="Times New Roman" w:eastAsia="宋体" w:cs="Times New Roman"/>
                      <w:b/>
                      <w:bCs/>
                      <w:color w:val="00B050"/>
                      <w:sz w:val="21"/>
                      <w:szCs w:val="21"/>
                      <w:lang w:val="en-US" w:eastAsia="zh-CN" w:bidi="ar-SA"/>
                    </w:rPr>
                    <w:t>kg/h</w:t>
                  </w:r>
                </w:p>
              </w:tc>
              <w:tc>
                <w:tcPr>
                  <w:tcW w:w="1081" w:type="dxa"/>
                  <w:tcBorders>
                    <w:tl2br w:val="nil"/>
                    <w:tr2bl w:val="nil"/>
                  </w:tcBorders>
                  <w:vAlign w:val="center"/>
                </w:tcPr>
                <w:p w14:paraId="4D790A47">
                  <w:pPr>
                    <w:widowControl w:val="0"/>
                    <w:jc w:val="center"/>
                    <w:rPr>
                      <w:rFonts w:ascii="Times New Roman" w:hAnsi="Times New Roman" w:eastAsia="宋体" w:cs="Times New Roman"/>
                      <w:b/>
                      <w:bCs/>
                      <w:color w:val="00B050"/>
                      <w:sz w:val="21"/>
                      <w:szCs w:val="21"/>
                      <w:vertAlign w:val="superscript"/>
                      <w:lang w:val="en-US" w:eastAsia="zh-CN" w:bidi="ar-SA"/>
                    </w:rPr>
                  </w:pPr>
                  <w:r>
                    <w:rPr>
                      <w:rFonts w:ascii="Times New Roman" w:hAnsi="Times New Roman" w:eastAsia="宋体" w:cs="Times New Roman"/>
                      <w:b/>
                      <w:bCs/>
                      <w:color w:val="00B050"/>
                      <w:sz w:val="21"/>
                      <w:szCs w:val="21"/>
                      <w:lang w:val="en-US" w:eastAsia="zh-CN" w:bidi="ar-SA"/>
                    </w:rPr>
                    <w:t>排放浓度</w:t>
                  </w:r>
                  <w:r>
                    <w:rPr>
                      <w:rFonts w:hint="eastAsia" w:ascii="Times New Roman" w:hAnsi="Times New Roman" w:eastAsia="宋体" w:cs="Times New Roman"/>
                      <w:b/>
                      <w:bCs/>
                      <w:color w:val="00B050"/>
                      <w:sz w:val="21"/>
                      <w:szCs w:val="21"/>
                      <w:lang w:val="en-US" w:eastAsia="zh-CN" w:bidi="ar-SA"/>
                    </w:rPr>
                    <w:t>mg/m</w:t>
                  </w:r>
                  <w:r>
                    <w:rPr>
                      <w:rFonts w:hint="eastAsia" w:ascii="Times New Roman" w:hAnsi="Times New Roman" w:eastAsia="宋体" w:cs="Times New Roman"/>
                      <w:b/>
                      <w:bCs/>
                      <w:color w:val="00B050"/>
                      <w:sz w:val="21"/>
                      <w:szCs w:val="21"/>
                      <w:vertAlign w:val="superscript"/>
                      <w:lang w:val="en-US" w:eastAsia="zh-CN" w:bidi="ar-SA"/>
                    </w:rPr>
                    <w:t>3</w:t>
                  </w:r>
                </w:p>
              </w:tc>
            </w:tr>
            <w:tr w14:paraId="287E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tcBorders>
                    <w:tl2br w:val="nil"/>
                    <w:tr2bl w:val="nil"/>
                  </w:tcBorders>
                  <w:vAlign w:val="center"/>
                </w:tcPr>
                <w:p w14:paraId="4239D19C">
                  <w:pPr>
                    <w:widowControl w:val="0"/>
                    <w:jc w:val="center"/>
                    <w:rPr>
                      <w:rFonts w:ascii="Times New Roman" w:hAnsi="Times New Roman" w:eastAsia="宋体" w:cs="Times New Roman"/>
                      <w:color w:val="00B050"/>
                      <w:sz w:val="21"/>
                      <w:szCs w:val="21"/>
                      <w:vertAlign w:val="subscript"/>
                      <w:lang w:val="en-US" w:eastAsia="zh-CN" w:bidi="ar-SA"/>
                    </w:rPr>
                  </w:pPr>
                  <w:r>
                    <w:rPr>
                      <w:rFonts w:hint="eastAsia" w:ascii="Times New Roman" w:hAnsi="Times New Roman" w:eastAsia="宋体" w:cs="Times New Roman"/>
                      <w:color w:val="00B050"/>
                      <w:sz w:val="21"/>
                      <w:szCs w:val="21"/>
                      <w:lang w:val="en-US" w:eastAsia="zh-CN" w:bidi="ar-SA"/>
                    </w:rPr>
                    <w:t>NMHC</w:t>
                  </w:r>
                </w:p>
              </w:tc>
              <w:tc>
                <w:tcPr>
                  <w:tcW w:w="975" w:type="dxa"/>
                  <w:tcBorders>
                    <w:tl2br w:val="nil"/>
                    <w:tr2bl w:val="nil"/>
                  </w:tcBorders>
                  <w:vAlign w:val="center"/>
                </w:tcPr>
                <w:p w14:paraId="1CE9723D">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0.295</w:t>
                  </w:r>
                </w:p>
              </w:tc>
              <w:tc>
                <w:tcPr>
                  <w:tcW w:w="1063" w:type="dxa"/>
                  <w:tcBorders>
                    <w:tl2br w:val="nil"/>
                    <w:tr2bl w:val="nil"/>
                  </w:tcBorders>
                  <w:vAlign w:val="center"/>
                </w:tcPr>
                <w:p w14:paraId="5468F9CF">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0.369</w:t>
                  </w:r>
                </w:p>
              </w:tc>
              <w:tc>
                <w:tcPr>
                  <w:tcW w:w="1095" w:type="dxa"/>
                  <w:tcBorders>
                    <w:tl2br w:val="nil"/>
                    <w:tr2bl w:val="nil"/>
                  </w:tcBorders>
                  <w:vAlign w:val="center"/>
                </w:tcPr>
                <w:p w14:paraId="4E4A0ED8">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w:t>
                  </w:r>
                </w:p>
              </w:tc>
              <w:tc>
                <w:tcPr>
                  <w:tcW w:w="1125" w:type="dxa"/>
                  <w:vMerge w:val="restart"/>
                  <w:tcBorders>
                    <w:tl2br w:val="nil"/>
                    <w:tr2bl w:val="nil"/>
                  </w:tcBorders>
                  <w:vAlign w:val="center"/>
                </w:tcPr>
                <w:p w14:paraId="0F0BC00F">
                  <w:pPr>
                    <w:widowControl w:val="0"/>
                    <w:jc w:val="center"/>
                    <w:rPr>
                      <w:rFonts w:hint="eastAsia" w:cs="Times New Roman"/>
                      <w:color w:val="00B050"/>
                      <w:sz w:val="21"/>
                      <w:szCs w:val="21"/>
                      <w:lang w:val="en-US" w:eastAsia="zh-CN" w:bidi="ar-SA"/>
                    </w:rPr>
                  </w:pPr>
                  <w:r>
                    <w:rPr>
                      <w:rFonts w:hint="eastAsia" w:cs="Times New Roman"/>
                      <w:color w:val="00B050"/>
                      <w:sz w:val="21"/>
                      <w:szCs w:val="21"/>
                      <w:lang w:val="en-US" w:eastAsia="zh-CN" w:bidi="ar-SA"/>
                    </w:rPr>
                    <w:t>密闭包装</w:t>
                  </w:r>
                </w:p>
                <w:p w14:paraId="70B839A9">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闭口包装</w:t>
                  </w:r>
                </w:p>
              </w:tc>
              <w:tc>
                <w:tcPr>
                  <w:tcW w:w="981" w:type="dxa"/>
                  <w:tcBorders>
                    <w:tl2br w:val="nil"/>
                    <w:tr2bl w:val="nil"/>
                  </w:tcBorders>
                  <w:vAlign w:val="center"/>
                </w:tcPr>
                <w:p w14:paraId="38D53324">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0.295</w:t>
                  </w:r>
                </w:p>
              </w:tc>
              <w:tc>
                <w:tcPr>
                  <w:tcW w:w="948" w:type="dxa"/>
                  <w:tcBorders>
                    <w:tl2br w:val="nil"/>
                    <w:tr2bl w:val="nil"/>
                  </w:tcBorders>
                  <w:vAlign w:val="center"/>
                </w:tcPr>
                <w:p w14:paraId="20DF1887">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0.369</w:t>
                  </w:r>
                </w:p>
              </w:tc>
              <w:tc>
                <w:tcPr>
                  <w:tcW w:w="1081" w:type="dxa"/>
                  <w:tcBorders>
                    <w:tl2br w:val="nil"/>
                    <w:tr2bl w:val="nil"/>
                  </w:tcBorders>
                  <w:vAlign w:val="center"/>
                </w:tcPr>
                <w:p w14:paraId="037756C7">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w:t>
                  </w:r>
                </w:p>
              </w:tc>
            </w:tr>
            <w:tr w14:paraId="6A6B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tcBorders>
                    <w:tl2br w:val="nil"/>
                    <w:tr2bl w:val="nil"/>
                  </w:tcBorders>
                  <w:vAlign w:val="center"/>
                </w:tcPr>
                <w:p w14:paraId="5A83F6EB">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臭气浓度</w:t>
                  </w:r>
                </w:p>
              </w:tc>
              <w:tc>
                <w:tcPr>
                  <w:tcW w:w="975" w:type="dxa"/>
                  <w:tcBorders>
                    <w:tl2br w:val="nil"/>
                    <w:tr2bl w:val="nil"/>
                  </w:tcBorders>
                  <w:vAlign w:val="center"/>
                </w:tcPr>
                <w:p w14:paraId="656688A2">
                  <w:pPr>
                    <w:widowControl w:val="0"/>
                    <w:jc w:val="center"/>
                    <w:rPr>
                      <w:rFonts w:hint="default" w:cs="Times New Roman"/>
                      <w:color w:val="00B050"/>
                      <w:sz w:val="21"/>
                      <w:szCs w:val="21"/>
                      <w:lang w:val="en-US" w:eastAsia="zh-CN" w:bidi="ar-SA"/>
                    </w:rPr>
                  </w:pPr>
                  <w:r>
                    <w:rPr>
                      <w:rFonts w:hint="eastAsia" w:cs="Times New Roman"/>
                      <w:color w:val="00B050"/>
                      <w:sz w:val="21"/>
                      <w:szCs w:val="21"/>
                      <w:lang w:val="en-US" w:eastAsia="zh-CN" w:bidi="ar-SA"/>
                    </w:rPr>
                    <w:t>少量</w:t>
                  </w:r>
                </w:p>
              </w:tc>
              <w:tc>
                <w:tcPr>
                  <w:tcW w:w="1063" w:type="dxa"/>
                  <w:tcBorders>
                    <w:tl2br w:val="nil"/>
                    <w:tr2bl w:val="nil"/>
                  </w:tcBorders>
                  <w:vAlign w:val="center"/>
                </w:tcPr>
                <w:p w14:paraId="7D0149FC">
                  <w:pPr>
                    <w:widowControl w:val="0"/>
                    <w:jc w:val="center"/>
                    <w:rPr>
                      <w:rFonts w:hint="default" w:cs="Times New Roman"/>
                      <w:color w:val="00B050"/>
                      <w:sz w:val="21"/>
                      <w:szCs w:val="21"/>
                      <w:lang w:val="en-US" w:eastAsia="zh-CN" w:bidi="ar-SA"/>
                    </w:rPr>
                  </w:pPr>
                  <w:r>
                    <w:rPr>
                      <w:rFonts w:hint="eastAsia" w:cs="Times New Roman"/>
                      <w:color w:val="00B050"/>
                      <w:sz w:val="21"/>
                      <w:szCs w:val="21"/>
                      <w:lang w:val="en-US" w:eastAsia="zh-CN" w:bidi="ar-SA"/>
                    </w:rPr>
                    <w:t>/</w:t>
                  </w:r>
                </w:p>
              </w:tc>
              <w:tc>
                <w:tcPr>
                  <w:tcW w:w="1095" w:type="dxa"/>
                  <w:tcBorders>
                    <w:tl2br w:val="nil"/>
                    <w:tr2bl w:val="nil"/>
                  </w:tcBorders>
                  <w:vAlign w:val="center"/>
                </w:tcPr>
                <w:p w14:paraId="6E60D824">
                  <w:pPr>
                    <w:widowControl w:val="0"/>
                    <w:jc w:val="center"/>
                    <w:rPr>
                      <w:rFonts w:hint="default" w:cs="Times New Roman"/>
                      <w:color w:val="00B050"/>
                      <w:sz w:val="21"/>
                      <w:szCs w:val="21"/>
                      <w:lang w:val="en-US" w:eastAsia="zh-CN" w:bidi="ar-SA"/>
                    </w:rPr>
                  </w:pPr>
                  <w:r>
                    <w:rPr>
                      <w:rFonts w:hint="eastAsia" w:cs="Times New Roman"/>
                      <w:color w:val="00B050"/>
                      <w:sz w:val="21"/>
                      <w:szCs w:val="21"/>
                      <w:lang w:val="en-US" w:eastAsia="zh-CN" w:bidi="ar-SA"/>
                    </w:rPr>
                    <w:t>/</w:t>
                  </w:r>
                </w:p>
              </w:tc>
              <w:tc>
                <w:tcPr>
                  <w:tcW w:w="1125" w:type="dxa"/>
                  <w:vMerge w:val="continue"/>
                  <w:tcBorders>
                    <w:tl2br w:val="nil"/>
                    <w:tr2bl w:val="nil"/>
                  </w:tcBorders>
                  <w:vAlign w:val="center"/>
                </w:tcPr>
                <w:p w14:paraId="4D669254">
                  <w:pPr>
                    <w:widowControl w:val="0"/>
                    <w:jc w:val="center"/>
                    <w:rPr>
                      <w:rFonts w:hint="eastAsia" w:ascii="Times New Roman" w:hAnsi="Times New Roman" w:eastAsia="宋体" w:cs="Times New Roman"/>
                      <w:color w:val="00B050"/>
                      <w:sz w:val="21"/>
                      <w:szCs w:val="21"/>
                      <w:lang w:val="en-US" w:eastAsia="zh-CN" w:bidi="ar-SA"/>
                    </w:rPr>
                  </w:pPr>
                </w:p>
              </w:tc>
              <w:tc>
                <w:tcPr>
                  <w:tcW w:w="981" w:type="dxa"/>
                  <w:tcBorders>
                    <w:tl2br w:val="nil"/>
                    <w:tr2bl w:val="nil"/>
                  </w:tcBorders>
                  <w:vAlign w:val="center"/>
                </w:tcPr>
                <w:p w14:paraId="5D894396">
                  <w:pPr>
                    <w:widowControl w:val="0"/>
                    <w:jc w:val="center"/>
                    <w:rPr>
                      <w:rFonts w:hint="default" w:cs="Times New Roman"/>
                      <w:color w:val="00B050"/>
                      <w:sz w:val="21"/>
                      <w:szCs w:val="21"/>
                      <w:lang w:val="en-US" w:eastAsia="zh-CN" w:bidi="ar-SA"/>
                    </w:rPr>
                  </w:pPr>
                  <w:r>
                    <w:rPr>
                      <w:rFonts w:hint="eastAsia" w:cs="Times New Roman"/>
                      <w:color w:val="00B050"/>
                      <w:sz w:val="21"/>
                      <w:szCs w:val="21"/>
                      <w:lang w:val="en-US" w:eastAsia="zh-CN" w:bidi="ar-SA"/>
                    </w:rPr>
                    <w:t>少量</w:t>
                  </w:r>
                </w:p>
              </w:tc>
              <w:tc>
                <w:tcPr>
                  <w:tcW w:w="948" w:type="dxa"/>
                  <w:tcBorders>
                    <w:tl2br w:val="nil"/>
                    <w:tr2bl w:val="nil"/>
                  </w:tcBorders>
                  <w:vAlign w:val="center"/>
                </w:tcPr>
                <w:p w14:paraId="573C8844">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w:t>
                  </w:r>
                </w:p>
              </w:tc>
              <w:tc>
                <w:tcPr>
                  <w:tcW w:w="1081" w:type="dxa"/>
                  <w:tcBorders>
                    <w:tl2br w:val="nil"/>
                    <w:tr2bl w:val="nil"/>
                  </w:tcBorders>
                  <w:vAlign w:val="center"/>
                </w:tcPr>
                <w:p w14:paraId="7A1CC020">
                  <w:pPr>
                    <w:widowControl w:val="0"/>
                    <w:jc w:val="center"/>
                    <w:rPr>
                      <w:rFonts w:hint="default" w:cs="Times New Roman"/>
                      <w:color w:val="00B050"/>
                      <w:sz w:val="21"/>
                      <w:szCs w:val="21"/>
                      <w:lang w:val="en-US" w:eastAsia="zh-CN" w:bidi="ar-SA"/>
                    </w:rPr>
                  </w:pPr>
                  <w:r>
                    <w:rPr>
                      <w:rFonts w:hint="eastAsia" w:cs="Times New Roman"/>
                      <w:color w:val="00B050"/>
                      <w:sz w:val="21"/>
                      <w:szCs w:val="21"/>
                      <w:lang w:val="en-US" w:eastAsia="zh-CN" w:bidi="ar-SA"/>
                    </w:rPr>
                    <w:t>/</w:t>
                  </w:r>
                </w:p>
              </w:tc>
            </w:tr>
            <w:tr w14:paraId="5A8A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tcBorders>
                    <w:tl2br w:val="nil"/>
                    <w:tr2bl w:val="nil"/>
                  </w:tcBorders>
                  <w:vAlign w:val="center"/>
                </w:tcPr>
                <w:p w14:paraId="3ACDC0EC">
                  <w:pPr>
                    <w:widowControl w:val="0"/>
                    <w:jc w:val="center"/>
                    <w:rPr>
                      <w:rFonts w:hint="default" w:cs="Times New Roman"/>
                      <w:color w:val="00B050"/>
                      <w:sz w:val="21"/>
                      <w:szCs w:val="21"/>
                      <w:lang w:val="en-US" w:eastAsia="zh-CN" w:bidi="ar-SA"/>
                    </w:rPr>
                  </w:pPr>
                  <w:r>
                    <w:rPr>
                      <w:rFonts w:hint="eastAsia" w:cs="Times New Roman"/>
                      <w:color w:val="00B050"/>
                      <w:sz w:val="21"/>
                      <w:szCs w:val="21"/>
                      <w:lang w:val="en-US" w:eastAsia="zh-CN" w:bidi="ar-SA"/>
                    </w:rPr>
                    <w:t>酸性废气</w:t>
                  </w:r>
                </w:p>
              </w:tc>
              <w:tc>
                <w:tcPr>
                  <w:tcW w:w="975" w:type="dxa"/>
                  <w:tcBorders>
                    <w:tl2br w:val="nil"/>
                    <w:tr2bl w:val="nil"/>
                  </w:tcBorders>
                  <w:vAlign w:val="center"/>
                </w:tcPr>
                <w:p w14:paraId="033463F7">
                  <w:pPr>
                    <w:widowControl w:val="0"/>
                    <w:jc w:val="center"/>
                    <w:rPr>
                      <w:rFonts w:hint="eastAsia" w:cs="Times New Roman"/>
                      <w:color w:val="00B050"/>
                      <w:sz w:val="21"/>
                      <w:szCs w:val="21"/>
                      <w:lang w:val="en-US" w:eastAsia="zh-CN" w:bidi="ar-SA"/>
                    </w:rPr>
                  </w:pPr>
                  <w:r>
                    <w:rPr>
                      <w:rFonts w:hint="eastAsia" w:cs="Times New Roman"/>
                      <w:color w:val="00B050"/>
                      <w:sz w:val="21"/>
                      <w:szCs w:val="21"/>
                      <w:lang w:val="en-US" w:eastAsia="zh-CN" w:bidi="ar-SA"/>
                    </w:rPr>
                    <w:t>少量</w:t>
                  </w:r>
                </w:p>
              </w:tc>
              <w:tc>
                <w:tcPr>
                  <w:tcW w:w="1063" w:type="dxa"/>
                  <w:tcBorders>
                    <w:tl2br w:val="nil"/>
                    <w:tr2bl w:val="nil"/>
                  </w:tcBorders>
                  <w:vAlign w:val="center"/>
                </w:tcPr>
                <w:p w14:paraId="54FF7027">
                  <w:pPr>
                    <w:widowControl w:val="0"/>
                    <w:jc w:val="center"/>
                    <w:rPr>
                      <w:rFonts w:hint="eastAsia" w:cs="Times New Roman"/>
                      <w:color w:val="00B050"/>
                      <w:sz w:val="21"/>
                      <w:szCs w:val="21"/>
                      <w:lang w:val="en-US" w:eastAsia="zh-CN" w:bidi="ar-SA"/>
                    </w:rPr>
                  </w:pPr>
                  <w:r>
                    <w:rPr>
                      <w:rFonts w:hint="eastAsia" w:cs="Times New Roman"/>
                      <w:color w:val="00B050"/>
                      <w:sz w:val="21"/>
                      <w:szCs w:val="21"/>
                      <w:lang w:val="en-US" w:eastAsia="zh-CN" w:bidi="ar-SA"/>
                    </w:rPr>
                    <w:t>/</w:t>
                  </w:r>
                </w:p>
              </w:tc>
              <w:tc>
                <w:tcPr>
                  <w:tcW w:w="1095" w:type="dxa"/>
                  <w:tcBorders>
                    <w:tl2br w:val="nil"/>
                    <w:tr2bl w:val="nil"/>
                  </w:tcBorders>
                  <w:vAlign w:val="center"/>
                </w:tcPr>
                <w:p w14:paraId="605E1951">
                  <w:pPr>
                    <w:widowControl w:val="0"/>
                    <w:jc w:val="center"/>
                    <w:rPr>
                      <w:rFonts w:hint="eastAsia" w:cs="Times New Roman"/>
                      <w:color w:val="00B050"/>
                      <w:sz w:val="21"/>
                      <w:szCs w:val="21"/>
                      <w:lang w:val="en-US" w:eastAsia="zh-CN" w:bidi="ar-SA"/>
                    </w:rPr>
                  </w:pPr>
                  <w:r>
                    <w:rPr>
                      <w:rFonts w:hint="eastAsia" w:cs="Times New Roman"/>
                      <w:color w:val="00B050"/>
                      <w:sz w:val="21"/>
                      <w:szCs w:val="21"/>
                      <w:lang w:val="en-US" w:eastAsia="zh-CN" w:bidi="ar-SA"/>
                    </w:rPr>
                    <w:t>/</w:t>
                  </w:r>
                </w:p>
              </w:tc>
              <w:tc>
                <w:tcPr>
                  <w:tcW w:w="1125" w:type="dxa"/>
                  <w:vMerge w:val="continue"/>
                  <w:tcBorders>
                    <w:tl2br w:val="nil"/>
                    <w:tr2bl w:val="nil"/>
                  </w:tcBorders>
                  <w:vAlign w:val="center"/>
                </w:tcPr>
                <w:p w14:paraId="1FF5464E">
                  <w:pPr>
                    <w:widowControl w:val="0"/>
                    <w:jc w:val="center"/>
                    <w:rPr>
                      <w:rFonts w:hint="eastAsia" w:ascii="Times New Roman" w:hAnsi="Times New Roman" w:eastAsia="宋体" w:cs="Times New Roman"/>
                      <w:color w:val="00B050"/>
                      <w:sz w:val="21"/>
                      <w:szCs w:val="21"/>
                      <w:lang w:val="en-US" w:eastAsia="zh-CN" w:bidi="ar-SA"/>
                    </w:rPr>
                  </w:pPr>
                </w:p>
              </w:tc>
              <w:tc>
                <w:tcPr>
                  <w:tcW w:w="981" w:type="dxa"/>
                  <w:tcBorders>
                    <w:tl2br w:val="nil"/>
                    <w:tr2bl w:val="nil"/>
                  </w:tcBorders>
                  <w:vAlign w:val="center"/>
                </w:tcPr>
                <w:p w14:paraId="5E3B521F">
                  <w:pPr>
                    <w:widowControl w:val="0"/>
                    <w:jc w:val="center"/>
                    <w:rPr>
                      <w:rFonts w:hint="eastAsia" w:cs="Times New Roman"/>
                      <w:color w:val="00B050"/>
                      <w:sz w:val="21"/>
                      <w:szCs w:val="21"/>
                      <w:lang w:val="en-US" w:eastAsia="zh-CN" w:bidi="ar-SA"/>
                    </w:rPr>
                  </w:pPr>
                  <w:r>
                    <w:rPr>
                      <w:rFonts w:hint="eastAsia" w:cs="Times New Roman"/>
                      <w:color w:val="00B050"/>
                      <w:sz w:val="21"/>
                      <w:szCs w:val="21"/>
                      <w:lang w:val="en-US" w:eastAsia="zh-CN" w:bidi="ar-SA"/>
                    </w:rPr>
                    <w:t>少量</w:t>
                  </w:r>
                </w:p>
              </w:tc>
              <w:tc>
                <w:tcPr>
                  <w:tcW w:w="948" w:type="dxa"/>
                  <w:tcBorders>
                    <w:tl2br w:val="nil"/>
                    <w:tr2bl w:val="nil"/>
                  </w:tcBorders>
                  <w:vAlign w:val="center"/>
                </w:tcPr>
                <w:p w14:paraId="53FCEA02">
                  <w:pPr>
                    <w:widowControl w:val="0"/>
                    <w:jc w:val="center"/>
                    <w:rPr>
                      <w:rFonts w:hint="eastAsia" w:cs="Times New Roman"/>
                      <w:color w:val="00B050"/>
                      <w:sz w:val="21"/>
                      <w:szCs w:val="21"/>
                      <w:lang w:val="en-US" w:eastAsia="zh-CN" w:bidi="ar-SA"/>
                    </w:rPr>
                  </w:pPr>
                  <w:r>
                    <w:rPr>
                      <w:rFonts w:hint="eastAsia" w:cs="Times New Roman"/>
                      <w:color w:val="00B050"/>
                      <w:sz w:val="21"/>
                      <w:szCs w:val="21"/>
                      <w:lang w:val="en-US" w:eastAsia="zh-CN" w:bidi="ar-SA"/>
                    </w:rPr>
                    <w:t>/</w:t>
                  </w:r>
                </w:p>
              </w:tc>
              <w:tc>
                <w:tcPr>
                  <w:tcW w:w="1081" w:type="dxa"/>
                  <w:tcBorders>
                    <w:tl2br w:val="nil"/>
                    <w:tr2bl w:val="nil"/>
                  </w:tcBorders>
                  <w:vAlign w:val="center"/>
                </w:tcPr>
                <w:p w14:paraId="75073528">
                  <w:pPr>
                    <w:widowControl w:val="0"/>
                    <w:jc w:val="center"/>
                    <w:rPr>
                      <w:rFonts w:hint="eastAsia" w:cs="Times New Roman"/>
                      <w:color w:val="00B050"/>
                      <w:sz w:val="21"/>
                      <w:szCs w:val="21"/>
                      <w:lang w:val="en-US" w:eastAsia="zh-CN" w:bidi="ar-SA"/>
                    </w:rPr>
                  </w:pPr>
                  <w:r>
                    <w:rPr>
                      <w:rFonts w:hint="eastAsia" w:cs="Times New Roman"/>
                      <w:color w:val="00B050"/>
                      <w:sz w:val="21"/>
                      <w:szCs w:val="21"/>
                      <w:lang w:val="en-US" w:eastAsia="zh-CN" w:bidi="ar-SA"/>
                    </w:rPr>
                    <w:t>/</w:t>
                  </w:r>
                </w:p>
              </w:tc>
            </w:tr>
          </w:tbl>
          <w:p w14:paraId="0FA92E19">
            <w:pPr>
              <w:pageBreakBefore w:val="0"/>
              <w:kinsoku/>
              <w:wordWrap/>
              <w:overflowPunct/>
              <w:topLinePunct w:val="0"/>
              <w:bidi w:val="0"/>
              <w:spacing w:line="360" w:lineRule="auto"/>
              <w:ind w:firstLine="482" w:firstLineChars="200"/>
              <w:rPr>
                <w:rFonts w:ascii="Times New Roman" w:hAnsi="Times New Roman" w:eastAsia="宋体" w:cs="Times New Roman"/>
                <w:b/>
                <w:bCs/>
                <w:color w:val="00B050"/>
                <w:sz w:val="24"/>
                <w:szCs w:val="32"/>
              </w:rPr>
            </w:pPr>
            <w:r>
              <w:rPr>
                <w:rFonts w:hint="eastAsia" w:ascii="Times New Roman" w:hAnsi="Times New Roman" w:eastAsia="宋体" w:cs="Times New Roman"/>
                <w:b/>
                <w:bCs/>
                <w:color w:val="00B050"/>
                <w:sz w:val="24"/>
              </w:rPr>
              <w:t>5、</w:t>
            </w:r>
            <w:r>
              <w:rPr>
                <w:rFonts w:ascii="Times New Roman" w:hAnsi="Times New Roman" w:eastAsia="宋体" w:cs="Times New Roman"/>
                <w:b/>
                <w:bCs/>
                <w:color w:val="00B050"/>
                <w:sz w:val="24"/>
                <w:szCs w:val="32"/>
              </w:rPr>
              <w:t>大气污染物排放量核算</w:t>
            </w:r>
          </w:p>
          <w:p w14:paraId="2BBC5868">
            <w:pPr>
              <w:pageBreakBefore w:val="0"/>
              <w:kinsoku/>
              <w:wordWrap/>
              <w:overflowPunct/>
              <w:topLinePunct w:val="0"/>
              <w:bidi w:val="0"/>
              <w:spacing w:line="360" w:lineRule="auto"/>
              <w:ind w:firstLine="480" w:firstLineChars="200"/>
              <w:rPr>
                <w:rFonts w:ascii="Times New Roman" w:hAnsi="Times New Roman" w:eastAsia="宋体" w:cs="Times New Roman"/>
                <w:color w:val="00B050"/>
                <w:sz w:val="24"/>
              </w:rPr>
            </w:pPr>
            <w:r>
              <w:rPr>
                <w:rFonts w:hint="eastAsia" w:ascii="Times New Roman" w:hAnsi="Times New Roman" w:eastAsia="宋体" w:cs="Times New Roman"/>
                <w:color w:val="00B050"/>
                <w:sz w:val="24"/>
              </w:rPr>
              <w:t>本项目大气污染物排放量核算见表4</w:t>
            </w:r>
            <w:r>
              <w:rPr>
                <w:rFonts w:hint="eastAsia" w:cs="Times New Roman"/>
                <w:color w:val="00B050"/>
                <w:sz w:val="24"/>
                <w:lang w:val="en-US" w:eastAsia="zh-CN"/>
              </w:rPr>
              <w:t>.2</w:t>
            </w:r>
            <w:r>
              <w:rPr>
                <w:rFonts w:hint="eastAsia" w:ascii="Times New Roman" w:hAnsi="Times New Roman" w:eastAsia="宋体" w:cs="Times New Roman"/>
                <w:color w:val="00B050"/>
                <w:sz w:val="24"/>
              </w:rPr>
              <w:t>-</w:t>
            </w:r>
            <w:r>
              <w:rPr>
                <w:rFonts w:hint="eastAsia" w:cs="Times New Roman"/>
                <w:color w:val="00B050"/>
                <w:sz w:val="24"/>
                <w:lang w:val="en-US" w:eastAsia="zh-CN"/>
              </w:rPr>
              <w:t>6所示</w:t>
            </w:r>
            <w:r>
              <w:rPr>
                <w:rFonts w:hint="eastAsia" w:ascii="Times New Roman" w:hAnsi="Times New Roman" w:eastAsia="宋体" w:cs="Times New Roman"/>
                <w:color w:val="00B050"/>
                <w:sz w:val="24"/>
              </w:rPr>
              <w:t>。</w:t>
            </w:r>
          </w:p>
          <w:p w14:paraId="155A2F5D">
            <w:pPr>
              <w:pageBreakBefore w:val="0"/>
              <w:kinsoku/>
              <w:wordWrap/>
              <w:overflowPunct/>
              <w:topLinePunct w:val="0"/>
              <w:bidi w:val="0"/>
              <w:jc w:val="center"/>
              <w:rPr>
                <w:rFonts w:hint="default" w:ascii="Times New Roman" w:hAnsi="Times New Roman" w:eastAsia="宋体" w:cs="Times New Roman"/>
                <w:b/>
                <w:bCs/>
                <w:color w:val="00B050"/>
                <w:kern w:val="0"/>
                <w:szCs w:val="20"/>
              </w:rPr>
            </w:pPr>
            <w:r>
              <w:rPr>
                <w:rFonts w:hint="default" w:ascii="Times New Roman" w:hAnsi="Times New Roman" w:eastAsia="宋体" w:cs="Times New Roman"/>
                <w:b/>
                <w:bCs/>
                <w:color w:val="00B050"/>
                <w:kern w:val="0"/>
                <w:szCs w:val="20"/>
              </w:rPr>
              <w:t>表4</w:t>
            </w:r>
            <w:r>
              <w:rPr>
                <w:rFonts w:hint="default" w:ascii="Times New Roman" w:hAnsi="Times New Roman" w:eastAsia="宋体" w:cs="Times New Roman"/>
                <w:b/>
                <w:bCs/>
                <w:color w:val="00B050"/>
                <w:kern w:val="0"/>
                <w:szCs w:val="20"/>
                <w:lang w:val="en-US" w:eastAsia="zh-CN"/>
              </w:rPr>
              <w:t>.2</w:t>
            </w:r>
            <w:r>
              <w:rPr>
                <w:rFonts w:hint="default" w:ascii="Times New Roman" w:hAnsi="Times New Roman" w:eastAsia="宋体" w:cs="Times New Roman"/>
                <w:b/>
                <w:bCs/>
                <w:color w:val="00B050"/>
                <w:kern w:val="0"/>
                <w:szCs w:val="20"/>
              </w:rPr>
              <w:t>-</w:t>
            </w:r>
            <w:r>
              <w:rPr>
                <w:rFonts w:hint="default" w:ascii="Times New Roman" w:hAnsi="Times New Roman" w:eastAsia="宋体" w:cs="Times New Roman"/>
                <w:b/>
                <w:bCs/>
                <w:color w:val="00B050"/>
                <w:kern w:val="0"/>
                <w:szCs w:val="20"/>
                <w:lang w:val="en-US" w:eastAsia="zh-CN"/>
              </w:rPr>
              <w:t>6</w:t>
            </w:r>
            <w:r>
              <w:rPr>
                <w:rFonts w:hint="default" w:ascii="Times New Roman" w:hAnsi="Times New Roman" w:eastAsia="宋体" w:cs="Times New Roman"/>
                <w:b/>
                <w:bCs/>
                <w:color w:val="00B050"/>
                <w:kern w:val="0"/>
                <w:szCs w:val="20"/>
              </w:rPr>
              <w:t xml:space="preserve">  大气污染物排放量核算表</w:t>
            </w:r>
          </w:p>
          <w:tbl>
            <w:tblPr>
              <w:tblStyle w:val="26"/>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896"/>
              <w:gridCol w:w="1236"/>
              <w:gridCol w:w="1338"/>
              <w:gridCol w:w="1228"/>
              <w:gridCol w:w="1043"/>
              <w:gridCol w:w="918"/>
              <w:gridCol w:w="739"/>
            </w:tblGrid>
            <w:tr w14:paraId="1478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vMerge w:val="restart"/>
                  <w:noWrap/>
                  <w:vAlign w:val="center"/>
                </w:tcPr>
                <w:p w14:paraId="378973D6">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00B050"/>
                      <w:kern w:val="2"/>
                      <w:sz w:val="21"/>
                      <w:szCs w:val="21"/>
                      <w:lang w:val="en-US" w:eastAsia="zh-CN" w:bidi="ar-SA"/>
                    </w:rPr>
                  </w:pPr>
                  <w:r>
                    <w:rPr>
                      <w:rFonts w:ascii="Times New Roman" w:hAnsi="Times New Roman" w:eastAsia="宋体" w:cs="Times New Roman"/>
                      <w:b/>
                      <w:bCs/>
                      <w:color w:val="00B050"/>
                      <w:kern w:val="2"/>
                      <w:sz w:val="21"/>
                      <w:szCs w:val="21"/>
                      <w:lang w:val="en-US" w:eastAsia="zh-CN" w:bidi="ar-SA"/>
                    </w:rPr>
                    <w:t>排放口编号</w:t>
                  </w:r>
                </w:p>
              </w:tc>
              <w:tc>
                <w:tcPr>
                  <w:tcW w:w="902" w:type="dxa"/>
                  <w:vMerge w:val="restart"/>
                  <w:noWrap/>
                  <w:vAlign w:val="center"/>
                </w:tcPr>
                <w:p w14:paraId="59F28FBA">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00B050"/>
                      <w:kern w:val="2"/>
                      <w:sz w:val="21"/>
                      <w:szCs w:val="21"/>
                      <w:lang w:val="en-US" w:eastAsia="zh-CN" w:bidi="ar-SA"/>
                    </w:rPr>
                  </w:pPr>
                  <w:r>
                    <w:rPr>
                      <w:rFonts w:ascii="Times New Roman" w:hAnsi="Times New Roman" w:eastAsia="宋体" w:cs="Times New Roman"/>
                      <w:b/>
                      <w:bCs/>
                      <w:color w:val="00B050"/>
                      <w:kern w:val="2"/>
                      <w:sz w:val="21"/>
                      <w:szCs w:val="21"/>
                      <w:lang w:val="en-US" w:eastAsia="zh-CN" w:bidi="ar-SA"/>
                    </w:rPr>
                    <w:t>污染物</w:t>
                  </w:r>
                </w:p>
              </w:tc>
              <w:tc>
                <w:tcPr>
                  <w:tcW w:w="1244" w:type="dxa"/>
                  <w:vMerge w:val="restart"/>
                  <w:noWrap/>
                  <w:vAlign w:val="center"/>
                </w:tcPr>
                <w:p w14:paraId="198D600B">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00B050"/>
                      <w:kern w:val="2"/>
                      <w:sz w:val="21"/>
                      <w:szCs w:val="21"/>
                      <w:lang w:val="en-US" w:eastAsia="zh-CN" w:bidi="ar-SA"/>
                    </w:rPr>
                  </w:pPr>
                  <w:r>
                    <w:rPr>
                      <w:rFonts w:ascii="Times New Roman" w:hAnsi="Times New Roman" w:eastAsia="宋体" w:cs="Times New Roman"/>
                      <w:b/>
                      <w:bCs/>
                      <w:color w:val="00B050"/>
                      <w:kern w:val="2"/>
                      <w:sz w:val="21"/>
                      <w:szCs w:val="21"/>
                      <w:lang w:val="en-US" w:eastAsia="zh-CN" w:bidi="ar-SA"/>
                    </w:rPr>
                    <w:t>核算年排放量</w:t>
                  </w:r>
                  <w:r>
                    <w:rPr>
                      <w:rFonts w:hint="eastAsia" w:cs="Times New Roman"/>
                      <w:b/>
                      <w:bCs/>
                      <w:color w:val="00B050"/>
                      <w:kern w:val="2"/>
                      <w:sz w:val="21"/>
                      <w:szCs w:val="21"/>
                      <w:lang w:val="en-US" w:eastAsia="zh-CN" w:bidi="ar-SA"/>
                    </w:rPr>
                    <w:t>t</w:t>
                  </w:r>
                  <w:r>
                    <w:rPr>
                      <w:rFonts w:ascii="Times New Roman" w:hAnsi="Times New Roman" w:eastAsia="宋体" w:cs="Times New Roman"/>
                      <w:b/>
                      <w:bCs/>
                      <w:color w:val="00B050"/>
                      <w:kern w:val="2"/>
                      <w:sz w:val="21"/>
                      <w:szCs w:val="21"/>
                      <w:lang w:val="en-US" w:eastAsia="zh-CN" w:bidi="ar-SA"/>
                    </w:rPr>
                    <w:t>/a</w:t>
                  </w:r>
                </w:p>
              </w:tc>
              <w:tc>
                <w:tcPr>
                  <w:tcW w:w="1347" w:type="dxa"/>
                  <w:vMerge w:val="restart"/>
                  <w:noWrap/>
                  <w:vAlign w:val="center"/>
                </w:tcPr>
                <w:p w14:paraId="2DCF4D94">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00B050"/>
                      <w:kern w:val="2"/>
                      <w:sz w:val="21"/>
                      <w:szCs w:val="21"/>
                      <w:lang w:val="en-US" w:eastAsia="zh-CN" w:bidi="ar-SA"/>
                    </w:rPr>
                  </w:pPr>
                  <w:r>
                    <w:rPr>
                      <w:rFonts w:ascii="Times New Roman" w:hAnsi="Times New Roman" w:eastAsia="宋体" w:cs="Times New Roman"/>
                      <w:b/>
                      <w:bCs/>
                      <w:color w:val="00B050"/>
                      <w:kern w:val="2"/>
                      <w:sz w:val="21"/>
                      <w:szCs w:val="21"/>
                      <w:lang w:val="en-US" w:eastAsia="zh-CN" w:bidi="ar-SA"/>
                    </w:rPr>
                    <w:t>核算排放速率kg/h</w:t>
                  </w:r>
                </w:p>
              </w:tc>
              <w:tc>
                <w:tcPr>
                  <w:tcW w:w="1236" w:type="dxa"/>
                  <w:vMerge w:val="restart"/>
                  <w:noWrap/>
                  <w:vAlign w:val="center"/>
                </w:tcPr>
                <w:p w14:paraId="210AEAD9">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00B050"/>
                      <w:kern w:val="2"/>
                      <w:sz w:val="21"/>
                      <w:szCs w:val="21"/>
                      <w:lang w:val="en-US" w:eastAsia="zh-CN" w:bidi="ar-SA"/>
                    </w:rPr>
                  </w:pPr>
                  <w:r>
                    <w:rPr>
                      <w:rFonts w:ascii="Times New Roman" w:hAnsi="Times New Roman" w:eastAsia="宋体" w:cs="Times New Roman"/>
                      <w:b/>
                      <w:bCs/>
                      <w:color w:val="00B050"/>
                      <w:kern w:val="2"/>
                      <w:sz w:val="21"/>
                      <w:szCs w:val="21"/>
                      <w:lang w:val="en-US" w:eastAsia="zh-CN" w:bidi="ar-SA"/>
                    </w:rPr>
                    <w:t>核算排放浓度mg/m</w:t>
                  </w:r>
                  <w:r>
                    <w:rPr>
                      <w:rFonts w:ascii="Times New Roman" w:hAnsi="Times New Roman" w:eastAsia="宋体" w:cs="Times New Roman"/>
                      <w:b/>
                      <w:bCs/>
                      <w:color w:val="00B050"/>
                      <w:kern w:val="2"/>
                      <w:sz w:val="21"/>
                      <w:szCs w:val="21"/>
                      <w:vertAlign w:val="superscript"/>
                      <w:lang w:val="en-US" w:eastAsia="zh-CN" w:bidi="ar-SA"/>
                    </w:rPr>
                    <w:t>3</w:t>
                  </w:r>
                </w:p>
              </w:tc>
              <w:tc>
                <w:tcPr>
                  <w:tcW w:w="1974" w:type="dxa"/>
                  <w:gridSpan w:val="2"/>
                  <w:noWrap/>
                  <w:vAlign w:val="center"/>
                </w:tcPr>
                <w:p w14:paraId="3FFF469D">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B050"/>
                      <w:kern w:val="2"/>
                      <w:sz w:val="21"/>
                      <w:szCs w:val="21"/>
                      <w:lang w:val="en-US" w:eastAsia="zh-CN" w:bidi="ar-SA"/>
                    </w:rPr>
                  </w:pPr>
                  <w:r>
                    <w:rPr>
                      <w:rFonts w:hint="eastAsia" w:ascii="Times New Roman" w:hAnsi="Times New Roman" w:eastAsia="宋体" w:cs="Times New Roman"/>
                      <w:b/>
                      <w:bCs/>
                      <w:color w:val="00B050"/>
                      <w:kern w:val="2"/>
                      <w:sz w:val="21"/>
                      <w:szCs w:val="21"/>
                      <w:lang w:val="en-US" w:eastAsia="zh-CN" w:bidi="ar-SA"/>
                    </w:rPr>
                    <w:t>标准限值</w:t>
                  </w:r>
                </w:p>
              </w:tc>
              <w:tc>
                <w:tcPr>
                  <w:tcW w:w="743" w:type="dxa"/>
                  <w:vMerge w:val="restart"/>
                  <w:noWrap/>
                  <w:vAlign w:val="center"/>
                </w:tcPr>
                <w:p w14:paraId="6F12553B">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00B050"/>
                      <w:kern w:val="2"/>
                      <w:sz w:val="21"/>
                      <w:szCs w:val="21"/>
                      <w:lang w:val="en-US" w:eastAsia="zh-CN" w:bidi="ar-SA"/>
                    </w:rPr>
                  </w:pPr>
                  <w:r>
                    <w:rPr>
                      <w:rFonts w:hint="eastAsia" w:ascii="Times New Roman" w:hAnsi="Times New Roman" w:eastAsia="宋体" w:cs="Times New Roman"/>
                      <w:b/>
                      <w:bCs/>
                      <w:color w:val="00B050"/>
                      <w:kern w:val="2"/>
                      <w:sz w:val="21"/>
                      <w:szCs w:val="21"/>
                      <w:lang w:val="en-US" w:eastAsia="zh-CN" w:bidi="ar-SA"/>
                    </w:rPr>
                    <w:t>达标情况</w:t>
                  </w:r>
                </w:p>
              </w:tc>
            </w:tr>
            <w:tr w14:paraId="4F13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vMerge w:val="continue"/>
                  <w:noWrap/>
                  <w:vAlign w:val="center"/>
                </w:tcPr>
                <w:p w14:paraId="023310D4">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00B050"/>
                      <w:kern w:val="0"/>
                      <w:sz w:val="24"/>
                      <w:szCs w:val="20"/>
                      <w:lang w:val="en-US" w:eastAsia="zh-CN" w:bidi="ar-SA"/>
                    </w:rPr>
                  </w:pPr>
                </w:p>
              </w:tc>
              <w:tc>
                <w:tcPr>
                  <w:tcW w:w="902" w:type="dxa"/>
                  <w:vMerge w:val="continue"/>
                  <w:noWrap/>
                  <w:vAlign w:val="center"/>
                </w:tcPr>
                <w:p w14:paraId="508B114A">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00B050"/>
                      <w:kern w:val="0"/>
                      <w:sz w:val="24"/>
                      <w:szCs w:val="20"/>
                      <w:lang w:val="en-US" w:eastAsia="zh-CN" w:bidi="ar-SA"/>
                    </w:rPr>
                  </w:pPr>
                </w:p>
              </w:tc>
              <w:tc>
                <w:tcPr>
                  <w:tcW w:w="1244" w:type="dxa"/>
                  <w:vMerge w:val="continue"/>
                  <w:noWrap/>
                  <w:vAlign w:val="center"/>
                </w:tcPr>
                <w:p w14:paraId="281582FC">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00B050"/>
                      <w:kern w:val="0"/>
                      <w:sz w:val="24"/>
                      <w:szCs w:val="20"/>
                      <w:lang w:val="en-US" w:eastAsia="zh-CN" w:bidi="ar-SA"/>
                    </w:rPr>
                  </w:pPr>
                </w:p>
              </w:tc>
              <w:tc>
                <w:tcPr>
                  <w:tcW w:w="1347" w:type="dxa"/>
                  <w:vMerge w:val="continue"/>
                  <w:noWrap/>
                  <w:vAlign w:val="center"/>
                </w:tcPr>
                <w:p w14:paraId="2A0FA71D">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00B050"/>
                      <w:kern w:val="0"/>
                      <w:sz w:val="24"/>
                      <w:szCs w:val="20"/>
                      <w:lang w:val="en-US" w:eastAsia="zh-CN" w:bidi="ar-SA"/>
                    </w:rPr>
                  </w:pPr>
                </w:p>
              </w:tc>
              <w:tc>
                <w:tcPr>
                  <w:tcW w:w="1236" w:type="dxa"/>
                  <w:vMerge w:val="continue"/>
                  <w:noWrap/>
                  <w:vAlign w:val="center"/>
                </w:tcPr>
                <w:p w14:paraId="2634F677">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00B050"/>
                      <w:kern w:val="0"/>
                      <w:sz w:val="24"/>
                      <w:szCs w:val="20"/>
                      <w:lang w:val="en-US" w:eastAsia="zh-CN" w:bidi="ar-SA"/>
                    </w:rPr>
                  </w:pPr>
                </w:p>
              </w:tc>
              <w:tc>
                <w:tcPr>
                  <w:tcW w:w="1050" w:type="dxa"/>
                  <w:noWrap/>
                  <w:vAlign w:val="center"/>
                </w:tcPr>
                <w:p w14:paraId="19060160">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B050"/>
                      <w:kern w:val="0"/>
                      <w:sz w:val="21"/>
                      <w:szCs w:val="21"/>
                      <w:lang w:val="en-US" w:eastAsia="zh-CN" w:bidi="ar-SA"/>
                    </w:rPr>
                  </w:pPr>
                  <w:r>
                    <w:rPr>
                      <w:rFonts w:hint="default" w:ascii="Times New Roman" w:hAnsi="Times New Roman" w:eastAsia="宋体" w:cs="Times New Roman"/>
                      <w:b/>
                      <w:bCs/>
                      <w:color w:val="00B050"/>
                      <w:kern w:val="2"/>
                      <w:sz w:val="21"/>
                      <w:szCs w:val="21"/>
                      <w:lang w:val="en-US" w:eastAsia="zh-CN" w:bidi="ar-SA"/>
                    </w:rPr>
                    <w:t>浓度mg/m</w:t>
                  </w:r>
                  <w:r>
                    <w:rPr>
                      <w:rFonts w:hint="default" w:ascii="Times New Roman" w:hAnsi="Times New Roman" w:eastAsia="宋体" w:cs="Times New Roman"/>
                      <w:b/>
                      <w:bCs/>
                      <w:color w:val="00B050"/>
                      <w:kern w:val="2"/>
                      <w:sz w:val="21"/>
                      <w:szCs w:val="21"/>
                      <w:vertAlign w:val="superscript"/>
                      <w:lang w:val="en-US" w:eastAsia="zh-CN" w:bidi="ar-SA"/>
                    </w:rPr>
                    <w:t>3</w:t>
                  </w:r>
                </w:p>
              </w:tc>
              <w:tc>
                <w:tcPr>
                  <w:tcW w:w="924" w:type="dxa"/>
                  <w:noWrap/>
                  <w:vAlign w:val="center"/>
                </w:tcPr>
                <w:p w14:paraId="749E6528">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B050"/>
                      <w:kern w:val="0"/>
                      <w:sz w:val="21"/>
                      <w:szCs w:val="21"/>
                      <w:lang w:val="en-US" w:eastAsia="zh-CN" w:bidi="ar-SA"/>
                    </w:rPr>
                  </w:pPr>
                  <w:r>
                    <w:rPr>
                      <w:rFonts w:hint="default" w:ascii="Times New Roman" w:hAnsi="Times New Roman" w:eastAsia="宋体" w:cs="Times New Roman"/>
                      <w:b/>
                      <w:bCs/>
                      <w:color w:val="00B050"/>
                      <w:kern w:val="0"/>
                      <w:sz w:val="21"/>
                      <w:szCs w:val="21"/>
                      <w:lang w:val="en-US" w:eastAsia="zh-CN" w:bidi="ar-SA"/>
                    </w:rPr>
                    <w:t>速率</w:t>
                  </w:r>
                </w:p>
                <w:p w14:paraId="333B1AE4">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B050"/>
                      <w:kern w:val="0"/>
                      <w:sz w:val="21"/>
                      <w:szCs w:val="21"/>
                      <w:lang w:val="en-US" w:eastAsia="zh-CN" w:bidi="ar-SA"/>
                    </w:rPr>
                  </w:pPr>
                  <w:r>
                    <w:rPr>
                      <w:rFonts w:hint="default" w:ascii="Times New Roman" w:hAnsi="Times New Roman" w:eastAsia="宋体" w:cs="Times New Roman"/>
                      <w:b/>
                      <w:bCs/>
                      <w:color w:val="00B050"/>
                      <w:kern w:val="0"/>
                      <w:sz w:val="21"/>
                      <w:szCs w:val="21"/>
                      <w:lang w:val="en-US" w:eastAsia="zh-CN" w:bidi="ar-SA"/>
                    </w:rPr>
                    <w:t>kg/h</w:t>
                  </w:r>
                </w:p>
              </w:tc>
              <w:tc>
                <w:tcPr>
                  <w:tcW w:w="743" w:type="dxa"/>
                  <w:vMerge w:val="continue"/>
                  <w:noWrap/>
                  <w:vAlign w:val="center"/>
                </w:tcPr>
                <w:p w14:paraId="25CA0541">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00B050"/>
                      <w:kern w:val="0"/>
                      <w:sz w:val="24"/>
                      <w:szCs w:val="20"/>
                      <w:lang w:val="en-US" w:eastAsia="zh-CN" w:bidi="ar-SA"/>
                    </w:rPr>
                  </w:pPr>
                </w:p>
              </w:tc>
            </w:tr>
            <w:tr w14:paraId="44EF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7" w:type="dxa"/>
                  <w:gridSpan w:val="8"/>
                  <w:noWrap/>
                  <w:vAlign w:val="center"/>
                </w:tcPr>
                <w:p w14:paraId="0DB897F1">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00B050"/>
                      <w:kern w:val="2"/>
                      <w:sz w:val="21"/>
                      <w:szCs w:val="21"/>
                      <w:lang w:val="en-US" w:eastAsia="zh-CN" w:bidi="ar-SA"/>
                    </w:rPr>
                  </w:pPr>
                  <w:r>
                    <w:rPr>
                      <w:rFonts w:hint="eastAsia" w:cs="Times New Roman"/>
                      <w:color w:val="00B050"/>
                      <w:kern w:val="2"/>
                      <w:sz w:val="21"/>
                      <w:szCs w:val="21"/>
                      <w:lang w:val="en-US" w:eastAsia="zh-CN" w:bidi="ar-SA"/>
                    </w:rPr>
                    <w:t>一般</w:t>
                  </w:r>
                  <w:r>
                    <w:rPr>
                      <w:rFonts w:ascii="Times New Roman" w:hAnsi="Times New Roman" w:eastAsia="宋体" w:cs="Times New Roman"/>
                      <w:color w:val="00B050"/>
                      <w:kern w:val="2"/>
                      <w:sz w:val="21"/>
                      <w:szCs w:val="21"/>
                      <w:lang w:val="en-US" w:eastAsia="zh-CN" w:bidi="ar-SA"/>
                    </w:rPr>
                    <w:t>排放口</w:t>
                  </w:r>
                </w:p>
              </w:tc>
            </w:tr>
            <w:tr w14:paraId="1A48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noWrap/>
                  <w:vAlign w:val="center"/>
                </w:tcPr>
                <w:p w14:paraId="195277FE">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B05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DA001</w:t>
                  </w:r>
                </w:p>
              </w:tc>
              <w:tc>
                <w:tcPr>
                  <w:tcW w:w="902" w:type="dxa"/>
                  <w:noWrap/>
                  <w:vAlign w:val="center"/>
                </w:tcPr>
                <w:p w14:paraId="37B3CB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B050"/>
                      <w:kern w:val="2"/>
                      <w:sz w:val="21"/>
                      <w:szCs w:val="20"/>
                      <w:vertAlign w:val="baseline"/>
                      <w:lang w:val="en-US" w:eastAsia="zh-CN" w:bidi="ar-SA"/>
                    </w:rPr>
                  </w:pPr>
                  <w:r>
                    <w:rPr>
                      <w:rFonts w:hint="eastAsia" w:cs="Times New Roman"/>
                      <w:color w:val="00B050"/>
                      <w:sz w:val="21"/>
                      <w:szCs w:val="21"/>
                      <w:lang w:val="en-US" w:eastAsia="zh-CN" w:bidi="ar-SA"/>
                    </w:rPr>
                    <w:t>NMHC</w:t>
                  </w:r>
                </w:p>
              </w:tc>
              <w:tc>
                <w:tcPr>
                  <w:tcW w:w="1244" w:type="dxa"/>
                  <w:noWrap/>
                  <w:vAlign w:val="center"/>
                </w:tcPr>
                <w:p w14:paraId="1E325458">
                  <w:pPr>
                    <w:widowControl w:val="0"/>
                    <w:jc w:val="center"/>
                    <w:rPr>
                      <w:rFonts w:hint="default" w:ascii="Times New Roman" w:hAnsi="Times New Roman" w:eastAsia="宋体" w:cs="Times New Roman"/>
                      <w:color w:val="00B050"/>
                      <w:kern w:val="2"/>
                      <w:sz w:val="21"/>
                      <w:szCs w:val="20"/>
                      <w:lang w:val="en-US" w:eastAsia="zh-CN" w:bidi="ar-SA"/>
                    </w:rPr>
                  </w:pPr>
                  <w:r>
                    <w:rPr>
                      <w:rFonts w:hint="eastAsia" w:cs="Times New Roman"/>
                      <w:color w:val="00B050"/>
                      <w:sz w:val="21"/>
                      <w:szCs w:val="21"/>
                      <w:lang w:val="en-US" w:eastAsia="zh-CN" w:bidi="ar-SA"/>
                    </w:rPr>
                    <w:t>0.125</w:t>
                  </w:r>
                </w:p>
              </w:tc>
              <w:tc>
                <w:tcPr>
                  <w:tcW w:w="1347" w:type="dxa"/>
                  <w:noWrap/>
                  <w:vAlign w:val="center"/>
                </w:tcPr>
                <w:p w14:paraId="64527C31">
                  <w:pPr>
                    <w:widowControl w:val="0"/>
                    <w:jc w:val="center"/>
                    <w:rPr>
                      <w:rFonts w:hint="default" w:ascii="宋体" w:hAnsi="Courier New" w:eastAsia="宋体" w:cs="Times New Roman"/>
                      <w:color w:val="00B050"/>
                      <w:kern w:val="2"/>
                      <w:sz w:val="21"/>
                      <w:szCs w:val="21"/>
                      <w:lang w:val="en-US" w:eastAsia="zh-CN" w:bidi="ar-SA"/>
                    </w:rPr>
                  </w:pPr>
                  <w:r>
                    <w:rPr>
                      <w:rFonts w:hint="eastAsia" w:cs="Times New Roman"/>
                      <w:color w:val="00B050"/>
                      <w:sz w:val="21"/>
                      <w:szCs w:val="21"/>
                      <w:lang w:val="en-US" w:eastAsia="zh-CN" w:bidi="ar-SA"/>
                    </w:rPr>
                    <w:t>0.156</w:t>
                  </w:r>
                </w:p>
              </w:tc>
              <w:tc>
                <w:tcPr>
                  <w:tcW w:w="1236" w:type="dxa"/>
                  <w:noWrap/>
                  <w:vAlign w:val="center"/>
                </w:tcPr>
                <w:p w14:paraId="72E8A9EB">
                  <w:pPr>
                    <w:widowControl w:val="0"/>
                    <w:jc w:val="center"/>
                    <w:rPr>
                      <w:rFonts w:hint="default" w:ascii="宋体" w:hAnsi="Courier New" w:eastAsia="宋体" w:cs="Times New Roman"/>
                      <w:color w:val="00B050"/>
                      <w:kern w:val="2"/>
                      <w:sz w:val="21"/>
                      <w:szCs w:val="21"/>
                      <w:lang w:val="en-US" w:eastAsia="zh-CN" w:bidi="ar-SA"/>
                    </w:rPr>
                  </w:pPr>
                  <w:r>
                    <w:rPr>
                      <w:rFonts w:hint="eastAsia" w:cs="Times New Roman"/>
                      <w:color w:val="FF0000"/>
                      <w:sz w:val="21"/>
                      <w:szCs w:val="21"/>
                      <w:lang w:val="en-US" w:eastAsia="zh-CN" w:bidi="ar-SA"/>
                    </w:rPr>
                    <w:t>39</w:t>
                  </w:r>
                </w:p>
              </w:tc>
              <w:tc>
                <w:tcPr>
                  <w:tcW w:w="1050" w:type="dxa"/>
                  <w:noWrap/>
                  <w:vAlign w:val="center"/>
                </w:tcPr>
                <w:p w14:paraId="0653DB5C">
                  <w:pPr>
                    <w:keepNext w:val="0"/>
                    <w:keepLines w:val="0"/>
                    <w:pageBreakBefore w:val="0"/>
                    <w:widowControl/>
                    <w:kinsoku/>
                    <w:wordWrap/>
                    <w:overflowPunct/>
                    <w:topLinePunct w:val="0"/>
                    <w:autoSpaceDE/>
                    <w:autoSpaceDN/>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color w:val="00B050"/>
                      <w:kern w:val="2"/>
                      <w:sz w:val="21"/>
                      <w:szCs w:val="21"/>
                      <w:lang w:val="en-US" w:eastAsia="zh-CN" w:bidi="ar-SA"/>
                    </w:rPr>
                  </w:pPr>
                  <w:r>
                    <w:rPr>
                      <w:rFonts w:hint="eastAsia" w:cs="Times New Roman"/>
                      <w:color w:val="00B050"/>
                      <w:kern w:val="2"/>
                      <w:sz w:val="21"/>
                      <w:szCs w:val="21"/>
                      <w:lang w:val="en-US" w:eastAsia="zh-CN" w:bidi="ar-SA"/>
                    </w:rPr>
                    <w:t>120</w:t>
                  </w:r>
                </w:p>
              </w:tc>
              <w:tc>
                <w:tcPr>
                  <w:tcW w:w="924" w:type="dxa"/>
                  <w:noWrap/>
                  <w:vAlign w:val="center"/>
                </w:tcPr>
                <w:p w14:paraId="64DE94B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B050"/>
                      <w:szCs w:val="21"/>
                      <w:lang w:val="en-US" w:eastAsia="zh-CN"/>
                    </w:rPr>
                  </w:pPr>
                  <w:r>
                    <w:rPr>
                      <w:rFonts w:hint="eastAsia" w:cs="Times New Roman"/>
                      <w:color w:val="00B050"/>
                      <w:szCs w:val="21"/>
                      <w:lang w:val="en-US" w:eastAsia="zh-CN"/>
                    </w:rPr>
                    <w:t>5</w:t>
                  </w:r>
                </w:p>
              </w:tc>
              <w:tc>
                <w:tcPr>
                  <w:tcW w:w="743" w:type="dxa"/>
                  <w:noWrap/>
                  <w:vAlign w:val="center"/>
                </w:tcPr>
                <w:p w14:paraId="17A9C8C3">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00B050"/>
                      <w:szCs w:val="21"/>
                    </w:rPr>
                  </w:pPr>
                  <w:r>
                    <w:rPr>
                      <w:rFonts w:hint="eastAsia" w:ascii="Times New Roman" w:hAnsi="Times New Roman" w:eastAsia="宋体" w:cs="Times New Roman"/>
                      <w:color w:val="00B050"/>
                      <w:szCs w:val="21"/>
                      <w:lang w:val="en-US" w:eastAsia="zh-CN"/>
                    </w:rPr>
                    <w:t>达标</w:t>
                  </w:r>
                </w:p>
              </w:tc>
            </w:tr>
            <w:tr w14:paraId="0DCE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7" w:type="dxa"/>
                  <w:gridSpan w:val="8"/>
                  <w:noWrap/>
                  <w:vAlign w:val="center"/>
                </w:tcPr>
                <w:p w14:paraId="449593C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B050"/>
                      <w:szCs w:val="21"/>
                      <w:lang w:val="en-US" w:eastAsia="zh-CN"/>
                    </w:rPr>
                  </w:pPr>
                  <w:r>
                    <w:rPr>
                      <w:rFonts w:hint="eastAsia" w:cs="Times New Roman"/>
                      <w:color w:val="00B050"/>
                      <w:szCs w:val="21"/>
                      <w:lang w:val="en-US" w:eastAsia="zh-CN"/>
                    </w:rPr>
                    <w:t>无组织排放</w:t>
                  </w:r>
                </w:p>
              </w:tc>
            </w:tr>
            <w:tr w14:paraId="2062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noWrap/>
                  <w:vAlign w:val="center"/>
                </w:tcPr>
                <w:p w14:paraId="2193A02C">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B050"/>
                      <w:kern w:val="2"/>
                      <w:sz w:val="21"/>
                      <w:szCs w:val="21"/>
                      <w:lang w:val="en-US" w:eastAsia="zh-CN" w:bidi="ar-SA"/>
                    </w:rPr>
                  </w:pPr>
                  <w:r>
                    <w:rPr>
                      <w:rFonts w:hint="eastAsia" w:cs="Times New Roman"/>
                      <w:color w:val="00B050"/>
                      <w:kern w:val="2"/>
                      <w:sz w:val="21"/>
                      <w:szCs w:val="21"/>
                      <w:lang w:val="en-US" w:eastAsia="zh-CN" w:bidi="ar-SA"/>
                    </w:rPr>
                    <w:t>/</w:t>
                  </w:r>
                </w:p>
              </w:tc>
              <w:tc>
                <w:tcPr>
                  <w:tcW w:w="902" w:type="dxa"/>
                  <w:noWrap/>
                  <w:vAlign w:val="center"/>
                </w:tcPr>
                <w:p w14:paraId="014510DE">
                  <w:pPr>
                    <w:widowControl w:val="0"/>
                    <w:jc w:val="center"/>
                    <w:rPr>
                      <w:rFonts w:hint="eastAsia" w:cs="Times New Roman"/>
                      <w:color w:val="00B050"/>
                      <w:sz w:val="21"/>
                      <w:szCs w:val="21"/>
                      <w:lang w:val="en-US" w:eastAsia="zh-CN" w:bidi="ar-SA"/>
                    </w:rPr>
                  </w:pPr>
                  <w:r>
                    <w:rPr>
                      <w:rFonts w:hint="eastAsia" w:ascii="Times New Roman" w:hAnsi="Times New Roman" w:eastAsia="宋体" w:cs="Times New Roman"/>
                      <w:color w:val="00B050"/>
                      <w:sz w:val="21"/>
                      <w:szCs w:val="21"/>
                      <w:lang w:val="en-US" w:eastAsia="zh-CN" w:bidi="ar-SA"/>
                    </w:rPr>
                    <w:t>NMHC</w:t>
                  </w:r>
                </w:p>
              </w:tc>
              <w:tc>
                <w:tcPr>
                  <w:tcW w:w="1244" w:type="dxa"/>
                  <w:noWrap/>
                  <w:vAlign w:val="center"/>
                </w:tcPr>
                <w:p w14:paraId="5CC44E99">
                  <w:pPr>
                    <w:widowControl w:val="0"/>
                    <w:jc w:val="center"/>
                    <w:rPr>
                      <w:rFonts w:hint="default" w:cs="Times New Roman"/>
                      <w:color w:val="00B050"/>
                      <w:sz w:val="21"/>
                      <w:szCs w:val="21"/>
                      <w:lang w:val="en-US" w:eastAsia="zh-CN" w:bidi="ar-SA"/>
                    </w:rPr>
                  </w:pPr>
                  <w:r>
                    <w:rPr>
                      <w:rFonts w:hint="eastAsia" w:cs="Times New Roman"/>
                      <w:color w:val="00B050"/>
                      <w:sz w:val="21"/>
                      <w:szCs w:val="21"/>
                      <w:lang w:val="en-US" w:eastAsia="zh-CN" w:bidi="ar-SA"/>
                    </w:rPr>
                    <w:t>0.295</w:t>
                  </w:r>
                </w:p>
              </w:tc>
              <w:tc>
                <w:tcPr>
                  <w:tcW w:w="1347" w:type="dxa"/>
                  <w:noWrap/>
                  <w:vAlign w:val="center"/>
                </w:tcPr>
                <w:p w14:paraId="2EA788B7">
                  <w:pPr>
                    <w:widowControl w:val="0"/>
                    <w:jc w:val="center"/>
                    <w:rPr>
                      <w:rFonts w:hint="default" w:ascii="Times New Roman" w:hAnsi="Times New Roman" w:eastAsia="宋体" w:cs="Times New Roman"/>
                      <w:color w:val="00B050"/>
                      <w:sz w:val="21"/>
                      <w:szCs w:val="21"/>
                      <w:lang w:val="en-US" w:eastAsia="zh-CN" w:bidi="ar-SA"/>
                    </w:rPr>
                  </w:pPr>
                  <w:r>
                    <w:rPr>
                      <w:rFonts w:hint="eastAsia" w:cs="Times New Roman"/>
                      <w:color w:val="00B050"/>
                      <w:sz w:val="21"/>
                      <w:szCs w:val="21"/>
                      <w:lang w:val="en-US" w:eastAsia="zh-CN" w:bidi="ar-SA"/>
                    </w:rPr>
                    <w:t>0.369</w:t>
                  </w:r>
                </w:p>
              </w:tc>
              <w:tc>
                <w:tcPr>
                  <w:tcW w:w="1236" w:type="dxa"/>
                  <w:noWrap/>
                  <w:vAlign w:val="center"/>
                </w:tcPr>
                <w:p w14:paraId="42A3D983">
                  <w:pPr>
                    <w:widowControl w:val="0"/>
                    <w:jc w:val="center"/>
                    <w:rPr>
                      <w:rFonts w:hint="default" w:cs="Times New Roman"/>
                      <w:color w:val="00B050"/>
                      <w:sz w:val="21"/>
                      <w:szCs w:val="21"/>
                      <w:lang w:val="en-US" w:eastAsia="zh-CN" w:bidi="ar-SA"/>
                    </w:rPr>
                  </w:pPr>
                  <w:r>
                    <w:rPr>
                      <w:rFonts w:hint="eastAsia" w:cs="Times New Roman"/>
                      <w:color w:val="00B050"/>
                      <w:sz w:val="21"/>
                      <w:szCs w:val="21"/>
                      <w:lang w:val="en-US" w:eastAsia="zh-CN" w:bidi="ar-SA"/>
                    </w:rPr>
                    <w:t>/</w:t>
                  </w:r>
                </w:p>
              </w:tc>
              <w:tc>
                <w:tcPr>
                  <w:tcW w:w="1050" w:type="dxa"/>
                  <w:noWrap/>
                  <w:vAlign w:val="center"/>
                </w:tcPr>
                <w:p w14:paraId="7CB3DD9D">
                  <w:pPr>
                    <w:keepNext w:val="0"/>
                    <w:keepLines w:val="0"/>
                    <w:pageBreakBefore w:val="0"/>
                    <w:widowControl/>
                    <w:kinsoku/>
                    <w:wordWrap/>
                    <w:overflowPunct/>
                    <w:topLinePunct w:val="0"/>
                    <w:autoSpaceDE/>
                    <w:autoSpaceDN/>
                    <w:bidi w:val="0"/>
                    <w:adjustRightInd/>
                    <w:snapToGrid/>
                    <w:spacing w:before="0" w:beforeLines="0" w:afterLines="0" w:line="240" w:lineRule="auto"/>
                    <w:ind w:firstLine="0" w:firstLineChars="0"/>
                    <w:jc w:val="center"/>
                    <w:textAlignment w:val="auto"/>
                    <w:rPr>
                      <w:rFonts w:hint="default" w:cs="Times New Roman"/>
                      <w:color w:val="00B050"/>
                      <w:kern w:val="2"/>
                      <w:sz w:val="21"/>
                      <w:szCs w:val="21"/>
                      <w:lang w:val="en-US" w:eastAsia="zh-CN" w:bidi="ar-SA"/>
                    </w:rPr>
                  </w:pPr>
                  <w:r>
                    <w:rPr>
                      <w:rFonts w:hint="eastAsia" w:cs="Times New Roman"/>
                      <w:color w:val="00B050"/>
                      <w:kern w:val="2"/>
                      <w:sz w:val="21"/>
                      <w:szCs w:val="21"/>
                      <w:lang w:val="en-US" w:eastAsia="zh-CN" w:bidi="ar-SA"/>
                    </w:rPr>
                    <w:t>4.0</w:t>
                  </w:r>
                </w:p>
              </w:tc>
              <w:tc>
                <w:tcPr>
                  <w:tcW w:w="924" w:type="dxa"/>
                  <w:noWrap/>
                  <w:vAlign w:val="center"/>
                </w:tcPr>
                <w:p w14:paraId="59EDED00">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00B050"/>
                      <w:szCs w:val="21"/>
                      <w:lang w:val="en-US" w:eastAsia="zh-CN"/>
                    </w:rPr>
                  </w:pPr>
                  <w:r>
                    <w:rPr>
                      <w:rFonts w:hint="eastAsia" w:cs="Times New Roman"/>
                      <w:color w:val="00B050"/>
                      <w:szCs w:val="21"/>
                      <w:lang w:val="en-US" w:eastAsia="zh-CN"/>
                    </w:rPr>
                    <w:t>/</w:t>
                  </w:r>
                </w:p>
              </w:tc>
              <w:tc>
                <w:tcPr>
                  <w:tcW w:w="743" w:type="dxa"/>
                  <w:noWrap/>
                  <w:vAlign w:val="center"/>
                </w:tcPr>
                <w:p w14:paraId="04C75BE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B050"/>
                      <w:szCs w:val="21"/>
                      <w:lang w:val="en-US" w:eastAsia="zh-CN"/>
                    </w:rPr>
                  </w:pPr>
                  <w:r>
                    <w:rPr>
                      <w:rFonts w:hint="eastAsia" w:cs="Times New Roman"/>
                      <w:color w:val="00B050"/>
                      <w:szCs w:val="21"/>
                      <w:lang w:val="en-US" w:eastAsia="zh-CN"/>
                    </w:rPr>
                    <w:t>达标</w:t>
                  </w:r>
                </w:p>
              </w:tc>
            </w:tr>
          </w:tbl>
          <w:p w14:paraId="1A27BBF1">
            <w:pPr>
              <w:keepNext/>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000000" w:themeColor="text1"/>
                <w:sz w:val="24"/>
                <w:szCs w:val="32"/>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14:textFill>
                  <w14:solidFill>
                    <w14:schemeClr w14:val="tx1"/>
                  </w14:solidFill>
                </w14:textFill>
              </w:rPr>
              <w:t>、</w:t>
            </w:r>
            <w:r>
              <w:rPr>
                <w:rFonts w:ascii="Times New Roman" w:hAnsi="Times New Roman" w:eastAsia="宋体" w:cs="Times New Roman"/>
                <w:b/>
                <w:bCs/>
                <w:color w:val="000000" w:themeColor="text1"/>
                <w:sz w:val="24"/>
                <w:szCs w:val="32"/>
                <w14:textFill>
                  <w14:solidFill>
                    <w14:schemeClr w14:val="tx1"/>
                  </w14:solidFill>
                </w14:textFill>
              </w:rPr>
              <w:t>大气污染物</w:t>
            </w:r>
            <w:r>
              <w:rPr>
                <w:rFonts w:hint="eastAsia" w:ascii="Times New Roman" w:hAnsi="Times New Roman" w:eastAsia="宋体" w:cs="Times New Roman"/>
                <w:b/>
                <w:bCs/>
                <w:color w:val="000000" w:themeColor="text1"/>
                <w:sz w:val="24"/>
                <w:szCs w:val="32"/>
                <w14:textFill>
                  <w14:solidFill>
                    <w14:schemeClr w14:val="tx1"/>
                  </w14:solidFill>
                </w14:textFill>
              </w:rPr>
              <w:t>防治措施可行技术分析</w:t>
            </w:r>
          </w:p>
          <w:p w14:paraId="017563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B050"/>
                <w:kern w:val="2"/>
                <w:sz w:val="24"/>
                <w:szCs w:val="24"/>
                <w:lang w:val="en-US" w:eastAsia="zh-CN" w:bidi="ar-SA"/>
              </w:rPr>
            </w:pPr>
            <w:r>
              <w:rPr>
                <w:rFonts w:hint="default" w:ascii="Times New Roman" w:hAnsi="Times New Roman" w:eastAsia="宋体" w:cs="Times New Roman"/>
                <w:color w:val="00B050"/>
                <w:kern w:val="2"/>
                <w:sz w:val="24"/>
                <w:szCs w:val="24"/>
                <w:lang w:val="en-US" w:eastAsia="zh-CN" w:bidi="ar-SA"/>
              </w:rPr>
              <w:t>储罐呼吸废气经收集后由1套活性炭吸附装置处理</w:t>
            </w:r>
            <w:r>
              <w:rPr>
                <w:rFonts w:hint="eastAsia" w:cs="Times New Roman"/>
                <w:color w:val="00B050"/>
                <w:kern w:val="2"/>
                <w:sz w:val="24"/>
                <w:szCs w:val="24"/>
                <w:lang w:val="en-US" w:eastAsia="zh-CN" w:bidi="ar-SA"/>
              </w:rPr>
              <w:t>，</w:t>
            </w:r>
            <w:r>
              <w:rPr>
                <w:rFonts w:hint="eastAsia"/>
                <w:b w:val="0"/>
                <w:bCs w:val="0"/>
                <w:color w:val="FF0000"/>
                <w:sz w:val="24"/>
                <w:szCs w:val="24"/>
                <w:lang w:val="en-US" w:eastAsia="zh-CN"/>
              </w:rPr>
              <w:t>与处理后酸性废气合并通过一根15m高排气筒（编号：DA001）排放</w:t>
            </w:r>
            <w:r>
              <w:rPr>
                <w:rFonts w:hint="default" w:ascii="Times New Roman" w:hAnsi="Times New Roman" w:eastAsia="宋体" w:cs="Times New Roman"/>
                <w:color w:val="00B050"/>
                <w:kern w:val="2"/>
                <w:sz w:val="24"/>
                <w:szCs w:val="24"/>
                <w:lang w:val="en-US" w:eastAsia="zh-CN" w:bidi="ar-SA"/>
              </w:rPr>
              <w:t>。项目储罐设置呼吸阀，呼吸废气经管线引至活性炭吸附装置处理。储罐呼吸废气具有低浓度、低风量特点，废气中除含有挥发性有机物以外，通常还含有少量恶臭气体，采用活性炭吸附对此类废气具有一定的处理效率，且活性炭吸附装置具有结构简单、便于维护、运行成本较低等特点。因此，储罐呼吸废气采用活性炭吸附从经济技术角度分析上是合理可行的</w:t>
            </w:r>
            <w:r>
              <w:rPr>
                <w:rFonts w:hint="eastAsia" w:ascii="Times New Roman" w:hAnsi="Times New Roman" w:eastAsia="宋体" w:cs="Times New Roman"/>
                <w:color w:val="00B050"/>
                <w:kern w:val="2"/>
                <w:sz w:val="24"/>
                <w:szCs w:val="24"/>
                <w:lang w:val="en-US" w:eastAsia="zh-CN" w:bidi="ar-SA"/>
              </w:rPr>
              <w:t>。</w:t>
            </w:r>
            <w:r>
              <w:rPr>
                <w:rFonts w:hint="default" w:ascii="Times New Roman" w:hAnsi="Times New Roman" w:eastAsia="宋体" w:cs="Times New Roman"/>
                <w:color w:val="00B050"/>
                <w:kern w:val="2"/>
                <w:sz w:val="24"/>
                <w:szCs w:val="24"/>
                <w:lang w:val="en-US" w:eastAsia="zh-CN" w:bidi="ar-SA"/>
              </w:rPr>
              <w:t>根据环评核算，呼吸废气经处理后可达标排放。</w:t>
            </w:r>
          </w:p>
          <w:p w14:paraId="4B7FB8BB">
            <w:pPr>
              <w:widowControl w:val="0"/>
              <w:spacing w:line="360" w:lineRule="auto"/>
              <w:ind w:firstLine="480" w:firstLineChars="200"/>
              <w:jc w:val="both"/>
              <w:rPr>
                <w:rFonts w:hint="eastAsia" w:ascii="Times New Roman" w:hAnsi="Times New Roman" w:eastAsia="宋体" w:cs="Times New Roman"/>
                <w:snapToGrid w:val="0"/>
                <w:color w:val="00B050"/>
                <w:sz w:val="24"/>
                <w:szCs w:val="21"/>
                <w:lang w:val="en-GB" w:eastAsia="zh-CN" w:bidi="ar-SA"/>
              </w:rPr>
            </w:pPr>
            <w:r>
              <w:rPr>
                <w:rFonts w:hint="eastAsia" w:ascii="Times New Roman" w:hAnsi="Times New Roman" w:eastAsia="宋体" w:cs="Times New Roman"/>
                <w:snapToGrid w:val="0"/>
                <w:color w:val="00B050"/>
                <w:sz w:val="24"/>
                <w:szCs w:val="21"/>
                <w:lang w:val="en-GB" w:eastAsia="zh-CN" w:bidi="ar-SA"/>
              </w:rPr>
              <w:t>项目</w:t>
            </w:r>
            <w:r>
              <w:rPr>
                <w:rFonts w:hint="eastAsia" w:ascii="Times New Roman" w:hAnsi="Times New Roman" w:eastAsia="宋体" w:cs="Times New Roman"/>
                <w:snapToGrid w:val="0"/>
                <w:color w:val="00B050"/>
                <w:sz w:val="24"/>
                <w:szCs w:val="21"/>
                <w:lang w:val="en-US" w:eastAsia="zh-CN" w:bidi="ar-SA"/>
              </w:rPr>
              <w:t>其他类别危险废物在贮存过程中将产生挥发性有机物、酸性废气、异味等，通过对</w:t>
            </w:r>
            <w:r>
              <w:rPr>
                <w:rFonts w:hint="eastAsia" w:cs="Times New Roman"/>
                <w:snapToGrid w:val="0"/>
                <w:color w:val="00B050"/>
                <w:sz w:val="24"/>
                <w:szCs w:val="21"/>
                <w:lang w:val="en-US" w:eastAsia="zh-CN" w:bidi="ar-SA"/>
              </w:rPr>
              <w:t>危险废物</w:t>
            </w:r>
            <w:r>
              <w:rPr>
                <w:rFonts w:hint="eastAsia" w:ascii="Times New Roman" w:hAnsi="Times New Roman" w:eastAsia="宋体" w:cs="Times New Roman"/>
                <w:snapToGrid w:val="0"/>
                <w:color w:val="00B050"/>
                <w:sz w:val="24"/>
                <w:szCs w:val="21"/>
                <w:lang w:val="en-US" w:eastAsia="zh-CN" w:bidi="ar-SA"/>
              </w:rPr>
              <w:t>采取闭口包装、提高转移频次可减少废气的逸散。</w:t>
            </w:r>
            <w:r>
              <w:rPr>
                <w:rFonts w:hint="eastAsia" w:ascii="Times New Roman" w:hAnsi="Times New Roman" w:eastAsia="宋体" w:cs="Times New Roman"/>
                <w:snapToGrid w:val="0"/>
                <w:color w:val="00B050"/>
                <w:sz w:val="24"/>
                <w:szCs w:val="21"/>
                <w:lang w:val="en-GB" w:eastAsia="zh-CN" w:bidi="ar-SA"/>
              </w:rPr>
              <w:t>根据《挥发性有机物无组织排放控制标准》（G</w:t>
            </w:r>
            <w:r>
              <w:rPr>
                <w:rFonts w:ascii="Times New Roman" w:hAnsi="Times New Roman" w:eastAsia="宋体" w:cs="Times New Roman"/>
                <w:snapToGrid w:val="0"/>
                <w:color w:val="00B050"/>
                <w:sz w:val="24"/>
                <w:szCs w:val="21"/>
                <w:lang w:val="en-GB" w:eastAsia="zh-CN" w:bidi="ar-SA"/>
              </w:rPr>
              <w:t>B37822</w:t>
            </w:r>
            <w:r>
              <w:rPr>
                <w:rFonts w:hint="eastAsia" w:ascii="Times New Roman" w:hAnsi="Times New Roman" w:eastAsia="宋体" w:cs="Times New Roman"/>
                <w:snapToGrid w:val="0"/>
                <w:color w:val="00B050"/>
                <w:sz w:val="24"/>
                <w:szCs w:val="21"/>
                <w:lang w:val="en-GB" w:eastAsia="zh-CN" w:bidi="ar-SA"/>
              </w:rPr>
              <w:t>-</w:t>
            </w:r>
            <w:r>
              <w:rPr>
                <w:rFonts w:ascii="Times New Roman" w:hAnsi="Times New Roman" w:eastAsia="宋体" w:cs="Times New Roman"/>
                <w:snapToGrid w:val="0"/>
                <w:color w:val="00B050"/>
                <w:sz w:val="24"/>
                <w:szCs w:val="21"/>
                <w:lang w:val="en-GB" w:eastAsia="zh-CN" w:bidi="ar-SA"/>
              </w:rPr>
              <w:t>2019</w:t>
            </w:r>
            <w:r>
              <w:rPr>
                <w:rFonts w:hint="eastAsia" w:ascii="Times New Roman" w:hAnsi="Times New Roman" w:eastAsia="宋体" w:cs="Times New Roman"/>
                <w:snapToGrid w:val="0"/>
                <w:color w:val="00B050"/>
                <w:sz w:val="24"/>
                <w:szCs w:val="21"/>
                <w:lang w:val="en-GB" w:eastAsia="zh-CN" w:bidi="ar-SA"/>
              </w:rPr>
              <w:t>），“收集的废气中NMHC初始排放速率&gt;3kg/h时，应配置VOCs处理设施，处理效率不应低于80%”</w:t>
            </w:r>
            <w:r>
              <w:rPr>
                <w:rFonts w:hint="eastAsia" w:ascii="Times New Roman" w:hAnsi="Times New Roman" w:eastAsia="宋体" w:cs="Times New Roman"/>
                <w:snapToGrid w:val="0"/>
                <w:color w:val="FF0000"/>
                <w:sz w:val="24"/>
                <w:szCs w:val="21"/>
                <w:lang w:val="en-GB" w:eastAsia="zh-CN" w:bidi="ar-SA"/>
              </w:rPr>
              <w:t>。项目</w:t>
            </w:r>
            <w:r>
              <w:rPr>
                <w:rFonts w:hint="eastAsia" w:ascii="Times New Roman" w:hAnsi="Times New Roman" w:eastAsia="宋体" w:cs="Times New Roman"/>
                <w:snapToGrid w:val="0"/>
                <w:color w:val="FF0000"/>
                <w:sz w:val="24"/>
                <w:szCs w:val="21"/>
                <w:lang w:val="en-US" w:eastAsia="zh-CN" w:bidi="ar-SA"/>
              </w:rPr>
              <w:t>通过采取闭口包装方式，可有效阻止危险废物贮存过程中挥发性有机物的产生量</w:t>
            </w:r>
            <w:r>
              <w:rPr>
                <w:rFonts w:hint="eastAsia" w:ascii="Times New Roman" w:hAnsi="Times New Roman" w:eastAsia="宋体" w:cs="Times New Roman"/>
                <w:snapToGrid w:val="0"/>
                <w:color w:val="FF0000"/>
                <w:sz w:val="24"/>
                <w:szCs w:val="21"/>
                <w:lang w:val="en-GB" w:eastAsia="zh-CN" w:bidi="ar-SA"/>
              </w:rPr>
              <w:t>。</w:t>
            </w:r>
          </w:p>
          <w:p w14:paraId="6F35293D">
            <w:pPr>
              <w:widowControl w:val="0"/>
              <w:spacing w:line="360" w:lineRule="auto"/>
              <w:ind w:firstLine="480" w:firstLineChars="200"/>
              <w:jc w:val="both"/>
              <w:rPr>
                <w:rFonts w:hint="default" w:ascii="Times New Roman" w:hAnsi="Times New Roman" w:eastAsia="宋体" w:cs="Times New Roman"/>
                <w:snapToGrid w:val="0"/>
                <w:color w:val="00B050"/>
                <w:sz w:val="24"/>
                <w:szCs w:val="21"/>
                <w:lang w:val="en-US" w:eastAsia="zh-CN" w:bidi="ar-SA"/>
              </w:rPr>
            </w:pPr>
            <w:r>
              <w:rPr>
                <w:rFonts w:hint="eastAsia" w:cs="Times New Roman"/>
                <w:snapToGrid w:val="0"/>
                <w:color w:val="00B050"/>
                <w:sz w:val="24"/>
                <w:szCs w:val="21"/>
                <w:lang w:val="en-US" w:eastAsia="zh-CN" w:bidi="ar-SA"/>
              </w:rPr>
              <w:t>废铅蓄电池贮存过程发生破损产生的酸性废气经收集后由碱洗塔处理，碱洗塔采用氢氧化钠溶液，可对酸性废气进行中和，去除其中的硫酸雾，属可行技术。</w:t>
            </w:r>
          </w:p>
          <w:p w14:paraId="4F5B850D">
            <w:pPr>
              <w:widowControl w:val="0"/>
              <w:spacing w:line="360" w:lineRule="auto"/>
              <w:ind w:firstLine="480" w:firstLineChars="200"/>
              <w:jc w:val="both"/>
              <w:rPr>
                <w:rFonts w:ascii="Times New Roman" w:hAnsi="Times New Roman" w:eastAsia="宋体" w:cs="Times New Roman"/>
                <w:snapToGrid w:val="0"/>
                <w:color w:val="00B050"/>
                <w:sz w:val="24"/>
                <w:szCs w:val="21"/>
                <w:lang w:val="en-GB" w:eastAsia="zh-CN" w:bidi="ar-SA"/>
              </w:rPr>
            </w:pPr>
            <w:r>
              <w:rPr>
                <w:rFonts w:hint="eastAsia" w:ascii="Times New Roman" w:hAnsi="Times New Roman" w:eastAsia="宋体" w:cs="Times New Roman"/>
                <w:snapToGrid w:val="0"/>
                <w:color w:val="00B050"/>
                <w:sz w:val="24"/>
                <w:szCs w:val="21"/>
                <w:lang w:val="en-US" w:eastAsia="zh-CN" w:bidi="ar-SA"/>
              </w:rPr>
              <w:t>危险废物</w:t>
            </w:r>
            <w:r>
              <w:rPr>
                <w:rFonts w:hint="eastAsia" w:ascii="Times New Roman" w:hAnsi="Times New Roman" w:eastAsia="宋体" w:cs="Times New Roman"/>
                <w:snapToGrid w:val="0"/>
                <w:color w:val="00B050"/>
                <w:sz w:val="24"/>
                <w:szCs w:val="21"/>
                <w:lang w:val="en-GB" w:eastAsia="zh-CN" w:bidi="ar-SA"/>
              </w:rPr>
              <w:t>日常贮存过程中应加强通风换气，并加强日常巡视、检查，避免储存容器破损等导致物料泄漏造成的无组织排放量增加。</w:t>
            </w:r>
          </w:p>
          <w:p w14:paraId="1AC1BFD2">
            <w:pPr>
              <w:keepNext/>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7、废气监测要求</w:t>
            </w:r>
          </w:p>
          <w:p w14:paraId="1488D1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Cs/>
                <w:color w:val="000000" w:themeColor="text1"/>
                <w:kern w:val="0"/>
                <w:sz w:val="24"/>
                <w14:textFill>
                  <w14:solidFill>
                    <w14:schemeClr w14:val="tx1"/>
                  </w14:solidFill>
                </w14:textFill>
              </w:rPr>
            </w:pPr>
            <w:r>
              <w:rPr>
                <w:rFonts w:hint="eastAsia" w:ascii="Times New Roman" w:hAnsi="Times New Roman" w:eastAsia="宋体" w:cs="Times New Roman"/>
                <w:bCs/>
                <w:color w:val="000000" w:themeColor="text1"/>
                <w:kern w:val="0"/>
                <w:sz w:val="24"/>
                <w14:textFill>
                  <w14:solidFill>
                    <w14:schemeClr w14:val="tx1"/>
                  </w14:solidFill>
                </w14:textFill>
              </w:rPr>
              <w:t>依据《排污单位自行监测技术指南总则》（HJ819-2017）、《排污许可证申请与核发技术规范工业固体废物与危险废物治理》（HJ1033-2019），</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环评提出项目自行监测计划见表4</w:t>
            </w:r>
            <w:r>
              <w:rPr>
                <w:rFonts w:hint="eastAsia" w:cs="Times New Roman"/>
                <w:bCs/>
                <w:color w:val="000000" w:themeColor="text1"/>
                <w:kern w:val="0"/>
                <w:sz w:val="24"/>
                <w:lang w:val="en-US" w:eastAsia="zh-CN"/>
                <w14:textFill>
                  <w14:solidFill>
                    <w14:schemeClr w14:val="tx1"/>
                  </w14:solidFill>
                </w14:textFill>
              </w:rPr>
              <w:t>.2</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r>
              <w:rPr>
                <w:rFonts w:hint="eastAsia" w:cs="Times New Roman"/>
                <w:bCs/>
                <w:color w:val="000000" w:themeColor="text1"/>
                <w:kern w:val="0"/>
                <w:sz w:val="24"/>
                <w:lang w:val="en-US" w:eastAsia="zh-CN"/>
                <w14:textFill>
                  <w14:solidFill>
                    <w14:schemeClr w14:val="tx1"/>
                  </w14:solidFill>
                </w14:textFill>
              </w:rPr>
              <w:t>7所示</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59067C6D">
            <w:pPr>
              <w:keepNext/>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表4</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.2</w:t>
            </w:r>
            <w:r>
              <w:rPr>
                <w:rFonts w:hint="default" w:ascii="Times New Roman" w:hAnsi="Times New Roman" w:eastAsia="宋体" w:cs="Times New Roman"/>
                <w:b/>
                <w:bCs w:val="0"/>
                <w:color w:val="000000" w:themeColor="text1"/>
                <w:szCs w:val="21"/>
                <w14:textFill>
                  <w14:solidFill>
                    <w14:schemeClr w14:val="tx1"/>
                  </w14:solidFill>
                </w14:textFill>
              </w:rPr>
              <w:t>-</w:t>
            </w:r>
            <w:r>
              <w:rPr>
                <w:rFonts w:hint="default" w:ascii="Times New Roman" w:hAnsi="Times New Roman" w:cs="Times New Roman"/>
                <w:b/>
                <w:bCs w:val="0"/>
                <w:color w:val="000000" w:themeColor="text1"/>
                <w:szCs w:val="21"/>
                <w:lang w:val="en-US" w:eastAsia="zh-CN"/>
                <w14:textFill>
                  <w14:solidFill>
                    <w14:schemeClr w14:val="tx1"/>
                  </w14:solidFill>
                </w14:textFill>
              </w:rPr>
              <w:t>7</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Cs w:val="21"/>
                <w14:textFill>
                  <w14:solidFill>
                    <w14:schemeClr w14:val="tx1"/>
                  </w14:solidFill>
                </w14:textFill>
              </w:rPr>
              <w:t xml:space="preserve"> 运营期大气环境监测计划表</w:t>
            </w:r>
          </w:p>
          <w:tbl>
            <w:tblPr>
              <w:tblStyle w:val="26"/>
              <w:tblW w:w="833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3"/>
              <w:gridCol w:w="2066"/>
              <w:gridCol w:w="1445"/>
              <w:gridCol w:w="1131"/>
              <w:gridCol w:w="2748"/>
            </w:tblGrid>
            <w:tr w14:paraId="6BE14F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tcBorders>
                    <w:left w:val="single" w:color="auto" w:sz="4" w:space="0"/>
                  </w:tcBorders>
                  <w:noWrap/>
                  <w:vAlign w:val="center"/>
                </w:tcPr>
                <w:p w14:paraId="4EAB6E98">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ascii="Times New Roman" w:hAnsi="Times New Roman" w:eastAsia="宋体" w:cs="Times New Roman"/>
                      <w:b/>
                      <w:bCs w:val="0"/>
                      <w:color w:val="000000" w:themeColor="text1"/>
                      <w:kern w:val="0"/>
                      <w:szCs w:val="21"/>
                      <w14:textFill>
                        <w14:solidFill>
                          <w14:schemeClr w14:val="tx1"/>
                        </w14:solidFill>
                      </w14:textFill>
                    </w:rPr>
                  </w:pPr>
                  <w:r>
                    <w:rPr>
                      <w:rFonts w:hint="eastAsia" w:ascii="Times New Roman" w:hAnsi="Times New Roman" w:eastAsia="宋体" w:cs="Times New Roman"/>
                      <w:b/>
                      <w:bCs w:val="0"/>
                      <w:color w:val="000000" w:themeColor="text1"/>
                      <w:kern w:val="0"/>
                      <w:szCs w:val="21"/>
                      <w14:textFill>
                        <w14:solidFill>
                          <w14:schemeClr w14:val="tx1"/>
                        </w14:solidFill>
                      </w14:textFill>
                    </w:rPr>
                    <w:t>类别</w:t>
                  </w:r>
                </w:p>
              </w:tc>
              <w:tc>
                <w:tcPr>
                  <w:tcW w:w="2066" w:type="dxa"/>
                  <w:noWrap/>
                  <w:vAlign w:val="center"/>
                </w:tcPr>
                <w:p w14:paraId="45A7296C">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ascii="Times New Roman" w:hAnsi="Times New Roman" w:eastAsia="宋体" w:cs="Times New Roman"/>
                      <w:b/>
                      <w:bCs w:val="0"/>
                      <w:color w:val="000000" w:themeColor="text1"/>
                      <w:kern w:val="0"/>
                      <w:szCs w:val="21"/>
                      <w14:textFill>
                        <w14:solidFill>
                          <w14:schemeClr w14:val="tx1"/>
                        </w14:solidFill>
                      </w14:textFill>
                    </w:rPr>
                  </w:pPr>
                  <w:r>
                    <w:rPr>
                      <w:rFonts w:ascii="Times New Roman" w:hAnsi="Times New Roman" w:eastAsia="宋体" w:cs="Times New Roman"/>
                      <w:b/>
                      <w:bCs w:val="0"/>
                      <w:color w:val="000000" w:themeColor="text1"/>
                      <w:kern w:val="0"/>
                      <w:szCs w:val="21"/>
                      <w14:textFill>
                        <w14:solidFill>
                          <w14:schemeClr w14:val="tx1"/>
                        </w14:solidFill>
                      </w14:textFill>
                    </w:rPr>
                    <w:t>监测点位</w:t>
                  </w:r>
                </w:p>
              </w:tc>
              <w:tc>
                <w:tcPr>
                  <w:tcW w:w="1445" w:type="dxa"/>
                  <w:noWrap/>
                  <w:vAlign w:val="center"/>
                </w:tcPr>
                <w:p w14:paraId="499DD408">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ascii="Times New Roman" w:hAnsi="Times New Roman" w:eastAsia="宋体" w:cs="Times New Roman"/>
                      <w:b/>
                      <w:bCs w:val="0"/>
                      <w:color w:val="000000" w:themeColor="text1"/>
                      <w:kern w:val="0"/>
                      <w:szCs w:val="21"/>
                      <w14:textFill>
                        <w14:solidFill>
                          <w14:schemeClr w14:val="tx1"/>
                        </w14:solidFill>
                      </w14:textFill>
                    </w:rPr>
                  </w:pPr>
                  <w:r>
                    <w:rPr>
                      <w:rFonts w:ascii="Times New Roman" w:hAnsi="Times New Roman" w:eastAsia="宋体" w:cs="Times New Roman"/>
                      <w:b/>
                      <w:bCs w:val="0"/>
                      <w:color w:val="000000" w:themeColor="text1"/>
                      <w:kern w:val="0"/>
                      <w:szCs w:val="21"/>
                      <w14:textFill>
                        <w14:solidFill>
                          <w14:schemeClr w14:val="tx1"/>
                        </w14:solidFill>
                      </w14:textFill>
                    </w:rPr>
                    <w:t>监测</w:t>
                  </w:r>
                  <w:r>
                    <w:rPr>
                      <w:rFonts w:hint="eastAsia" w:ascii="Times New Roman" w:hAnsi="Times New Roman" w:eastAsia="宋体" w:cs="Times New Roman"/>
                      <w:b/>
                      <w:bCs w:val="0"/>
                      <w:color w:val="000000" w:themeColor="text1"/>
                      <w:kern w:val="0"/>
                      <w:szCs w:val="21"/>
                      <w14:textFill>
                        <w14:solidFill>
                          <w14:schemeClr w14:val="tx1"/>
                        </w14:solidFill>
                      </w14:textFill>
                    </w:rPr>
                    <w:t>因子</w:t>
                  </w:r>
                </w:p>
              </w:tc>
              <w:tc>
                <w:tcPr>
                  <w:tcW w:w="1131" w:type="dxa"/>
                  <w:noWrap/>
                  <w:vAlign w:val="center"/>
                </w:tcPr>
                <w:p w14:paraId="334A817A">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ascii="Times New Roman" w:hAnsi="Times New Roman" w:eastAsia="宋体" w:cs="Times New Roman"/>
                      <w:b/>
                      <w:bCs w:val="0"/>
                      <w:color w:val="000000" w:themeColor="text1"/>
                      <w:kern w:val="0"/>
                      <w:szCs w:val="21"/>
                      <w14:textFill>
                        <w14:solidFill>
                          <w14:schemeClr w14:val="tx1"/>
                        </w14:solidFill>
                      </w14:textFill>
                    </w:rPr>
                  </w:pPr>
                  <w:r>
                    <w:rPr>
                      <w:rFonts w:ascii="Times New Roman" w:hAnsi="Times New Roman" w:eastAsia="宋体" w:cs="Times New Roman"/>
                      <w:b/>
                      <w:bCs w:val="0"/>
                      <w:color w:val="000000" w:themeColor="text1"/>
                      <w:kern w:val="0"/>
                      <w:szCs w:val="21"/>
                      <w14:textFill>
                        <w14:solidFill>
                          <w14:schemeClr w14:val="tx1"/>
                        </w14:solidFill>
                      </w14:textFill>
                    </w:rPr>
                    <w:t>监测频率</w:t>
                  </w:r>
                </w:p>
              </w:tc>
              <w:tc>
                <w:tcPr>
                  <w:tcW w:w="2748" w:type="dxa"/>
                  <w:tcBorders>
                    <w:right w:val="single" w:color="auto" w:sz="4" w:space="0"/>
                  </w:tcBorders>
                  <w:noWrap/>
                  <w:vAlign w:val="center"/>
                </w:tcPr>
                <w:p w14:paraId="48A8C5E7">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ascii="Times New Roman" w:hAnsi="Times New Roman" w:eastAsia="宋体" w:cs="Times New Roman"/>
                      <w:b/>
                      <w:bCs w:val="0"/>
                      <w:color w:val="000000" w:themeColor="text1"/>
                      <w:kern w:val="0"/>
                      <w:szCs w:val="21"/>
                      <w14:textFill>
                        <w14:solidFill>
                          <w14:schemeClr w14:val="tx1"/>
                        </w14:solidFill>
                      </w14:textFill>
                    </w:rPr>
                  </w:pPr>
                  <w:r>
                    <w:rPr>
                      <w:rFonts w:hint="eastAsia" w:ascii="Times New Roman" w:hAnsi="Times New Roman" w:eastAsia="宋体" w:cs="Times New Roman"/>
                      <w:b/>
                      <w:bCs w:val="0"/>
                      <w:color w:val="000000" w:themeColor="text1"/>
                      <w:kern w:val="0"/>
                      <w:szCs w:val="21"/>
                      <w14:textFill>
                        <w14:solidFill>
                          <w14:schemeClr w14:val="tx1"/>
                        </w14:solidFill>
                      </w14:textFill>
                    </w:rPr>
                    <w:t>执行标准</w:t>
                  </w:r>
                </w:p>
              </w:tc>
            </w:tr>
            <w:tr w14:paraId="72B61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43" w:type="dxa"/>
                  <w:vMerge w:val="restart"/>
                  <w:tcBorders>
                    <w:left w:val="single" w:color="auto" w:sz="4" w:space="0"/>
                  </w:tcBorders>
                  <w:noWrap/>
                  <w:vAlign w:val="center"/>
                </w:tcPr>
                <w:p w14:paraId="2F35F373">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有组织</w:t>
                  </w:r>
                  <w:r>
                    <w:rPr>
                      <w:rFonts w:hint="eastAsia" w:ascii="Times New Roman" w:hAnsi="Times New Roman" w:eastAsia="宋体" w:cs="Times New Roman"/>
                      <w:color w:val="000000" w:themeColor="text1"/>
                      <w:kern w:val="0"/>
                      <w:szCs w:val="21"/>
                      <w14:textFill>
                        <w14:solidFill>
                          <w14:schemeClr w14:val="tx1"/>
                        </w14:solidFill>
                      </w14:textFill>
                    </w:rPr>
                    <w:t>监测</w:t>
                  </w:r>
                </w:p>
              </w:tc>
              <w:tc>
                <w:tcPr>
                  <w:tcW w:w="2066" w:type="dxa"/>
                  <w:vMerge w:val="restart"/>
                  <w:noWrap/>
                  <w:vAlign w:val="center"/>
                </w:tcPr>
                <w:p w14:paraId="17D107A4">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DA001</w:t>
                  </w:r>
                  <w:r>
                    <w:rPr>
                      <w:rFonts w:hint="eastAsia" w:eastAsia="宋体" w:cs="Times New Roman"/>
                      <w:color w:val="000000" w:themeColor="text1"/>
                      <w:kern w:val="0"/>
                      <w:szCs w:val="21"/>
                      <w:lang w:val="en-US" w:eastAsia="zh-CN"/>
                      <w14:textFill>
                        <w14:solidFill>
                          <w14:schemeClr w14:val="tx1"/>
                        </w14:solidFill>
                      </w14:textFill>
                    </w:rPr>
                    <w:t>排放口</w:t>
                  </w:r>
                </w:p>
              </w:tc>
              <w:tc>
                <w:tcPr>
                  <w:tcW w:w="1445" w:type="dxa"/>
                  <w:noWrap/>
                  <w:vAlign w:val="center"/>
                </w:tcPr>
                <w:p w14:paraId="41B41349">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NMHC</w:t>
                  </w:r>
                </w:p>
              </w:tc>
              <w:tc>
                <w:tcPr>
                  <w:tcW w:w="1131" w:type="dxa"/>
                  <w:noWrap/>
                  <w:vAlign w:val="center"/>
                </w:tcPr>
                <w:p w14:paraId="3BAC52EC">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1次/半年</w:t>
                  </w:r>
                </w:p>
              </w:tc>
              <w:tc>
                <w:tcPr>
                  <w:tcW w:w="2748" w:type="dxa"/>
                  <w:tcBorders>
                    <w:right w:val="single" w:color="auto" w:sz="4" w:space="0"/>
                  </w:tcBorders>
                  <w:noWrap/>
                  <w:vAlign w:val="center"/>
                </w:tcPr>
                <w:p w14:paraId="4C922EF2">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bCs/>
                      <w:color w:val="000000" w:themeColor="text1"/>
                      <w:kern w:val="0"/>
                      <w:szCs w:val="21"/>
                      <w14:textFill>
                        <w14:solidFill>
                          <w14:schemeClr w14:val="tx1"/>
                        </w14:solidFill>
                      </w14:textFill>
                    </w:rPr>
                  </w:pPr>
                  <w:r>
                    <w:rPr>
                      <w:rFonts w:hint="eastAsia"/>
                      <w:bCs/>
                      <w:color w:val="000000" w:themeColor="text1"/>
                      <w14:textFill>
                        <w14:solidFill>
                          <w14:schemeClr w14:val="tx1"/>
                        </w14:solidFill>
                      </w14:textFill>
                    </w:rPr>
                    <w:t>《大气污染物综合排放标准》（GB16297-1996）</w:t>
                  </w:r>
                </w:p>
              </w:tc>
            </w:tr>
            <w:tr w14:paraId="59D417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Merge w:val="continue"/>
                  <w:tcBorders>
                    <w:left w:val="single" w:color="auto" w:sz="4" w:space="0"/>
                  </w:tcBorders>
                  <w:noWrap/>
                  <w:vAlign w:val="center"/>
                </w:tcPr>
                <w:p w14:paraId="7B180250">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2066" w:type="dxa"/>
                  <w:vMerge w:val="continue"/>
                  <w:noWrap/>
                  <w:vAlign w:val="center"/>
                </w:tcPr>
                <w:p w14:paraId="5224BEC0">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cs="Times New Roman"/>
                      <w:color w:val="000000" w:themeColor="text1"/>
                      <w:kern w:val="0"/>
                      <w:szCs w:val="21"/>
                      <w:lang w:val="en-US" w:eastAsia="zh-CN"/>
                      <w14:textFill>
                        <w14:solidFill>
                          <w14:schemeClr w14:val="tx1"/>
                        </w14:solidFill>
                      </w14:textFill>
                    </w:rPr>
                  </w:pPr>
                </w:p>
              </w:tc>
              <w:tc>
                <w:tcPr>
                  <w:tcW w:w="1445" w:type="dxa"/>
                  <w:noWrap/>
                  <w:vAlign w:val="center"/>
                </w:tcPr>
                <w:p w14:paraId="013E22A3">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硫酸雾</w:t>
                  </w:r>
                </w:p>
              </w:tc>
              <w:tc>
                <w:tcPr>
                  <w:tcW w:w="1131" w:type="dxa"/>
                  <w:noWrap/>
                  <w:vAlign w:val="center"/>
                </w:tcPr>
                <w:p w14:paraId="56753891">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1次/半年</w:t>
                  </w:r>
                </w:p>
              </w:tc>
              <w:tc>
                <w:tcPr>
                  <w:tcW w:w="2748" w:type="dxa"/>
                  <w:tcBorders>
                    <w:right w:val="single" w:color="auto" w:sz="4" w:space="0"/>
                  </w:tcBorders>
                  <w:noWrap/>
                  <w:vAlign w:val="center"/>
                </w:tcPr>
                <w:p w14:paraId="51B2BD4F">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《大气污染物综合排放标准》（GB16297-1996）</w:t>
                  </w:r>
                </w:p>
              </w:tc>
            </w:tr>
            <w:tr w14:paraId="6788A6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Merge w:val="continue"/>
                  <w:tcBorders>
                    <w:left w:val="single" w:color="auto" w:sz="4" w:space="0"/>
                  </w:tcBorders>
                  <w:noWrap/>
                  <w:vAlign w:val="center"/>
                </w:tcPr>
                <w:p w14:paraId="52C3A555">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2066" w:type="dxa"/>
                  <w:vMerge w:val="continue"/>
                  <w:noWrap/>
                  <w:vAlign w:val="center"/>
                </w:tcPr>
                <w:p w14:paraId="37810EBB">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cs="Times New Roman"/>
                      <w:color w:val="000000" w:themeColor="text1"/>
                      <w:kern w:val="0"/>
                      <w:szCs w:val="21"/>
                      <w:lang w:val="en-US" w:eastAsia="zh-CN"/>
                      <w14:textFill>
                        <w14:solidFill>
                          <w14:schemeClr w14:val="tx1"/>
                        </w14:solidFill>
                      </w14:textFill>
                    </w:rPr>
                  </w:pPr>
                </w:p>
              </w:tc>
              <w:tc>
                <w:tcPr>
                  <w:tcW w:w="1445" w:type="dxa"/>
                  <w:noWrap/>
                  <w:vAlign w:val="center"/>
                </w:tcPr>
                <w:p w14:paraId="4B244EAA">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臭气浓度</w:t>
                  </w:r>
                </w:p>
              </w:tc>
              <w:tc>
                <w:tcPr>
                  <w:tcW w:w="1131" w:type="dxa"/>
                  <w:noWrap/>
                  <w:vAlign w:val="center"/>
                </w:tcPr>
                <w:p w14:paraId="42FB4E31">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1次/半年</w:t>
                  </w:r>
                </w:p>
              </w:tc>
              <w:tc>
                <w:tcPr>
                  <w:tcW w:w="2748" w:type="dxa"/>
                  <w:tcBorders>
                    <w:right w:val="single" w:color="auto" w:sz="4" w:space="0"/>
                  </w:tcBorders>
                  <w:noWrap/>
                  <w:vAlign w:val="center"/>
                </w:tcPr>
                <w:p w14:paraId="4E2EAB1F">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bCs/>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《恶臭污染物排放标准》（G</w:t>
                  </w:r>
                  <w:r>
                    <w:rPr>
                      <w:rFonts w:ascii="Times New Roman" w:hAnsi="Times New Roman" w:eastAsia="宋体" w:cs="Times New Roman"/>
                      <w:color w:val="000000" w:themeColor="text1"/>
                      <w:szCs w:val="21"/>
                      <w14:textFill>
                        <w14:solidFill>
                          <w14:schemeClr w14:val="tx1"/>
                        </w14:solidFill>
                      </w14:textFill>
                    </w:rPr>
                    <w:t>B14554</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93</w:t>
                  </w:r>
                  <w:r>
                    <w:rPr>
                      <w:rFonts w:hint="eastAsia" w:ascii="Times New Roman" w:hAnsi="Times New Roman" w:eastAsia="宋体" w:cs="Times New Roman"/>
                      <w:color w:val="000000" w:themeColor="text1"/>
                      <w:szCs w:val="21"/>
                      <w14:textFill>
                        <w14:solidFill>
                          <w14:schemeClr w14:val="tx1"/>
                        </w14:solidFill>
                      </w14:textFill>
                    </w:rPr>
                    <w:t>）</w:t>
                  </w:r>
                </w:p>
              </w:tc>
            </w:tr>
            <w:tr w14:paraId="2116E9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Merge w:val="restart"/>
                  <w:tcBorders>
                    <w:left w:val="single" w:color="auto" w:sz="4" w:space="0"/>
                  </w:tcBorders>
                  <w:noWrap/>
                  <w:vAlign w:val="center"/>
                </w:tcPr>
                <w:p w14:paraId="075C582B">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无组织监测</w:t>
                  </w:r>
                </w:p>
              </w:tc>
              <w:tc>
                <w:tcPr>
                  <w:tcW w:w="2066" w:type="dxa"/>
                  <w:vMerge w:val="restart"/>
                  <w:noWrap/>
                  <w:vAlign w:val="center"/>
                </w:tcPr>
                <w:p w14:paraId="3A296CE3">
                  <w:pPr>
                    <w:adjustRightInd w:val="0"/>
                    <w:spacing w:line="240" w:lineRule="auto"/>
                    <w:jc w:val="center"/>
                    <w:rPr>
                      <w:rFonts w:hint="eastAsia" w:cs="Times New Roman"/>
                      <w:color w:val="000000" w:themeColor="text1"/>
                      <w:kern w:val="0"/>
                      <w:szCs w:val="21"/>
                      <w:lang w:val="en-US" w:eastAsia="zh-CN"/>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厂界上风向1个点</w:t>
                  </w:r>
                  <w:r>
                    <w:rPr>
                      <w:rFonts w:hint="eastAsia"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bCs/>
                      <w:color w:val="000000" w:themeColor="text1"/>
                      <w:szCs w:val="21"/>
                      <w14:textFill>
                        <w14:solidFill>
                          <w14:schemeClr w14:val="tx1"/>
                        </w14:solidFill>
                      </w14:textFill>
                    </w:rPr>
                    <w:t>厂界下风向3个点</w:t>
                  </w:r>
                </w:p>
              </w:tc>
              <w:tc>
                <w:tcPr>
                  <w:tcW w:w="1445" w:type="dxa"/>
                  <w:noWrap/>
                  <w:vAlign w:val="center"/>
                </w:tcPr>
                <w:p w14:paraId="06BF5931">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NMHC</w:t>
                  </w:r>
                </w:p>
              </w:tc>
              <w:tc>
                <w:tcPr>
                  <w:tcW w:w="1131" w:type="dxa"/>
                  <w:noWrap/>
                  <w:vAlign w:val="center"/>
                </w:tcPr>
                <w:p w14:paraId="649C5D6D">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1次/半年</w:t>
                  </w:r>
                </w:p>
              </w:tc>
              <w:tc>
                <w:tcPr>
                  <w:tcW w:w="2748" w:type="dxa"/>
                  <w:tcBorders>
                    <w:right w:val="single" w:color="auto" w:sz="4" w:space="0"/>
                  </w:tcBorders>
                  <w:noWrap/>
                  <w:vAlign w:val="center"/>
                </w:tcPr>
                <w:p w14:paraId="0BFCCA66">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《大气污染物综合排放标准》（GB16297-1996）</w:t>
                  </w:r>
                </w:p>
              </w:tc>
            </w:tr>
            <w:tr w14:paraId="7236D8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43" w:type="dxa"/>
                  <w:vMerge w:val="continue"/>
                  <w:tcBorders>
                    <w:left w:val="single" w:color="auto" w:sz="4" w:space="0"/>
                  </w:tcBorders>
                  <w:noWrap/>
                  <w:vAlign w:val="center"/>
                </w:tcPr>
                <w:p w14:paraId="03B94C3B">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2066" w:type="dxa"/>
                  <w:vMerge w:val="continue"/>
                  <w:noWrap/>
                  <w:vAlign w:val="center"/>
                </w:tcPr>
                <w:p w14:paraId="5AF74BD0">
                  <w:pPr>
                    <w:adjustRightInd w:val="0"/>
                    <w:spacing w:line="240" w:lineRule="auto"/>
                    <w:jc w:val="center"/>
                    <w:rPr>
                      <w:rFonts w:ascii="Times New Roman" w:hAnsi="Times New Roman" w:eastAsia="宋体" w:cs="Times New Roman"/>
                      <w:bCs/>
                      <w:color w:val="000000" w:themeColor="text1"/>
                      <w:szCs w:val="21"/>
                      <w14:textFill>
                        <w14:solidFill>
                          <w14:schemeClr w14:val="tx1"/>
                        </w14:solidFill>
                      </w14:textFill>
                    </w:rPr>
                  </w:pPr>
                </w:p>
              </w:tc>
              <w:tc>
                <w:tcPr>
                  <w:tcW w:w="1445" w:type="dxa"/>
                  <w:noWrap/>
                  <w:vAlign w:val="center"/>
                </w:tcPr>
                <w:p w14:paraId="270A2ABC">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硫酸雾</w:t>
                  </w:r>
                </w:p>
              </w:tc>
              <w:tc>
                <w:tcPr>
                  <w:tcW w:w="1131" w:type="dxa"/>
                  <w:noWrap/>
                  <w:vAlign w:val="center"/>
                </w:tcPr>
                <w:p w14:paraId="1EB5217D">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1次/半年</w:t>
                  </w:r>
                </w:p>
              </w:tc>
              <w:tc>
                <w:tcPr>
                  <w:tcW w:w="2748" w:type="dxa"/>
                  <w:tcBorders>
                    <w:right w:val="single" w:color="auto" w:sz="4" w:space="0"/>
                  </w:tcBorders>
                  <w:noWrap/>
                  <w:vAlign w:val="center"/>
                </w:tcPr>
                <w:p w14:paraId="70393D0A">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《大气污染物综合排放标准》（GB16297-1996）</w:t>
                  </w:r>
                </w:p>
              </w:tc>
            </w:tr>
            <w:tr w14:paraId="62D231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Merge w:val="continue"/>
                  <w:tcBorders>
                    <w:left w:val="single" w:color="auto" w:sz="4" w:space="0"/>
                  </w:tcBorders>
                  <w:noWrap/>
                  <w:vAlign w:val="center"/>
                </w:tcPr>
                <w:p w14:paraId="18E175FF">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2066" w:type="dxa"/>
                  <w:vMerge w:val="continue"/>
                  <w:noWrap/>
                  <w:vAlign w:val="center"/>
                </w:tcPr>
                <w:p w14:paraId="7F053E9E">
                  <w:pPr>
                    <w:adjustRightInd w:val="0"/>
                    <w:spacing w:line="240" w:lineRule="auto"/>
                    <w:jc w:val="center"/>
                    <w:rPr>
                      <w:rFonts w:ascii="Times New Roman" w:hAnsi="Times New Roman" w:eastAsia="宋体" w:cs="Times New Roman"/>
                      <w:bCs/>
                      <w:color w:val="000000" w:themeColor="text1"/>
                      <w:szCs w:val="21"/>
                      <w14:textFill>
                        <w14:solidFill>
                          <w14:schemeClr w14:val="tx1"/>
                        </w14:solidFill>
                      </w14:textFill>
                    </w:rPr>
                  </w:pPr>
                </w:p>
              </w:tc>
              <w:tc>
                <w:tcPr>
                  <w:tcW w:w="1445" w:type="dxa"/>
                  <w:noWrap/>
                  <w:vAlign w:val="center"/>
                </w:tcPr>
                <w:p w14:paraId="336B3C35">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臭气浓度</w:t>
                  </w:r>
                  <w:r>
                    <w:rPr>
                      <w:rFonts w:hint="eastAsia"/>
                      <w:color w:val="000000" w:themeColor="text1"/>
                      <w:szCs w:val="20"/>
                      <w:vertAlign w:val="baseline"/>
                      <w:lang w:val="en-US" w:eastAsia="zh-CN"/>
                      <w14:textFill>
                        <w14:solidFill>
                          <w14:schemeClr w14:val="tx1"/>
                        </w14:solidFill>
                      </w14:textFill>
                    </w:rPr>
                    <w:t>、氨、硫化氢</w:t>
                  </w:r>
                </w:p>
              </w:tc>
              <w:tc>
                <w:tcPr>
                  <w:tcW w:w="1131" w:type="dxa"/>
                  <w:noWrap/>
                  <w:vAlign w:val="center"/>
                </w:tcPr>
                <w:p w14:paraId="247AADB4">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1次/半年</w:t>
                  </w:r>
                </w:p>
              </w:tc>
              <w:tc>
                <w:tcPr>
                  <w:tcW w:w="2748" w:type="dxa"/>
                  <w:tcBorders>
                    <w:right w:val="single" w:color="auto" w:sz="4" w:space="0"/>
                  </w:tcBorders>
                  <w:noWrap/>
                  <w:vAlign w:val="center"/>
                </w:tcPr>
                <w:p w14:paraId="3A56EF88">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《恶臭污染物排放标准》（G</w:t>
                  </w:r>
                  <w:r>
                    <w:rPr>
                      <w:rFonts w:ascii="Times New Roman" w:hAnsi="Times New Roman" w:eastAsia="宋体" w:cs="Times New Roman"/>
                      <w:color w:val="000000" w:themeColor="text1"/>
                      <w:szCs w:val="21"/>
                      <w14:textFill>
                        <w14:solidFill>
                          <w14:schemeClr w14:val="tx1"/>
                        </w14:solidFill>
                      </w14:textFill>
                    </w:rPr>
                    <w:t>B14554</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93</w:t>
                  </w:r>
                  <w:r>
                    <w:rPr>
                      <w:rFonts w:hint="eastAsia" w:ascii="Times New Roman" w:hAnsi="Times New Roman" w:eastAsia="宋体" w:cs="Times New Roman"/>
                      <w:color w:val="000000" w:themeColor="text1"/>
                      <w:szCs w:val="21"/>
                      <w14:textFill>
                        <w14:solidFill>
                          <w14:schemeClr w14:val="tx1"/>
                        </w14:solidFill>
                      </w14:textFill>
                    </w:rPr>
                    <w:t>）</w:t>
                  </w:r>
                </w:p>
              </w:tc>
            </w:tr>
            <w:tr w14:paraId="426CDB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Merge w:val="continue"/>
                  <w:tcBorders>
                    <w:left w:val="single" w:color="auto" w:sz="4" w:space="0"/>
                  </w:tcBorders>
                  <w:noWrap/>
                  <w:vAlign w:val="center"/>
                </w:tcPr>
                <w:p w14:paraId="7D4141E8">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2066" w:type="dxa"/>
                  <w:noWrap/>
                  <w:vAlign w:val="center"/>
                </w:tcPr>
                <w:p w14:paraId="7A50BEF1">
                  <w:pPr>
                    <w:widowControl/>
                    <w:adjustRightInd w:val="0"/>
                    <w:snapToGrid w:val="0"/>
                    <w:spacing w:line="240" w:lineRule="auto"/>
                    <w:jc w:val="center"/>
                    <w:rPr>
                      <w:rFonts w:hint="eastAsia"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贮存库</w:t>
                  </w:r>
                  <w:r>
                    <w:rPr>
                      <w:rFonts w:ascii="Times New Roman" w:hAnsi="Times New Roman" w:eastAsia="宋体" w:cs="Times New Roman"/>
                      <w:color w:val="000000" w:themeColor="text1"/>
                      <w:kern w:val="0"/>
                      <w:szCs w:val="21"/>
                      <w14:textFill>
                        <w14:solidFill>
                          <w14:schemeClr w14:val="tx1"/>
                        </w14:solidFill>
                      </w14:textFill>
                    </w:rPr>
                    <w:t>外</w:t>
                  </w:r>
                  <w:r>
                    <w:rPr>
                      <w:rFonts w:hint="eastAsia" w:ascii="Times New Roman" w:hAnsi="Times New Roman" w:eastAsia="宋体" w:cs="Times New Roman"/>
                      <w:color w:val="000000" w:themeColor="text1"/>
                      <w:kern w:val="0"/>
                      <w:szCs w:val="21"/>
                      <w14:textFill>
                        <w14:solidFill>
                          <w14:schemeClr w14:val="tx1"/>
                        </w14:solidFill>
                      </w14:textFill>
                    </w:rPr>
                    <w:t>任意1个点</w:t>
                  </w:r>
                </w:p>
              </w:tc>
              <w:tc>
                <w:tcPr>
                  <w:tcW w:w="1445" w:type="dxa"/>
                  <w:noWrap/>
                  <w:vAlign w:val="center"/>
                </w:tcPr>
                <w:p w14:paraId="1A5120CE">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NMHC</w:t>
                  </w:r>
                </w:p>
              </w:tc>
              <w:tc>
                <w:tcPr>
                  <w:tcW w:w="1131" w:type="dxa"/>
                  <w:noWrap/>
                  <w:vAlign w:val="center"/>
                </w:tcPr>
                <w:p w14:paraId="0EEE0317">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cs="Times New Roman"/>
                      <w:bCs/>
                      <w:color w:val="000000" w:themeColor="text1"/>
                      <w:kern w:val="0"/>
                      <w:szCs w:val="21"/>
                      <w:lang w:val="en-US"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1次/半年</w:t>
                  </w:r>
                </w:p>
              </w:tc>
              <w:tc>
                <w:tcPr>
                  <w:tcW w:w="2748" w:type="dxa"/>
                  <w:tcBorders>
                    <w:right w:val="single" w:color="auto" w:sz="4" w:space="0"/>
                  </w:tcBorders>
                  <w:noWrap/>
                  <w:vAlign w:val="center"/>
                </w:tcPr>
                <w:p w14:paraId="57593461">
                  <w:pPr>
                    <w:keepNext/>
                    <w:keepLines w:val="0"/>
                    <w:pageBreakBefore w:val="0"/>
                    <w:widowControl w:val="0"/>
                    <w:tabs>
                      <w:tab w:val="center" w:pos="4153"/>
                      <w:tab w:val="right" w:pos="8306"/>
                    </w:tabs>
                    <w:kinsoku/>
                    <w:wordWrap/>
                    <w:overflowPunct/>
                    <w:topLinePunct w:val="0"/>
                    <w:autoSpaceDE/>
                    <w:autoSpaceDN/>
                    <w:bidi w:val="0"/>
                    <w:adjustRightInd/>
                    <w:snapToGrid/>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《挥发性有机物无组织排放控制标准》（GB37822-2019）</w:t>
                  </w:r>
                </w:p>
              </w:tc>
            </w:tr>
          </w:tbl>
          <w:p w14:paraId="3A553CE3">
            <w:pPr>
              <w:keepNext/>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4.2.2运营期废水环境影响及保护措施</w:t>
            </w:r>
          </w:p>
          <w:p w14:paraId="09D2B92A">
            <w:pPr>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14:textFill>
                  <w14:solidFill>
                    <w14:schemeClr w14:val="tx1"/>
                  </w14:solidFill>
                </w14:textFill>
              </w:rPr>
              <w:t>1</w:t>
            </w:r>
            <w:r>
              <w:rPr>
                <w:rFonts w:ascii="Times New Roman" w:hAnsi="Times New Roman" w:eastAsia="宋体"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项目用水</w:t>
            </w:r>
            <w:r>
              <w:rPr>
                <w:rFonts w:hint="eastAsia" w:ascii="Times New Roman" w:hAnsi="Times New Roman" w:eastAsia="宋体" w:cs="Times New Roman"/>
                <w:b/>
                <w:bCs/>
                <w:color w:val="000000" w:themeColor="text1"/>
                <w:sz w:val="24"/>
                <w14:textFill>
                  <w14:solidFill>
                    <w14:schemeClr w14:val="tx1"/>
                  </w14:solidFill>
                </w14:textFill>
              </w:rPr>
              <w:t>、排水情况</w:t>
            </w:r>
          </w:p>
          <w:p w14:paraId="62DE6D21">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项目为危险废物收集、贮存项目，贮存过程中无生产用水环节。贮存库地面清洁采用</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拖把干拖，无地面清洗废水产生。</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项目不设运输车辆清洗，无车辆清洗废水产生。项目主要废水为员工生活污水</w:t>
            </w:r>
            <w:r>
              <w:rPr>
                <w:rFonts w:hint="eastAsia" w:cs="Times New Roman"/>
                <w:color w:val="000000" w:themeColor="text1"/>
                <w:kern w:val="2"/>
                <w:sz w:val="24"/>
                <w:szCs w:val="24"/>
                <w:lang w:val="en-US" w:eastAsia="zh-CN" w:bidi="ar-SA"/>
                <w14:textFill>
                  <w14:solidFill>
                    <w14:schemeClr w14:val="tx1"/>
                  </w14:solidFill>
                </w14:textFill>
              </w:rPr>
              <w:t>、碱洗塔产生碱洗废水</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p>
          <w:p w14:paraId="1BE7F7FE">
            <w:pPr>
              <w:keepNext/>
              <w:keepLines w:val="0"/>
              <w:pageBreakBefore w:val="0"/>
              <w:widowControl w:val="0"/>
              <w:kinsoku/>
              <w:wordWrap/>
              <w:overflowPunct/>
              <w:topLinePunct w:val="0"/>
              <w:autoSpaceDE/>
              <w:autoSpaceDN/>
              <w:bidi w:val="0"/>
              <w:adjustRightInd/>
              <w:snapToGrid/>
              <w:spacing w:line="360" w:lineRule="auto"/>
              <w:ind w:firstLine="482" w:firstLineChars="20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（1）项目员工生活用排水情况</w:t>
            </w:r>
          </w:p>
          <w:p w14:paraId="2EA2BB04">
            <w:pPr>
              <w:keepNext/>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olor w:val="00B050"/>
                <w:kern w:val="21"/>
                <w:sz w:val="24"/>
                <w:lang w:val="en-US" w:eastAsia="zh-CN"/>
              </w:rPr>
            </w:pPr>
            <w:r>
              <w:rPr>
                <w:rFonts w:hint="eastAsia" w:ascii="Times New Roman" w:hAnsi="Times New Roman" w:eastAsia="宋体" w:cs="Times New Roman"/>
                <w:color w:val="00B050"/>
                <w:kern w:val="2"/>
                <w:sz w:val="24"/>
                <w:szCs w:val="24"/>
                <w:lang w:val="en-US" w:eastAsia="zh-CN" w:bidi="ar-SA"/>
              </w:rPr>
              <w:t>项目</w:t>
            </w:r>
            <w:r>
              <w:rPr>
                <w:rFonts w:hint="eastAsia" w:ascii="Times New Roman" w:hAnsi="Times New Roman" w:cs="Times New Roman"/>
                <w:color w:val="00B050"/>
                <w:kern w:val="2"/>
                <w:sz w:val="24"/>
                <w:szCs w:val="24"/>
                <w:lang w:val="en-US" w:eastAsia="zh-CN" w:bidi="ar-SA"/>
              </w:rPr>
              <w:t>内</w:t>
            </w:r>
            <w:r>
              <w:rPr>
                <w:rFonts w:hint="eastAsia" w:ascii="Times New Roman" w:hAnsi="Times New Roman" w:eastAsia="宋体" w:cs="Times New Roman"/>
                <w:color w:val="00B050"/>
                <w:kern w:val="2"/>
                <w:sz w:val="24"/>
                <w:szCs w:val="24"/>
                <w:lang w:val="en-US" w:eastAsia="zh-CN" w:bidi="ar-SA"/>
              </w:rPr>
              <w:t>不设食宿，劳动定员</w:t>
            </w:r>
            <w:r>
              <w:rPr>
                <w:rFonts w:hint="eastAsia" w:cs="Times New Roman"/>
                <w:color w:val="00B050"/>
                <w:kern w:val="2"/>
                <w:sz w:val="24"/>
                <w:szCs w:val="24"/>
                <w:lang w:val="en-US" w:eastAsia="zh-CN" w:bidi="ar-SA"/>
              </w:rPr>
              <w:t>5</w:t>
            </w:r>
            <w:r>
              <w:rPr>
                <w:rFonts w:hint="eastAsia" w:ascii="Times New Roman" w:hAnsi="Times New Roman" w:eastAsia="宋体" w:cs="Times New Roman"/>
                <w:color w:val="00B050"/>
                <w:kern w:val="2"/>
                <w:sz w:val="24"/>
                <w:szCs w:val="24"/>
                <w:lang w:val="en-US" w:eastAsia="zh-CN" w:bidi="ar-SA"/>
              </w:rPr>
              <w:t>人，</w:t>
            </w:r>
            <w:r>
              <w:rPr>
                <w:rFonts w:hint="eastAsia" w:ascii="Times New Roman" w:hAnsi="Times New Roman" w:cs="Times New Roman"/>
                <w:color w:val="00B050"/>
                <w:sz w:val="24"/>
                <w:lang w:val="en-US" w:eastAsia="zh-CN"/>
              </w:rPr>
              <w:t>参考《云南省用水定额》（DB53/T-2019），劳动人员生活用水按50L/d·人计，</w:t>
            </w:r>
            <w:r>
              <w:rPr>
                <w:rFonts w:hint="eastAsia" w:cs="Times New Roman"/>
                <w:color w:val="00B050"/>
                <w:sz w:val="24"/>
                <w:lang w:val="en-US" w:eastAsia="zh-CN"/>
              </w:rPr>
              <w:t>项目用水量为：</w:t>
            </w:r>
            <w:r>
              <w:rPr>
                <w:rFonts w:hint="eastAsia" w:ascii="Times New Roman" w:hAnsi="Times New Roman" w:cs="Times New Roman"/>
                <w:color w:val="00B050"/>
                <w:sz w:val="24"/>
                <w:lang w:val="en-US" w:eastAsia="zh-CN"/>
              </w:rPr>
              <w:t>0.</w:t>
            </w:r>
            <w:r>
              <w:rPr>
                <w:rFonts w:hint="eastAsia" w:cs="Times New Roman"/>
                <w:color w:val="00B050"/>
                <w:sz w:val="24"/>
                <w:lang w:val="en-US" w:eastAsia="zh-CN"/>
              </w:rPr>
              <w:t>25</w:t>
            </w:r>
            <w:r>
              <w:rPr>
                <w:rFonts w:hint="eastAsia" w:ascii="Times New Roman" w:hAnsi="Times New Roman" w:cs="Times New Roman"/>
                <w:color w:val="00B050"/>
                <w:sz w:val="24"/>
                <w:lang w:val="en-US" w:eastAsia="zh-CN"/>
              </w:rPr>
              <w:t>m</w:t>
            </w:r>
            <w:r>
              <w:rPr>
                <w:rFonts w:hint="eastAsia" w:ascii="Times New Roman" w:hAnsi="Times New Roman" w:cs="Times New Roman"/>
                <w:color w:val="00B050"/>
                <w:sz w:val="24"/>
                <w:vertAlign w:val="superscript"/>
                <w:lang w:val="en-US" w:eastAsia="zh-CN"/>
              </w:rPr>
              <w:t>3</w:t>
            </w:r>
            <w:r>
              <w:rPr>
                <w:rFonts w:hint="eastAsia" w:ascii="Times New Roman" w:hAnsi="Times New Roman" w:cs="Times New Roman"/>
                <w:color w:val="00B050"/>
                <w:sz w:val="24"/>
                <w:lang w:val="en-US" w:eastAsia="zh-CN"/>
              </w:rPr>
              <w:t>/d（88.75m</w:t>
            </w:r>
            <w:r>
              <w:rPr>
                <w:rFonts w:hint="eastAsia" w:ascii="Times New Roman" w:hAnsi="Times New Roman" w:cs="Times New Roman"/>
                <w:color w:val="00B050"/>
                <w:sz w:val="24"/>
                <w:vertAlign w:val="superscript"/>
                <w:lang w:val="en-US" w:eastAsia="zh-CN"/>
              </w:rPr>
              <w:t>3</w:t>
            </w:r>
            <w:r>
              <w:rPr>
                <w:rFonts w:hint="eastAsia" w:ascii="Times New Roman" w:hAnsi="Times New Roman" w:cs="Times New Roman"/>
                <w:color w:val="00B050"/>
                <w:sz w:val="24"/>
                <w:lang w:val="en-US" w:eastAsia="zh-CN"/>
              </w:rPr>
              <w:t>/a），生活污水产生量按用水量的0.8计，则生活污水产生量为</w:t>
            </w:r>
            <w:r>
              <w:rPr>
                <w:rFonts w:hint="eastAsia" w:cs="Times New Roman"/>
                <w:color w:val="00B050"/>
                <w:sz w:val="24"/>
                <w:lang w:val="en-US" w:eastAsia="zh-CN"/>
              </w:rPr>
              <w:t>0.2</w:t>
            </w:r>
            <w:r>
              <w:rPr>
                <w:rFonts w:hint="eastAsia" w:ascii="Times New Roman" w:hAnsi="Times New Roman" w:cs="Times New Roman"/>
                <w:color w:val="00B050"/>
                <w:sz w:val="24"/>
                <w:lang w:val="en-US" w:eastAsia="zh-CN"/>
              </w:rPr>
              <w:t>m</w:t>
            </w:r>
            <w:r>
              <w:rPr>
                <w:rFonts w:hint="eastAsia" w:ascii="Times New Roman" w:hAnsi="Times New Roman" w:cs="Times New Roman"/>
                <w:color w:val="00B050"/>
                <w:sz w:val="24"/>
                <w:vertAlign w:val="superscript"/>
                <w:lang w:val="en-US" w:eastAsia="zh-CN"/>
              </w:rPr>
              <w:t>3</w:t>
            </w:r>
            <w:r>
              <w:rPr>
                <w:rFonts w:hint="eastAsia" w:ascii="Times New Roman" w:hAnsi="Times New Roman" w:cs="Times New Roman"/>
                <w:color w:val="00B050"/>
                <w:sz w:val="24"/>
                <w:lang w:val="en-US" w:eastAsia="zh-CN"/>
              </w:rPr>
              <w:t>/d（</w:t>
            </w:r>
            <w:r>
              <w:rPr>
                <w:rFonts w:hint="eastAsia" w:cs="Times New Roman"/>
                <w:color w:val="00B050"/>
                <w:sz w:val="24"/>
                <w:lang w:val="en-US" w:eastAsia="zh-CN"/>
              </w:rPr>
              <w:t>71</w:t>
            </w:r>
            <w:r>
              <w:rPr>
                <w:rFonts w:hint="eastAsia" w:ascii="Times New Roman" w:hAnsi="Times New Roman" w:cs="Times New Roman"/>
                <w:color w:val="00B050"/>
                <w:sz w:val="24"/>
                <w:lang w:val="en-US" w:eastAsia="zh-CN"/>
              </w:rPr>
              <w:t>m</w:t>
            </w:r>
            <w:r>
              <w:rPr>
                <w:rFonts w:hint="eastAsia" w:ascii="Times New Roman" w:hAnsi="Times New Roman" w:cs="Times New Roman"/>
                <w:color w:val="00B050"/>
                <w:sz w:val="24"/>
                <w:vertAlign w:val="superscript"/>
                <w:lang w:val="en-US" w:eastAsia="zh-CN"/>
              </w:rPr>
              <w:t>3</w:t>
            </w:r>
            <w:r>
              <w:rPr>
                <w:rFonts w:hint="eastAsia" w:ascii="Times New Roman" w:hAnsi="Times New Roman" w:cs="Times New Roman"/>
                <w:color w:val="00B050"/>
                <w:sz w:val="24"/>
                <w:lang w:val="en-US" w:eastAsia="zh-CN"/>
              </w:rPr>
              <w:t>/a）。生活污水</w:t>
            </w:r>
            <w:r>
              <w:rPr>
                <w:rFonts w:hint="eastAsia"/>
                <w:color w:val="00B050"/>
                <w:kern w:val="21"/>
                <w:sz w:val="24"/>
                <w:lang w:val="en-US" w:eastAsia="zh-CN"/>
              </w:rPr>
              <w:t>依托</w:t>
            </w:r>
            <w:r>
              <w:rPr>
                <w:rFonts w:hint="eastAsia"/>
                <w:color w:val="00B050"/>
                <w:sz w:val="24"/>
                <w:lang w:val="en-US" w:eastAsia="zh-CN"/>
              </w:rPr>
              <w:t>曲靖市东五六供应链管理有限公司</w:t>
            </w:r>
            <w:r>
              <w:rPr>
                <w:rFonts w:hint="eastAsia"/>
                <w:color w:val="00B050"/>
                <w:kern w:val="21"/>
                <w:sz w:val="24"/>
                <w:lang w:val="en-US" w:eastAsia="zh-CN"/>
              </w:rPr>
              <w:t>已建化粪池（容积：10m</w:t>
            </w:r>
            <w:r>
              <w:rPr>
                <w:rFonts w:hint="eastAsia"/>
                <w:color w:val="00B050"/>
                <w:kern w:val="21"/>
                <w:sz w:val="24"/>
                <w:vertAlign w:val="superscript"/>
                <w:lang w:val="en-US" w:eastAsia="zh-CN"/>
              </w:rPr>
              <w:t>3</w:t>
            </w:r>
            <w:r>
              <w:rPr>
                <w:rFonts w:hint="eastAsia"/>
                <w:color w:val="00B050"/>
                <w:kern w:val="21"/>
                <w:sz w:val="24"/>
                <w:lang w:val="en-US" w:eastAsia="zh-CN"/>
              </w:rPr>
              <w:t>）收集</w:t>
            </w:r>
            <w:r>
              <w:rPr>
                <w:rFonts w:hint="eastAsia" w:ascii="Times New Roman" w:hAnsi="Times New Roman" w:cs="Times New Roman"/>
                <w:color w:val="00B050"/>
                <w:sz w:val="24"/>
                <w:vertAlign w:val="baseline"/>
                <w:lang w:val="en-US" w:eastAsia="zh-CN"/>
              </w:rPr>
              <w:t>后委托</w:t>
            </w:r>
            <w:r>
              <w:rPr>
                <w:rFonts w:hint="eastAsia" w:ascii="Times New Roman" w:hAnsi="Times New Roman" w:eastAsia="宋体" w:cs="Times New Roman"/>
                <w:bCs/>
                <w:color w:val="00B050"/>
                <w:spacing w:val="-10"/>
                <w:sz w:val="24"/>
                <w:szCs w:val="24"/>
                <w:highlight w:val="none"/>
                <w:lang w:val="en-US" w:eastAsia="zh-CN"/>
              </w:rPr>
              <w:t>麒麟区</w:t>
            </w:r>
            <w:r>
              <w:rPr>
                <w:rFonts w:hint="default" w:ascii="Times New Roman" w:hAnsi="Times New Roman" w:eastAsia="宋体" w:cs="Times New Roman"/>
                <w:bCs/>
                <w:color w:val="00B050"/>
                <w:spacing w:val="-10"/>
                <w:sz w:val="24"/>
                <w:szCs w:val="24"/>
                <w:highlight w:val="none"/>
              </w:rPr>
              <w:t>环卫部门</w:t>
            </w:r>
            <w:r>
              <w:rPr>
                <w:rFonts w:hint="eastAsia" w:ascii="Times New Roman" w:hAnsi="Times New Roman" w:cs="Times New Roman"/>
                <w:color w:val="00B050"/>
                <w:sz w:val="24"/>
                <w:vertAlign w:val="baseline"/>
                <w:lang w:val="en-US" w:eastAsia="zh-CN"/>
              </w:rPr>
              <w:t>清掏处理</w:t>
            </w:r>
            <w:r>
              <w:rPr>
                <w:rFonts w:hint="eastAsia"/>
                <w:color w:val="00B050"/>
                <w:kern w:val="21"/>
                <w:sz w:val="24"/>
                <w:lang w:val="en-US" w:eastAsia="zh-CN"/>
              </w:rPr>
              <w:t>，不外排。</w:t>
            </w:r>
          </w:p>
          <w:p w14:paraId="7722C7DD">
            <w:pPr>
              <w:keepNext/>
              <w:keepLines w:val="0"/>
              <w:pageBreakBefore w:val="0"/>
              <w:widowControl w:val="0"/>
              <w:numPr>
                <w:ilvl w:val="0"/>
                <w:numId w:val="0"/>
              </w:numPr>
              <w:kinsoku/>
              <w:wordWrap/>
              <w:overflowPunct/>
              <w:topLinePunct w:val="0"/>
              <w:autoSpaceDE/>
              <w:autoSpaceDN/>
              <w:bidi w:val="0"/>
              <w:adjustRightInd/>
              <w:snapToGrid/>
              <w:spacing w:line="360" w:lineRule="auto"/>
              <w:ind w:leftChars="200"/>
              <w:rPr>
                <w:rFonts w:hint="eastAsia" w:cs="Times New Roman"/>
                <w:b/>
                <w:bCs/>
                <w:color w:val="00B050"/>
                <w:kern w:val="2"/>
                <w:sz w:val="24"/>
                <w:szCs w:val="24"/>
                <w:lang w:val="en-US" w:eastAsia="zh-CN" w:bidi="ar-SA"/>
              </w:rPr>
            </w:pPr>
            <w:r>
              <w:rPr>
                <w:rFonts w:hint="eastAsia" w:cs="Times New Roman"/>
                <w:b/>
                <w:bCs/>
                <w:color w:val="00B050"/>
                <w:kern w:val="2"/>
                <w:sz w:val="24"/>
                <w:szCs w:val="24"/>
                <w:lang w:val="en-US" w:eastAsia="zh-CN" w:bidi="ar-SA"/>
              </w:rPr>
              <w:t>（2）碱洗塔产生碱洗废水</w:t>
            </w:r>
          </w:p>
          <w:p w14:paraId="040169B7">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00B050"/>
                <w:kern w:val="2"/>
                <w:sz w:val="24"/>
                <w:szCs w:val="24"/>
                <w:lang w:val="en-US" w:eastAsia="zh-CN" w:bidi="ar-SA"/>
              </w:rPr>
            </w:pPr>
            <w:r>
              <w:rPr>
                <w:rFonts w:hint="eastAsia" w:ascii="Times New Roman" w:hAnsi="Times New Roman" w:eastAsia="宋体" w:cs="Times New Roman"/>
                <w:color w:val="00B050"/>
                <w:kern w:val="2"/>
                <w:sz w:val="24"/>
                <w:szCs w:val="24"/>
                <w:lang w:val="en-US" w:eastAsia="zh-CN" w:bidi="ar-SA"/>
              </w:rPr>
              <w:t>项目设置1套碱洗塔用于处理废铅蓄电池贮存区产生的酸性废气，碱洗塔处理酸性废气过程产生碱洗废水</w:t>
            </w:r>
            <w:r>
              <w:rPr>
                <w:rFonts w:hint="eastAsia" w:ascii="Times New Roman" w:hAnsi="Times New Roman" w:cs="Times New Roman"/>
                <w:color w:val="00B050"/>
                <w:kern w:val="2"/>
                <w:sz w:val="24"/>
                <w:szCs w:val="24"/>
                <w:lang w:val="en-US" w:eastAsia="zh-CN" w:bidi="ar-SA"/>
              </w:rPr>
              <w:t>，根据建设单位提供资料，项目</w:t>
            </w:r>
            <w:r>
              <w:rPr>
                <w:rFonts w:hint="eastAsia" w:ascii="Times New Roman" w:hAnsi="Times New Roman" w:eastAsia="宋体" w:cs="Times New Roman"/>
                <w:color w:val="00B050"/>
                <w:kern w:val="2"/>
                <w:sz w:val="24"/>
                <w:szCs w:val="24"/>
                <w:lang w:val="en-US" w:eastAsia="zh-CN" w:bidi="ar-SA"/>
              </w:rPr>
              <w:t>碱洗塔</w:t>
            </w:r>
            <w:r>
              <w:rPr>
                <w:rFonts w:hint="eastAsia" w:ascii="Times New Roman" w:hAnsi="Times New Roman" w:cs="Times New Roman"/>
                <w:color w:val="00B050"/>
                <w:kern w:val="2"/>
                <w:sz w:val="24"/>
                <w:szCs w:val="24"/>
                <w:lang w:val="en-US" w:eastAsia="zh-CN" w:bidi="ar-SA"/>
              </w:rPr>
              <w:t>运营期每运营3年进行一次碱水更换，更换产生废水量约为0.3m</w:t>
            </w:r>
            <w:r>
              <w:rPr>
                <w:rFonts w:hint="eastAsia" w:ascii="Times New Roman" w:hAnsi="Times New Roman" w:cs="Times New Roman"/>
                <w:color w:val="00B050"/>
                <w:kern w:val="2"/>
                <w:sz w:val="24"/>
                <w:szCs w:val="24"/>
                <w:vertAlign w:val="superscript"/>
                <w:lang w:val="en-US" w:eastAsia="zh-CN" w:bidi="ar-SA"/>
              </w:rPr>
              <w:t>3</w:t>
            </w:r>
            <w:r>
              <w:rPr>
                <w:rFonts w:hint="eastAsia" w:ascii="Times New Roman" w:hAnsi="Times New Roman" w:cs="Times New Roman"/>
                <w:color w:val="00B050"/>
                <w:kern w:val="2"/>
                <w:sz w:val="24"/>
                <w:szCs w:val="24"/>
                <w:vertAlign w:val="baseline"/>
                <w:lang w:val="en-US" w:eastAsia="zh-CN" w:bidi="ar-SA"/>
              </w:rPr>
              <w:t>，</w:t>
            </w:r>
            <w:r>
              <w:rPr>
                <w:rFonts w:hint="eastAsia" w:ascii="Times New Roman" w:hAnsi="Times New Roman" w:cs="Times New Roman"/>
                <w:b/>
                <w:bCs/>
                <w:color w:val="00B050"/>
                <w:kern w:val="2"/>
                <w:sz w:val="24"/>
                <w:szCs w:val="24"/>
                <w:vertAlign w:val="baseline"/>
                <w:lang w:val="en-US" w:eastAsia="zh-CN" w:bidi="ar-SA"/>
              </w:rPr>
              <w:t>环评要求：</w:t>
            </w:r>
            <w:r>
              <w:rPr>
                <w:rFonts w:hint="eastAsia" w:ascii="Times New Roman" w:hAnsi="Times New Roman" w:cs="Times New Roman"/>
                <w:b w:val="0"/>
                <w:bCs w:val="0"/>
                <w:color w:val="00B050"/>
                <w:kern w:val="2"/>
                <w:sz w:val="24"/>
                <w:szCs w:val="24"/>
                <w:vertAlign w:val="baseline"/>
                <w:lang w:val="en-US" w:eastAsia="zh-CN" w:bidi="ar-SA"/>
              </w:rPr>
              <w:t>项目产生</w:t>
            </w:r>
            <w:r>
              <w:rPr>
                <w:rFonts w:hint="eastAsia" w:cs="Times New Roman"/>
                <w:b w:val="0"/>
                <w:bCs w:val="0"/>
                <w:color w:val="00B050"/>
                <w:kern w:val="2"/>
                <w:sz w:val="24"/>
                <w:szCs w:val="24"/>
                <w:lang w:val="en-US" w:eastAsia="zh-CN" w:bidi="ar-SA"/>
              </w:rPr>
              <w:t>碱洗废水经0.5m</w:t>
            </w:r>
            <w:r>
              <w:rPr>
                <w:rFonts w:hint="eastAsia" w:cs="Times New Roman"/>
                <w:b w:val="0"/>
                <w:bCs w:val="0"/>
                <w:color w:val="00B050"/>
                <w:kern w:val="2"/>
                <w:sz w:val="24"/>
                <w:szCs w:val="24"/>
                <w:vertAlign w:val="superscript"/>
                <w:lang w:val="en-US" w:eastAsia="zh-CN" w:bidi="ar-SA"/>
              </w:rPr>
              <w:t>3</w:t>
            </w:r>
            <w:r>
              <w:rPr>
                <w:rFonts w:hint="eastAsia" w:cs="Times New Roman"/>
                <w:b w:val="0"/>
                <w:bCs w:val="0"/>
                <w:color w:val="00B050"/>
                <w:kern w:val="2"/>
                <w:sz w:val="24"/>
                <w:szCs w:val="24"/>
                <w:vertAlign w:val="baseline"/>
                <w:lang w:val="en-US" w:eastAsia="zh-CN" w:bidi="ar-SA"/>
              </w:rPr>
              <w:t>收集桶收集后委托</w:t>
            </w:r>
            <w:r>
              <w:rPr>
                <w:rFonts w:hint="eastAsia" w:cs="Times New Roman"/>
                <w:b w:val="0"/>
                <w:bCs w:val="0"/>
                <w:color w:val="00B050"/>
                <w:kern w:val="2"/>
                <w:sz w:val="24"/>
                <w:szCs w:val="24"/>
                <w:lang w:val="en-US" w:eastAsia="zh-CN" w:bidi="ar-SA"/>
              </w:rPr>
              <w:t>碱洗废水处置单位进行清运处置。</w:t>
            </w:r>
          </w:p>
          <w:p w14:paraId="3DEA7C1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B050"/>
                <w:sz w:val="24"/>
                <w:lang w:val="en-US" w:eastAsia="zh-CN"/>
              </w:rPr>
            </w:pPr>
            <w:r>
              <w:rPr>
                <w:rFonts w:hint="eastAsia" w:ascii="Times New Roman" w:hAnsi="Times New Roman" w:cs="Times New Roman"/>
                <w:b/>
                <w:bCs/>
                <w:color w:val="00B050"/>
                <w:sz w:val="24"/>
                <w:lang w:val="en-US" w:eastAsia="zh-CN"/>
              </w:rPr>
              <w:t>2</w:t>
            </w:r>
            <w:r>
              <w:rPr>
                <w:rFonts w:ascii="Times New Roman" w:hAnsi="Times New Roman" w:eastAsia="宋体" w:cs="Times New Roman"/>
                <w:b/>
                <w:bCs/>
                <w:color w:val="00B050"/>
                <w:sz w:val="24"/>
              </w:rPr>
              <w:t>、</w:t>
            </w:r>
            <w:r>
              <w:rPr>
                <w:rFonts w:hint="eastAsia" w:cs="Times New Roman"/>
                <w:b/>
                <w:bCs/>
                <w:color w:val="00B050"/>
                <w:sz w:val="24"/>
                <w:lang w:val="en-US" w:eastAsia="zh-CN"/>
              </w:rPr>
              <w:t>项目</w:t>
            </w:r>
            <w:r>
              <w:rPr>
                <w:rFonts w:hint="eastAsia" w:ascii="Times New Roman" w:hAnsi="Times New Roman" w:cs="Times New Roman"/>
                <w:b/>
                <w:bCs/>
                <w:color w:val="00B050"/>
                <w:sz w:val="24"/>
                <w:lang w:val="en-US" w:eastAsia="zh-CN"/>
              </w:rPr>
              <w:t>废水不外排可行性分析</w:t>
            </w:r>
          </w:p>
          <w:p w14:paraId="7DDAFF73">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00B050"/>
                <w:kern w:val="2"/>
                <w:sz w:val="24"/>
                <w:szCs w:val="24"/>
                <w:lang w:val="en-US" w:eastAsia="zh-CN" w:bidi="ar-SA"/>
              </w:rPr>
            </w:pPr>
            <w:r>
              <w:rPr>
                <w:rFonts w:hint="default" w:ascii="Times New Roman" w:hAnsi="Times New Roman" w:eastAsia="宋体" w:cs="Times New Roman"/>
                <w:color w:val="00B050"/>
                <w:kern w:val="2"/>
                <w:sz w:val="24"/>
                <w:szCs w:val="24"/>
                <w:lang w:val="en-US" w:eastAsia="zh-CN" w:bidi="ar-SA"/>
              </w:rPr>
              <w:t>根据《建筑给水排水设计规范》（GB50015-2003）要求：化粪池有效停留时间为12-36h。污水的排放量变化大会影响化粪池的污水处理效果，预留污水有效停留时间有利于保证化粪池污水处理效果，项目</w:t>
            </w:r>
            <w:r>
              <w:rPr>
                <w:rFonts w:hint="eastAsia" w:cs="Times New Roman"/>
                <w:color w:val="00B050"/>
                <w:kern w:val="2"/>
                <w:sz w:val="24"/>
                <w:szCs w:val="24"/>
                <w:lang w:val="en-US" w:eastAsia="zh-CN" w:bidi="ar-SA"/>
              </w:rPr>
              <w:t>生活污水</w:t>
            </w:r>
            <w:r>
              <w:rPr>
                <w:rFonts w:hint="default" w:ascii="Times New Roman" w:hAnsi="Times New Roman" w:eastAsia="宋体" w:cs="Times New Roman"/>
                <w:color w:val="00B050"/>
                <w:kern w:val="2"/>
                <w:sz w:val="24"/>
                <w:szCs w:val="24"/>
                <w:lang w:val="en-US" w:eastAsia="zh-CN" w:bidi="ar-SA"/>
              </w:rPr>
              <w:t>产生量为</w:t>
            </w:r>
            <w:r>
              <w:rPr>
                <w:rFonts w:hint="eastAsia" w:ascii="Times New Roman" w:hAnsi="Times New Roman" w:eastAsia="宋体" w:cs="Times New Roman"/>
                <w:color w:val="00B050"/>
                <w:kern w:val="2"/>
                <w:sz w:val="24"/>
                <w:szCs w:val="24"/>
                <w:lang w:val="en-US" w:eastAsia="zh-CN" w:bidi="ar-SA"/>
              </w:rPr>
              <w:t>0.2</w:t>
            </w:r>
            <w:r>
              <w:rPr>
                <w:rFonts w:hint="default" w:ascii="Times New Roman" w:hAnsi="Times New Roman" w:eastAsia="宋体" w:cs="Times New Roman"/>
                <w:color w:val="00B050"/>
                <w:kern w:val="2"/>
                <w:sz w:val="24"/>
                <w:szCs w:val="24"/>
                <w:lang w:val="en-US" w:eastAsia="zh-CN" w:bidi="ar-SA"/>
              </w:rPr>
              <w:t>m</w:t>
            </w:r>
            <w:r>
              <w:rPr>
                <w:rFonts w:hint="default" w:ascii="Times New Roman" w:hAnsi="Times New Roman" w:eastAsia="宋体" w:cs="Times New Roman"/>
                <w:color w:val="00B050"/>
                <w:kern w:val="2"/>
                <w:sz w:val="24"/>
                <w:szCs w:val="24"/>
                <w:vertAlign w:val="superscript"/>
                <w:lang w:val="en-US" w:eastAsia="zh-CN" w:bidi="ar-SA"/>
              </w:rPr>
              <w:t>3</w:t>
            </w:r>
            <w:r>
              <w:rPr>
                <w:rFonts w:hint="default" w:ascii="Times New Roman" w:hAnsi="Times New Roman" w:eastAsia="宋体" w:cs="Times New Roman"/>
                <w:color w:val="00B050"/>
                <w:kern w:val="2"/>
                <w:sz w:val="24"/>
                <w:szCs w:val="24"/>
                <w:lang w:val="en-US" w:eastAsia="zh-CN" w:bidi="ar-SA"/>
              </w:rPr>
              <w:t>/d，</w:t>
            </w:r>
            <w:r>
              <w:rPr>
                <w:rFonts w:hint="eastAsia"/>
                <w:color w:val="00B050"/>
                <w:sz w:val="24"/>
                <w:lang w:val="en-US" w:eastAsia="zh-CN"/>
              </w:rPr>
              <w:t>曲靖市东五六供应链管理有限公司</w:t>
            </w:r>
            <w:r>
              <w:rPr>
                <w:rFonts w:hint="eastAsia"/>
                <w:color w:val="00B050"/>
                <w:kern w:val="21"/>
                <w:sz w:val="24"/>
                <w:lang w:val="en-US" w:eastAsia="zh-CN"/>
              </w:rPr>
              <w:t>已建1个化粪池（容积：10m</w:t>
            </w:r>
            <w:r>
              <w:rPr>
                <w:rFonts w:hint="eastAsia"/>
                <w:color w:val="00B050"/>
                <w:kern w:val="21"/>
                <w:sz w:val="24"/>
                <w:vertAlign w:val="superscript"/>
                <w:lang w:val="en-US" w:eastAsia="zh-CN"/>
              </w:rPr>
              <w:t>3</w:t>
            </w:r>
            <w:r>
              <w:rPr>
                <w:rFonts w:hint="eastAsia"/>
                <w:color w:val="00B050"/>
                <w:kern w:val="21"/>
                <w:sz w:val="24"/>
                <w:lang w:val="en-US" w:eastAsia="zh-CN"/>
              </w:rPr>
              <w:t>）</w:t>
            </w:r>
            <w:r>
              <w:rPr>
                <w:rFonts w:hint="default" w:ascii="Times New Roman" w:hAnsi="Times New Roman" w:eastAsia="宋体" w:cs="Times New Roman"/>
                <w:color w:val="00B050"/>
                <w:kern w:val="2"/>
                <w:sz w:val="24"/>
                <w:szCs w:val="24"/>
                <w:lang w:val="en-US" w:eastAsia="zh-CN" w:bidi="ar-SA"/>
              </w:rPr>
              <w:t>，位于</w:t>
            </w:r>
            <w:r>
              <w:rPr>
                <w:rFonts w:hint="eastAsia" w:ascii="Times New Roman" w:hAnsi="Times New Roman" w:eastAsia="宋体" w:cs="Times New Roman"/>
                <w:color w:val="00B050"/>
                <w:kern w:val="2"/>
                <w:sz w:val="24"/>
                <w:szCs w:val="24"/>
                <w:lang w:val="en-US" w:eastAsia="zh-CN" w:bidi="ar-SA"/>
              </w:rPr>
              <w:t>项目区东北侧</w:t>
            </w:r>
            <w:r>
              <w:rPr>
                <w:rFonts w:hint="default" w:ascii="Times New Roman" w:hAnsi="Times New Roman" w:eastAsia="宋体" w:cs="Times New Roman"/>
                <w:color w:val="00B050"/>
                <w:kern w:val="2"/>
                <w:sz w:val="24"/>
                <w:szCs w:val="24"/>
                <w:lang w:val="en-US" w:eastAsia="zh-CN" w:bidi="ar-SA"/>
              </w:rPr>
              <w:t>。化粪池能满足废水停留时间24h的要求；经现场踏勘，化粪池运行正常，因此本项目依托场地原有化粪池是可行的</w:t>
            </w:r>
            <w:r>
              <w:rPr>
                <w:rFonts w:hint="eastAsia" w:ascii="Times New Roman" w:hAnsi="Times New Roman" w:eastAsia="宋体" w:cs="Times New Roman"/>
                <w:color w:val="00B050"/>
                <w:kern w:val="2"/>
                <w:sz w:val="24"/>
                <w:szCs w:val="24"/>
                <w:lang w:val="en-US" w:eastAsia="zh-CN" w:bidi="ar-SA"/>
              </w:rPr>
              <w:t>。</w:t>
            </w:r>
          </w:p>
          <w:p w14:paraId="394B86BF">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00B050"/>
                <w:kern w:val="2"/>
                <w:sz w:val="24"/>
                <w:szCs w:val="24"/>
                <w:lang w:val="en-US" w:eastAsia="zh-CN" w:bidi="ar-SA"/>
              </w:rPr>
            </w:pPr>
            <w:r>
              <w:rPr>
                <w:rFonts w:hint="eastAsia" w:ascii="Times New Roman" w:hAnsi="Times New Roman" w:cs="Times New Roman"/>
                <w:b w:val="0"/>
                <w:bCs w:val="0"/>
                <w:color w:val="00B050"/>
                <w:kern w:val="2"/>
                <w:sz w:val="24"/>
                <w:szCs w:val="24"/>
                <w:vertAlign w:val="baseline"/>
                <w:lang w:val="en-US" w:eastAsia="zh-CN" w:bidi="ar-SA"/>
              </w:rPr>
              <w:t>项目产生</w:t>
            </w:r>
            <w:r>
              <w:rPr>
                <w:rFonts w:hint="eastAsia" w:cs="Times New Roman"/>
                <w:b w:val="0"/>
                <w:bCs w:val="0"/>
                <w:color w:val="00B050"/>
                <w:kern w:val="2"/>
                <w:sz w:val="24"/>
                <w:szCs w:val="24"/>
                <w:lang w:val="en-US" w:eastAsia="zh-CN" w:bidi="ar-SA"/>
              </w:rPr>
              <w:t>碱洗废水经0.5m</w:t>
            </w:r>
            <w:r>
              <w:rPr>
                <w:rFonts w:hint="eastAsia" w:cs="Times New Roman"/>
                <w:b w:val="0"/>
                <w:bCs w:val="0"/>
                <w:color w:val="00B050"/>
                <w:kern w:val="2"/>
                <w:sz w:val="24"/>
                <w:szCs w:val="24"/>
                <w:vertAlign w:val="superscript"/>
                <w:lang w:val="en-US" w:eastAsia="zh-CN" w:bidi="ar-SA"/>
              </w:rPr>
              <w:t>3</w:t>
            </w:r>
            <w:r>
              <w:rPr>
                <w:rFonts w:hint="eastAsia" w:cs="Times New Roman"/>
                <w:b w:val="0"/>
                <w:bCs w:val="0"/>
                <w:color w:val="00B050"/>
                <w:kern w:val="2"/>
                <w:sz w:val="24"/>
                <w:szCs w:val="24"/>
                <w:vertAlign w:val="baseline"/>
                <w:lang w:val="en-US" w:eastAsia="zh-CN" w:bidi="ar-SA"/>
              </w:rPr>
              <w:t>收集桶收集后委托</w:t>
            </w:r>
            <w:r>
              <w:rPr>
                <w:rFonts w:hint="eastAsia" w:cs="Times New Roman"/>
                <w:b w:val="0"/>
                <w:bCs w:val="0"/>
                <w:color w:val="00B050"/>
                <w:kern w:val="2"/>
                <w:sz w:val="24"/>
                <w:szCs w:val="24"/>
                <w:lang w:val="en-US" w:eastAsia="zh-CN" w:bidi="ar-SA"/>
              </w:rPr>
              <w:t>碱洗废水处置单位进行清运处置。</w:t>
            </w:r>
          </w:p>
          <w:p w14:paraId="15FF0A46">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val="0"/>
                <w:bCs w:val="0"/>
                <w:color w:val="00B050"/>
                <w:kern w:val="2"/>
                <w:sz w:val="24"/>
                <w:szCs w:val="24"/>
                <w:vertAlign w:val="baseline"/>
                <w:lang w:val="en-US" w:eastAsia="zh-CN" w:bidi="ar-SA"/>
              </w:rPr>
            </w:pPr>
            <w:r>
              <w:rPr>
                <w:rFonts w:hint="eastAsia" w:ascii="Times New Roman" w:hAnsi="Times New Roman" w:cs="Times New Roman"/>
                <w:b w:val="0"/>
                <w:bCs w:val="0"/>
                <w:color w:val="00B050"/>
                <w:kern w:val="2"/>
                <w:sz w:val="24"/>
                <w:szCs w:val="24"/>
                <w:vertAlign w:val="baseline"/>
                <w:lang w:val="en-US" w:eastAsia="zh-CN" w:bidi="ar-SA"/>
              </w:rPr>
              <w:t>项目经采取环评提出措施后，废水均得到有效处置，对环境影响较小。</w:t>
            </w:r>
          </w:p>
          <w:p w14:paraId="01DD058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00B050"/>
                <w:sz w:val="24"/>
                <w:lang w:val="en-US" w:eastAsia="zh-CN"/>
              </w:rPr>
            </w:pPr>
            <w:r>
              <w:rPr>
                <w:rFonts w:hint="eastAsia" w:ascii="Times New Roman" w:hAnsi="Times New Roman" w:cs="Times New Roman"/>
                <w:b/>
                <w:bCs/>
                <w:color w:val="00B050"/>
                <w:sz w:val="24"/>
                <w:lang w:val="en-US" w:eastAsia="zh-CN"/>
              </w:rPr>
              <w:t>3、</w:t>
            </w:r>
            <w:r>
              <w:rPr>
                <w:rFonts w:hint="eastAsia" w:cs="Times New Roman"/>
                <w:b/>
                <w:bCs/>
                <w:color w:val="00B050"/>
                <w:sz w:val="24"/>
                <w:lang w:val="en-US" w:eastAsia="zh-CN"/>
              </w:rPr>
              <w:t>项目</w:t>
            </w:r>
            <w:r>
              <w:rPr>
                <w:rFonts w:hint="eastAsia" w:ascii="Times New Roman" w:hAnsi="Times New Roman" w:cs="Times New Roman"/>
                <w:b/>
                <w:bCs/>
                <w:color w:val="00B050"/>
                <w:sz w:val="24"/>
                <w:lang w:val="en-US" w:eastAsia="zh-CN"/>
              </w:rPr>
              <w:t>自行监测要求</w:t>
            </w:r>
          </w:p>
          <w:p w14:paraId="363354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B050"/>
                <w:kern w:val="2"/>
                <w:sz w:val="24"/>
                <w:szCs w:val="24"/>
                <w:lang w:val="en-US" w:eastAsia="zh-CN" w:bidi="ar-SA"/>
              </w:rPr>
            </w:pPr>
            <w:r>
              <w:rPr>
                <w:rFonts w:hint="eastAsia" w:cs="Times New Roman"/>
                <w:color w:val="00B050"/>
                <w:kern w:val="2"/>
                <w:sz w:val="24"/>
                <w:szCs w:val="24"/>
                <w:lang w:val="en-US" w:eastAsia="zh-CN" w:bidi="ar-SA"/>
              </w:rPr>
              <w:t>项目采取雨污分流，</w:t>
            </w:r>
            <w:r>
              <w:rPr>
                <w:rFonts w:hint="eastAsia" w:ascii="Times New Roman" w:hAnsi="Times New Roman" w:cs="Times New Roman"/>
                <w:b w:val="0"/>
                <w:bCs w:val="0"/>
                <w:color w:val="00B050"/>
                <w:kern w:val="2"/>
                <w:sz w:val="24"/>
                <w:szCs w:val="24"/>
                <w:vertAlign w:val="baseline"/>
                <w:lang w:val="en-US" w:eastAsia="zh-CN" w:bidi="ar-SA"/>
              </w:rPr>
              <w:t>项目产生</w:t>
            </w:r>
            <w:r>
              <w:rPr>
                <w:rFonts w:hint="eastAsia" w:cs="Times New Roman"/>
                <w:b w:val="0"/>
                <w:bCs w:val="0"/>
                <w:color w:val="00B050"/>
                <w:kern w:val="2"/>
                <w:sz w:val="24"/>
                <w:szCs w:val="24"/>
                <w:lang w:val="en-US" w:eastAsia="zh-CN" w:bidi="ar-SA"/>
              </w:rPr>
              <w:t>碱洗废水经0.5m</w:t>
            </w:r>
            <w:r>
              <w:rPr>
                <w:rFonts w:hint="eastAsia" w:cs="Times New Roman"/>
                <w:b w:val="0"/>
                <w:bCs w:val="0"/>
                <w:color w:val="00B050"/>
                <w:kern w:val="2"/>
                <w:sz w:val="24"/>
                <w:szCs w:val="24"/>
                <w:vertAlign w:val="superscript"/>
                <w:lang w:val="en-US" w:eastAsia="zh-CN" w:bidi="ar-SA"/>
              </w:rPr>
              <w:t>3</w:t>
            </w:r>
            <w:r>
              <w:rPr>
                <w:rFonts w:hint="eastAsia" w:cs="Times New Roman"/>
                <w:b w:val="0"/>
                <w:bCs w:val="0"/>
                <w:color w:val="00B050"/>
                <w:kern w:val="2"/>
                <w:sz w:val="24"/>
                <w:szCs w:val="24"/>
                <w:vertAlign w:val="baseline"/>
                <w:lang w:val="en-US" w:eastAsia="zh-CN" w:bidi="ar-SA"/>
              </w:rPr>
              <w:t>收集桶收集后委托</w:t>
            </w:r>
            <w:r>
              <w:rPr>
                <w:rFonts w:hint="eastAsia" w:cs="Times New Roman"/>
                <w:b w:val="0"/>
                <w:bCs w:val="0"/>
                <w:color w:val="00B050"/>
                <w:kern w:val="2"/>
                <w:sz w:val="24"/>
                <w:szCs w:val="24"/>
                <w:lang w:val="en-US" w:eastAsia="zh-CN" w:bidi="ar-SA"/>
              </w:rPr>
              <w:t>碱洗废水处置单位进行清运处置；</w:t>
            </w:r>
            <w:r>
              <w:rPr>
                <w:rFonts w:hint="eastAsia" w:ascii="Times New Roman" w:hAnsi="Times New Roman" w:cs="Times New Roman"/>
                <w:color w:val="00B050"/>
                <w:sz w:val="24"/>
                <w:lang w:val="en-US" w:eastAsia="zh-CN"/>
              </w:rPr>
              <w:t>生活污水</w:t>
            </w:r>
            <w:r>
              <w:rPr>
                <w:rFonts w:hint="eastAsia"/>
                <w:color w:val="00B050"/>
                <w:kern w:val="21"/>
                <w:sz w:val="24"/>
                <w:lang w:val="en-US" w:eastAsia="zh-CN"/>
              </w:rPr>
              <w:t>依托</w:t>
            </w:r>
            <w:r>
              <w:rPr>
                <w:rFonts w:hint="eastAsia"/>
                <w:color w:val="00B050"/>
                <w:sz w:val="24"/>
                <w:lang w:val="en-US" w:eastAsia="zh-CN"/>
              </w:rPr>
              <w:t>曲靖市东五六供应链管理有限公司</w:t>
            </w:r>
            <w:r>
              <w:rPr>
                <w:rFonts w:hint="eastAsia"/>
                <w:color w:val="00B050"/>
                <w:kern w:val="21"/>
                <w:sz w:val="24"/>
                <w:lang w:val="en-US" w:eastAsia="zh-CN"/>
              </w:rPr>
              <w:t>已建化粪池（容积：10m</w:t>
            </w:r>
            <w:r>
              <w:rPr>
                <w:rFonts w:hint="eastAsia"/>
                <w:color w:val="00B050"/>
                <w:kern w:val="21"/>
                <w:sz w:val="24"/>
                <w:vertAlign w:val="superscript"/>
                <w:lang w:val="en-US" w:eastAsia="zh-CN"/>
              </w:rPr>
              <w:t>3</w:t>
            </w:r>
            <w:r>
              <w:rPr>
                <w:rFonts w:hint="eastAsia"/>
                <w:color w:val="00B050"/>
                <w:kern w:val="21"/>
                <w:sz w:val="24"/>
                <w:lang w:val="en-US" w:eastAsia="zh-CN"/>
              </w:rPr>
              <w:t>）收集</w:t>
            </w:r>
            <w:r>
              <w:rPr>
                <w:rFonts w:hint="eastAsia" w:ascii="Times New Roman" w:hAnsi="Times New Roman" w:cs="Times New Roman"/>
                <w:color w:val="00B050"/>
                <w:sz w:val="24"/>
                <w:vertAlign w:val="baseline"/>
                <w:lang w:val="en-US" w:eastAsia="zh-CN"/>
              </w:rPr>
              <w:t>后委托</w:t>
            </w:r>
            <w:r>
              <w:rPr>
                <w:rFonts w:hint="eastAsia" w:ascii="Times New Roman" w:hAnsi="Times New Roman" w:eastAsia="宋体" w:cs="Times New Roman"/>
                <w:bCs/>
                <w:color w:val="00B050"/>
                <w:spacing w:val="-10"/>
                <w:sz w:val="24"/>
                <w:szCs w:val="24"/>
                <w:highlight w:val="none"/>
                <w:lang w:val="en-US" w:eastAsia="zh-CN"/>
              </w:rPr>
              <w:t>麒麟区</w:t>
            </w:r>
            <w:r>
              <w:rPr>
                <w:rFonts w:hint="default" w:ascii="Times New Roman" w:hAnsi="Times New Roman" w:eastAsia="宋体" w:cs="Times New Roman"/>
                <w:bCs/>
                <w:color w:val="00B050"/>
                <w:spacing w:val="-10"/>
                <w:sz w:val="24"/>
                <w:szCs w:val="24"/>
                <w:highlight w:val="none"/>
              </w:rPr>
              <w:t>环卫部门</w:t>
            </w:r>
            <w:r>
              <w:rPr>
                <w:rFonts w:hint="eastAsia" w:ascii="Times New Roman" w:hAnsi="Times New Roman" w:cs="Times New Roman"/>
                <w:color w:val="00B050"/>
                <w:sz w:val="24"/>
                <w:vertAlign w:val="baseline"/>
                <w:lang w:val="en-US" w:eastAsia="zh-CN"/>
              </w:rPr>
              <w:t>清掏处理</w:t>
            </w:r>
            <w:r>
              <w:rPr>
                <w:rFonts w:hint="eastAsia"/>
                <w:color w:val="00B050"/>
                <w:kern w:val="21"/>
                <w:sz w:val="24"/>
                <w:lang w:val="en-US" w:eastAsia="zh-CN"/>
              </w:rPr>
              <w:t>，不外排</w:t>
            </w:r>
            <w:r>
              <w:rPr>
                <w:rFonts w:hint="eastAsia" w:cs="Times New Roman"/>
                <w:color w:val="00B050"/>
                <w:kern w:val="2"/>
                <w:sz w:val="24"/>
                <w:szCs w:val="24"/>
                <w:lang w:val="en-US" w:eastAsia="zh-CN" w:bidi="ar-SA"/>
              </w:rPr>
              <w:t>。</w:t>
            </w:r>
          </w:p>
          <w:p w14:paraId="34E365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故本次环评不制定废水自行监测计划。</w:t>
            </w:r>
          </w:p>
          <w:p w14:paraId="38D814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B050"/>
                <w:kern w:val="2"/>
                <w:sz w:val="24"/>
                <w:szCs w:val="24"/>
                <w:lang w:val="en-US" w:eastAsia="zh-CN" w:bidi="ar-SA"/>
              </w:rPr>
            </w:pPr>
            <w:r>
              <w:rPr>
                <w:rFonts w:hint="eastAsia" w:cs="Times New Roman"/>
                <w:b/>
                <w:bCs/>
                <w:color w:val="00B050"/>
                <w:kern w:val="2"/>
                <w:sz w:val="24"/>
                <w:szCs w:val="24"/>
                <w:lang w:val="en-US" w:eastAsia="zh-CN" w:bidi="ar-SA"/>
              </w:rPr>
              <w:t>4、</w:t>
            </w:r>
            <w:r>
              <w:rPr>
                <w:rFonts w:hint="default" w:ascii="Times New Roman" w:hAnsi="Times New Roman" w:eastAsia="宋体" w:cs="Times New Roman"/>
                <w:b/>
                <w:bCs/>
                <w:color w:val="00B050"/>
                <w:kern w:val="2"/>
                <w:sz w:val="24"/>
                <w:szCs w:val="24"/>
                <w:lang w:val="en-US" w:eastAsia="zh-CN" w:bidi="ar-SA"/>
              </w:rPr>
              <w:t>地表水环境影响结论</w:t>
            </w:r>
          </w:p>
          <w:p w14:paraId="02E185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00B050"/>
                <w:kern w:val="2"/>
                <w:sz w:val="24"/>
                <w:szCs w:val="24"/>
                <w:lang w:val="en-US" w:eastAsia="zh-CN" w:bidi="ar-SA"/>
              </w:rPr>
            </w:pPr>
            <w:r>
              <w:rPr>
                <w:rFonts w:hint="default" w:ascii="Times New Roman" w:hAnsi="Times New Roman" w:eastAsia="宋体" w:cs="Times New Roman"/>
                <w:color w:val="00B050"/>
                <w:kern w:val="2"/>
                <w:sz w:val="24"/>
                <w:szCs w:val="24"/>
                <w:lang w:val="en-US" w:eastAsia="zh-CN" w:bidi="ar-SA"/>
              </w:rPr>
              <w:t>项目实行雨污分流制，雨水设置有一套雨水收集管网，收集厂房内雨水，经收集后由厂房南面的雨水管网外排；</w:t>
            </w:r>
            <w:r>
              <w:rPr>
                <w:rFonts w:hint="eastAsia" w:ascii="Times New Roman" w:hAnsi="Times New Roman" w:cs="Times New Roman"/>
                <w:b w:val="0"/>
                <w:bCs w:val="0"/>
                <w:color w:val="00B050"/>
                <w:kern w:val="2"/>
                <w:sz w:val="24"/>
                <w:szCs w:val="24"/>
                <w:vertAlign w:val="baseline"/>
                <w:lang w:val="en-US" w:eastAsia="zh-CN" w:bidi="ar-SA"/>
              </w:rPr>
              <w:t>项目产生</w:t>
            </w:r>
            <w:r>
              <w:rPr>
                <w:rFonts w:hint="eastAsia" w:cs="Times New Roman"/>
                <w:b w:val="0"/>
                <w:bCs w:val="0"/>
                <w:color w:val="00B050"/>
                <w:kern w:val="2"/>
                <w:sz w:val="24"/>
                <w:szCs w:val="24"/>
                <w:lang w:val="en-US" w:eastAsia="zh-CN" w:bidi="ar-SA"/>
              </w:rPr>
              <w:t>碱洗废水经0.5m</w:t>
            </w:r>
            <w:r>
              <w:rPr>
                <w:rFonts w:hint="eastAsia" w:cs="Times New Roman"/>
                <w:b w:val="0"/>
                <w:bCs w:val="0"/>
                <w:color w:val="00B050"/>
                <w:kern w:val="2"/>
                <w:sz w:val="24"/>
                <w:szCs w:val="24"/>
                <w:vertAlign w:val="superscript"/>
                <w:lang w:val="en-US" w:eastAsia="zh-CN" w:bidi="ar-SA"/>
              </w:rPr>
              <w:t>3</w:t>
            </w:r>
            <w:r>
              <w:rPr>
                <w:rFonts w:hint="eastAsia" w:cs="Times New Roman"/>
                <w:b w:val="0"/>
                <w:bCs w:val="0"/>
                <w:color w:val="00B050"/>
                <w:kern w:val="2"/>
                <w:sz w:val="24"/>
                <w:szCs w:val="24"/>
                <w:vertAlign w:val="baseline"/>
                <w:lang w:val="en-US" w:eastAsia="zh-CN" w:bidi="ar-SA"/>
              </w:rPr>
              <w:t>收集桶收集后委托</w:t>
            </w:r>
            <w:r>
              <w:rPr>
                <w:rFonts w:hint="eastAsia" w:cs="Times New Roman"/>
                <w:b w:val="0"/>
                <w:bCs w:val="0"/>
                <w:color w:val="00B050"/>
                <w:kern w:val="2"/>
                <w:sz w:val="24"/>
                <w:szCs w:val="24"/>
                <w:lang w:val="en-US" w:eastAsia="zh-CN" w:bidi="ar-SA"/>
              </w:rPr>
              <w:t>碱洗废水处置单位进行清运处置；</w:t>
            </w:r>
            <w:r>
              <w:rPr>
                <w:rFonts w:hint="eastAsia" w:ascii="Times New Roman" w:hAnsi="Times New Roman" w:cs="Times New Roman"/>
                <w:color w:val="00B050"/>
                <w:sz w:val="24"/>
                <w:lang w:val="en-US" w:eastAsia="zh-CN"/>
              </w:rPr>
              <w:t>生活污水</w:t>
            </w:r>
            <w:r>
              <w:rPr>
                <w:rFonts w:hint="eastAsia"/>
                <w:color w:val="00B050"/>
                <w:kern w:val="21"/>
                <w:sz w:val="24"/>
                <w:lang w:val="en-US" w:eastAsia="zh-CN"/>
              </w:rPr>
              <w:t>依托</w:t>
            </w:r>
            <w:r>
              <w:rPr>
                <w:rFonts w:hint="eastAsia"/>
                <w:color w:val="00B050"/>
                <w:sz w:val="24"/>
                <w:lang w:val="en-US" w:eastAsia="zh-CN"/>
              </w:rPr>
              <w:t>曲靖市东五六供应链管理有限公司</w:t>
            </w:r>
            <w:r>
              <w:rPr>
                <w:rFonts w:hint="eastAsia"/>
                <w:color w:val="00B050"/>
                <w:kern w:val="21"/>
                <w:sz w:val="24"/>
                <w:lang w:val="en-US" w:eastAsia="zh-CN"/>
              </w:rPr>
              <w:t>已建化粪池（容积：10m</w:t>
            </w:r>
            <w:r>
              <w:rPr>
                <w:rFonts w:hint="eastAsia"/>
                <w:color w:val="00B050"/>
                <w:kern w:val="21"/>
                <w:sz w:val="24"/>
                <w:vertAlign w:val="superscript"/>
                <w:lang w:val="en-US" w:eastAsia="zh-CN"/>
              </w:rPr>
              <w:t>3</w:t>
            </w:r>
            <w:r>
              <w:rPr>
                <w:rFonts w:hint="eastAsia"/>
                <w:color w:val="00B050"/>
                <w:kern w:val="21"/>
                <w:sz w:val="24"/>
                <w:lang w:val="en-US" w:eastAsia="zh-CN"/>
              </w:rPr>
              <w:t>）收集</w:t>
            </w:r>
            <w:r>
              <w:rPr>
                <w:rFonts w:hint="eastAsia" w:ascii="Times New Roman" w:hAnsi="Times New Roman" w:cs="Times New Roman"/>
                <w:color w:val="00B050"/>
                <w:sz w:val="24"/>
                <w:vertAlign w:val="baseline"/>
                <w:lang w:val="en-US" w:eastAsia="zh-CN"/>
              </w:rPr>
              <w:t>后委托</w:t>
            </w:r>
            <w:r>
              <w:rPr>
                <w:rFonts w:hint="eastAsia" w:ascii="Times New Roman" w:hAnsi="Times New Roman" w:eastAsia="宋体" w:cs="Times New Roman"/>
                <w:bCs/>
                <w:color w:val="00B050"/>
                <w:spacing w:val="-10"/>
                <w:sz w:val="24"/>
                <w:szCs w:val="24"/>
                <w:highlight w:val="none"/>
                <w:lang w:val="en-US" w:eastAsia="zh-CN"/>
              </w:rPr>
              <w:t>麒麟区</w:t>
            </w:r>
            <w:r>
              <w:rPr>
                <w:rFonts w:hint="default" w:ascii="Times New Roman" w:hAnsi="Times New Roman" w:eastAsia="宋体" w:cs="Times New Roman"/>
                <w:bCs/>
                <w:color w:val="00B050"/>
                <w:spacing w:val="-10"/>
                <w:sz w:val="24"/>
                <w:szCs w:val="24"/>
                <w:highlight w:val="none"/>
              </w:rPr>
              <w:t>环卫部门</w:t>
            </w:r>
            <w:r>
              <w:rPr>
                <w:rFonts w:hint="eastAsia" w:ascii="Times New Roman" w:hAnsi="Times New Roman" w:cs="Times New Roman"/>
                <w:color w:val="00B050"/>
                <w:sz w:val="24"/>
                <w:vertAlign w:val="baseline"/>
                <w:lang w:val="en-US" w:eastAsia="zh-CN"/>
              </w:rPr>
              <w:t>清掏处理</w:t>
            </w:r>
            <w:r>
              <w:rPr>
                <w:rFonts w:hint="eastAsia"/>
                <w:color w:val="00B050"/>
                <w:kern w:val="21"/>
                <w:sz w:val="24"/>
                <w:lang w:val="en-US" w:eastAsia="zh-CN"/>
              </w:rPr>
              <w:t>，不外排。</w:t>
            </w:r>
            <w:r>
              <w:rPr>
                <w:rFonts w:hint="default" w:ascii="Times New Roman" w:hAnsi="Times New Roman" w:eastAsia="宋体" w:cs="Times New Roman"/>
                <w:color w:val="00B050"/>
                <w:kern w:val="2"/>
                <w:sz w:val="24"/>
                <w:szCs w:val="24"/>
                <w:lang w:val="en-US" w:eastAsia="zh-CN" w:bidi="ar-SA"/>
              </w:rPr>
              <w:t>对周围环境影响较小。</w:t>
            </w:r>
          </w:p>
          <w:p w14:paraId="37F7FD24">
            <w:pPr>
              <w:keepNext/>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4.2.3运营期声环境影响及保护</w:t>
            </w:r>
            <w:r>
              <w:rPr>
                <w:rFonts w:hint="default" w:ascii="Times New Roman" w:hAnsi="Times New Roman" w:eastAsia="宋体" w:cs="Times New Roman"/>
                <w:b/>
                <w:color w:val="000000" w:themeColor="text1"/>
                <w:sz w:val="24"/>
                <w:lang w:val="en-US" w:eastAsia="zh-CN"/>
                <w14:textFill>
                  <w14:solidFill>
                    <w14:schemeClr w14:val="tx1"/>
                  </w14:solidFill>
                </w14:textFill>
              </w:rPr>
              <w:t>措施</w:t>
            </w:r>
          </w:p>
          <w:p w14:paraId="471DD1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000000" w:themeColor="text1"/>
                <w:kern w:val="0"/>
                <w:sz w:val="24"/>
                <w:szCs w:val="20"/>
                <w14:textFill>
                  <w14:solidFill>
                    <w14:schemeClr w14:val="tx1"/>
                  </w14:solidFill>
                </w14:textFill>
              </w:rPr>
            </w:pPr>
            <w:r>
              <w:rPr>
                <w:rFonts w:hint="eastAsia" w:ascii="Times New Roman" w:hAnsi="Times New Roman" w:eastAsia="宋体" w:cs="Times New Roman"/>
                <w:b/>
                <w:bCs/>
                <w:color w:val="000000" w:themeColor="text1"/>
                <w:kern w:val="0"/>
                <w:sz w:val="24"/>
                <w:szCs w:val="20"/>
                <w:lang w:val="en-US" w:eastAsia="zh-CN"/>
                <w14:textFill>
                  <w14:solidFill>
                    <w14:schemeClr w14:val="tx1"/>
                  </w14:solidFill>
                </w14:textFill>
              </w:rPr>
              <w:t>1、</w:t>
            </w:r>
            <w:r>
              <w:rPr>
                <w:rFonts w:hint="eastAsia" w:ascii="Times New Roman" w:hAnsi="Times New Roman" w:eastAsia="宋体" w:cs="Times New Roman"/>
                <w:b/>
                <w:bCs/>
                <w:color w:val="000000" w:themeColor="text1"/>
                <w:kern w:val="0"/>
                <w:sz w:val="24"/>
                <w:szCs w:val="20"/>
                <w14:textFill>
                  <w14:solidFill>
                    <w14:schemeClr w14:val="tx1"/>
                  </w14:solidFill>
                </w14:textFill>
              </w:rPr>
              <w:t>噪声源强</w:t>
            </w:r>
            <w:r>
              <w:rPr>
                <w:rFonts w:ascii="Times New Roman" w:hAnsi="Times New Roman" w:eastAsia="宋体" w:cs="Times New Roman"/>
                <w:b/>
                <w:bCs/>
                <w:color w:val="000000" w:themeColor="text1"/>
                <w:kern w:val="0"/>
                <w:sz w:val="24"/>
                <w:szCs w:val="20"/>
                <w14:textFill>
                  <w14:solidFill>
                    <w14:schemeClr w14:val="tx1"/>
                  </w14:solidFill>
                </w14:textFill>
              </w:rPr>
              <w:t>分析</w:t>
            </w:r>
          </w:p>
          <w:p w14:paraId="42B078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0"/>
                <w:sz w:val="24"/>
                <w:szCs w:val="20"/>
                <w:lang w:eastAsia="zh-CN"/>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项目</w:t>
            </w:r>
            <w:r>
              <w:rPr>
                <w:rFonts w:hint="eastAsia" w:eastAsia="宋体" w:cs="Times New Roman"/>
                <w:bCs/>
                <w:color w:val="000000" w:themeColor="text1"/>
                <w:sz w:val="24"/>
                <w:lang w:val="en-US" w:eastAsia="zh-CN"/>
                <w14:textFill>
                  <w14:solidFill>
                    <w14:schemeClr w14:val="tx1"/>
                  </w14:solidFill>
                </w14:textFill>
              </w:rPr>
              <w:t>噪声主要</w:t>
            </w:r>
            <w:r>
              <w:rPr>
                <w:rFonts w:hint="eastAsia" w:cs="Times New Roman"/>
                <w:bCs/>
                <w:color w:val="000000" w:themeColor="text1"/>
                <w:sz w:val="24"/>
                <w:lang w:val="en-US" w:eastAsia="zh-CN"/>
                <w14:textFill>
                  <w14:solidFill>
                    <w14:schemeClr w14:val="tx1"/>
                  </w14:solidFill>
                </w14:textFill>
              </w:rPr>
              <w:t>来自</w:t>
            </w:r>
            <w:r>
              <w:rPr>
                <w:rFonts w:hint="eastAsia" w:eastAsia="宋体" w:cs="Times New Roman"/>
                <w:bCs/>
                <w:color w:val="000000" w:themeColor="text1"/>
                <w:sz w:val="24"/>
                <w:lang w:val="en-US" w:eastAsia="zh-CN"/>
                <w14:textFill>
                  <w14:solidFill>
                    <w14:schemeClr w14:val="tx1"/>
                  </w14:solidFill>
                </w14:textFill>
              </w:rPr>
              <w:t>各类生产设备运行，</w:t>
            </w:r>
            <w:r>
              <w:rPr>
                <w:rFonts w:hint="eastAsia" w:cs="Times New Roman"/>
                <w:bCs/>
                <w:color w:val="000000" w:themeColor="text1"/>
                <w:sz w:val="24"/>
                <w:lang w:val="en-US" w:eastAsia="zh-CN"/>
                <w14:textFill>
                  <w14:solidFill>
                    <w14:schemeClr w14:val="tx1"/>
                  </w14:solidFill>
                </w14:textFill>
              </w:rPr>
              <w:t>各类产噪设备均置于室内，项目</w:t>
            </w:r>
            <w:r>
              <w:rPr>
                <w:rFonts w:hint="default" w:ascii="Times New Roman" w:hAnsi="Times New Roman" w:eastAsia="宋体" w:cs="Times New Roman"/>
                <w:bCs/>
                <w:color w:val="000000" w:themeColor="text1"/>
                <w:sz w:val="24"/>
                <w14:textFill>
                  <w14:solidFill>
                    <w14:schemeClr w14:val="tx1"/>
                  </w14:solidFill>
                </w14:textFill>
              </w:rPr>
              <w:t>主要噪声设备源强及治理措施见表4</w:t>
            </w:r>
            <w:r>
              <w:rPr>
                <w:rFonts w:hint="eastAsia" w:cs="Times New Roman"/>
                <w:bCs/>
                <w:color w:val="000000" w:themeColor="text1"/>
                <w:sz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8所示</w:t>
            </w:r>
            <w:r>
              <w:rPr>
                <w:rFonts w:hint="eastAsia" w:eastAsia="宋体" w:cs="Times New Roman"/>
                <w:bCs/>
                <w:color w:val="000000" w:themeColor="text1"/>
                <w:sz w:val="24"/>
                <w:lang w:eastAsia="zh-CN"/>
                <w14:textFill>
                  <w14:solidFill>
                    <w14:schemeClr w14:val="tx1"/>
                  </w14:solidFill>
                </w14:textFill>
              </w:rPr>
              <w:t>。</w:t>
            </w:r>
          </w:p>
          <w:p w14:paraId="076275BD">
            <w:pPr>
              <w:keepNext/>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000000" w:themeColor="text1"/>
                <w:szCs w:val="21"/>
                <w:lang w:eastAsia="zh-CN"/>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表4</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.2</w:t>
            </w:r>
            <w:r>
              <w:rPr>
                <w:rFonts w:hint="default" w:ascii="Times New Roman" w:hAnsi="Times New Roman" w:eastAsia="宋体" w:cs="Times New Roman"/>
                <w:b/>
                <w:bCs w:val="0"/>
                <w:color w:val="000000" w:themeColor="text1"/>
                <w:szCs w:val="21"/>
                <w14:textFill>
                  <w14:solidFill>
                    <w14:schemeClr w14:val="tx1"/>
                  </w14:solidFill>
                </w14:textFill>
              </w:rPr>
              <w:t>-</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8</w:t>
            </w:r>
            <w:r>
              <w:rPr>
                <w:rFonts w:hint="default" w:ascii="Times New Roman" w:hAnsi="Times New Roman" w:eastAsia="宋体" w:cs="Times New Roman"/>
                <w:b/>
                <w:bCs w:val="0"/>
                <w:color w:val="000000" w:themeColor="text1"/>
                <w:szCs w:val="21"/>
                <w14:textFill>
                  <w14:solidFill>
                    <w14:schemeClr w14:val="tx1"/>
                  </w14:solidFill>
                </w14:textFill>
              </w:rPr>
              <w:t xml:space="preserve">  </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项目</w:t>
            </w:r>
            <w:r>
              <w:rPr>
                <w:rFonts w:hint="default" w:ascii="Times New Roman" w:hAnsi="Times New Roman" w:eastAsia="宋体" w:cs="Times New Roman"/>
                <w:b/>
                <w:bCs w:val="0"/>
                <w:color w:val="000000" w:themeColor="text1"/>
                <w:szCs w:val="21"/>
                <w14:textFill>
                  <w14:solidFill>
                    <w14:schemeClr w14:val="tx1"/>
                  </w14:solidFill>
                </w14:textFill>
              </w:rPr>
              <w:t>主要噪声设备</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声源调查</w:t>
            </w:r>
            <w:r>
              <w:rPr>
                <w:rFonts w:hint="default" w:ascii="Times New Roman" w:hAnsi="Times New Roman" w:eastAsia="宋体" w:cs="Times New Roman"/>
                <w:b/>
                <w:bCs w:val="0"/>
                <w:color w:val="000000" w:themeColor="text1"/>
                <w:szCs w:val="21"/>
                <w14:textFill>
                  <w14:solidFill>
                    <w14:schemeClr w14:val="tx1"/>
                  </w14:solidFill>
                </w14:textFill>
              </w:rPr>
              <w:t>一览表</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373"/>
              <w:gridCol w:w="580"/>
              <w:gridCol w:w="633"/>
              <w:gridCol w:w="626"/>
              <w:gridCol w:w="607"/>
              <w:gridCol w:w="440"/>
              <w:gridCol w:w="498"/>
              <w:gridCol w:w="472"/>
              <w:gridCol w:w="860"/>
              <w:gridCol w:w="656"/>
              <w:gridCol w:w="511"/>
              <w:gridCol w:w="689"/>
              <w:gridCol w:w="689"/>
              <w:gridCol w:w="689"/>
            </w:tblGrid>
            <w:tr w14:paraId="2916D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restart"/>
                  <w:tcBorders>
                    <w:tl2br w:val="nil"/>
                    <w:tr2bl w:val="nil"/>
                  </w:tcBorders>
                  <w:vAlign w:val="center"/>
                </w:tcPr>
                <w:p w14:paraId="637989F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580" w:type="dxa"/>
                  <w:vMerge w:val="restart"/>
                  <w:tcBorders>
                    <w:tl2br w:val="nil"/>
                    <w:tr2bl w:val="nil"/>
                  </w:tcBorders>
                  <w:vAlign w:val="center"/>
                </w:tcPr>
                <w:p w14:paraId="406FDFC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建筑物名称</w:t>
                  </w:r>
                </w:p>
              </w:tc>
              <w:tc>
                <w:tcPr>
                  <w:tcW w:w="633" w:type="dxa"/>
                  <w:vMerge w:val="restart"/>
                  <w:tcBorders>
                    <w:tl2br w:val="nil"/>
                    <w:tr2bl w:val="nil"/>
                  </w:tcBorders>
                  <w:vAlign w:val="center"/>
                </w:tcPr>
                <w:p w14:paraId="778E990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声源名称</w:t>
                  </w:r>
                </w:p>
              </w:tc>
              <w:tc>
                <w:tcPr>
                  <w:tcW w:w="626" w:type="dxa"/>
                  <w:vMerge w:val="restart"/>
                  <w:tcBorders>
                    <w:tl2br w:val="nil"/>
                    <w:tr2bl w:val="nil"/>
                  </w:tcBorders>
                  <w:vAlign w:val="center"/>
                </w:tcPr>
                <w:p w14:paraId="43E39B1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声功率级dB（A）</w:t>
                  </w:r>
                </w:p>
              </w:tc>
              <w:tc>
                <w:tcPr>
                  <w:tcW w:w="607" w:type="dxa"/>
                  <w:vMerge w:val="restart"/>
                  <w:tcBorders>
                    <w:tl2br w:val="nil"/>
                    <w:tr2bl w:val="nil"/>
                  </w:tcBorders>
                  <w:vAlign w:val="center"/>
                </w:tcPr>
                <w:p w14:paraId="7E67C4F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声源控制措施</w:t>
                  </w:r>
                </w:p>
              </w:tc>
              <w:tc>
                <w:tcPr>
                  <w:tcW w:w="1410" w:type="dxa"/>
                  <w:gridSpan w:val="3"/>
                  <w:tcBorders>
                    <w:tl2br w:val="nil"/>
                    <w:tr2bl w:val="nil"/>
                  </w:tcBorders>
                  <w:vAlign w:val="center"/>
                </w:tcPr>
                <w:p w14:paraId="7C69EC0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空间相对位置/m</w:t>
                  </w:r>
                </w:p>
              </w:tc>
              <w:tc>
                <w:tcPr>
                  <w:tcW w:w="860" w:type="dxa"/>
                  <w:vMerge w:val="restart"/>
                  <w:tcBorders>
                    <w:tl2br w:val="nil"/>
                    <w:tr2bl w:val="nil"/>
                  </w:tcBorders>
                  <w:vAlign w:val="center"/>
                </w:tcPr>
                <w:p w14:paraId="3524BF4D">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距室内边界距离/m</w:t>
                  </w:r>
                </w:p>
              </w:tc>
              <w:tc>
                <w:tcPr>
                  <w:tcW w:w="656" w:type="dxa"/>
                  <w:vMerge w:val="restart"/>
                  <w:tcBorders>
                    <w:tl2br w:val="nil"/>
                    <w:tr2bl w:val="nil"/>
                  </w:tcBorders>
                  <w:vAlign w:val="center"/>
                </w:tcPr>
                <w:p w14:paraId="306721D4">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室内边界声级/dB(A)</w:t>
                  </w:r>
                </w:p>
              </w:tc>
              <w:tc>
                <w:tcPr>
                  <w:tcW w:w="511" w:type="dxa"/>
                  <w:vMerge w:val="restart"/>
                  <w:tcBorders>
                    <w:tl2br w:val="nil"/>
                    <w:tr2bl w:val="nil"/>
                  </w:tcBorders>
                  <w:vAlign w:val="center"/>
                </w:tcPr>
                <w:p w14:paraId="17EADE4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运行时段</w:t>
                  </w:r>
                </w:p>
              </w:tc>
              <w:tc>
                <w:tcPr>
                  <w:tcW w:w="689" w:type="dxa"/>
                  <w:vMerge w:val="restart"/>
                  <w:tcBorders>
                    <w:tl2br w:val="nil"/>
                    <w:tr2bl w:val="nil"/>
                  </w:tcBorders>
                  <w:vAlign w:val="center"/>
                </w:tcPr>
                <w:p w14:paraId="299BF3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建筑物插入损失/dB(A)</w:t>
                  </w:r>
                </w:p>
              </w:tc>
              <w:tc>
                <w:tcPr>
                  <w:tcW w:w="1378" w:type="dxa"/>
                  <w:gridSpan w:val="2"/>
                  <w:tcBorders>
                    <w:tl2br w:val="nil"/>
                    <w:tr2bl w:val="nil"/>
                  </w:tcBorders>
                  <w:vAlign w:val="center"/>
                </w:tcPr>
                <w:p w14:paraId="1C8EE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建筑物外噪声</w:t>
                  </w:r>
                </w:p>
              </w:tc>
            </w:tr>
            <w:tr w14:paraId="6330C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24" w:hRule="atLeast"/>
                <w:jc w:val="center"/>
              </w:trPr>
              <w:tc>
                <w:tcPr>
                  <w:tcW w:w="373" w:type="dxa"/>
                  <w:vMerge w:val="continue"/>
                  <w:tcBorders>
                    <w:tl2br w:val="nil"/>
                    <w:tr2bl w:val="nil"/>
                  </w:tcBorders>
                  <w:vAlign w:val="center"/>
                </w:tcPr>
                <w:p w14:paraId="7E30080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7609C4C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33" w:type="dxa"/>
                  <w:vMerge w:val="continue"/>
                  <w:tcBorders>
                    <w:tl2br w:val="nil"/>
                    <w:tr2bl w:val="nil"/>
                  </w:tcBorders>
                  <w:vAlign w:val="center"/>
                </w:tcPr>
                <w:p w14:paraId="6B1EFE2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26" w:type="dxa"/>
                  <w:vMerge w:val="continue"/>
                  <w:tcBorders>
                    <w:tl2br w:val="nil"/>
                    <w:tr2bl w:val="nil"/>
                  </w:tcBorders>
                  <w:vAlign w:val="center"/>
                </w:tcPr>
                <w:p w14:paraId="3FABFB6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07" w:type="dxa"/>
                  <w:vMerge w:val="continue"/>
                  <w:tcBorders>
                    <w:tl2br w:val="nil"/>
                    <w:tr2bl w:val="nil"/>
                  </w:tcBorders>
                  <w:vAlign w:val="center"/>
                </w:tcPr>
                <w:p w14:paraId="5286EA1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440" w:type="dxa"/>
                  <w:tcBorders>
                    <w:tl2br w:val="nil"/>
                    <w:tr2bl w:val="nil"/>
                  </w:tcBorders>
                  <w:vAlign w:val="center"/>
                </w:tcPr>
                <w:p w14:paraId="71E187D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X</w:t>
                  </w:r>
                </w:p>
              </w:tc>
              <w:tc>
                <w:tcPr>
                  <w:tcW w:w="498" w:type="dxa"/>
                  <w:tcBorders>
                    <w:tl2br w:val="nil"/>
                    <w:tr2bl w:val="nil"/>
                  </w:tcBorders>
                  <w:vAlign w:val="center"/>
                </w:tcPr>
                <w:p w14:paraId="7755E93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Y</w:t>
                  </w:r>
                </w:p>
              </w:tc>
              <w:tc>
                <w:tcPr>
                  <w:tcW w:w="472" w:type="dxa"/>
                  <w:tcBorders>
                    <w:tl2br w:val="nil"/>
                    <w:tr2bl w:val="nil"/>
                  </w:tcBorders>
                  <w:vAlign w:val="center"/>
                </w:tcPr>
                <w:p w14:paraId="0642B90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Z</w:t>
                  </w:r>
                </w:p>
              </w:tc>
              <w:tc>
                <w:tcPr>
                  <w:tcW w:w="860" w:type="dxa"/>
                  <w:vMerge w:val="continue"/>
                  <w:tcBorders>
                    <w:tl2br w:val="nil"/>
                    <w:tr2bl w:val="nil"/>
                  </w:tcBorders>
                  <w:vAlign w:val="center"/>
                </w:tcPr>
                <w:p w14:paraId="25F2D38E">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56" w:type="dxa"/>
                  <w:vMerge w:val="continue"/>
                  <w:tcBorders>
                    <w:tl2br w:val="nil"/>
                    <w:tr2bl w:val="nil"/>
                  </w:tcBorders>
                  <w:vAlign w:val="center"/>
                </w:tcPr>
                <w:p w14:paraId="2CFE06E6">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11" w:type="dxa"/>
                  <w:vMerge w:val="continue"/>
                  <w:tcBorders>
                    <w:tl2br w:val="nil"/>
                    <w:tr2bl w:val="nil"/>
                  </w:tcBorders>
                  <w:vAlign w:val="center"/>
                </w:tcPr>
                <w:p w14:paraId="14445B1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89" w:type="dxa"/>
                  <w:vMerge w:val="continue"/>
                  <w:tcBorders>
                    <w:tl2br w:val="nil"/>
                    <w:tr2bl w:val="nil"/>
                  </w:tcBorders>
                  <w:vAlign w:val="center"/>
                </w:tcPr>
                <w:p w14:paraId="1C197B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89" w:type="dxa"/>
                  <w:tcBorders>
                    <w:tl2br w:val="nil"/>
                    <w:tr2bl w:val="nil"/>
                  </w:tcBorders>
                  <w:vAlign w:val="center"/>
                </w:tcPr>
                <w:p w14:paraId="28323503">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声压级/dB(A)</w:t>
                  </w:r>
                </w:p>
              </w:tc>
              <w:tc>
                <w:tcPr>
                  <w:tcW w:w="689" w:type="dxa"/>
                  <w:tcBorders>
                    <w:tl2br w:val="nil"/>
                    <w:tr2bl w:val="nil"/>
                  </w:tcBorders>
                  <w:vAlign w:val="center"/>
                </w:tcPr>
                <w:p w14:paraId="6CCA9D79">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建筑物外距离</w:t>
                  </w:r>
                </w:p>
              </w:tc>
            </w:tr>
            <w:tr w14:paraId="11938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restart"/>
                  <w:tcBorders>
                    <w:tl2br w:val="nil"/>
                    <w:tr2bl w:val="nil"/>
                  </w:tcBorders>
                  <w:vAlign w:val="center"/>
                </w:tcPr>
                <w:p w14:paraId="1AAE50F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580" w:type="dxa"/>
                  <w:vMerge w:val="restart"/>
                  <w:tcBorders>
                    <w:tl2br w:val="nil"/>
                    <w:tr2bl w:val="nil"/>
                  </w:tcBorders>
                  <w:vAlign w:val="center"/>
                </w:tcPr>
                <w:p w14:paraId="5D1DF98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Arial" w:hAnsi="Arial" w:eastAsia="Arial" w:cs="Arial"/>
                      <w:color w:val="000000" w:themeColor="text1"/>
                      <w:sz w:val="21"/>
                      <w:szCs w:val="21"/>
                      <w14:textFill>
                        <w14:solidFill>
                          <w14:schemeClr w14:val="tx1"/>
                        </w14:solidFill>
                      </w14:textFill>
                    </w:rPr>
                    <w:t>废矿物油项目-声屏障</w:t>
                  </w:r>
                </w:p>
              </w:tc>
              <w:tc>
                <w:tcPr>
                  <w:tcW w:w="633" w:type="dxa"/>
                  <w:vMerge w:val="restart"/>
                  <w:tcBorders>
                    <w:tl2br w:val="nil"/>
                    <w:tr2bl w:val="nil"/>
                  </w:tcBorders>
                  <w:vAlign w:val="center"/>
                </w:tcPr>
                <w:p w14:paraId="266A7C12">
                  <w:pPr>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r>
                    <w:rPr>
                      <w:rFonts w:ascii="Arial" w:hAnsi="Arial" w:eastAsia="Arial" w:cs="Arial"/>
                      <w:color w:val="000000" w:themeColor="text1"/>
                      <w:sz w:val="21"/>
                      <w:szCs w:val="21"/>
                      <w14:textFill>
                        <w14:solidFill>
                          <w14:schemeClr w14:val="tx1"/>
                        </w14:solidFill>
                      </w14:textFill>
                    </w:rPr>
                    <w:t>装卸油泵</w:t>
                  </w:r>
                </w:p>
              </w:tc>
              <w:tc>
                <w:tcPr>
                  <w:tcW w:w="626" w:type="dxa"/>
                  <w:vMerge w:val="restart"/>
                  <w:tcBorders>
                    <w:tl2br w:val="nil"/>
                    <w:tr2bl w:val="nil"/>
                  </w:tcBorders>
                  <w:vAlign w:val="center"/>
                </w:tcPr>
                <w:p w14:paraId="59B9956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p>
              </w:tc>
              <w:tc>
                <w:tcPr>
                  <w:tcW w:w="607" w:type="dxa"/>
                  <w:vMerge w:val="restart"/>
                  <w:tcBorders>
                    <w:tl2br w:val="nil"/>
                    <w:tr2bl w:val="nil"/>
                  </w:tcBorders>
                  <w:vAlign w:val="center"/>
                </w:tcPr>
                <w:p w14:paraId="13525DA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消声减振</w:t>
                  </w:r>
                </w:p>
                <w:p w14:paraId="3F56D10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厂房隔声</w:t>
                  </w:r>
                </w:p>
                <w:p w14:paraId="43302CA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距离衰减</w:t>
                  </w:r>
                </w:p>
              </w:tc>
              <w:tc>
                <w:tcPr>
                  <w:tcW w:w="440" w:type="dxa"/>
                  <w:vMerge w:val="restart"/>
                  <w:tcBorders>
                    <w:tl2br w:val="nil"/>
                    <w:tr2bl w:val="nil"/>
                  </w:tcBorders>
                  <w:vAlign w:val="center"/>
                </w:tcPr>
                <w:p w14:paraId="3BF9C63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5.4</w:t>
                  </w:r>
                </w:p>
              </w:tc>
              <w:tc>
                <w:tcPr>
                  <w:tcW w:w="498" w:type="dxa"/>
                  <w:vMerge w:val="restart"/>
                  <w:tcBorders>
                    <w:tl2br w:val="nil"/>
                    <w:tr2bl w:val="nil"/>
                  </w:tcBorders>
                  <w:vAlign w:val="center"/>
                </w:tcPr>
                <w:p w14:paraId="7C09F49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w:t>
                  </w:r>
                </w:p>
              </w:tc>
              <w:tc>
                <w:tcPr>
                  <w:tcW w:w="472" w:type="dxa"/>
                  <w:vMerge w:val="restart"/>
                  <w:tcBorders>
                    <w:tl2br w:val="nil"/>
                    <w:tr2bl w:val="nil"/>
                  </w:tcBorders>
                  <w:vAlign w:val="center"/>
                </w:tcPr>
                <w:p w14:paraId="2BDA76B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1.2</w:t>
                  </w:r>
                </w:p>
              </w:tc>
              <w:tc>
                <w:tcPr>
                  <w:tcW w:w="860" w:type="dxa"/>
                  <w:tcBorders>
                    <w:tl2br w:val="nil"/>
                    <w:tr2bl w:val="nil"/>
                  </w:tcBorders>
                  <w:vAlign w:val="center"/>
                </w:tcPr>
                <w:p w14:paraId="0497A21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东：4.3</w:t>
                  </w:r>
                </w:p>
              </w:tc>
              <w:tc>
                <w:tcPr>
                  <w:tcW w:w="656" w:type="dxa"/>
                  <w:tcBorders>
                    <w:tl2br w:val="nil"/>
                    <w:tr2bl w:val="nil"/>
                  </w:tcBorders>
                  <w:vAlign w:val="center"/>
                </w:tcPr>
                <w:p w14:paraId="25C6F02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东：64</w:t>
                  </w:r>
                </w:p>
              </w:tc>
              <w:tc>
                <w:tcPr>
                  <w:tcW w:w="511" w:type="dxa"/>
                  <w:vMerge w:val="restart"/>
                  <w:tcBorders>
                    <w:tl2br w:val="nil"/>
                    <w:tr2bl w:val="nil"/>
                  </w:tcBorders>
                  <w:vAlign w:val="center"/>
                </w:tcPr>
                <w:p w14:paraId="2CFDAD9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0~24h</w:t>
                  </w:r>
                </w:p>
              </w:tc>
              <w:tc>
                <w:tcPr>
                  <w:tcW w:w="689" w:type="dxa"/>
                  <w:tcBorders>
                    <w:tl2br w:val="nil"/>
                    <w:tr2bl w:val="nil"/>
                  </w:tcBorders>
                  <w:vAlign w:val="center"/>
                </w:tcPr>
                <w:p w14:paraId="4A6341E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w:t>
                  </w:r>
                </w:p>
              </w:tc>
              <w:tc>
                <w:tcPr>
                  <w:tcW w:w="689" w:type="dxa"/>
                  <w:tcBorders>
                    <w:tl2br w:val="nil"/>
                    <w:tr2bl w:val="nil"/>
                  </w:tcBorders>
                  <w:vAlign w:val="center"/>
                </w:tcPr>
                <w:p w14:paraId="40BB166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38.0</w:t>
                  </w:r>
                </w:p>
              </w:tc>
              <w:tc>
                <w:tcPr>
                  <w:tcW w:w="689" w:type="dxa"/>
                  <w:tcBorders>
                    <w:tl2br w:val="nil"/>
                    <w:tr2bl w:val="nil"/>
                  </w:tcBorders>
                  <w:vAlign w:val="center"/>
                </w:tcPr>
                <w:p w14:paraId="08EF31A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496F0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continue"/>
                  <w:tcBorders>
                    <w:tl2br w:val="nil"/>
                    <w:tr2bl w:val="nil"/>
                  </w:tcBorders>
                  <w:vAlign w:val="center"/>
                </w:tcPr>
                <w:p w14:paraId="6961DCD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498CE9D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33" w:type="dxa"/>
                  <w:vMerge w:val="continue"/>
                  <w:tcBorders>
                    <w:tl2br w:val="nil"/>
                    <w:tr2bl w:val="nil"/>
                  </w:tcBorders>
                  <w:vAlign w:val="center"/>
                </w:tcPr>
                <w:p w14:paraId="07CAAF1D">
                  <w:pPr>
                    <w:pageBreakBefore w:val="0"/>
                    <w:widowControl w:val="0"/>
                    <w:kinsoku/>
                    <w:wordWrap/>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p>
              </w:tc>
              <w:tc>
                <w:tcPr>
                  <w:tcW w:w="626" w:type="dxa"/>
                  <w:vMerge w:val="continue"/>
                  <w:tcBorders>
                    <w:tl2br w:val="nil"/>
                    <w:tr2bl w:val="nil"/>
                  </w:tcBorders>
                  <w:vAlign w:val="center"/>
                </w:tcPr>
                <w:p w14:paraId="5D8D896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07" w:type="dxa"/>
                  <w:vMerge w:val="continue"/>
                  <w:tcBorders>
                    <w:tl2br w:val="nil"/>
                    <w:tr2bl w:val="nil"/>
                  </w:tcBorders>
                  <w:vAlign w:val="center"/>
                </w:tcPr>
                <w:p w14:paraId="6C6B1C8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continue"/>
                  <w:tcBorders>
                    <w:tl2br w:val="nil"/>
                    <w:tr2bl w:val="nil"/>
                  </w:tcBorders>
                  <w:vAlign w:val="center"/>
                </w:tcPr>
                <w:p w14:paraId="16FAF13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98" w:type="dxa"/>
                  <w:vMerge w:val="continue"/>
                  <w:tcBorders>
                    <w:tl2br w:val="nil"/>
                    <w:tr2bl w:val="nil"/>
                  </w:tcBorders>
                  <w:vAlign w:val="center"/>
                </w:tcPr>
                <w:p w14:paraId="51A9DF6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72" w:type="dxa"/>
                  <w:vMerge w:val="continue"/>
                  <w:tcBorders>
                    <w:tl2br w:val="nil"/>
                    <w:tr2bl w:val="nil"/>
                  </w:tcBorders>
                  <w:vAlign w:val="center"/>
                </w:tcPr>
                <w:p w14:paraId="6F2F3B3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860" w:type="dxa"/>
                  <w:tcBorders>
                    <w:tl2br w:val="nil"/>
                    <w:tr2bl w:val="nil"/>
                  </w:tcBorders>
                  <w:vAlign w:val="center"/>
                </w:tcPr>
                <w:p w14:paraId="65B4A3B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南：6.6</w:t>
                  </w:r>
                </w:p>
              </w:tc>
              <w:tc>
                <w:tcPr>
                  <w:tcW w:w="656" w:type="dxa"/>
                  <w:tcBorders>
                    <w:tl2br w:val="nil"/>
                    <w:tr2bl w:val="nil"/>
                  </w:tcBorders>
                  <w:vAlign w:val="center"/>
                </w:tcPr>
                <w:p w14:paraId="2530176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南：63.8</w:t>
                  </w:r>
                </w:p>
              </w:tc>
              <w:tc>
                <w:tcPr>
                  <w:tcW w:w="511" w:type="dxa"/>
                  <w:vMerge w:val="continue"/>
                  <w:tcBorders>
                    <w:tl2br w:val="nil"/>
                    <w:tr2bl w:val="nil"/>
                  </w:tcBorders>
                  <w:vAlign w:val="center"/>
                </w:tcPr>
                <w:p w14:paraId="2F7F14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vAlign w:val="center"/>
                </w:tcPr>
                <w:p w14:paraId="34EC908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w:t>
                  </w:r>
                </w:p>
              </w:tc>
              <w:tc>
                <w:tcPr>
                  <w:tcW w:w="689" w:type="dxa"/>
                  <w:tcBorders>
                    <w:tl2br w:val="nil"/>
                    <w:tr2bl w:val="nil"/>
                  </w:tcBorders>
                  <w:vAlign w:val="center"/>
                </w:tcPr>
                <w:p w14:paraId="1813343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37.8</w:t>
                  </w:r>
                </w:p>
              </w:tc>
              <w:tc>
                <w:tcPr>
                  <w:tcW w:w="689" w:type="dxa"/>
                  <w:tcBorders>
                    <w:tl2br w:val="nil"/>
                    <w:tr2bl w:val="nil"/>
                  </w:tcBorders>
                  <w:vAlign w:val="center"/>
                </w:tcPr>
                <w:p w14:paraId="40DA6A9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07A6D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continue"/>
                  <w:tcBorders>
                    <w:tl2br w:val="nil"/>
                    <w:tr2bl w:val="nil"/>
                  </w:tcBorders>
                  <w:vAlign w:val="center"/>
                </w:tcPr>
                <w:p w14:paraId="0439C22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45C4EA5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33" w:type="dxa"/>
                  <w:vMerge w:val="continue"/>
                  <w:tcBorders>
                    <w:tl2br w:val="nil"/>
                    <w:tr2bl w:val="nil"/>
                  </w:tcBorders>
                  <w:vAlign w:val="center"/>
                </w:tcPr>
                <w:p w14:paraId="4667EB07">
                  <w:pPr>
                    <w:pageBreakBefore w:val="0"/>
                    <w:widowControl w:val="0"/>
                    <w:kinsoku/>
                    <w:wordWrap/>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p>
              </w:tc>
              <w:tc>
                <w:tcPr>
                  <w:tcW w:w="626" w:type="dxa"/>
                  <w:vMerge w:val="continue"/>
                  <w:tcBorders>
                    <w:tl2br w:val="nil"/>
                    <w:tr2bl w:val="nil"/>
                  </w:tcBorders>
                  <w:vAlign w:val="center"/>
                </w:tcPr>
                <w:p w14:paraId="55A9089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07" w:type="dxa"/>
                  <w:vMerge w:val="continue"/>
                  <w:tcBorders>
                    <w:tl2br w:val="nil"/>
                    <w:tr2bl w:val="nil"/>
                  </w:tcBorders>
                  <w:vAlign w:val="center"/>
                </w:tcPr>
                <w:p w14:paraId="41CBCC1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continue"/>
                  <w:tcBorders>
                    <w:tl2br w:val="nil"/>
                    <w:tr2bl w:val="nil"/>
                  </w:tcBorders>
                  <w:vAlign w:val="center"/>
                </w:tcPr>
                <w:p w14:paraId="695F569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98" w:type="dxa"/>
                  <w:vMerge w:val="continue"/>
                  <w:tcBorders>
                    <w:tl2br w:val="nil"/>
                    <w:tr2bl w:val="nil"/>
                  </w:tcBorders>
                  <w:vAlign w:val="center"/>
                </w:tcPr>
                <w:p w14:paraId="48E30BD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72" w:type="dxa"/>
                  <w:vMerge w:val="continue"/>
                  <w:tcBorders>
                    <w:tl2br w:val="nil"/>
                    <w:tr2bl w:val="nil"/>
                  </w:tcBorders>
                  <w:vAlign w:val="center"/>
                </w:tcPr>
                <w:p w14:paraId="29A16EF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860" w:type="dxa"/>
                  <w:tcBorders>
                    <w:tl2br w:val="nil"/>
                    <w:tr2bl w:val="nil"/>
                  </w:tcBorders>
                  <w:vAlign w:val="center"/>
                </w:tcPr>
                <w:p w14:paraId="7C6A422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西：12.3</w:t>
                  </w:r>
                </w:p>
              </w:tc>
              <w:tc>
                <w:tcPr>
                  <w:tcW w:w="656" w:type="dxa"/>
                  <w:tcBorders>
                    <w:tl2br w:val="nil"/>
                    <w:tr2bl w:val="nil"/>
                  </w:tcBorders>
                  <w:vAlign w:val="center"/>
                </w:tcPr>
                <w:p w14:paraId="032673D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西：63.8</w:t>
                  </w:r>
                </w:p>
              </w:tc>
              <w:tc>
                <w:tcPr>
                  <w:tcW w:w="511" w:type="dxa"/>
                  <w:vMerge w:val="continue"/>
                  <w:tcBorders>
                    <w:tl2br w:val="nil"/>
                    <w:tr2bl w:val="nil"/>
                  </w:tcBorders>
                  <w:vAlign w:val="center"/>
                </w:tcPr>
                <w:p w14:paraId="4287BF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vAlign w:val="center"/>
                </w:tcPr>
                <w:p w14:paraId="1964CD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w:t>
                  </w:r>
                </w:p>
              </w:tc>
              <w:tc>
                <w:tcPr>
                  <w:tcW w:w="689" w:type="dxa"/>
                  <w:tcBorders>
                    <w:tl2br w:val="nil"/>
                    <w:tr2bl w:val="nil"/>
                  </w:tcBorders>
                  <w:vAlign w:val="center"/>
                </w:tcPr>
                <w:p w14:paraId="2CC797E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37.8</w:t>
                  </w:r>
                </w:p>
              </w:tc>
              <w:tc>
                <w:tcPr>
                  <w:tcW w:w="689" w:type="dxa"/>
                  <w:tcBorders>
                    <w:tl2br w:val="nil"/>
                    <w:tr2bl w:val="nil"/>
                  </w:tcBorders>
                  <w:vAlign w:val="center"/>
                </w:tcPr>
                <w:p w14:paraId="6BDDBBE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16B52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continue"/>
                  <w:tcBorders>
                    <w:tl2br w:val="nil"/>
                    <w:tr2bl w:val="nil"/>
                  </w:tcBorders>
                  <w:vAlign w:val="center"/>
                </w:tcPr>
                <w:p w14:paraId="57CD932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3444A9F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33" w:type="dxa"/>
                  <w:vMerge w:val="continue"/>
                  <w:tcBorders>
                    <w:tl2br w:val="nil"/>
                    <w:tr2bl w:val="nil"/>
                  </w:tcBorders>
                  <w:vAlign w:val="center"/>
                </w:tcPr>
                <w:p w14:paraId="6D4319C4">
                  <w:pPr>
                    <w:pageBreakBefore w:val="0"/>
                    <w:widowControl w:val="0"/>
                    <w:kinsoku/>
                    <w:wordWrap/>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p>
              </w:tc>
              <w:tc>
                <w:tcPr>
                  <w:tcW w:w="626" w:type="dxa"/>
                  <w:vMerge w:val="continue"/>
                  <w:tcBorders>
                    <w:tl2br w:val="nil"/>
                    <w:tr2bl w:val="nil"/>
                  </w:tcBorders>
                  <w:vAlign w:val="center"/>
                </w:tcPr>
                <w:p w14:paraId="6F52132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07" w:type="dxa"/>
                  <w:vMerge w:val="continue"/>
                  <w:tcBorders>
                    <w:tl2br w:val="nil"/>
                    <w:tr2bl w:val="nil"/>
                  </w:tcBorders>
                  <w:vAlign w:val="center"/>
                </w:tcPr>
                <w:p w14:paraId="1BF319C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continue"/>
                  <w:tcBorders>
                    <w:tl2br w:val="nil"/>
                    <w:tr2bl w:val="nil"/>
                  </w:tcBorders>
                  <w:vAlign w:val="center"/>
                </w:tcPr>
                <w:p w14:paraId="7825D8B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98" w:type="dxa"/>
                  <w:vMerge w:val="continue"/>
                  <w:tcBorders>
                    <w:tl2br w:val="nil"/>
                    <w:tr2bl w:val="nil"/>
                  </w:tcBorders>
                  <w:vAlign w:val="center"/>
                </w:tcPr>
                <w:p w14:paraId="415D8F0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72" w:type="dxa"/>
                  <w:vMerge w:val="continue"/>
                  <w:tcBorders>
                    <w:tl2br w:val="nil"/>
                    <w:tr2bl w:val="nil"/>
                  </w:tcBorders>
                  <w:vAlign w:val="center"/>
                </w:tcPr>
                <w:p w14:paraId="6C27094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860" w:type="dxa"/>
                  <w:tcBorders>
                    <w:tl2br w:val="nil"/>
                    <w:tr2bl w:val="nil"/>
                  </w:tcBorders>
                  <w:vAlign w:val="center"/>
                </w:tcPr>
                <w:p w14:paraId="5DAE7DB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北：15.1</w:t>
                  </w:r>
                </w:p>
              </w:tc>
              <w:tc>
                <w:tcPr>
                  <w:tcW w:w="656" w:type="dxa"/>
                  <w:tcBorders>
                    <w:tl2br w:val="nil"/>
                    <w:tr2bl w:val="nil"/>
                  </w:tcBorders>
                  <w:vAlign w:val="center"/>
                </w:tcPr>
                <w:p w14:paraId="1130DE5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北：63.8</w:t>
                  </w:r>
                </w:p>
              </w:tc>
              <w:tc>
                <w:tcPr>
                  <w:tcW w:w="511" w:type="dxa"/>
                  <w:vMerge w:val="continue"/>
                  <w:tcBorders>
                    <w:tl2br w:val="nil"/>
                    <w:tr2bl w:val="nil"/>
                  </w:tcBorders>
                  <w:vAlign w:val="center"/>
                </w:tcPr>
                <w:p w14:paraId="051152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vAlign w:val="center"/>
                </w:tcPr>
                <w:p w14:paraId="516956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w:t>
                  </w:r>
                </w:p>
              </w:tc>
              <w:tc>
                <w:tcPr>
                  <w:tcW w:w="689" w:type="dxa"/>
                  <w:tcBorders>
                    <w:tl2br w:val="nil"/>
                    <w:tr2bl w:val="nil"/>
                  </w:tcBorders>
                  <w:vAlign w:val="center"/>
                </w:tcPr>
                <w:p w14:paraId="270B67DF">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37.7</w:t>
                  </w:r>
                </w:p>
              </w:tc>
              <w:tc>
                <w:tcPr>
                  <w:tcW w:w="689" w:type="dxa"/>
                  <w:tcBorders>
                    <w:tl2br w:val="nil"/>
                    <w:tr2bl w:val="nil"/>
                  </w:tcBorders>
                  <w:vAlign w:val="center"/>
                </w:tcPr>
                <w:p w14:paraId="2E1F593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55C35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restart"/>
                  <w:tcBorders>
                    <w:tl2br w:val="nil"/>
                    <w:tr2bl w:val="nil"/>
                  </w:tcBorders>
                  <w:vAlign w:val="center"/>
                </w:tcPr>
                <w:p w14:paraId="5A37287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580" w:type="dxa"/>
                  <w:vMerge w:val="continue"/>
                  <w:tcBorders>
                    <w:tl2br w:val="nil"/>
                    <w:tr2bl w:val="nil"/>
                  </w:tcBorders>
                  <w:vAlign w:val="center"/>
                </w:tcPr>
                <w:p w14:paraId="3164FB0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33" w:type="dxa"/>
                  <w:vMerge w:val="restart"/>
                  <w:tcBorders>
                    <w:tl2br w:val="nil"/>
                    <w:tr2bl w:val="nil"/>
                  </w:tcBorders>
                  <w:vAlign w:val="center"/>
                </w:tcPr>
                <w:p w14:paraId="759DCBCC">
                  <w:pPr>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r>
                    <w:rPr>
                      <w:rFonts w:ascii="Arial" w:hAnsi="Arial" w:eastAsia="Arial" w:cs="Arial"/>
                      <w:color w:val="000000" w:themeColor="text1"/>
                      <w:sz w:val="21"/>
                      <w:szCs w:val="21"/>
                      <w14:textFill>
                        <w14:solidFill>
                          <w14:schemeClr w14:val="tx1"/>
                        </w14:solidFill>
                      </w14:textFill>
                    </w:rPr>
                    <w:t>引风机1</w:t>
                  </w:r>
                </w:p>
              </w:tc>
              <w:tc>
                <w:tcPr>
                  <w:tcW w:w="626" w:type="dxa"/>
                  <w:vMerge w:val="restart"/>
                  <w:tcBorders>
                    <w:tl2br w:val="nil"/>
                    <w:tr2bl w:val="nil"/>
                  </w:tcBorders>
                  <w:vAlign w:val="center"/>
                </w:tcPr>
                <w:p w14:paraId="43B4563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p>
              </w:tc>
              <w:tc>
                <w:tcPr>
                  <w:tcW w:w="607" w:type="dxa"/>
                  <w:vMerge w:val="continue"/>
                  <w:tcBorders>
                    <w:tl2br w:val="nil"/>
                    <w:tr2bl w:val="nil"/>
                  </w:tcBorders>
                  <w:vAlign w:val="center"/>
                </w:tcPr>
                <w:p w14:paraId="6C36788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restart"/>
                  <w:tcBorders>
                    <w:tl2br w:val="nil"/>
                    <w:tr2bl w:val="nil"/>
                  </w:tcBorders>
                  <w:vAlign w:val="center"/>
                </w:tcPr>
                <w:p w14:paraId="39517B9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-3.2</w:t>
                  </w:r>
                </w:p>
              </w:tc>
              <w:tc>
                <w:tcPr>
                  <w:tcW w:w="498" w:type="dxa"/>
                  <w:vMerge w:val="restart"/>
                  <w:tcBorders>
                    <w:tl2br w:val="nil"/>
                    <w:tr2bl w:val="nil"/>
                  </w:tcBorders>
                  <w:vAlign w:val="center"/>
                </w:tcPr>
                <w:p w14:paraId="31A95ED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5.9</w:t>
                  </w:r>
                </w:p>
              </w:tc>
              <w:tc>
                <w:tcPr>
                  <w:tcW w:w="472" w:type="dxa"/>
                  <w:vMerge w:val="restart"/>
                  <w:tcBorders>
                    <w:tl2br w:val="nil"/>
                    <w:tr2bl w:val="nil"/>
                  </w:tcBorders>
                  <w:vAlign w:val="center"/>
                </w:tcPr>
                <w:p w14:paraId="34049F9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1.2</w:t>
                  </w:r>
                </w:p>
              </w:tc>
              <w:tc>
                <w:tcPr>
                  <w:tcW w:w="860" w:type="dxa"/>
                  <w:tcBorders>
                    <w:tl2br w:val="nil"/>
                    <w:tr2bl w:val="nil"/>
                  </w:tcBorders>
                  <w:vAlign w:val="center"/>
                </w:tcPr>
                <w:p w14:paraId="066E68D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东：9.1</w:t>
                  </w:r>
                </w:p>
              </w:tc>
              <w:tc>
                <w:tcPr>
                  <w:tcW w:w="656" w:type="dxa"/>
                  <w:tcBorders>
                    <w:tl2br w:val="nil"/>
                    <w:tr2bl w:val="nil"/>
                  </w:tcBorders>
                  <w:vAlign w:val="center"/>
                </w:tcPr>
                <w:p w14:paraId="2741AF4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东：63.8</w:t>
                  </w:r>
                </w:p>
              </w:tc>
              <w:tc>
                <w:tcPr>
                  <w:tcW w:w="511" w:type="dxa"/>
                  <w:vMerge w:val="restart"/>
                  <w:tcBorders>
                    <w:tl2br w:val="nil"/>
                    <w:tr2bl w:val="nil"/>
                  </w:tcBorders>
                  <w:vAlign w:val="center"/>
                </w:tcPr>
                <w:p w14:paraId="13BD53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0~24h</w:t>
                  </w:r>
                </w:p>
              </w:tc>
              <w:tc>
                <w:tcPr>
                  <w:tcW w:w="689" w:type="dxa"/>
                  <w:tcBorders>
                    <w:tl2br w:val="nil"/>
                    <w:tr2bl w:val="nil"/>
                  </w:tcBorders>
                  <w:vAlign w:val="center"/>
                </w:tcPr>
                <w:p w14:paraId="16A2D0A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26</w:t>
                  </w:r>
                </w:p>
              </w:tc>
              <w:tc>
                <w:tcPr>
                  <w:tcW w:w="689" w:type="dxa"/>
                  <w:tcBorders>
                    <w:tl2br w:val="nil"/>
                    <w:tr2bl w:val="nil"/>
                  </w:tcBorders>
                  <w:vAlign w:val="center"/>
                </w:tcPr>
                <w:p w14:paraId="2F464DA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37.8</w:t>
                  </w:r>
                </w:p>
              </w:tc>
              <w:tc>
                <w:tcPr>
                  <w:tcW w:w="689" w:type="dxa"/>
                  <w:tcBorders>
                    <w:tl2br w:val="nil"/>
                    <w:tr2bl w:val="nil"/>
                  </w:tcBorders>
                  <w:vAlign w:val="center"/>
                </w:tcPr>
                <w:p w14:paraId="0B98FDA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2F65B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continue"/>
                  <w:tcBorders>
                    <w:tl2br w:val="nil"/>
                    <w:tr2bl w:val="nil"/>
                  </w:tcBorders>
                  <w:vAlign w:val="center"/>
                </w:tcPr>
                <w:p w14:paraId="1AB611B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7ED3768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3" w:type="dxa"/>
                  <w:vMerge w:val="continue"/>
                  <w:tcBorders>
                    <w:tl2br w:val="nil"/>
                    <w:tr2bl w:val="nil"/>
                  </w:tcBorders>
                  <w:vAlign w:val="center"/>
                </w:tcPr>
                <w:p w14:paraId="54D9E368">
                  <w:pPr>
                    <w:pageBreakBefore w:val="0"/>
                    <w:widowControl w:val="0"/>
                    <w:kinsoku/>
                    <w:wordWrap/>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p>
              </w:tc>
              <w:tc>
                <w:tcPr>
                  <w:tcW w:w="626" w:type="dxa"/>
                  <w:vMerge w:val="continue"/>
                  <w:tcBorders>
                    <w:tl2br w:val="nil"/>
                    <w:tr2bl w:val="nil"/>
                  </w:tcBorders>
                  <w:vAlign w:val="center"/>
                </w:tcPr>
                <w:p w14:paraId="7F34250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07" w:type="dxa"/>
                  <w:vMerge w:val="continue"/>
                  <w:tcBorders>
                    <w:tl2br w:val="nil"/>
                    <w:tr2bl w:val="nil"/>
                  </w:tcBorders>
                  <w:vAlign w:val="center"/>
                </w:tcPr>
                <w:p w14:paraId="794C465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continue"/>
                  <w:tcBorders>
                    <w:tl2br w:val="nil"/>
                    <w:tr2bl w:val="nil"/>
                  </w:tcBorders>
                  <w:vAlign w:val="center"/>
                </w:tcPr>
                <w:p w14:paraId="68ABB72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98" w:type="dxa"/>
                  <w:vMerge w:val="continue"/>
                  <w:tcBorders>
                    <w:tl2br w:val="nil"/>
                    <w:tr2bl w:val="nil"/>
                  </w:tcBorders>
                  <w:vAlign w:val="center"/>
                </w:tcPr>
                <w:p w14:paraId="21F25B9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72" w:type="dxa"/>
                  <w:vMerge w:val="continue"/>
                  <w:tcBorders>
                    <w:tl2br w:val="nil"/>
                    <w:tr2bl w:val="nil"/>
                  </w:tcBorders>
                  <w:vAlign w:val="center"/>
                </w:tcPr>
                <w:p w14:paraId="76A6BE1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860" w:type="dxa"/>
                  <w:tcBorders>
                    <w:tl2br w:val="nil"/>
                    <w:tr2bl w:val="nil"/>
                  </w:tcBorders>
                  <w:vAlign w:val="center"/>
                </w:tcPr>
                <w:p w14:paraId="296ADE7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南：17.7</w:t>
                  </w:r>
                </w:p>
              </w:tc>
              <w:tc>
                <w:tcPr>
                  <w:tcW w:w="656" w:type="dxa"/>
                  <w:tcBorders>
                    <w:tl2br w:val="nil"/>
                    <w:tr2bl w:val="nil"/>
                  </w:tcBorders>
                  <w:vAlign w:val="center"/>
                </w:tcPr>
                <w:p w14:paraId="0FAC7EF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南：63.7</w:t>
                  </w:r>
                </w:p>
              </w:tc>
              <w:tc>
                <w:tcPr>
                  <w:tcW w:w="511" w:type="dxa"/>
                  <w:vMerge w:val="continue"/>
                  <w:tcBorders>
                    <w:tl2br w:val="nil"/>
                    <w:tr2bl w:val="nil"/>
                  </w:tcBorders>
                  <w:vAlign w:val="center"/>
                </w:tcPr>
                <w:p w14:paraId="2F9BC0A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vAlign w:val="center"/>
                </w:tcPr>
                <w:p w14:paraId="65A645D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26</w:t>
                  </w:r>
                </w:p>
              </w:tc>
              <w:tc>
                <w:tcPr>
                  <w:tcW w:w="689" w:type="dxa"/>
                  <w:tcBorders>
                    <w:tl2br w:val="nil"/>
                    <w:tr2bl w:val="nil"/>
                  </w:tcBorders>
                  <w:vAlign w:val="center"/>
                </w:tcPr>
                <w:p w14:paraId="02D96CD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37.7</w:t>
                  </w:r>
                </w:p>
              </w:tc>
              <w:tc>
                <w:tcPr>
                  <w:tcW w:w="689" w:type="dxa"/>
                  <w:tcBorders>
                    <w:tl2br w:val="nil"/>
                    <w:tr2bl w:val="nil"/>
                  </w:tcBorders>
                  <w:vAlign w:val="center"/>
                </w:tcPr>
                <w:p w14:paraId="14F1796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15D16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continue"/>
                  <w:tcBorders>
                    <w:tl2br w:val="nil"/>
                    <w:tr2bl w:val="nil"/>
                  </w:tcBorders>
                  <w:vAlign w:val="center"/>
                </w:tcPr>
                <w:p w14:paraId="43833BA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1224FF2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3" w:type="dxa"/>
                  <w:vMerge w:val="continue"/>
                  <w:tcBorders>
                    <w:tl2br w:val="nil"/>
                    <w:tr2bl w:val="nil"/>
                  </w:tcBorders>
                  <w:vAlign w:val="center"/>
                </w:tcPr>
                <w:p w14:paraId="24B71D1D">
                  <w:pPr>
                    <w:pageBreakBefore w:val="0"/>
                    <w:widowControl w:val="0"/>
                    <w:kinsoku/>
                    <w:wordWrap/>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p>
              </w:tc>
              <w:tc>
                <w:tcPr>
                  <w:tcW w:w="626" w:type="dxa"/>
                  <w:vMerge w:val="continue"/>
                  <w:tcBorders>
                    <w:tl2br w:val="nil"/>
                    <w:tr2bl w:val="nil"/>
                  </w:tcBorders>
                  <w:vAlign w:val="center"/>
                </w:tcPr>
                <w:p w14:paraId="1037BE5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07" w:type="dxa"/>
                  <w:vMerge w:val="continue"/>
                  <w:tcBorders>
                    <w:tl2br w:val="nil"/>
                    <w:tr2bl w:val="nil"/>
                  </w:tcBorders>
                  <w:vAlign w:val="center"/>
                </w:tcPr>
                <w:p w14:paraId="731ED3A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continue"/>
                  <w:tcBorders>
                    <w:tl2br w:val="nil"/>
                    <w:tr2bl w:val="nil"/>
                  </w:tcBorders>
                  <w:vAlign w:val="center"/>
                </w:tcPr>
                <w:p w14:paraId="5FCB46C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98" w:type="dxa"/>
                  <w:vMerge w:val="continue"/>
                  <w:tcBorders>
                    <w:tl2br w:val="nil"/>
                    <w:tr2bl w:val="nil"/>
                  </w:tcBorders>
                  <w:vAlign w:val="center"/>
                </w:tcPr>
                <w:p w14:paraId="436E103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72" w:type="dxa"/>
                  <w:vMerge w:val="continue"/>
                  <w:tcBorders>
                    <w:tl2br w:val="nil"/>
                    <w:tr2bl w:val="nil"/>
                  </w:tcBorders>
                  <w:vAlign w:val="center"/>
                </w:tcPr>
                <w:p w14:paraId="6B07408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860" w:type="dxa"/>
                  <w:tcBorders>
                    <w:tl2br w:val="nil"/>
                    <w:tr2bl w:val="nil"/>
                  </w:tcBorders>
                  <w:vAlign w:val="center"/>
                </w:tcPr>
                <w:p w14:paraId="3A257DA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西：6.9</w:t>
                  </w:r>
                </w:p>
              </w:tc>
              <w:tc>
                <w:tcPr>
                  <w:tcW w:w="656" w:type="dxa"/>
                  <w:tcBorders>
                    <w:tl2br w:val="nil"/>
                    <w:tr2bl w:val="nil"/>
                  </w:tcBorders>
                  <w:vAlign w:val="center"/>
                </w:tcPr>
                <w:p w14:paraId="1DCADD8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西：63.8</w:t>
                  </w:r>
                </w:p>
              </w:tc>
              <w:tc>
                <w:tcPr>
                  <w:tcW w:w="511" w:type="dxa"/>
                  <w:vMerge w:val="continue"/>
                  <w:tcBorders>
                    <w:tl2br w:val="nil"/>
                    <w:tr2bl w:val="nil"/>
                  </w:tcBorders>
                  <w:vAlign w:val="center"/>
                </w:tcPr>
                <w:p w14:paraId="080A8BD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vAlign w:val="center"/>
                </w:tcPr>
                <w:p w14:paraId="0D8EF13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26</w:t>
                  </w:r>
                </w:p>
              </w:tc>
              <w:tc>
                <w:tcPr>
                  <w:tcW w:w="689" w:type="dxa"/>
                  <w:tcBorders>
                    <w:tl2br w:val="nil"/>
                    <w:tr2bl w:val="nil"/>
                  </w:tcBorders>
                  <w:vAlign w:val="center"/>
                </w:tcPr>
                <w:p w14:paraId="2768A53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37.8</w:t>
                  </w:r>
                </w:p>
              </w:tc>
              <w:tc>
                <w:tcPr>
                  <w:tcW w:w="689" w:type="dxa"/>
                  <w:tcBorders>
                    <w:tl2br w:val="nil"/>
                    <w:tr2bl w:val="nil"/>
                  </w:tcBorders>
                  <w:vAlign w:val="center"/>
                </w:tcPr>
                <w:p w14:paraId="195F582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2D9E3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continue"/>
                  <w:tcBorders>
                    <w:tl2br w:val="nil"/>
                    <w:tr2bl w:val="nil"/>
                  </w:tcBorders>
                  <w:vAlign w:val="center"/>
                </w:tcPr>
                <w:p w14:paraId="7493A76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17FFA1F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3" w:type="dxa"/>
                  <w:vMerge w:val="continue"/>
                  <w:tcBorders>
                    <w:tl2br w:val="nil"/>
                    <w:tr2bl w:val="nil"/>
                  </w:tcBorders>
                  <w:vAlign w:val="center"/>
                </w:tcPr>
                <w:p w14:paraId="2A7EEDDA">
                  <w:pPr>
                    <w:pageBreakBefore w:val="0"/>
                    <w:widowControl w:val="0"/>
                    <w:kinsoku/>
                    <w:wordWrap/>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p>
              </w:tc>
              <w:tc>
                <w:tcPr>
                  <w:tcW w:w="626" w:type="dxa"/>
                  <w:vMerge w:val="continue"/>
                  <w:tcBorders>
                    <w:tl2br w:val="nil"/>
                    <w:tr2bl w:val="nil"/>
                  </w:tcBorders>
                  <w:vAlign w:val="center"/>
                </w:tcPr>
                <w:p w14:paraId="042008A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07" w:type="dxa"/>
                  <w:vMerge w:val="continue"/>
                  <w:tcBorders>
                    <w:tl2br w:val="nil"/>
                    <w:tr2bl w:val="nil"/>
                  </w:tcBorders>
                  <w:vAlign w:val="center"/>
                </w:tcPr>
                <w:p w14:paraId="53EB640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continue"/>
                  <w:tcBorders>
                    <w:tl2br w:val="nil"/>
                    <w:tr2bl w:val="nil"/>
                  </w:tcBorders>
                  <w:vAlign w:val="center"/>
                </w:tcPr>
                <w:p w14:paraId="5F77A6C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98" w:type="dxa"/>
                  <w:vMerge w:val="continue"/>
                  <w:tcBorders>
                    <w:tl2br w:val="nil"/>
                    <w:tr2bl w:val="nil"/>
                  </w:tcBorders>
                  <w:vAlign w:val="center"/>
                </w:tcPr>
                <w:p w14:paraId="0581B78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472" w:type="dxa"/>
                  <w:vMerge w:val="continue"/>
                  <w:tcBorders>
                    <w:tl2br w:val="nil"/>
                    <w:tr2bl w:val="nil"/>
                  </w:tcBorders>
                  <w:vAlign w:val="center"/>
                </w:tcPr>
                <w:p w14:paraId="5D21955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p>
              </w:tc>
              <w:tc>
                <w:tcPr>
                  <w:tcW w:w="860" w:type="dxa"/>
                  <w:tcBorders>
                    <w:tl2br w:val="nil"/>
                    <w:tr2bl w:val="nil"/>
                  </w:tcBorders>
                  <w:vAlign w:val="center"/>
                </w:tcPr>
                <w:p w14:paraId="1FC2181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北：3.9</w:t>
                  </w:r>
                </w:p>
              </w:tc>
              <w:tc>
                <w:tcPr>
                  <w:tcW w:w="656" w:type="dxa"/>
                  <w:tcBorders>
                    <w:tl2br w:val="nil"/>
                    <w:tr2bl w:val="nil"/>
                  </w:tcBorders>
                  <w:vAlign w:val="center"/>
                </w:tcPr>
                <w:p w14:paraId="45F60BD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北：64.0</w:t>
                  </w:r>
                </w:p>
              </w:tc>
              <w:tc>
                <w:tcPr>
                  <w:tcW w:w="511" w:type="dxa"/>
                  <w:vMerge w:val="continue"/>
                  <w:tcBorders>
                    <w:tl2br w:val="nil"/>
                    <w:tr2bl w:val="nil"/>
                  </w:tcBorders>
                  <w:vAlign w:val="center"/>
                </w:tcPr>
                <w:p w14:paraId="140BD5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vAlign w:val="center"/>
                </w:tcPr>
                <w:p w14:paraId="1D075D2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26</w:t>
                  </w:r>
                </w:p>
              </w:tc>
              <w:tc>
                <w:tcPr>
                  <w:tcW w:w="689" w:type="dxa"/>
                  <w:tcBorders>
                    <w:tl2br w:val="nil"/>
                    <w:tr2bl w:val="nil"/>
                  </w:tcBorders>
                  <w:vAlign w:val="center"/>
                </w:tcPr>
                <w:p w14:paraId="60D68BD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28.0</w:t>
                  </w:r>
                </w:p>
              </w:tc>
              <w:tc>
                <w:tcPr>
                  <w:tcW w:w="689" w:type="dxa"/>
                  <w:tcBorders>
                    <w:tl2br w:val="nil"/>
                    <w:tr2bl w:val="nil"/>
                  </w:tcBorders>
                  <w:vAlign w:val="center"/>
                </w:tcPr>
                <w:p w14:paraId="3F6F5C3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44FF8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restart"/>
                  <w:tcBorders>
                    <w:tl2br w:val="nil"/>
                    <w:tr2bl w:val="nil"/>
                  </w:tcBorders>
                  <w:vAlign w:val="center"/>
                </w:tcPr>
                <w:p w14:paraId="45ADC46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580" w:type="dxa"/>
                  <w:vMerge w:val="continue"/>
                  <w:tcBorders>
                    <w:tl2br w:val="nil"/>
                    <w:tr2bl w:val="nil"/>
                  </w:tcBorders>
                  <w:vAlign w:val="center"/>
                </w:tcPr>
                <w:p w14:paraId="33EFF84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3" w:type="dxa"/>
                  <w:vMerge w:val="restart"/>
                  <w:tcBorders>
                    <w:tl2br w:val="nil"/>
                    <w:tr2bl w:val="nil"/>
                  </w:tcBorders>
                  <w:vAlign w:val="center"/>
                </w:tcPr>
                <w:p w14:paraId="4AEE5A6C">
                  <w:pPr>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r>
                    <w:rPr>
                      <w:rFonts w:ascii="Arial" w:hAnsi="Arial" w:eastAsia="Arial" w:cs="Arial"/>
                      <w:color w:val="000000" w:themeColor="text1"/>
                      <w:sz w:val="21"/>
                      <w:szCs w:val="21"/>
                      <w14:textFill>
                        <w14:solidFill>
                          <w14:schemeClr w14:val="tx1"/>
                        </w14:solidFill>
                      </w14:textFill>
                    </w:rPr>
                    <w:t>引风机2</w:t>
                  </w:r>
                </w:p>
              </w:tc>
              <w:tc>
                <w:tcPr>
                  <w:tcW w:w="626" w:type="dxa"/>
                  <w:vMerge w:val="restart"/>
                  <w:tcBorders>
                    <w:tl2br w:val="nil"/>
                    <w:tr2bl w:val="nil"/>
                  </w:tcBorders>
                  <w:vAlign w:val="center"/>
                </w:tcPr>
                <w:p w14:paraId="432C6E4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p>
              </w:tc>
              <w:tc>
                <w:tcPr>
                  <w:tcW w:w="607" w:type="dxa"/>
                  <w:vMerge w:val="continue"/>
                  <w:tcBorders>
                    <w:tl2br w:val="nil"/>
                    <w:tr2bl w:val="nil"/>
                  </w:tcBorders>
                  <w:vAlign w:val="center"/>
                </w:tcPr>
                <w:p w14:paraId="7FCD3F2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restart"/>
                  <w:tcBorders>
                    <w:tl2br w:val="nil"/>
                    <w:tr2bl w:val="nil"/>
                  </w:tcBorders>
                  <w:vAlign w:val="center"/>
                </w:tcPr>
                <w:p w14:paraId="6BD5786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1.6</w:t>
                  </w:r>
                </w:p>
              </w:tc>
              <w:tc>
                <w:tcPr>
                  <w:tcW w:w="498" w:type="dxa"/>
                  <w:vMerge w:val="restart"/>
                  <w:tcBorders>
                    <w:tl2br w:val="nil"/>
                    <w:tr2bl w:val="nil"/>
                  </w:tcBorders>
                  <w:vAlign w:val="center"/>
                </w:tcPr>
                <w:p w14:paraId="117EC32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6.5</w:t>
                  </w:r>
                </w:p>
              </w:tc>
              <w:tc>
                <w:tcPr>
                  <w:tcW w:w="472" w:type="dxa"/>
                  <w:vMerge w:val="restart"/>
                  <w:tcBorders>
                    <w:tl2br w:val="nil"/>
                    <w:tr2bl w:val="nil"/>
                  </w:tcBorders>
                  <w:vAlign w:val="center"/>
                </w:tcPr>
                <w:p w14:paraId="4D21679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1.2</w:t>
                  </w:r>
                </w:p>
              </w:tc>
              <w:tc>
                <w:tcPr>
                  <w:tcW w:w="860" w:type="dxa"/>
                  <w:tcBorders>
                    <w:tl2br w:val="nil"/>
                    <w:tr2bl w:val="nil"/>
                  </w:tcBorders>
                  <w:vAlign w:val="center"/>
                </w:tcPr>
                <w:p w14:paraId="1B3226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东：4.4</w:t>
                  </w:r>
                </w:p>
              </w:tc>
              <w:tc>
                <w:tcPr>
                  <w:tcW w:w="656" w:type="dxa"/>
                  <w:tcBorders>
                    <w:tl2br w:val="nil"/>
                    <w:tr2bl w:val="nil"/>
                  </w:tcBorders>
                  <w:vAlign w:val="center"/>
                </w:tcPr>
                <w:p w14:paraId="3D552F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东：64.0</w:t>
                  </w:r>
                </w:p>
              </w:tc>
              <w:tc>
                <w:tcPr>
                  <w:tcW w:w="511" w:type="dxa"/>
                  <w:vMerge w:val="restart"/>
                  <w:tcBorders>
                    <w:tl2br w:val="nil"/>
                    <w:tr2bl w:val="nil"/>
                  </w:tcBorders>
                  <w:vAlign w:val="center"/>
                </w:tcPr>
                <w:p w14:paraId="4372B8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0~24h</w:t>
                  </w:r>
                </w:p>
              </w:tc>
              <w:tc>
                <w:tcPr>
                  <w:tcW w:w="689" w:type="dxa"/>
                  <w:tcBorders>
                    <w:tl2br w:val="nil"/>
                    <w:tr2bl w:val="nil"/>
                  </w:tcBorders>
                  <w:vAlign w:val="center"/>
                </w:tcPr>
                <w:p w14:paraId="49BCE13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26</w:t>
                  </w:r>
                </w:p>
              </w:tc>
              <w:tc>
                <w:tcPr>
                  <w:tcW w:w="689" w:type="dxa"/>
                  <w:tcBorders>
                    <w:tl2br w:val="nil"/>
                    <w:tr2bl w:val="nil"/>
                  </w:tcBorders>
                  <w:vAlign w:val="center"/>
                </w:tcPr>
                <w:p w14:paraId="09693D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38.0</w:t>
                  </w:r>
                </w:p>
              </w:tc>
              <w:tc>
                <w:tcPr>
                  <w:tcW w:w="689" w:type="dxa"/>
                  <w:tcBorders>
                    <w:tl2br w:val="nil"/>
                    <w:tr2bl w:val="nil"/>
                  </w:tcBorders>
                  <w:vAlign w:val="center"/>
                </w:tcPr>
                <w:p w14:paraId="4CC5D1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3ACB4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continue"/>
                  <w:tcBorders>
                    <w:tl2br w:val="nil"/>
                    <w:tr2bl w:val="nil"/>
                  </w:tcBorders>
                  <w:vAlign w:val="center"/>
                </w:tcPr>
                <w:p w14:paraId="734C383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251EF59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3" w:type="dxa"/>
                  <w:vMerge w:val="continue"/>
                  <w:tcBorders>
                    <w:tl2br w:val="nil"/>
                    <w:tr2bl w:val="nil"/>
                  </w:tcBorders>
                  <w:vAlign w:val="center"/>
                </w:tcPr>
                <w:p w14:paraId="3969DE13">
                  <w:pPr>
                    <w:pageBreakBefore w:val="0"/>
                    <w:widowControl w:val="0"/>
                    <w:kinsoku/>
                    <w:wordWrap/>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p>
              </w:tc>
              <w:tc>
                <w:tcPr>
                  <w:tcW w:w="626" w:type="dxa"/>
                  <w:vMerge w:val="continue"/>
                  <w:tcBorders>
                    <w:tl2br w:val="nil"/>
                    <w:tr2bl w:val="nil"/>
                  </w:tcBorders>
                  <w:vAlign w:val="center"/>
                </w:tcPr>
                <w:p w14:paraId="6AAE84A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07" w:type="dxa"/>
                  <w:vMerge w:val="continue"/>
                  <w:tcBorders>
                    <w:tl2br w:val="nil"/>
                    <w:tr2bl w:val="nil"/>
                  </w:tcBorders>
                  <w:vAlign w:val="center"/>
                </w:tcPr>
                <w:p w14:paraId="74E828B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continue"/>
                  <w:tcBorders>
                    <w:tl2br w:val="nil"/>
                    <w:tr2bl w:val="nil"/>
                  </w:tcBorders>
                  <w:vAlign w:val="center"/>
                </w:tcPr>
                <w:p w14:paraId="36B410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98" w:type="dxa"/>
                  <w:vMerge w:val="continue"/>
                  <w:tcBorders>
                    <w:tl2br w:val="nil"/>
                    <w:tr2bl w:val="nil"/>
                  </w:tcBorders>
                  <w:vAlign w:val="center"/>
                </w:tcPr>
                <w:p w14:paraId="5E8DF2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72" w:type="dxa"/>
                  <w:vMerge w:val="continue"/>
                  <w:tcBorders>
                    <w:tl2br w:val="nil"/>
                    <w:tr2bl w:val="nil"/>
                  </w:tcBorders>
                  <w:vAlign w:val="center"/>
                </w:tcPr>
                <w:p w14:paraId="6E1E13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60" w:type="dxa"/>
                  <w:tcBorders>
                    <w:tl2br w:val="nil"/>
                    <w:tr2bl w:val="nil"/>
                  </w:tcBorders>
                  <w:vAlign w:val="center"/>
                </w:tcPr>
                <w:p w14:paraId="7E20D2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南：16.8</w:t>
                  </w:r>
                </w:p>
              </w:tc>
              <w:tc>
                <w:tcPr>
                  <w:tcW w:w="656" w:type="dxa"/>
                  <w:tcBorders>
                    <w:tl2br w:val="nil"/>
                    <w:tr2bl w:val="nil"/>
                  </w:tcBorders>
                  <w:vAlign w:val="center"/>
                </w:tcPr>
                <w:p w14:paraId="7A8D9D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南：63.7</w:t>
                  </w:r>
                </w:p>
              </w:tc>
              <w:tc>
                <w:tcPr>
                  <w:tcW w:w="511" w:type="dxa"/>
                  <w:vMerge w:val="continue"/>
                  <w:tcBorders>
                    <w:tl2br w:val="nil"/>
                    <w:tr2bl w:val="nil"/>
                  </w:tcBorders>
                  <w:vAlign w:val="center"/>
                </w:tcPr>
                <w:p w14:paraId="546162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vAlign w:val="center"/>
                </w:tcPr>
                <w:p w14:paraId="62BF2D2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26</w:t>
                  </w:r>
                </w:p>
              </w:tc>
              <w:tc>
                <w:tcPr>
                  <w:tcW w:w="689" w:type="dxa"/>
                  <w:tcBorders>
                    <w:tl2br w:val="nil"/>
                    <w:tr2bl w:val="nil"/>
                  </w:tcBorders>
                  <w:vAlign w:val="center"/>
                </w:tcPr>
                <w:p w14:paraId="1692F8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37.7</w:t>
                  </w:r>
                </w:p>
              </w:tc>
              <w:tc>
                <w:tcPr>
                  <w:tcW w:w="689" w:type="dxa"/>
                  <w:tcBorders>
                    <w:tl2br w:val="nil"/>
                    <w:tr2bl w:val="nil"/>
                  </w:tcBorders>
                  <w:vAlign w:val="center"/>
                </w:tcPr>
                <w:p w14:paraId="12B240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4693E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continue"/>
                  <w:tcBorders>
                    <w:tl2br w:val="nil"/>
                    <w:tr2bl w:val="nil"/>
                  </w:tcBorders>
                  <w:vAlign w:val="center"/>
                </w:tcPr>
                <w:p w14:paraId="0717C3C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5FA2F2D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3" w:type="dxa"/>
                  <w:vMerge w:val="continue"/>
                  <w:tcBorders>
                    <w:tl2br w:val="nil"/>
                    <w:tr2bl w:val="nil"/>
                  </w:tcBorders>
                  <w:vAlign w:val="center"/>
                </w:tcPr>
                <w:p w14:paraId="38A2CDB7">
                  <w:pPr>
                    <w:pageBreakBefore w:val="0"/>
                    <w:widowControl w:val="0"/>
                    <w:kinsoku/>
                    <w:wordWrap/>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p>
              </w:tc>
              <w:tc>
                <w:tcPr>
                  <w:tcW w:w="626" w:type="dxa"/>
                  <w:vMerge w:val="continue"/>
                  <w:tcBorders>
                    <w:tl2br w:val="nil"/>
                    <w:tr2bl w:val="nil"/>
                  </w:tcBorders>
                  <w:vAlign w:val="center"/>
                </w:tcPr>
                <w:p w14:paraId="7112246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07" w:type="dxa"/>
                  <w:vMerge w:val="continue"/>
                  <w:tcBorders>
                    <w:tl2br w:val="nil"/>
                    <w:tr2bl w:val="nil"/>
                  </w:tcBorders>
                  <w:vAlign w:val="center"/>
                </w:tcPr>
                <w:p w14:paraId="2C45BB2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continue"/>
                  <w:tcBorders>
                    <w:tl2br w:val="nil"/>
                    <w:tr2bl w:val="nil"/>
                  </w:tcBorders>
                  <w:vAlign w:val="center"/>
                </w:tcPr>
                <w:p w14:paraId="6C2753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98" w:type="dxa"/>
                  <w:vMerge w:val="continue"/>
                  <w:tcBorders>
                    <w:tl2br w:val="nil"/>
                    <w:tr2bl w:val="nil"/>
                  </w:tcBorders>
                  <w:vAlign w:val="center"/>
                </w:tcPr>
                <w:p w14:paraId="224436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72" w:type="dxa"/>
                  <w:vMerge w:val="continue"/>
                  <w:tcBorders>
                    <w:tl2br w:val="nil"/>
                    <w:tr2bl w:val="nil"/>
                  </w:tcBorders>
                  <w:vAlign w:val="center"/>
                </w:tcPr>
                <w:p w14:paraId="7E1BE4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60" w:type="dxa"/>
                  <w:tcBorders>
                    <w:tl2br w:val="nil"/>
                    <w:tr2bl w:val="nil"/>
                  </w:tcBorders>
                  <w:vAlign w:val="center"/>
                </w:tcPr>
                <w:p w14:paraId="5F1CB3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西：11.7</w:t>
                  </w:r>
                </w:p>
              </w:tc>
              <w:tc>
                <w:tcPr>
                  <w:tcW w:w="656" w:type="dxa"/>
                  <w:tcBorders>
                    <w:tl2br w:val="nil"/>
                    <w:tr2bl w:val="nil"/>
                  </w:tcBorders>
                  <w:vAlign w:val="center"/>
                </w:tcPr>
                <w:p w14:paraId="1A45C3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西：63.8</w:t>
                  </w:r>
                </w:p>
              </w:tc>
              <w:tc>
                <w:tcPr>
                  <w:tcW w:w="511" w:type="dxa"/>
                  <w:vMerge w:val="continue"/>
                  <w:tcBorders>
                    <w:tl2br w:val="nil"/>
                    <w:tr2bl w:val="nil"/>
                  </w:tcBorders>
                  <w:vAlign w:val="center"/>
                </w:tcPr>
                <w:p w14:paraId="393DC10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vAlign w:val="center"/>
                </w:tcPr>
                <w:p w14:paraId="3CA5513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26</w:t>
                  </w:r>
                </w:p>
              </w:tc>
              <w:tc>
                <w:tcPr>
                  <w:tcW w:w="689" w:type="dxa"/>
                  <w:tcBorders>
                    <w:tl2br w:val="nil"/>
                    <w:tr2bl w:val="nil"/>
                  </w:tcBorders>
                  <w:vAlign w:val="center"/>
                </w:tcPr>
                <w:p w14:paraId="440180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37.8</w:t>
                  </w:r>
                </w:p>
              </w:tc>
              <w:tc>
                <w:tcPr>
                  <w:tcW w:w="689" w:type="dxa"/>
                  <w:tcBorders>
                    <w:tl2br w:val="nil"/>
                    <w:tr2bl w:val="nil"/>
                  </w:tcBorders>
                  <w:vAlign w:val="center"/>
                </w:tcPr>
                <w:p w14:paraId="6C9035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511E4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73" w:type="dxa"/>
                  <w:vMerge w:val="continue"/>
                  <w:tcBorders>
                    <w:tl2br w:val="nil"/>
                    <w:tr2bl w:val="nil"/>
                  </w:tcBorders>
                  <w:vAlign w:val="center"/>
                </w:tcPr>
                <w:p w14:paraId="4CF4560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14:paraId="1AD2C8E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3" w:type="dxa"/>
                  <w:vMerge w:val="continue"/>
                  <w:tcBorders>
                    <w:tl2br w:val="nil"/>
                    <w:tr2bl w:val="nil"/>
                  </w:tcBorders>
                  <w:vAlign w:val="center"/>
                </w:tcPr>
                <w:p w14:paraId="074FF157">
                  <w:pPr>
                    <w:pageBreakBefore w:val="0"/>
                    <w:widowControl w:val="0"/>
                    <w:kinsoku/>
                    <w:wordWrap/>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b w:val="0"/>
                      <w:color w:val="000000" w:themeColor="text1"/>
                      <w:kern w:val="0"/>
                      <w:sz w:val="21"/>
                      <w:szCs w:val="21"/>
                      <w:lang w:val="en-US" w:eastAsia="zh-CN" w:bidi="ar-SA"/>
                      <w14:textFill>
                        <w14:solidFill>
                          <w14:schemeClr w14:val="tx1"/>
                        </w14:solidFill>
                      </w14:textFill>
                    </w:rPr>
                  </w:pPr>
                </w:p>
              </w:tc>
              <w:tc>
                <w:tcPr>
                  <w:tcW w:w="626" w:type="dxa"/>
                  <w:vMerge w:val="continue"/>
                  <w:tcBorders>
                    <w:tl2br w:val="nil"/>
                    <w:tr2bl w:val="nil"/>
                  </w:tcBorders>
                  <w:vAlign w:val="center"/>
                </w:tcPr>
                <w:p w14:paraId="30DC83C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07" w:type="dxa"/>
                  <w:vMerge w:val="continue"/>
                  <w:tcBorders>
                    <w:tl2br w:val="nil"/>
                    <w:tr2bl w:val="nil"/>
                  </w:tcBorders>
                  <w:vAlign w:val="center"/>
                </w:tcPr>
                <w:p w14:paraId="0D6E164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dxa"/>
                  <w:vMerge w:val="continue"/>
                  <w:tcBorders>
                    <w:tl2br w:val="nil"/>
                    <w:tr2bl w:val="nil"/>
                  </w:tcBorders>
                  <w:vAlign w:val="center"/>
                </w:tcPr>
                <w:p w14:paraId="481F73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98" w:type="dxa"/>
                  <w:vMerge w:val="continue"/>
                  <w:tcBorders>
                    <w:tl2br w:val="nil"/>
                    <w:tr2bl w:val="nil"/>
                  </w:tcBorders>
                  <w:vAlign w:val="center"/>
                </w:tcPr>
                <w:p w14:paraId="032256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72" w:type="dxa"/>
                  <w:vMerge w:val="continue"/>
                  <w:tcBorders>
                    <w:tl2br w:val="nil"/>
                    <w:tr2bl w:val="nil"/>
                  </w:tcBorders>
                  <w:vAlign w:val="center"/>
                </w:tcPr>
                <w:p w14:paraId="221C36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60" w:type="dxa"/>
                  <w:tcBorders>
                    <w:tl2br w:val="nil"/>
                    <w:tr2bl w:val="nil"/>
                  </w:tcBorders>
                  <w:vAlign w:val="center"/>
                </w:tcPr>
                <w:p w14:paraId="19C360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北：4.9</w:t>
                  </w:r>
                </w:p>
              </w:tc>
              <w:tc>
                <w:tcPr>
                  <w:tcW w:w="656" w:type="dxa"/>
                  <w:tcBorders>
                    <w:tl2br w:val="nil"/>
                    <w:tr2bl w:val="nil"/>
                  </w:tcBorders>
                  <w:vAlign w:val="center"/>
                </w:tcPr>
                <w:p w14:paraId="47DCCB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北：63.9</w:t>
                  </w:r>
                </w:p>
              </w:tc>
              <w:tc>
                <w:tcPr>
                  <w:tcW w:w="511" w:type="dxa"/>
                  <w:vMerge w:val="continue"/>
                  <w:tcBorders>
                    <w:tl2br w:val="nil"/>
                    <w:tr2bl w:val="nil"/>
                  </w:tcBorders>
                  <w:vAlign w:val="center"/>
                </w:tcPr>
                <w:p w14:paraId="0231399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vAlign w:val="center"/>
                </w:tcPr>
                <w:p w14:paraId="769D8B7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26</w:t>
                  </w:r>
                </w:p>
              </w:tc>
              <w:tc>
                <w:tcPr>
                  <w:tcW w:w="689" w:type="dxa"/>
                  <w:tcBorders>
                    <w:tl2br w:val="nil"/>
                    <w:tr2bl w:val="nil"/>
                  </w:tcBorders>
                  <w:vAlign w:val="center"/>
                </w:tcPr>
                <w:p w14:paraId="42BDA0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37.9</w:t>
                  </w:r>
                </w:p>
              </w:tc>
              <w:tc>
                <w:tcPr>
                  <w:tcW w:w="689" w:type="dxa"/>
                  <w:tcBorders>
                    <w:tl2br w:val="nil"/>
                    <w:tr2bl w:val="nil"/>
                  </w:tcBorders>
                  <w:vAlign w:val="center"/>
                </w:tcPr>
                <w:p w14:paraId="04FE1D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50C46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323" w:type="dxa"/>
                  <w:gridSpan w:val="14"/>
                  <w:tcBorders>
                    <w:tl2br w:val="nil"/>
                    <w:tr2bl w:val="nil"/>
                  </w:tcBorders>
                  <w:vAlign w:val="center"/>
                </w:tcPr>
                <w:p w14:paraId="05DBC5DB">
                  <w:pPr>
                    <w:jc w:val="left"/>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表中坐标以厂界中心（</w:t>
                  </w:r>
                  <w:bookmarkStart w:id="24" w:name="PO_7"/>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103.885086,25.512624</w:t>
                  </w:r>
                  <w:bookmarkEnd w:id="24"/>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）为坐标原点，正东向为X轴正方向，正北向为Y轴正方向</w:t>
                  </w:r>
                </w:p>
              </w:tc>
            </w:tr>
          </w:tbl>
          <w:p w14:paraId="303D1B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kern w:val="0"/>
                <w:sz w:val="24"/>
                <w:szCs w:val="20"/>
                <w:lang w:val="en-US" w:eastAsia="zh-CN"/>
                <w14:textFill>
                  <w14:solidFill>
                    <w14:schemeClr w14:val="tx1"/>
                  </w14:solidFill>
                </w14:textFill>
              </w:rPr>
            </w:pPr>
            <w:r>
              <w:rPr>
                <w:rFonts w:hint="eastAsia" w:ascii="Times New Roman" w:hAnsi="Times New Roman" w:cs="Times New Roman"/>
                <w:b/>
                <w:bCs/>
                <w:color w:val="000000" w:themeColor="text1"/>
                <w:kern w:val="0"/>
                <w:sz w:val="24"/>
                <w:szCs w:val="20"/>
                <w:lang w:val="en-US" w:eastAsia="zh-CN"/>
                <w14:textFill>
                  <w14:solidFill>
                    <w14:schemeClr w14:val="tx1"/>
                  </w14:solidFill>
                </w14:textFill>
              </w:rPr>
              <w:t>2、</w:t>
            </w:r>
            <w:r>
              <w:rPr>
                <w:rFonts w:hint="eastAsia" w:ascii="Times New Roman" w:hAnsi="Times New Roman" w:eastAsia="宋体" w:cs="Times New Roman"/>
                <w:b/>
                <w:bCs/>
                <w:color w:val="000000" w:themeColor="text1"/>
                <w:kern w:val="0"/>
                <w:sz w:val="24"/>
                <w:szCs w:val="20"/>
                <w:lang w:val="en-US" w:eastAsia="zh-CN"/>
                <w14:textFill>
                  <w14:solidFill>
                    <w14:schemeClr w14:val="tx1"/>
                  </w14:solidFill>
                </w14:textFill>
              </w:rPr>
              <w:t>声环境影响分析</w:t>
            </w:r>
          </w:p>
          <w:p w14:paraId="5FDE3952">
            <w:pPr>
              <w:autoSpaceDE w:val="0"/>
              <w:autoSpaceDN w:val="0"/>
              <w:spacing w:line="360" w:lineRule="auto"/>
              <w:ind w:firstLine="482" w:firstLineChars="200"/>
              <w:jc w:val="left"/>
              <w:rPr>
                <w:rFonts w:ascii="Times New Roman" w:hAnsi="宋体"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1</w:t>
            </w:r>
            <w:r>
              <w:rPr>
                <w:rFonts w:hint="eastAsia" w:cs="Times New Roman"/>
                <w:b/>
                <w:bCs/>
                <w:color w:val="000000" w:themeColor="text1"/>
                <w:sz w:val="24"/>
                <w:lang w:eastAsia="zh-CN"/>
                <w14:textFill>
                  <w14:solidFill>
                    <w14:schemeClr w14:val="tx1"/>
                  </w14:solidFill>
                </w14:textFill>
              </w:rPr>
              <w:t>）</w:t>
            </w:r>
            <w:r>
              <w:rPr>
                <w:rFonts w:ascii="Times New Roman" w:hAnsi="Times New Roman" w:eastAsia="宋体" w:cs="Times New Roman"/>
                <w:b/>
                <w:bCs/>
                <w:color w:val="000000" w:themeColor="text1"/>
                <w:sz w:val="24"/>
                <w14:textFill>
                  <w14:solidFill>
                    <w14:schemeClr w14:val="tx1"/>
                  </w14:solidFill>
                </w14:textFill>
              </w:rPr>
              <w:t>预测模式</w:t>
            </w:r>
          </w:p>
          <w:p w14:paraId="2D299C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本次评价主要针对生产车间设备噪声进行预测分析，故预测点主要为项目厂界。在考虑室内吸声及距离衰减的情况下，对声源贡献值进行预测，预测模式如下：</w:t>
            </w:r>
          </w:p>
          <w:p w14:paraId="4B67798E">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default"/>
                <w:color w:val="000000" w:themeColor="text1"/>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噪声距离衰减模式</w:t>
            </w:r>
          </w:p>
          <w:p w14:paraId="62C2FED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672715" cy="585470"/>
                  <wp:effectExtent l="0" t="0" r="13335" b="508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5"/>
                          <a:stretch>
                            <a:fillRect/>
                          </a:stretch>
                        </pic:blipFill>
                        <pic:spPr>
                          <a:xfrm>
                            <a:off x="0" y="0"/>
                            <a:ext cx="2672715" cy="585470"/>
                          </a:xfrm>
                          <a:prstGeom prst="rect">
                            <a:avLst/>
                          </a:prstGeom>
                          <a:noFill/>
                          <a:ln>
                            <a:noFill/>
                          </a:ln>
                        </pic:spPr>
                      </pic:pic>
                    </a:graphicData>
                  </a:graphic>
                </wp:inline>
              </w:drawing>
            </w:r>
          </w:p>
          <w:p w14:paraId="51B91A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式中：LA(r0)——参考位置 r0处的 A 声级，dB(A)；</w:t>
            </w:r>
          </w:p>
          <w:p w14:paraId="37A00D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LA(r)——距离声源r处的A声级，dB(A)；</w:t>
            </w:r>
          </w:p>
          <w:p w14:paraId="6E571B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ΔL——声屏障、遮挡物、空气吸收及地面效应引起的衰减量；</w:t>
            </w:r>
          </w:p>
          <w:p w14:paraId="0C2EE1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r0、r——参考位置及预测点距声源的距离（m）。</w:t>
            </w:r>
          </w:p>
          <w:p w14:paraId="0480B9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②项目声源在预测点产生的等效声级贡献值</w:t>
            </w:r>
          </w:p>
          <w:p w14:paraId="6E1B51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项目声源在预测点产生的等效声级贡献值计算公式：</w:t>
            </w:r>
          </w:p>
          <w:p w14:paraId="169F11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158365" cy="523875"/>
                  <wp:effectExtent l="0" t="0" r="13335" b="95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6"/>
                          <a:stretch>
                            <a:fillRect/>
                          </a:stretch>
                        </pic:blipFill>
                        <pic:spPr>
                          <a:xfrm>
                            <a:off x="0" y="0"/>
                            <a:ext cx="2158365" cy="523875"/>
                          </a:xfrm>
                          <a:prstGeom prst="rect">
                            <a:avLst/>
                          </a:prstGeom>
                          <a:noFill/>
                          <a:ln>
                            <a:noFill/>
                          </a:ln>
                        </pic:spPr>
                      </pic:pic>
                    </a:graphicData>
                  </a:graphic>
                </wp:inline>
              </w:drawing>
            </w:r>
          </w:p>
          <w:p w14:paraId="7342AC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式中：Leqg——项目声源在预测点的等效声级贡献值，dB(A)；</w:t>
            </w:r>
          </w:p>
          <w:p w14:paraId="4A5DBC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LAi——i 声源在预测点产生的A声级，dB(A)；</w:t>
            </w:r>
          </w:p>
          <w:p w14:paraId="7175D2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T——预测计算的时间段，s；</w:t>
            </w:r>
          </w:p>
          <w:p w14:paraId="389713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ti——i 声源在T时段内的运行时间，s。</w:t>
            </w:r>
          </w:p>
          <w:p w14:paraId="325B0A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③预测点的预测等效声级</w:t>
            </w:r>
          </w:p>
          <w:p w14:paraId="6F5F28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预测点的预测等效声级计算公式：</w:t>
            </w:r>
          </w:p>
          <w:p w14:paraId="118EF4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914525" cy="342900"/>
                  <wp:effectExtent l="0" t="0" r="952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a:stretch>
                            <a:fillRect/>
                          </a:stretch>
                        </pic:blipFill>
                        <pic:spPr>
                          <a:xfrm>
                            <a:off x="0" y="0"/>
                            <a:ext cx="1914525" cy="342900"/>
                          </a:xfrm>
                          <a:prstGeom prst="rect">
                            <a:avLst/>
                          </a:prstGeom>
                          <a:noFill/>
                          <a:ln>
                            <a:noFill/>
                          </a:ln>
                        </pic:spPr>
                      </pic:pic>
                    </a:graphicData>
                  </a:graphic>
                </wp:inline>
              </w:drawing>
            </w:r>
          </w:p>
          <w:p w14:paraId="0B44CA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式中：Leq——预测点的预测等效声级，dB(A)；</w:t>
            </w:r>
          </w:p>
          <w:p w14:paraId="16C6FA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Leqg——项目声源在预测点的等效声级贡献值，dB(A)；</w:t>
            </w:r>
          </w:p>
          <w:p w14:paraId="5FBBA3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sz w:val="24"/>
                <w:szCs w:val="24"/>
                <w:lang w:eastAsia="zh-CN"/>
                <w14:textFill>
                  <w14:solidFill>
                    <w14:schemeClr w14:val="tx1"/>
                  </w14:solidFill>
                </w14:textFill>
              </w:rPr>
            </w:pPr>
            <w:r>
              <w:rPr>
                <w:rFonts w:hint="eastAsia" w:ascii="Times New Roman" w:hAnsi="Times New Roman" w:cs="Times New Roman"/>
                <w:b w:val="0"/>
                <w:bCs/>
                <w:color w:val="000000" w:themeColor="text1"/>
                <w:sz w:val="24"/>
                <w:szCs w:val="24"/>
                <w:lang w:eastAsia="zh-CN"/>
                <w14:textFill>
                  <w14:solidFill>
                    <w14:schemeClr w14:val="tx1"/>
                  </w14:solidFill>
                </w14:textFill>
              </w:rPr>
              <w:t>Leqb——预测点的背景值，dB(A)。</w:t>
            </w:r>
          </w:p>
          <w:p w14:paraId="7A8F25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本项目噪声衰减除几何发散衰减后的其他衰减（包括空气吸收衰减、屏障物和地面效应引起的衰减、其他附加衰减）取值的因素很多，项目加工设备均位于车间内，本报告主要考虑厂房隔声，厂区围墙墙体隔声和距离衰减影响，厂房隔声及厂区围墙墙体隔声衰减值取</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dB（A）。</w:t>
            </w:r>
          </w:p>
          <w:p w14:paraId="29634A28">
            <w:pPr>
              <w:pageBreakBefore w:val="0"/>
              <w:kinsoku/>
              <w:wordWrap/>
              <w:topLinePunct w:val="0"/>
              <w:bidi w:val="0"/>
              <w:spacing w:line="360" w:lineRule="auto"/>
              <w:ind w:firstLine="482" w:firstLineChars="200"/>
              <w:rPr>
                <w:rFonts w:ascii="Times New Roman" w:hAnsi="Times New Roman" w:eastAsia="宋体" w:cs="Times New Roman"/>
                <w:b/>
                <w:bCs/>
                <w:color w:val="000000" w:themeColor="text1"/>
                <w:kern w:val="0"/>
                <w:sz w:val="24"/>
                <w:szCs w:val="20"/>
                <w14:textFill>
                  <w14:solidFill>
                    <w14:schemeClr w14:val="tx1"/>
                  </w14:solidFill>
                </w14:textFill>
              </w:rPr>
            </w:pPr>
            <w:r>
              <w:rPr>
                <w:rFonts w:hint="eastAsia" w:eastAsia="宋体" w:cs="Times New Roman"/>
                <w:b/>
                <w:bCs/>
                <w:color w:val="000000" w:themeColor="text1"/>
                <w:kern w:val="0"/>
                <w:sz w:val="24"/>
                <w:szCs w:val="20"/>
                <w:lang w:eastAsia="zh-CN"/>
                <w14:textFill>
                  <w14:solidFill>
                    <w14:schemeClr w14:val="tx1"/>
                  </w14:solidFill>
                </w14:textFill>
              </w:rPr>
              <w:t>（</w:t>
            </w:r>
            <w:r>
              <w:rPr>
                <w:rFonts w:hint="eastAsia" w:eastAsia="宋体" w:cs="Times New Roman"/>
                <w:b/>
                <w:bCs/>
                <w:color w:val="000000" w:themeColor="text1"/>
                <w:kern w:val="0"/>
                <w:sz w:val="24"/>
                <w:szCs w:val="20"/>
                <w:lang w:val="en-US" w:eastAsia="zh-CN"/>
                <w14:textFill>
                  <w14:solidFill>
                    <w14:schemeClr w14:val="tx1"/>
                  </w14:solidFill>
                </w14:textFill>
              </w:rPr>
              <w:t>2</w:t>
            </w:r>
            <w:r>
              <w:rPr>
                <w:rFonts w:hint="eastAsia" w:eastAsia="宋体" w:cs="Times New Roman"/>
                <w:b/>
                <w:bCs/>
                <w:color w:val="000000" w:themeColor="text1"/>
                <w:kern w:val="0"/>
                <w:sz w:val="24"/>
                <w:szCs w:val="20"/>
                <w:lang w:eastAsia="zh-CN"/>
                <w14:textFill>
                  <w14:solidFill>
                    <w14:schemeClr w14:val="tx1"/>
                  </w14:solidFill>
                </w14:textFill>
              </w:rPr>
              <w:t>）</w:t>
            </w:r>
            <w:r>
              <w:rPr>
                <w:rFonts w:hint="eastAsia" w:eastAsia="宋体" w:cs="Times New Roman"/>
                <w:b/>
                <w:bCs/>
                <w:color w:val="000000" w:themeColor="text1"/>
                <w:kern w:val="0"/>
                <w:sz w:val="24"/>
                <w:szCs w:val="20"/>
                <w:lang w:val="en-US" w:eastAsia="zh-CN"/>
                <w14:textFill>
                  <w14:solidFill>
                    <w14:schemeClr w14:val="tx1"/>
                  </w14:solidFill>
                </w14:textFill>
              </w:rPr>
              <w:t>预测结果</w:t>
            </w:r>
            <w:r>
              <w:rPr>
                <w:rFonts w:hint="eastAsia" w:ascii="Times New Roman" w:hAnsi="Times New Roman" w:eastAsia="宋体" w:cs="Times New Roman"/>
                <w:b/>
                <w:bCs/>
                <w:color w:val="000000" w:themeColor="text1"/>
                <w:kern w:val="0"/>
                <w:sz w:val="24"/>
                <w:szCs w:val="20"/>
                <w14:textFill>
                  <w14:solidFill>
                    <w14:schemeClr w14:val="tx1"/>
                  </w14:solidFill>
                </w14:textFill>
              </w:rPr>
              <w:t>分析</w:t>
            </w:r>
          </w:p>
          <w:p w14:paraId="731BA5F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根据《建设项目环境影响报告表编制技术指南（污染影响类）（试行）》分析，利用噪声预测软件采用室内声源等效室外声源声功率级计算方法，预测噪声源对项目厂界及敏感点的影响，结果如下表所示：</w:t>
            </w:r>
          </w:p>
          <w:p w14:paraId="25F68A6C">
            <w:pPr>
              <w:keepNext/>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000000" w:themeColor="text1"/>
                <w:szCs w:val="21"/>
                <w:lang w:eastAsia="zh-CN"/>
                <w14:textFill>
                  <w14:solidFill>
                    <w14:schemeClr w14:val="tx1"/>
                  </w14:solidFill>
                </w14:textFill>
              </w:rPr>
            </w:pPr>
            <w:r>
              <w:rPr>
                <w:rFonts w:hint="default" w:ascii="Times New Roman" w:hAnsi="Times New Roman" w:eastAsia="宋体" w:cs="Times New Roman"/>
                <w:b/>
                <w:bCs w:val="0"/>
                <w:color w:val="000000" w:themeColor="text1"/>
                <w:szCs w:val="21"/>
                <w:lang w:eastAsia="zh-CN"/>
                <w14:textFill>
                  <w14:solidFill>
                    <w14:schemeClr w14:val="tx1"/>
                  </w14:solidFill>
                </w14:textFill>
              </w:rPr>
              <w:t>表</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4.2-9</w:t>
            </w:r>
            <w:r>
              <w:rPr>
                <w:rFonts w:hint="default" w:ascii="Times New Roman" w:hAnsi="Times New Roman" w:eastAsia="宋体" w:cs="Times New Roman"/>
                <w:b/>
                <w:bCs w:val="0"/>
                <w:color w:val="000000" w:themeColor="text1"/>
                <w:szCs w:val="21"/>
                <w:lang w:eastAsia="zh-CN"/>
                <w14:textFill>
                  <w14:solidFill>
                    <w14:schemeClr w14:val="tx1"/>
                  </w14:solidFill>
                </w14:textFill>
              </w:rPr>
              <w:t xml:space="preserve"> </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Cs w:val="21"/>
                <w:lang w:eastAsia="zh-CN"/>
                <w14:textFill>
                  <w14:solidFill>
                    <w14:schemeClr w14:val="tx1"/>
                  </w14:solidFill>
                </w14:textFill>
              </w:rPr>
              <w:t>厂界噪声预测结果与达标分析表</w:t>
            </w:r>
          </w:p>
          <w:tbl>
            <w:tblPr>
              <w:tblStyle w:val="26"/>
              <w:tblW w:w="8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797"/>
              <w:gridCol w:w="786"/>
              <w:gridCol w:w="769"/>
              <w:gridCol w:w="917"/>
              <w:gridCol w:w="1408"/>
              <w:gridCol w:w="1611"/>
              <w:gridCol w:w="1090"/>
            </w:tblGrid>
            <w:tr w14:paraId="3024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1009" w:type="dxa"/>
                  <w:vMerge w:val="restart"/>
                  <w:noWrap w:val="0"/>
                  <w:vAlign w:val="center"/>
                </w:tcPr>
                <w:p w14:paraId="5A37DA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预测方位</w:t>
                  </w:r>
                </w:p>
              </w:tc>
              <w:tc>
                <w:tcPr>
                  <w:tcW w:w="2352" w:type="dxa"/>
                  <w:gridSpan w:val="3"/>
                  <w:noWrap w:val="0"/>
                  <w:vAlign w:val="center"/>
                </w:tcPr>
                <w:p w14:paraId="1332C8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最大值点</w:t>
                  </w:r>
                  <w:r>
                    <w:rPr>
                      <w:rFonts w:hint="default" w:ascii="Times New Roman" w:hAnsi="Times New Roman" w:eastAsia="宋体" w:cs="Times New Roman"/>
                      <w:b/>
                      <w:bCs w:val="0"/>
                      <w:color w:val="000000" w:themeColor="text1"/>
                      <w:sz w:val="21"/>
                      <w:szCs w:val="21"/>
                      <w14:textFill>
                        <w14:solidFill>
                          <w14:schemeClr w14:val="tx1"/>
                        </w14:solidFill>
                      </w14:textFill>
                    </w:rPr>
                    <w:t>空间相对位置/m</w:t>
                  </w:r>
                </w:p>
              </w:tc>
              <w:tc>
                <w:tcPr>
                  <w:tcW w:w="917" w:type="dxa"/>
                  <w:vMerge w:val="restart"/>
                  <w:noWrap w:val="0"/>
                  <w:vAlign w:val="center"/>
                </w:tcPr>
                <w:p w14:paraId="5FCEE9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时段</w:t>
                  </w:r>
                </w:p>
              </w:tc>
              <w:tc>
                <w:tcPr>
                  <w:tcW w:w="1408" w:type="dxa"/>
                  <w:vMerge w:val="restart"/>
                  <w:noWrap w:val="0"/>
                  <w:vAlign w:val="center"/>
                </w:tcPr>
                <w:p w14:paraId="1E4422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贡献值（dBA)）</w:t>
                  </w:r>
                </w:p>
              </w:tc>
              <w:tc>
                <w:tcPr>
                  <w:tcW w:w="1611" w:type="dxa"/>
                  <w:vMerge w:val="restart"/>
                  <w:noWrap w:val="0"/>
                  <w:vAlign w:val="center"/>
                </w:tcPr>
                <w:p w14:paraId="4D0E6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标准限值（dBA)）</w:t>
                  </w:r>
                </w:p>
              </w:tc>
              <w:tc>
                <w:tcPr>
                  <w:tcW w:w="1090" w:type="dxa"/>
                  <w:vMerge w:val="restart"/>
                  <w:noWrap w:val="0"/>
                  <w:vAlign w:val="center"/>
                </w:tcPr>
                <w:p w14:paraId="5E3D1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达标情况</w:t>
                  </w:r>
                </w:p>
              </w:tc>
            </w:tr>
            <w:tr w14:paraId="618A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09" w:type="dxa"/>
                  <w:vMerge w:val="continue"/>
                  <w:shd w:val="clear" w:color="auto" w:fill="FFFFFF"/>
                  <w:noWrap w:val="0"/>
                  <w:vAlign w:val="center"/>
                </w:tcPr>
                <w:p w14:paraId="17393C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97" w:type="dxa"/>
                  <w:shd w:val="clear" w:color="auto" w:fill="FFFFFF"/>
                  <w:noWrap w:val="0"/>
                  <w:vAlign w:val="center"/>
                </w:tcPr>
                <w:p w14:paraId="11E34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X</w:t>
                  </w:r>
                </w:p>
              </w:tc>
              <w:tc>
                <w:tcPr>
                  <w:tcW w:w="786" w:type="dxa"/>
                  <w:shd w:val="clear" w:color="auto" w:fill="FFFFFF"/>
                  <w:noWrap w:val="0"/>
                  <w:vAlign w:val="center"/>
                </w:tcPr>
                <w:p w14:paraId="62EBB0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Y</w:t>
                  </w:r>
                </w:p>
              </w:tc>
              <w:tc>
                <w:tcPr>
                  <w:tcW w:w="769" w:type="dxa"/>
                  <w:shd w:val="clear" w:color="auto" w:fill="FFFFFF"/>
                  <w:noWrap w:val="0"/>
                  <w:vAlign w:val="center"/>
                </w:tcPr>
                <w:p w14:paraId="294DB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Z</w:t>
                  </w:r>
                </w:p>
              </w:tc>
              <w:tc>
                <w:tcPr>
                  <w:tcW w:w="917" w:type="dxa"/>
                  <w:vMerge w:val="continue"/>
                  <w:shd w:val="clear" w:color="auto" w:fill="FFFFFF"/>
                  <w:noWrap w:val="0"/>
                  <w:vAlign w:val="center"/>
                </w:tcPr>
                <w:p w14:paraId="78EBAF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08" w:type="dxa"/>
                  <w:vMerge w:val="continue"/>
                  <w:shd w:val="clear" w:color="auto" w:fill="FFFFFF"/>
                  <w:noWrap w:val="0"/>
                  <w:vAlign w:val="center"/>
                </w:tcPr>
                <w:p w14:paraId="24D779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611" w:type="dxa"/>
                  <w:vMerge w:val="continue"/>
                  <w:shd w:val="clear" w:color="auto" w:fill="FFFFFF"/>
                  <w:noWrap w:val="0"/>
                  <w:vAlign w:val="center"/>
                </w:tcPr>
                <w:p w14:paraId="4DE1D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90" w:type="dxa"/>
                  <w:vMerge w:val="continue"/>
                  <w:shd w:val="clear" w:color="auto" w:fill="FFFFFF"/>
                  <w:noWrap w:val="0"/>
                  <w:vAlign w:val="center"/>
                </w:tcPr>
                <w:p w14:paraId="266E07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31A2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8" w:hRule="exact"/>
                <w:jc w:val="center"/>
              </w:trPr>
              <w:tc>
                <w:tcPr>
                  <w:tcW w:w="1009" w:type="dxa"/>
                  <w:shd w:val="clear" w:color="auto" w:fill="FFFFFF"/>
                  <w:noWrap w:val="0"/>
                  <w:vAlign w:val="center"/>
                </w:tcPr>
                <w:p w14:paraId="0F92D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Arial" w:cs="Times New Roman"/>
                      <w:b w:val="0"/>
                      <w:bCs/>
                      <w:color w:val="000000" w:themeColor="text1"/>
                      <w:sz w:val="20"/>
                      <w14:textFill>
                        <w14:solidFill>
                          <w14:schemeClr w14:val="tx1"/>
                        </w14:solidFill>
                      </w14:textFill>
                    </w:rPr>
                    <w:t>东侧</w:t>
                  </w:r>
                </w:p>
              </w:tc>
              <w:tc>
                <w:tcPr>
                  <w:tcW w:w="797" w:type="dxa"/>
                  <w:shd w:val="clear" w:color="auto" w:fill="FFFFFF"/>
                  <w:noWrap w:val="0"/>
                  <w:vAlign w:val="center"/>
                </w:tcPr>
                <w:p w14:paraId="47CC9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9.9</w:t>
                  </w:r>
                </w:p>
              </w:tc>
              <w:tc>
                <w:tcPr>
                  <w:tcW w:w="786" w:type="dxa"/>
                  <w:shd w:val="clear" w:color="auto" w:fill="FFFFFF"/>
                  <w:noWrap w:val="0"/>
                  <w:vAlign w:val="center"/>
                </w:tcPr>
                <w:p w14:paraId="7709DB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4.8</w:t>
                  </w:r>
                </w:p>
              </w:tc>
              <w:tc>
                <w:tcPr>
                  <w:tcW w:w="769" w:type="dxa"/>
                  <w:shd w:val="clear" w:color="auto" w:fill="FFFFFF"/>
                  <w:noWrap w:val="0"/>
                  <w:vAlign w:val="center"/>
                </w:tcPr>
                <w:p w14:paraId="71234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1.2</w:t>
                  </w:r>
                </w:p>
              </w:tc>
              <w:tc>
                <w:tcPr>
                  <w:tcW w:w="917" w:type="dxa"/>
                  <w:shd w:val="clear" w:color="auto" w:fill="FFFFFF"/>
                  <w:noWrap w:val="0"/>
                  <w:vAlign w:val="center"/>
                </w:tcPr>
                <w:p w14:paraId="7D8F94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昼间</w:t>
                  </w:r>
                </w:p>
              </w:tc>
              <w:tc>
                <w:tcPr>
                  <w:tcW w:w="1408" w:type="dxa"/>
                  <w:shd w:val="clear" w:color="auto" w:fill="FFFFFF"/>
                  <w:noWrap w:val="0"/>
                  <w:vAlign w:val="center"/>
                </w:tcPr>
                <w:p w14:paraId="6597F6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42.8</w:t>
                  </w:r>
                </w:p>
              </w:tc>
              <w:tc>
                <w:tcPr>
                  <w:tcW w:w="1611" w:type="dxa"/>
                  <w:shd w:val="clear" w:color="auto" w:fill="FFFFFF"/>
                  <w:noWrap w:val="0"/>
                  <w:vAlign w:val="center"/>
                </w:tcPr>
                <w:p w14:paraId="67151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6</w:t>
                  </w:r>
                  <w:r>
                    <w:rPr>
                      <w:rFonts w:hint="eastAsia" w:eastAsia="宋体" w:cs="Times New Roman"/>
                      <w:b w:val="0"/>
                      <w:bCs/>
                      <w:color w:val="000000" w:themeColor="text1"/>
                      <w:sz w:val="21"/>
                      <w:szCs w:val="21"/>
                      <w:lang w:val="en-US" w:eastAsia="zh-CN"/>
                      <w14:textFill>
                        <w14:solidFill>
                          <w14:schemeClr w14:val="tx1"/>
                        </w14:solidFill>
                      </w14:textFill>
                    </w:rPr>
                    <w:t>0</w:t>
                  </w:r>
                </w:p>
              </w:tc>
              <w:tc>
                <w:tcPr>
                  <w:tcW w:w="1090" w:type="dxa"/>
                  <w:shd w:val="clear" w:color="auto" w:fill="FFFFFF"/>
                  <w:noWrap w:val="0"/>
                  <w:vAlign w:val="center"/>
                </w:tcPr>
                <w:p w14:paraId="3A0EBE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eastAsia="Arial" w:cs="Times New Roman"/>
                      <w:b/>
                      <w:bCs w:val="0"/>
                      <w:color w:val="000000" w:themeColor="text1"/>
                      <w:sz w:val="20"/>
                      <w14:textFill>
                        <w14:solidFill>
                          <w14:schemeClr w14:val="tx1"/>
                        </w14:solidFill>
                      </w14:textFill>
                    </w:rPr>
                    <w:t>达标</w:t>
                  </w:r>
                </w:p>
              </w:tc>
            </w:tr>
            <w:tr w14:paraId="1559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9" w:hRule="exact"/>
                <w:jc w:val="center"/>
              </w:trPr>
              <w:tc>
                <w:tcPr>
                  <w:tcW w:w="1009" w:type="dxa"/>
                  <w:shd w:val="clear" w:color="auto" w:fill="FFFFFF"/>
                  <w:noWrap w:val="0"/>
                  <w:vAlign w:val="center"/>
                </w:tcPr>
                <w:p w14:paraId="793B0E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Arial" w:cs="Times New Roman"/>
                      <w:b w:val="0"/>
                      <w:bCs/>
                      <w:color w:val="000000" w:themeColor="text1"/>
                      <w:sz w:val="20"/>
                      <w14:textFill>
                        <w14:solidFill>
                          <w14:schemeClr w14:val="tx1"/>
                        </w14:solidFill>
                      </w14:textFill>
                    </w:rPr>
                    <w:t>南侧</w:t>
                  </w:r>
                </w:p>
              </w:tc>
              <w:tc>
                <w:tcPr>
                  <w:tcW w:w="797" w:type="dxa"/>
                  <w:shd w:val="clear" w:color="auto" w:fill="FFFFFF"/>
                  <w:noWrap w:val="0"/>
                  <w:vAlign w:val="center"/>
                </w:tcPr>
                <w:p w14:paraId="0B56C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3.8</w:t>
                  </w:r>
                </w:p>
              </w:tc>
              <w:tc>
                <w:tcPr>
                  <w:tcW w:w="786" w:type="dxa"/>
                  <w:shd w:val="clear" w:color="auto" w:fill="FFFFFF"/>
                  <w:noWrap w:val="0"/>
                  <w:vAlign w:val="center"/>
                </w:tcPr>
                <w:p w14:paraId="1DC7A1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-13.5</w:t>
                  </w:r>
                </w:p>
              </w:tc>
              <w:tc>
                <w:tcPr>
                  <w:tcW w:w="769" w:type="dxa"/>
                  <w:shd w:val="clear" w:color="auto" w:fill="FFFFFF"/>
                  <w:noWrap w:val="0"/>
                  <w:vAlign w:val="center"/>
                </w:tcPr>
                <w:p w14:paraId="4E549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1.2</w:t>
                  </w:r>
                </w:p>
              </w:tc>
              <w:tc>
                <w:tcPr>
                  <w:tcW w:w="917" w:type="dxa"/>
                  <w:shd w:val="clear" w:color="auto" w:fill="FFFFFF"/>
                  <w:noWrap w:val="0"/>
                  <w:vAlign w:val="center"/>
                </w:tcPr>
                <w:p w14:paraId="7F787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昼间</w:t>
                  </w:r>
                </w:p>
              </w:tc>
              <w:tc>
                <w:tcPr>
                  <w:tcW w:w="1408" w:type="dxa"/>
                  <w:shd w:val="clear" w:color="auto" w:fill="FFFFFF"/>
                  <w:noWrap w:val="0"/>
                  <w:vAlign w:val="center"/>
                </w:tcPr>
                <w:p w14:paraId="73CC1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39.2</w:t>
                  </w:r>
                </w:p>
              </w:tc>
              <w:tc>
                <w:tcPr>
                  <w:tcW w:w="1611" w:type="dxa"/>
                  <w:shd w:val="clear" w:color="auto" w:fill="FFFFFF"/>
                  <w:noWrap w:val="0"/>
                  <w:vAlign w:val="center"/>
                </w:tcPr>
                <w:p w14:paraId="3C63E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6</w:t>
                  </w:r>
                  <w:r>
                    <w:rPr>
                      <w:rFonts w:hint="eastAsia" w:eastAsia="宋体" w:cs="Times New Roman"/>
                      <w:b w:val="0"/>
                      <w:bCs/>
                      <w:color w:val="000000" w:themeColor="text1"/>
                      <w:sz w:val="21"/>
                      <w:szCs w:val="21"/>
                      <w:lang w:val="en-US" w:eastAsia="zh-CN"/>
                      <w14:textFill>
                        <w14:solidFill>
                          <w14:schemeClr w14:val="tx1"/>
                        </w14:solidFill>
                      </w14:textFill>
                    </w:rPr>
                    <w:t>0</w:t>
                  </w:r>
                </w:p>
              </w:tc>
              <w:tc>
                <w:tcPr>
                  <w:tcW w:w="1090" w:type="dxa"/>
                  <w:shd w:val="clear" w:color="auto" w:fill="FFFFFF"/>
                  <w:noWrap w:val="0"/>
                  <w:vAlign w:val="center"/>
                </w:tcPr>
                <w:p w14:paraId="5D269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eastAsia="Arial" w:cs="Times New Roman"/>
                      <w:b/>
                      <w:bCs w:val="0"/>
                      <w:color w:val="000000" w:themeColor="text1"/>
                      <w:sz w:val="20"/>
                      <w14:textFill>
                        <w14:solidFill>
                          <w14:schemeClr w14:val="tx1"/>
                        </w14:solidFill>
                      </w14:textFill>
                    </w:rPr>
                    <w:t>达标</w:t>
                  </w:r>
                </w:p>
              </w:tc>
            </w:tr>
            <w:tr w14:paraId="349E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2" w:hRule="exact"/>
                <w:jc w:val="center"/>
              </w:trPr>
              <w:tc>
                <w:tcPr>
                  <w:tcW w:w="1009" w:type="dxa"/>
                  <w:shd w:val="clear" w:color="auto" w:fill="FFFFFF"/>
                  <w:noWrap w:val="0"/>
                  <w:vAlign w:val="center"/>
                </w:tcPr>
                <w:p w14:paraId="3EFAD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Arial" w:cs="Times New Roman"/>
                      <w:b w:val="0"/>
                      <w:bCs/>
                      <w:color w:val="000000" w:themeColor="text1"/>
                      <w:sz w:val="20"/>
                      <w14:textFill>
                        <w14:solidFill>
                          <w14:schemeClr w14:val="tx1"/>
                        </w14:solidFill>
                      </w14:textFill>
                    </w:rPr>
                    <w:t>西侧</w:t>
                  </w:r>
                </w:p>
              </w:tc>
              <w:tc>
                <w:tcPr>
                  <w:tcW w:w="797" w:type="dxa"/>
                  <w:shd w:val="clear" w:color="auto" w:fill="FFFFFF"/>
                  <w:noWrap w:val="0"/>
                  <w:vAlign w:val="center"/>
                </w:tcPr>
                <w:p w14:paraId="572D0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-10.7</w:t>
                  </w:r>
                </w:p>
              </w:tc>
              <w:tc>
                <w:tcPr>
                  <w:tcW w:w="786" w:type="dxa"/>
                  <w:shd w:val="clear" w:color="auto" w:fill="FFFFFF"/>
                  <w:noWrap w:val="0"/>
                  <w:vAlign w:val="center"/>
                </w:tcPr>
                <w:p w14:paraId="4F1D97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-2.3</w:t>
                  </w:r>
                </w:p>
              </w:tc>
              <w:tc>
                <w:tcPr>
                  <w:tcW w:w="769" w:type="dxa"/>
                  <w:shd w:val="clear" w:color="auto" w:fill="FFFFFF"/>
                  <w:noWrap w:val="0"/>
                  <w:vAlign w:val="center"/>
                </w:tcPr>
                <w:p w14:paraId="75157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1.2</w:t>
                  </w:r>
                </w:p>
              </w:tc>
              <w:tc>
                <w:tcPr>
                  <w:tcW w:w="917" w:type="dxa"/>
                  <w:shd w:val="clear" w:color="auto" w:fill="FFFFFF"/>
                  <w:noWrap w:val="0"/>
                  <w:vAlign w:val="center"/>
                </w:tcPr>
                <w:p w14:paraId="3E6A82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昼间</w:t>
                  </w:r>
                </w:p>
              </w:tc>
              <w:tc>
                <w:tcPr>
                  <w:tcW w:w="1408" w:type="dxa"/>
                  <w:shd w:val="clear" w:color="auto" w:fill="FFFFFF"/>
                  <w:noWrap w:val="0"/>
                  <w:vAlign w:val="center"/>
                </w:tcPr>
                <w:p w14:paraId="6F429F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40.6</w:t>
                  </w:r>
                </w:p>
              </w:tc>
              <w:tc>
                <w:tcPr>
                  <w:tcW w:w="1611" w:type="dxa"/>
                  <w:shd w:val="clear" w:color="auto" w:fill="FFFFFF"/>
                  <w:noWrap w:val="0"/>
                  <w:vAlign w:val="center"/>
                </w:tcPr>
                <w:p w14:paraId="1E99C3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6</w:t>
                  </w:r>
                  <w:r>
                    <w:rPr>
                      <w:rFonts w:hint="eastAsia" w:cs="Times New Roman"/>
                      <w:b w:val="0"/>
                      <w:bCs/>
                      <w:color w:val="000000" w:themeColor="text1"/>
                      <w:sz w:val="21"/>
                      <w:szCs w:val="21"/>
                      <w:lang w:val="en-US" w:eastAsia="zh-CN"/>
                      <w14:textFill>
                        <w14:solidFill>
                          <w14:schemeClr w14:val="tx1"/>
                        </w14:solidFill>
                      </w14:textFill>
                    </w:rPr>
                    <w:t>0</w:t>
                  </w:r>
                </w:p>
              </w:tc>
              <w:tc>
                <w:tcPr>
                  <w:tcW w:w="1090" w:type="dxa"/>
                  <w:shd w:val="clear" w:color="auto" w:fill="FFFFFF"/>
                  <w:noWrap w:val="0"/>
                  <w:vAlign w:val="center"/>
                </w:tcPr>
                <w:p w14:paraId="2903F0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eastAsia="Arial" w:cs="Times New Roman"/>
                      <w:b/>
                      <w:bCs w:val="0"/>
                      <w:color w:val="000000" w:themeColor="text1"/>
                      <w:sz w:val="20"/>
                      <w14:textFill>
                        <w14:solidFill>
                          <w14:schemeClr w14:val="tx1"/>
                        </w14:solidFill>
                      </w14:textFill>
                    </w:rPr>
                    <w:t>达标</w:t>
                  </w:r>
                </w:p>
              </w:tc>
            </w:tr>
            <w:tr w14:paraId="5FC0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2" w:hRule="exact"/>
                <w:jc w:val="center"/>
              </w:trPr>
              <w:tc>
                <w:tcPr>
                  <w:tcW w:w="1009" w:type="dxa"/>
                  <w:shd w:val="clear" w:color="auto" w:fill="FFFFFF"/>
                  <w:noWrap w:val="0"/>
                  <w:vAlign w:val="center"/>
                </w:tcPr>
                <w:p w14:paraId="6352A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Arial" w:cs="Times New Roman"/>
                      <w:b w:val="0"/>
                      <w:bCs/>
                      <w:color w:val="000000" w:themeColor="text1"/>
                      <w:sz w:val="20"/>
                      <w14:textFill>
                        <w14:solidFill>
                          <w14:schemeClr w14:val="tx1"/>
                        </w14:solidFill>
                      </w14:textFill>
                    </w:rPr>
                    <w:t>北侧</w:t>
                  </w:r>
                </w:p>
              </w:tc>
              <w:tc>
                <w:tcPr>
                  <w:tcW w:w="797" w:type="dxa"/>
                  <w:shd w:val="clear" w:color="auto" w:fill="FFFFFF"/>
                  <w:noWrap w:val="0"/>
                  <w:vAlign w:val="center"/>
                </w:tcPr>
                <w:p w14:paraId="4A91F6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-3.8</w:t>
                  </w:r>
                </w:p>
              </w:tc>
              <w:tc>
                <w:tcPr>
                  <w:tcW w:w="786" w:type="dxa"/>
                  <w:shd w:val="clear" w:color="auto" w:fill="FFFFFF"/>
                  <w:noWrap w:val="0"/>
                  <w:vAlign w:val="center"/>
                </w:tcPr>
                <w:p w14:paraId="0DF495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13.4</w:t>
                  </w:r>
                </w:p>
              </w:tc>
              <w:tc>
                <w:tcPr>
                  <w:tcW w:w="769" w:type="dxa"/>
                  <w:shd w:val="clear" w:color="auto" w:fill="FFFFFF"/>
                  <w:noWrap w:val="0"/>
                  <w:vAlign w:val="center"/>
                </w:tcPr>
                <w:p w14:paraId="6EA61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1.2</w:t>
                  </w:r>
                </w:p>
              </w:tc>
              <w:tc>
                <w:tcPr>
                  <w:tcW w:w="917" w:type="dxa"/>
                  <w:shd w:val="clear" w:color="auto" w:fill="FFFFFF"/>
                  <w:noWrap w:val="0"/>
                  <w:vAlign w:val="center"/>
                </w:tcPr>
                <w:p w14:paraId="0FEE38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昼间</w:t>
                  </w:r>
                </w:p>
              </w:tc>
              <w:tc>
                <w:tcPr>
                  <w:tcW w:w="1408" w:type="dxa"/>
                  <w:shd w:val="clear" w:color="auto" w:fill="FFFFFF"/>
                  <w:noWrap w:val="0"/>
                  <w:vAlign w:val="center"/>
                </w:tcPr>
                <w:p w14:paraId="7F29C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41.6</w:t>
                  </w:r>
                </w:p>
              </w:tc>
              <w:tc>
                <w:tcPr>
                  <w:tcW w:w="1611" w:type="dxa"/>
                  <w:shd w:val="clear" w:color="auto" w:fill="FFFFFF"/>
                  <w:noWrap w:val="0"/>
                  <w:vAlign w:val="center"/>
                </w:tcPr>
                <w:p w14:paraId="57066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6</w:t>
                  </w:r>
                  <w:r>
                    <w:rPr>
                      <w:rFonts w:hint="eastAsia" w:cs="Times New Roman"/>
                      <w:b w:val="0"/>
                      <w:bCs/>
                      <w:color w:val="000000" w:themeColor="text1"/>
                      <w:sz w:val="21"/>
                      <w:szCs w:val="21"/>
                      <w:lang w:val="en-US" w:eastAsia="zh-CN"/>
                      <w14:textFill>
                        <w14:solidFill>
                          <w14:schemeClr w14:val="tx1"/>
                        </w14:solidFill>
                      </w14:textFill>
                    </w:rPr>
                    <w:t>0</w:t>
                  </w:r>
                </w:p>
              </w:tc>
              <w:tc>
                <w:tcPr>
                  <w:tcW w:w="1090" w:type="dxa"/>
                  <w:shd w:val="clear" w:color="auto" w:fill="FFFFFF"/>
                  <w:noWrap w:val="0"/>
                  <w:vAlign w:val="center"/>
                </w:tcPr>
                <w:p w14:paraId="79E280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eastAsia="Arial" w:cs="Times New Roman"/>
                      <w:b/>
                      <w:bCs w:val="0"/>
                      <w:color w:val="000000" w:themeColor="text1"/>
                      <w:sz w:val="20"/>
                      <w14:textFill>
                        <w14:solidFill>
                          <w14:schemeClr w14:val="tx1"/>
                        </w14:solidFill>
                      </w14:textFill>
                    </w:rPr>
                    <w:t>达标</w:t>
                  </w:r>
                </w:p>
              </w:tc>
            </w:tr>
          </w:tbl>
          <w:p w14:paraId="745D3CBB">
            <w:pP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备注：</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表中坐标以厂界中心（</w:t>
            </w:r>
            <w:bookmarkStart w:id="25" w:name="PO_8"/>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103.885086,25.512624</w:t>
            </w:r>
            <w:bookmarkEnd w:id="25"/>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）为坐标原点，正东向为X轴正方向，正北向为Y轴正方向</w:t>
            </w:r>
            <w:r>
              <w:rPr>
                <w:rFonts w:hint="eastAsia" w:ascii="Times New Roman" w:hAnsi="Times New Roman" w:cs="Times New Roman"/>
                <w:b/>
                <w:bCs/>
                <w:color w:val="000000" w:themeColor="text1"/>
                <w:sz w:val="21"/>
                <w:szCs w:val="21"/>
                <w:lang w:eastAsia="zh-CN"/>
                <w14:textFill>
                  <w14:solidFill>
                    <w14:schemeClr w14:val="tx1"/>
                  </w14:solidFill>
                </w14:textFill>
              </w:rPr>
              <w:t>。</w:t>
            </w:r>
          </w:p>
          <w:p w14:paraId="119777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根据上表可知，项目区厂界昼间噪声值均能达到《工业企业厂界噪声排放标准》（GB12348-2008）</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类标准限值要求，由于</w:t>
            </w:r>
            <w:r>
              <w:rPr>
                <w:rFonts w:hint="default" w:ascii="Times New Roman" w:hAnsi="Times New Roman" w:cs="Times New Roman"/>
                <w:color w:val="000000" w:themeColor="text1"/>
                <w:sz w:val="24"/>
                <w:szCs w:val="24"/>
                <w:lang w:val="en-US" w:eastAsia="zh-CN"/>
                <w14:textFill>
                  <w14:solidFill>
                    <w14:schemeClr w14:val="tx1"/>
                  </w14:solidFill>
                </w14:textFill>
              </w:rPr>
              <w:t>项目</w:t>
            </w:r>
            <w:r>
              <w:rPr>
                <w:rFonts w:hint="default" w:ascii="Times New Roman" w:hAnsi="Times New Roman" w:cs="Times New Roman"/>
                <w:color w:val="000000" w:themeColor="text1"/>
                <w:sz w:val="24"/>
                <w:szCs w:val="24"/>
                <w14:textFill>
                  <w14:solidFill>
                    <w14:schemeClr w14:val="tx1"/>
                  </w14:solidFill>
                </w14:textFill>
              </w:rPr>
              <w:t>夜间不生产，所以不对夜间噪声进行</w:t>
            </w:r>
            <w:r>
              <w:rPr>
                <w:rFonts w:hint="eastAsia" w:ascii="Times New Roman" w:hAnsi="Times New Roman" w:cs="Times New Roman"/>
                <w:color w:val="000000" w:themeColor="text1"/>
                <w:sz w:val="24"/>
                <w:szCs w:val="24"/>
                <w:lang w:val="en-US" w:eastAsia="zh-CN"/>
                <w14:textFill>
                  <w14:solidFill>
                    <w14:schemeClr w14:val="tx1"/>
                  </w14:solidFill>
                </w14:textFill>
              </w:rPr>
              <w:t>贡献值计算</w:t>
            </w:r>
            <w:r>
              <w:rPr>
                <w:rFonts w:hint="default" w:ascii="Times New Roman" w:hAnsi="Times New Roman" w:cs="Times New Roman"/>
                <w:color w:val="000000" w:themeColor="text1"/>
                <w:sz w:val="24"/>
                <w:szCs w:val="24"/>
                <w14:textFill>
                  <w14:solidFill>
                    <w14:schemeClr w14:val="tx1"/>
                  </w14:solidFill>
                </w14:textFill>
              </w:rPr>
              <w:t>。</w:t>
            </w:r>
          </w:p>
          <w:p w14:paraId="764A0438">
            <w:pPr>
              <w:snapToGrid w:val="0"/>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项目正常工况声环境影响预测等值线见图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eastAsia="宋体" w:cs="Times New Roman"/>
                <w:color w:val="000000" w:themeColor="text1"/>
                <w:sz w:val="24"/>
                <w:szCs w:val="24"/>
                <w:lang w:val="en-US" w:eastAsia="zh-CN"/>
                <w14:textFill>
                  <w14:solidFill>
                    <w14:schemeClr w14:val="tx1"/>
                  </w14:solidFill>
                </w14:textFill>
              </w:rPr>
              <w:t>.2</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所示</w:t>
            </w:r>
            <w:r>
              <w:rPr>
                <w:rFonts w:ascii="Times New Roman" w:hAnsi="Times New Roman" w:eastAsia="宋体" w:cs="Times New Roman"/>
                <w:color w:val="000000" w:themeColor="text1"/>
                <w:sz w:val="24"/>
                <w:szCs w:val="24"/>
                <w:lang w:eastAsia="zh-CN"/>
                <w14:textFill>
                  <w14:solidFill>
                    <w14:schemeClr w14:val="tx1"/>
                  </w14:solidFill>
                </w14:textFill>
              </w:rPr>
              <w:t>。</w:t>
            </w:r>
          </w:p>
          <w:p w14:paraId="16D95A4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Times New Roman" w:hAnsi="Times New Roman" w:eastAsia="宋体" w:cs="Times New Roman"/>
                <w:color w:val="000000" w:themeColor="text1"/>
                <w:sz w:val="24"/>
                <w:szCs w:val="24"/>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796155" cy="3691255"/>
                  <wp:effectExtent l="0" t="0" r="4445" b="444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8"/>
                          <a:stretch>
                            <a:fillRect/>
                          </a:stretch>
                        </pic:blipFill>
                        <pic:spPr>
                          <a:xfrm>
                            <a:off x="0" y="0"/>
                            <a:ext cx="4796155" cy="3691255"/>
                          </a:xfrm>
                          <a:prstGeom prst="rect">
                            <a:avLst/>
                          </a:prstGeom>
                          <a:noFill/>
                          <a:ln>
                            <a:noFill/>
                          </a:ln>
                        </pic:spPr>
                      </pic:pic>
                    </a:graphicData>
                  </a:graphic>
                </wp:inline>
              </w:drawing>
            </w:r>
          </w:p>
          <w:p w14:paraId="771ACBBF">
            <w:pPr>
              <w:pStyle w:val="100"/>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ascii="Times New Roman" w:hAnsi="Times New Roman" w:eastAsia="宋体" w:cs="Times New Roman"/>
                <w:b/>
                <w:bCs/>
                <w:color w:val="000000" w:themeColor="text1"/>
                <w:sz w:val="21"/>
                <w:szCs w:val="21"/>
                <w:lang w:val="en-US"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图</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eastAsia="宋体" w:cs="Times New Roman"/>
                <w:b/>
                <w:bCs/>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eastAsia="宋体" w:cs="Times New Roman"/>
                <w:b/>
                <w:bCs/>
                <w:color w:val="000000" w:themeColor="text1"/>
                <w:sz w:val="21"/>
                <w:szCs w:val="21"/>
                <w:lang w:val="en-US" w:eastAsia="zh-CN"/>
                <w14:textFill>
                  <w14:solidFill>
                    <w14:schemeClr w14:val="tx1"/>
                  </w14:solidFill>
                </w14:textFill>
              </w:rPr>
              <w:t>1</w:t>
            </w:r>
            <w:r>
              <w:rPr>
                <w:rFonts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ascii="Times New Roman" w:hAnsi="Times New Roman" w:eastAsia="宋体" w:cs="Times New Roman"/>
                <w:b/>
                <w:bCs/>
                <w:color w:val="000000" w:themeColor="text1"/>
                <w:sz w:val="21"/>
                <w:szCs w:val="21"/>
                <w14:textFill>
                  <w14:solidFill>
                    <w14:schemeClr w14:val="tx1"/>
                  </w14:solidFill>
                </w14:textFill>
              </w:rPr>
              <w:t>正常工况声环境影响预测结果</w:t>
            </w:r>
            <w:r>
              <w:rPr>
                <w:rFonts w:ascii="Times New Roman" w:hAnsi="Times New Roman" w:eastAsia="宋体" w:cs="Times New Roman"/>
                <w:b/>
                <w:bCs/>
                <w:color w:val="000000" w:themeColor="text1"/>
                <w:sz w:val="21"/>
                <w:szCs w:val="21"/>
                <w:lang w:eastAsia="zh-CN"/>
                <w14:textFill>
                  <w14:solidFill>
                    <w14:schemeClr w14:val="tx1"/>
                  </w14:solidFill>
                </w14:textFill>
              </w:rPr>
              <w:t>图</w:t>
            </w:r>
            <w:r>
              <w:rPr>
                <w:rFonts w:ascii="Times New Roman" w:hAnsi="Times New Roman" w:eastAsia="宋体" w:cs="Times New Roman"/>
                <w:b/>
                <w:bCs/>
                <w:color w:val="000000" w:themeColor="text1"/>
                <w:sz w:val="21"/>
                <w:szCs w:val="21"/>
                <w:lang w:val="en-US" w:eastAsia="zh-CN"/>
                <w14:textFill>
                  <w14:solidFill>
                    <w14:schemeClr w14:val="tx1"/>
                  </w14:solidFill>
                </w14:textFill>
              </w:rPr>
              <w:t xml:space="preserve"> 注：等声级线图</w:t>
            </w:r>
          </w:p>
          <w:p w14:paraId="15E69EC4">
            <w:pPr>
              <w:pStyle w:val="10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Style w:val="31"/>
                <w:rFonts w:hint="default" w:ascii="Times New Roman" w:hAnsi="Times New Roman" w:cs="Times New Roman"/>
                <w:b w:val="0"/>
                <w:color w:val="000000" w:themeColor="text1"/>
                <w:kern w:val="0"/>
                <w:szCs w:val="20"/>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项目运营后合理规划，以减小噪声对其影响；加强生产设备管理，定期对生产设备进行维护和检修，保持生产设备的正常运转，并安装减振垫进行减振等有效措施，从噪声源本身降低源强，项目运营过程中产生的噪声对周围环境的影响在可接受的范围之内。</w:t>
            </w:r>
          </w:p>
          <w:p w14:paraId="494D295E">
            <w:pPr>
              <w:pageBreakBefore w:val="0"/>
              <w:kinsoku/>
              <w:wordWrap/>
              <w:topLinePunct w:val="0"/>
              <w:bidi w:val="0"/>
              <w:spacing w:line="360" w:lineRule="auto"/>
              <w:ind w:firstLine="482" w:firstLineChars="200"/>
              <w:rPr>
                <w:rFonts w:ascii="Times New Roman" w:hAnsi="Times New Roman" w:eastAsia="宋体" w:cs="Times New Roman"/>
                <w:b/>
                <w:bCs/>
                <w:color w:val="000000" w:themeColor="text1"/>
                <w:kern w:val="0"/>
                <w:sz w:val="24"/>
                <w:szCs w:val="20"/>
                <w14:textFill>
                  <w14:solidFill>
                    <w14:schemeClr w14:val="tx1"/>
                  </w14:solidFill>
                </w14:textFill>
              </w:rPr>
            </w:pPr>
            <w:r>
              <w:rPr>
                <w:rFonts w:hint="eastAsia" w:ascii="Times New Roman" w:hAnsi="Times New Roman" w:eastAsia="宋体" w:cs="Times New Roman"/>
                <w:b/>
                <w:bCs/>
                <w:color w:val="000000" w:themeColor="text1"/>
                <w:kern w:val="0"/>
                <w:sz w:val="24"/>
                <w:szCs w:val="20"/>
                <w:lang w:val="en-US" w:eastAsia="zh-CN"/>
                <w14:textFill>
                  <w14:solidFill>
                    <w14:schemeClr w14:val="tx1"/>
                  </w14:solidFill>
                </w14:textFill>
              </w:rPr>
              <w:t>3、</w:t>
            </w:r>
            <w:r>
              <w:rPr>
                <w:rFonts w:ascii="Times New Roman" w:hAnsi="Times New Roman" w:eastAsia="宋体" w:cs="Times New Roman"/>
                <w:b/>
                <w:bCs/>
                <w:color w:val="000000" w:themeColor="text1"/>
                <w:kern w:val="0"/>
                <w:sz w:val="24"/>
                <w:szCs w:val="20"/>
                <w14:textFill>
                  <w14:solidFill>
                    <w14:schemeClr w14:val="tx1"/>
                  </w14:solidFill>
                </w14:textFill>
              </w:rPr>
              <w:t>噪声防治措施</w:t>
            </w:r>
          </w:p>
          <w:p w14:paraId="75CDDD62">
            <w:pPr>
              <w:pageBreakBefore w:val="0"/>
              <w:kinsoku/>
              <w:wordWrap/>
              <w:topLinePunct w:val="0"/>
              <w:bidi w:val="0"/>
              <w:spacing w:line="360" w:lineRule="auto"/>
              <w:ind w:firstLine="480" w:firstLineChars="200"/>
              <w:rPr>
                <w:rFonts w:hint="eastAsia"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根据项目实际建设情况，项目采取的噪声控制措施如下：</w:t>
            </w:r>
          </w:p>
          <w:p w14:paraId="305ABAC6">
            <w:pPr>
              <w:pageBreakBefore w:val="0"/>
              <w:kinsoku/>
              <w:wordWrap/>
              <w:topLinePunct w:val="0"/>
              <w:bidi w:val="0"/>
              <w:spacing w:line="360" w:lineRule="auto"/>
              <w:ind w:firstLine="480" w:firstLineChars="200"/>
              <w:rPr>
                <w:rFonts w:hint="eastAsia"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（1）选用低噪声设备；</w:t>
            </w:r>
          </w:p>
          <w:p w14:paraId="7D7A2691">
            <w:pPr>
              <w:pageBreakBefore w:val="0"/>
              <w:kinsoku/>
              <w:wordWrap/>
              <w:topLinePunct w:val="0"/>
              <w:bidi w:val="0"/>
              <w:spacing w:line="360" w:lineRule="auto"/>
              <w:ind w:firstLine="480" w:firstLineChars="200"/>
              <w:rPr>
                <w:rFonts w:ascii="Times New Roman" w:hAnsi="Times New Roman" w:eastAsia="宋体" w:cs="Times New Roman"/>
                <w:color w:val="000000" w:themeColor="text1"/>
                <w:kern w:val="0"/>
                <w:sz w:val="24"/>
                <w:szCs w:val="20"/>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（2）合理布局产噪设备</w:t>
            </w:r>
            <w:r>
              <w:rPr>
                <w:rFonts w:hint="eastAsia" w:ascii="Times New Roman" w:hAnsi="Times New Roman" w:eastAsia="宋体" w:cs="Times New Roman"/>
                <w:color w:val="000000" w:themeColor="text1"/>
                <w:kern w:val="0"/>
                <w:sz w:val="24"/>
                <w:szCs w:val="20"/>
                <w14:textFill>
                  <w14:solidFill>
                    <w14:schemeClr w14:val="tx1"/>
                  </w14:solidFill>
                </w14:textFill>
              </w:rPr>
              <w:t>，尽可能利用距离进行声级衰减；</w:t>
            </w:r>
          </w:p>
          <w:p w14:paraId="5C9842E6">
            <w:pPr>
              <w:pageBreakBefore w:val="0"/>
              <w:kinsoku/>
              <w:wordWrap/>
              <w:topLinePunct w:val="0"/>
              <w:bidi w:val="0"/>
              <w:spacing w:line="360" w:lineRule="auto"/>
              <w:ind w:firstLine="480" w:firstLineChars="200"/>
              <w:rPr>
                <w:rFonts w:hint="eastAsia" w:ascii="Times New Roman" w:hAnsi="Times New Roman" w:eastAsia="宋体" w:cs="Times New Roman"/>
                <w:color w:val="000000" w:themeColor="text1"/>
                <w:kern w:val="0"/>
                <w:sz w:val="24"/>
                <w:szCs w:val="20"/>
                <w:lang w:eastAsia="zh-CN"/>
                <w14:textFill>
                  <w14:solidFill>
                    <w14:schemeClr w14:val="tx1"/>
                  </w14:solidFill>
                </w14:textFill>
              </w:rPr>
            </w:pPr>
            <w:r>
              <w:rPr>
                <w:rFonts w:hint="eastAsia" w:cs="Times New Roman"/>
                <w:color w:val="000000" w:themeColor="text1"/>
                <w:kern w:val="0"/>
                <w:sz w:val="24"/>
                <w:szCs w:val="20"/>
                <w:lang w:eastAsia="zh-CN"/>
                <w14:textFill>
                  <w14:solidFill>
                    <w14:schemeClr w14:val="tx1"/>
                  </w14:solidFill>
                </w14:textFill>
              </w:rPr>
              <w:t>（</w:t>
            </w:r>
            <w:r>
              <w:rPr>
                <w:rFonts w:hint="eastAsia" w:cs="Times New Roman"/>
                <w:color w:val="000000" w:themeColor="text1"/>
                <w:kern w:val="0"/>
                <w:sz w:val="24"/>
                <w:szCs w:val="20"/>
                <w:lang w:val="en-US" w:eastAsia="zh-CN"/>
                <w14:textFill>
                  <w14:solidFill>
                    <w14:schemeClr w14:val="tx1"/>
                  </w14:solidFill>
                </w14:textFill>
              </w:rPr>
              <w:t>3</w:t>
            </w:r>
            <w:r>
              <w:rPr>
                <w:rFonts w:hint="eastAsia" w:cs="Times New Roman"/>
                <w:color w:val="000000" w:themeColor="text1"/>
                <w:kern w:val="0"/>
                <w:sz w:val="24"/>
                <w:szCs w:val="20"/>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0"/>
                <w14:textFill>
                  <w14:solidFill>
                    <w14:schemeClr w14:val="tx1"/>
                  </w14:solidFill>
                </w14:textFill>
              </w:rPr>
              <w:t>高噪声设备安装在加有减振垫的隔振基础上，同时设备之间保持间距，避免噪声叠加影响</w:t>
            </w:r>
            <w:r>
              <w:rPr>
                <w:rFonts w:hint="eastAsia" w:cs="Times New Roman"/>
                <w:color w:val="000000" w:themeColor="text1"/>
                <w:kern w:val="0"/>
                <w:sz w:val="24"/>
                <w:szCs w:val="20"/>
                <w:lang w:eastAsia="zh-CN"/>
                <w14:textFill>
                  <w14:solidFill>
                    <w14:schemeClr w14:val="tx1"/>
                  </w14:solidFill>
                </w14:textFill>
              </w:rPr>
              <w:t>；</w:t>
            </w:r>
          </w:p>
          <w:p w14:paraId="618E6878">
            <w:pPr>
              <w:pageBreakBefore w:val="0"/>
              <w:kinsoku/>
              <w:wordWrap/>
              <w:topLinePunct w:val="0"/>
              <w:bidi w:val="0"/>
              <w:spacing w:line="360" w:lineRule="auto"/>
              <w:ind w:firstLine="480" w:firstLineChars="200"/>
              <w:rPr>
                <w:rFonts w:ascii="Times New Roman" w:hAnsi="Times New Roman" w:eastAsia="宋体" w:cs="Times New Roman"/>
                <w:color w:val="000000" w:themeColor="text1"/>
                <w:kern w:val="0"/>
                <w:sz w:val="24"/>
                <w:szCs w:val="20"/>
                <w14:textFill>
                  <w14:solidFill>
                    <w14:schemeClr w14:val="tx1"/>
                  </w14:solidFill>
                </w14:textFill>
              </w:rPr>
            </w:pPr>
            <w:r>
              <w:rPr>
                <w:rFonts w:hint="eastAsia" w:cs="Times New Roman"/>
                <w:color w:val="000000" w:themeColor="text1"/>
                <w:kern w:val="0"/>
                <w:sz w:val="24"/>
                <w:szCs w:val="20"/>
                <w:lang w:eastAsia="zh-CN"/>
                <w14:textFill>
                  <w14:solidFill>
                    <w14:schemeClr w14:val="tx1"/>
                  </w14:solidFill>
                </w14:textFill>
              </w:rPr>
              <w:t>（</w:t>
            </w:r>
            <w:r>
              <w:rPr>
                <w:rFonts w:hint="eastAsia" w:cs="Times New Roman"/>
                <w:color w:val="000000" w:themeColor="text1"/>
                <w:kern w:val="0"/>
                <w:sz w:val="24"/>
                <w:szCs w:val="20"/>
                <w:lang w:val="en-US" w:eastAsia="zh-CN"/>
                <w14:textFill>
                  <w14:solidFill>
                    <w14:schemeClr w14:val="tx1"/>
                  </w14:solidFill>
                </w14:textFill>
              </w:rPr>
              <w:t>4</w:t>
            </w:r>
            <w:r>
              <w:rPr>
                <w:rFonts w:hint="eastAsia" w:cs="Times New Roman"/>
                <w:color w:val="000000" w:themeColor="text1"/>
                <w:kern w:val="0"/>
                <w:sz w:val="24"/>
                <w:szCs w:val="20"/>
                <w:lang w:eastAsia="zh-CN"/>
                <w14:textFill>
                  <w14:solidFill>
                    <w14:schemeClr w14:val="tx1"/>
                  </w14:solidFill>
                </w14:textFill>
              </w:rPr>
              <w:t>）加强设备维护</w:t>
            </w:r>
            <w:r>
              <w:rPr>
                <w:rFonts w:hint="eastAsia" w:ascii="Times New Roman" w:hAnsi="Times New Roman" w:eastAsia="宋体" w:cs="Times New Roman"/>
                <w:color w:val="000000" w:themeColor="text1"/>
                <w:kern w:val="0"/>
                <w:sz w:val="24"/>
                <w:szCs w:val="20"/>
                <w14:textFill>
                  <w14:solidFill>
                    <w14:schemeClr w14:val="tx1"/>
                  </w14:solidFill>
                </w14:textFill>
              </w:rPr>
              <w:t>。</w:t>
            </w:r>
          </w:p>
          <w:p w14:paraId="72BF53C1">
            <w:pPr>
              <w:pageBreakBefore w:val="0"/>
              <w:kinsoku/>
              <w:wordWrap/>
              <w:topLinePunct w:val="0"/>
              <w:bidi w:val="0"/>
              <w:spacing w:line="360" w:lineRule="auto"/>
              <w:ind w:firstLine="480" w:firstLineChars="200"/>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根据预测结果，项目采取的噪声防治措施可行，后期运营后项目应加强设备维护，避免设备带病运行造成高噪声排放。</w:t>
            </w:r>
          </w:p>
          <w:p w14:paraId="79EDFC87">
            <w:pPr>
              <w:pageBreakBefore w:val="0"/>
              <w:kinsoku/>
              <w:wordWrap/>
              <w:topLinePunct w:val="0"/>
              <w:bidi w:val="0"/>
              <w:spacing w:line="360" w:lineRule="auto"/>
              <w:ind w:firstLine="482" w:firstLineChars="200"/>
              <w:rPr>
                <w:rFonts w:ascii="Times New Roman" w:hAnsi="Times New Roman" w:eastAsia="宋体" w:cs="Times New Roman"/>
                <w:b/>
                <w:bCs/>
                <w:color w:val="000000" w:themeColor="text1"/>
                <w:kern w:val="0"/>
                <w:sz w:val="24"/>
                <w:szCs w:val="20"/>
                <w14:textFill>
                  <w14:solidFill>
                    <w14:schemeClr w14:val="tx1"/>
                  </w14:solidFill>
                </w14:textFill>
              </w:rPr>
            </w:pPr>
            <w:r>
              <w:rPr>
                <w:rFonts w:hint="eastAsia" w:ascii="Times New Roman" w:hAnsi="Times New Roman" w:eastAsia="宋体" w:cs="Times New Roman"/>
                <w:b/>
                <w:bCs/>
                <w:color w:val="000000" w:themeColor="text1"/>
                <w:kern w:val="0"/>
                <w:sz w:val="24"/>
                <w:szCs w:val="20"/>
                <w:lang w:val="en-US" w:eastAsia="zh-CN"/>
                <w14:textFill>
                  <w14:solidFill>
                    <w14:schemeClr w14:val="tx1"/>
                  </w14:solidFill>
                </w14:textFill>
              </w:rPr>
              <w:t>4、</w:t>
            </w:r>
            <w:r>
              <w:rPr>
                <w:rFonts w:ascii="Times New Roman" w:hAnsi="Times New Roman" w:eastAsia="宋体" w:cs="Times New Roman"/>
                <w:b/>
                <w:bCs/>
                <w:color w:val="000000" w:themeColor="text1"/>
                <w:kern w:val="0"/>
                <w:sz w:val="24"/>
                <w:szCs w:val="20"/>
                <w14:textFill>
                  <w14:solidFill>
                    <w14:schemeClr w14:val="tx1"/>
                  </w14:solidFill>
                </w14:textFill>
              </w:rPr>
              <w:t>噪声环境影响分析</w:t>
            </w:r>
          </w:p>
          <w:p w14:paraId="135966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ascii="Times New Roman" w:hAnsi="Times New Roman" w:eastAsia="宋体" w:cs="Times New Roman"/>
                <w:color w:val="000000" w:themeColor="text1"/>
                <w:kern w:val="0"/>
                <w:sz w:val="24"/>
                <w:szCs w:val="20"/>
                <w14:textFill>
                  <w14:solidFill>
                    <w14:schemeClr w14:val="tx1"/>
                  </w14:solidFill>
                </w14:textFill>
              </w:rPr>
              <w:t>项目</w:t>
            </w:r>
            <w:r>
              <w:rPr>
                <w:rFonts w:hint="eastAsia" w:cs="Times New Roman"/>
                <w:color w:val="000000" w:themeColor="text1"/>
                <w:kern w:val="0"/>
                <w:sz w:val="24"/>
                <w:szCs w:val="20"/>
                <w:lang w:val="en-US" w:eastAsia="zh-CN"/>
                <w14:textFill>
                  <w14:solidFill>
                    <w14:schemeClr w14:val="tx1"/>
                  </w14:solidFill>
                </w14:textFill>
              </w:rPr>
              <w:t>已</w:t>
            </w:r>
            <w:r>
              <w:rPr>
                <w:rFonts w:ascii="Times New Roman" w:hAnsi="Times New Roman" w:eastAsia="宋体" w:cs="Times New Roman"/>
                <w:color w:val="000000" w:themeColor="text1"/>
                <w:kern w:val="0"/>
                <w:sz w:val="24"/>
                <w:szCs w:val="20"/>
                <w14:textFill>
                  <w14:solidFill>
                    <w14:schemeClr w14:val="tx1"/>
                  </w14:solidFill>
                </w14:textFill>
              </w:rPr>
              <w:t>采取的噪声防治措施主要是</w:t>
            </w:r>
            <w:r>
              <w:rPr>
                <w:rFonts w:hint="eastAsia" w:cs="Times New Roman"/>
                <w:color w:val="000000" w:themeColor="text1"/>
                <w:kern w:val="0"/>
                <w:sz w:val="24"/>
                <w:szCs w:val="20"/>
                <w:lang w:eastAsia="zh-CN"/>
                <w14:textFill>
                  <w14:solidFill>
                    <w14:schemeClr w14:val="tx1"/>
                  </w14:solidFill>
                </w14:textFill>
              </w:rPr>
              <w:t>声源</w:t>
            </w:r>
            <w:r>
              <w:rPr>
                <w:rFonts w:ascii="Times New Roman" w:hAnsi="Times New Roman" w:eastAsia="宋体" w:cs="Times New Roman"/>
                <w:color w:val="000000" w:themeColor="text1"/>
                <w:kern w:val="0"/>
                <w:sz w:val="24"/>
                <w:szCs w:val="20"/>
                <w14:textFill>
                  <w14:solidFill>
                    <w14:schemeClr w14:val="tx1"/>
                  </w14:solidFill>
                </w14:textFill>
              </w:rPr>
              <w:t>控制措施及噪声隔声措施，在采取了本次评价提出噪声防治措施后，项目厂界噪声排放可满足《工业企业厂界环境噪声排放标准》（GB12348-2008）中</w:t>
            </w:r>
            <w:r>
              <w:rPr>
                <w:rFonts w:hint="eastAsia" w:cs="Times New Roman"/>
                <w:color w:val="000000" w:themeColor="text1"/>
                <w:kern w:val="0"/>
                <w:sz w:val="24"/>
                <w:szCs w:val="20"/>
                <w:lang w:val="en-US" w:eastAsia="zh-CN"/>
                <w14:textFill>
                  <w14:solidFill>
                    <w14:schemeClr w14:val="tx1"/>
                  </w14:solidFill>
                </w14:textFill>
              </w:rPr>
              <w:t>2</w:t>
            </w:r>
            <w:r>
              <w:rPr>
                <w:rFonts w:ascii="Times New Roman" w:hAnsi="Times New Roman" w:eastAsia="宋体" w:cs="Times New Roman"/>
                <w:color w:val="000000" w:themeColor="text1"/>
                <w:kern w:val="0"/>
                <w:sz w:val="24"/>
                <w:szCs w:val="20"/>
                <w14:textFill>
                  <w14:solidFill>
                    <w14:schemeClr w14:val="tx1"/>
                  </w14:solidFill>
                </w14:textFill>
              </w:rPr>
              <w:t>类标准要求</w:t>
            </w:r>
            <w:r>
              <w:rPr>
                <w:rFonts w:hint="eastAsia" w:cs="Times New Roman"/>
                <w:color w:val="000000" w:themeColor="text1"/>
                <w:kern w:val="0"/>
                <w:sz w:val="24"/>
                <w:szCs w:val="20"/>
                <w:lang w:eastAsia="zh-CN"/>
                <w14:textFill>
                  <w14:solidFill>
                    <w14:schemeClr w14:val="tx1"/>
                  </w14:solidFill>
                </w14:textFill>
              </w:rPr>
              <w:t>；</w:t>
            </w:r>
            <w:r>
              <w:rPr>
                <w:rFonts w:hint="default" w:ascii="Times New Roman" w:hAnsi="Times New Roman" w:eastAsia="宋体" w:cs="Times New Roman"/>
                <w:b w:val="0"/>
                <w:bCs w:val="0"/>
                <w:color w:val="FF0000"/>
                <w:spacing w:val="0"/>
                <w:sz w:val="24"/>
                <w:szCs w:val="24"/>
                <w:vertAlign w:val="baseline"/>
              </w:rPr>
              <w:t>厂区东南侧散户</w:t>
            </w:r>
            <w:r>
              <w:rPr>
                <w:rFonts w:hint="eastAsia" w:cs="Times New Roman"/>
                <w:b w:val="0"/>
                <w:bCs w:val="0"/>
                <w:color w:val="FF0000"/>
                <w:spacing w:val="0"/>
                <w:sz w:val="24"/>
                <w:szCs w:val="24"/>
                <w:vertAlign w:val="baseline"/>
                <w:lang w:eastAsia="zh-CN"/>
              </w:rPr>
              <w:t>（</w:t>
            </w:r>
            <w:r>
              <w:rPr>
                <w:rFonts w:hint="eastAsia"/>
                <w:color w:val="FF0000"/>
                <w:sz w:val="24"/>
                <w:szCs w:val="24"/>
                <w:lang w:val="en-US" w:eastAsia="zh-CN"/>
              </w:rPr>
              <w:t>珠街社区散户1</w:t>
            </w:r>
            <w:r>
              <w:rPr>
                <w:rFonts w:hint="eastAsia" w:cs="Times New Roman"/>
                <w:b w:val="0"/>
                <w:bCs w:val="0"/>
                <w:color w:val="FF0000"/>
                <w:spacing w:val="0"/>
                <w:sz w:val="24"/>
                <w:szCs w:val="24"/>
                <w:vertAlign w:val="baseline"/>
                <w:lang w:eastAsia="zh-CN"/>
              </w:rPr>
              <w:t>）</w:t>
            </w:r>
            <w:r>
              <w:rPr>
                <w:rFonts w:hint="eastAsia" w:cs="Times New Roman"/>
                <w:b w:val="0"/>
                <w:bCs w:val="0"/>
                <w:color w:val="FF0000"/>
                <w:spacing w:val="0"/>
                <w:sz w:val="24"/>
                <w:szCs w:val="24"/>
                <w:vertAlign w:val="baseline"/>
                <w:lang w:val="en-US" w:eastAsia="zh-CN"/>
              </w:rPr>
              <w:t>环境噪声满足</w:t>
            </w:r>
            <w:r>
              <w:rPr>
                <w:rFonts w:hint="default" w:ascii="Times New Roman" w:hAnsi="Times New Roman" w:eastAsia="宋体" w:cs="Times New Roman"/>
                <w:color w:val="FF0000"/>
                <w:sz w:val="24"/>
                <w:szCs w:val="24"/>
                <w:lang w:eastAsia="zh-CN"/>
              </w:rPr>
              <w:t>《声环境质量标准》（GB3096-2008）</w:t>
            </w:r>
            <w:r>
              <w:rPr>
                <w:rFonts w:hint="eastAsia"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lang w:eastAsia="zh-CN"/>
              </w:rPr>
              <w:t>类标准要求</w:t>
            </w:r>
            <w:r>
              <w:rPr>
                <w:rFonts w:hint="eastAsia" w:cs="Times New Roman"/>
                <w:color w:val="FF0000"/>
                <w:kern w:val="0"/>
                <w:sz w:val="24"/>
                <w:szCs w:val="24"/>
                <w:lang w:eastAsia="zh-CN"/>
              </w:rPr>
              <w:t>，</w:t>
            </w:r>
            <w:r>
              <w:rPr>
                <w:rFonts w:hint="eastAsia" w:cs="Times New Roman"/>
                <w:color w:val="000000" w:themeColor="text1"/>
                <w:kern w:val="0"/>
                <w:sz w:val="24"/>
                <w:szCs w:val="24"/>
                <w:lang w:val="en-US" w:eastAsia="zh-CN"/>
                <w14:textFill>
                  <w14:solidFill>
                    <w14:schemeClr w14:val="tx1"/>
                  </w14:solidFill>
                </w14:textFill>
              </w:rPr>
              <w:t>项目建设对周边声环境影响较小。</w:t>
            </w:r>
          </w:p>
          <w:p w14:paraId="1BF9AFA8">
            <w:pPr>
              <w:pageBreakBefore w:val="0"/>
              <w:kinsoku/>
              <w:wordWrap/>
              <w:topLinePunct w:val="0"/>
              <w:bidi w:val="0"/>
              <w:spacing w:line="360" w:lineRule="auto"/>
              <w:ind w:firstLine="480"/>
              <w:rPr>
                <w:rFonts w:hint="default" w:ascii="Times New Roman" w:hAnsi="Times New Roman" w:eastAsia="宋体" w:cs="Times New Roman"/>
                <w:b/>
                <w:color w:val="000000" w:themeColor="text1"/>
                <w:kern w:val="0"/>
                <w:sz w:val="24"/>
                <w:szCs w:val="20"/>
                <w14:textFill>
                  <w14:solidFill>
                    <w14:schemeClr w14:val="tx1"/>
                  </w14:solidFill>
                </w14:textFill>
              </w:rPr>
            </w:pPr>
            <w:r>
              <w:rPr>
                <w:rFonts w:hint="default" w:ascii="Times New Roman" w:hAnsi="Times New Roman" w:eastAsia="宋体" w:cs="Times New Roman"/>
                <w:b/>
                <w:color w:val="000000" w:themeColor="text1"/>
                <w:kern w:val="0"/>
                <w:sz w:val="24"/>
                <w:szCs w:val="20"/>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4"/>
                <w:szCs w:val="20"/>
                <w14:textFill>
                  <w14:solidFill>
                    <w14:schemeClr w14:val="tx1"/>
                  </w14:solidFill>
                </w14:textFill>
              </w:rPr>
              <w:t>监测计划</w:t>
            </w:r>
          </w:p>
          <w:p w14:paraId="4B04FE2D">
            <w:pPr>
              <w:pageBreakBefore w:val="0"/>
              <w:kinsoku/>
              <w:wordWrap/>
              <w:topLinePunct w:val="0"/>
              <w:bidi w:val="0"/>
              <w:adjustRightInd w:val="0"/>
              <w:snapToGrid w:val="0"/>
              <w:spacing w:line="360" w:lineRule="auto"/>
              <w:ind w:firstLine="480" w:firstLineChars="200"/>
              <w:rPr>
                <w:rFonts w:eastAsia="宋体"/>
                <w:color w:val="000000" w:themeColor="text1"/>
                <w:sz w:val="24"/>
                <w14:textFill>
                  <w14:solidFill>
                    <w14:schemeClr w14:val="tx1"/>
                  </w14:solidFill>
                </w14:textFill>
              </w:rPr>
            </w:pPr>
            <w:r>
              <w:rPr>
                <w:rFonts w:hint="eastAsia" w:ascii="Times New Roman" w:eastAsia="宋体"/>
                <w:color w:val="000000" w:themeColor="text1"/>
                <w:sz w:val="24"/>
                <w:lang w:val="en-US" w:eastAsia="zh-CN"/>
                <w14:textFill>
                  <w14:solidFill>
                    <w14:schemeClr w14:val="tx1"/>
                  </w14:solidFill>
                </w14:textFill>
              </w:rPr>
              <w:t>项目噪声自行监测计划参照</w:t>
            </w:r>
            <w:r>
              <w:rPr>
                <w:rFonts w:hint="default" w:ascii="Times New Roman" w:hAnsi="Times New Roman" w:cs="Times New Roman"/>
                <w:color w:val="000000" w:themeColor="text1"/>
                <w:sz w:val="24"/>
                <w:szCs w:val="24"/>
                <w:highlight w:val="none"/>
                <w14:textFill>
                  <w14:solidFill>
                    <w14:schemeClr w14:val="tx1"/>
                  </w14:solidFill>
                </w14:textFill>
              </w:rPr>
              <w:t>《排污单位自行监测技术指南 总则》（HJ819-2017）</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《排污许可证申请与核发技术规范</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总则》（HJ942-2018）</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eastAsia="宋体"/>
                <w:color w:val="000000" w:themeColor="text1"/>
                <w:sz w:val="24"/>
                <w:lang w:val="en-US" w:eastAsia="zh-CN"/>
                <w14:textFill>
                  <w14:solidFill>
                    <w14:schemeClr w14:val="tx1"/>
                  </w14:solidFill>
                </w14:textFill>
              </w:rPr>
              <w:t>《</w:t>
            </w:r>
            <w:r>
              <w:rPr>
                <w:rFonts w:hint="eastAsia" w:eastAsia="宋体"/>
                <w:color w:val="000000" w:themeColor="text1"/>
                <w:sz w:val="24"/>
                <w14:textFill>
                  <w14:solidFill>
                    <w14:schemeClr w14:val="tx1"/>
                  </w14:solidFill>
                </w14:textFill>
              </w:rPr>
              <w:t>排污许可证申请与核发技术规范 工业噪声》（HJ1301-2023）</w:t>
            </w:r>
            <w:r>
              <w:rPr>
                <w:rFonts w:hint="eastAsia" w:ascii="Times New Roman" w:eastAsia="宋体"/>
                <w:color w:val="000000" w:themeColor="text1"/>
                <w:sz w:val="24"/>
                <w:lang w:val="en-US" w:eastAsia="zh-CN"/>
                <w14:textFill>
                  <w14:solidFill>
                    <w14:schemeClr w14:val="tx1"/>
                  </w14:solidFill>
                </w14:textFill>
              </w:rPr>
              <w:t>制定，</w:t>
            </w:r>
            <w:r>
              <w:rPr>
                <w:rFonts w:eastAsia="宋体"/>
                <w:color w:val="000000" w:themeColor="text1"/>
                <w:sz w:val="24"/>
                <w14:textFill>
                  <w14:solidFill>
                    <w14:schemeClr w14:val="tx1"/>
                  </w14:solidFill>
                </w14:textFill>
              </w:rPr>
              <w:t>运营期</w:t>
            </w:r>
            <w:r>
              <w:rPr>
                <w:rFonts w:hint="eastAsia" w:ascii="Times New Roman" w:eastAsia="宋体"/>
                <w:color w:val="000000" w:themeColor="text1"/>
                <w:sz w:val="24"/>
                <w:lang w:val="en-US" w:eastAsia="zh-CN"/>
                <w14:textFill>
                  <w14:solidFill>
                    <w14:schemeClr w14:val="tx1"/>
                  </w14:solidFill>
                </w14:textFill>
              </w:rPr>
              <w:t>噪声监测计划</w:t>
            </w:r>
            <w:r>
              <w:rPr>
                <w:rFonts w:eastAsia="宋体"/>
                <w:color w:val="000000" w:themeColor="text1"/>
                <w:sz w:val="24"/>
                <w14:textFill>
                  <w14:solidFill>
                    <w14:schemeClr w14:val="tx1"/>
                  </w14:solidFill>
                </w14:textFill>
              </w:rPr>
              <w:t>见表</w:t>
            </w:r>
            <w:r>
              <w:rPr>
                <w:rFonts w:hint="eastAsia" w:eastAsia="宋体"/>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.2</w:t>
            </w:r>
            <w:r>
              <w:rPr>
                <w:rFonts w:hint="eastAsia" w:eastAsia="宋体"/>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0所示</w:t>
            </w:r>
            <w:r>
              <w:rPr>
                <w:rFonts w:eastAsia="宋体"/>
                <w:color w:val="000000" w:themeColor="text1"/>
                <w:sz w:val="24"/>
                <w14:textFill>
                  <w14:solidFill>
                    <w14:schemeClr w14:val="tx1"/>
                  </w14:solidFill>
                </w14:textFill>
              </w:rPr>
              <w:t>。</w:t>
            </w:r>
          </w:p>
          <w:p w14:paraId="0552C692">
            <w:pPr>
              <w:pageBreakBefore w:val="0"/>
              <w:kinsoku/>
              <w:wordWrap/>
              <w:topLinePunct w:val="0"/>
              <w:bidi w:val="0"/>
              <w:adjustRightInd w:val="0"/>
              <w:snapToGrid w:val="0"/>
              <w:jc w:val="center"/>
              <w:rPr>
                <w:rFonts w:hint="default" w:ascii="Times New Roman" w:hAnsi="Times New Roman" w:eastAsia="宋体" w:cs="Times New Roman"/>
                <w:b/>
                <w:bCs w:val="0"/>
                <w:color w:val="000000" w:themeColor="text1"/>
                <w:szCs w:val="21"/>
                <w:u w:val="none"/>
                <w14:textFill>
                  <w14:solidFill>
                    <w14:schemeClr w14:val="tx1"/>
                  </w14:solidFill>
                </w14:textFill>
              </w:rPr>
            </w:pPr>
            <w:r>
              <w:rPr>
                <w:rFonts w:hint="default" w:ascii="Times New Roman" w:hAnsi="Times New Roman" w:eastAsia="宋体" w:cs="Times New Roman"/>
                <w:b/>
                <w:bCs w:val="0"/>
                <w:color w:val="000000" w:themeColor="text1"/>
                <w:szCs w:val="21"/>
                <w:u w:val="none"/>
                <w14:textFill>
                  <w14:solidFill>
                    <w14:schemeClr w14:val="tx1"/>
                  </w14:solidFill>
                </w14:textFill>
              </w:rPr>
              <w:t>4</w:t>
            </w:r>
            <w:r>
              <w:rPr>
                <w:rFonts w:hint="eastAsia" w:ascii="Times New Roman" w:hAnsi="Times New Roman" w:eastAsia="宋体" w:cs="Times New Roman"/>
                <w:b/>
                <w:bCs w:val="0"/>
                <w:color w:val="000000" w:themeColor="text1"/>
                <w:szCs w:val="21"/>
                <w:u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zCs w:val="21"/>
                <w:u w:val="none"/>
                <w14:textFill>
                  <w14:solidFill>
                    <w14:schemeClr w14:val="tx1"/>
                  </w14:solidFill>
                </w14:textFill>
              </w:rPr>
              <w:t>-</w:t>
            </w:r>
            <w:r>
              <w:rPr>
                <w:rFonts w:hint="eastAsia" w:cs="Times New Roman"/>
                <w:b/>
                <w:bCs w:val="0"/>
                <w:color w:val="000000" w:themeColor="text1"/>
                <w:szCs w:val="21"/>
                <w:u w:val="none"/>
                <w:lang w:val="en-US" w:eastAsia="zh-CN"/>
                <w14:textFill>
                  <w14:solidFill>
                    <w14:schemeClr w14:val="tx1"/>
                  </w14:solidFill>
                </w14:textFill>
              </w:rPr>
              <w:t>10</w:t>
            </w:r>
            <w:r>
              <w:rPr>
                <w:rFonts w:hint="default" w:ascii="Times New Roman" w:hAnsi="Times New Roman" w:eastAsia="宋体" w:cs="Times New Roman"/>
                <w:b/>
                <w:bCs w:val="0"/>
                <w:color w:val="000000" w:themeColor="text1"/>
                <w:szCs w:val="21"/>
                <w:u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Cs w:val="21"/>
                <w:u w:val="none"/>
                <w14:textFill>
                  <w14:solidFill>
                    <w14:schemeClr w14:val="tx1"/>
                  </w14:solidFill>
                </w14:textFill>
              </w:rPr>
              <w:t>噪声监测计划表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685"/>
              <w:gridCol w:w="2289"/>
              <w:gridCol w:w="1585"/>
              <w:gridCol w:w="1983"/>
            </w:tblGrid>
            <w:tr w14:paraId="1AB4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pct"/>
                  <w:vMerge w:val="restart"/>
                  <w:noWrap w:val="0"/>
                  <w:vAlign w:val="center"/>
                </w:tcPr>
                <w:p w14:paraId="67BDF9C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监测因子</w:t>
                  </w:r>
                </w:p>
              </w:tc>
              <w:tc>
                <w:tcPr>
                  <w:tcW w:w="1012" w:type="pct"/>
                  <w:vMerge w:val="restart"/>
                  <w:noWrap w:val="0"/>
                  <w:vAlign w:val="center"/>
                </w:tcPr>
                <w:p w14:paraId="1E17D36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监测点位</w:t>
                  </w:r>
                </w:p>
              </w:tc>
              <w:tc>
                <w:tcPr>
                  <w:tcW w:w="1375" w:type="pct"/>
                  <w:vMerge w:val="restart"/>
                  <w:noWrap w:val="0"/>
                  <w:vAlign w:val="center"/>
                </w:tcPr>
                <w:p w14:paraId="0FB14D6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监测频率</w:t>
                  </w:r>
                </w:p>
              </w:tc>
              <w:tc>
                <w:tcPr>
                  <w:tcW w:w="2143" w:type="pct"/>
                  <w:gridSpan w:val="2"/>
                  <w:noWrap w:val="0"/>
                  <w:vAlign w:val="center"/>
                </w:tcPr>
                <w:p w14:paraId="4AE3186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《工业企业厂界环境噪声排放标准》</w:t>
                  </w:r>
                </w:p>
              </w:tc>
            </w:tr>
            <w:tr w14:paraId="452A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68" w:type="pct"/>
                  <w:vMerge w:val="continue"/>
                  <w:noWrap w:val="0"/>
                  <w:vAlign w:val="center"/>
                </w:tcPr>
                <w:p w14:paraId="2F5405E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1012" w:type="pct"/>
                  <w:vMerge w:val="continue"/>
                  <w:noWrap w:val="0"/>
                  <w:vAlign w:val="center"/>
                </w:tcPr>
                <w:p w14:paraId="6BFDD50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1375" w:type="pct"/>
                  <w:vMerge w:val="continue"/>
                  <w:noWrap w:val="0"/>
                  <w:vAlign w:val="center"/>
                </w:tcPr>
                <w:p w14:paraId="78DE457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952" w:type="pct"/>
                  <w:noWrap w:val="0"/>
                  <w:vAlign w:val="center"/>
                </w:tcPr>
                <w:p w14:paraId="06B580F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执行标准</w:t>
                  </w:r>
                </w:p>
              </w:tc>
              <w:tc>
                <w:tcPr>
                  <w:tcW w:w="1190" w:type="pct"/>
                  <w:noWrap w:val="0"/>
                  <w:vAlign w:val="center"/>
                </w:tcPr>
                <w:p w14:paraId="0FF0A84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限值</w:t>
                  </w:r>
                </w:p>
              </w:tc>
            </w:tr>
            <w:tr w14:paraId="2914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pct"/>
                  <w:noWrap w:val="0"/>
                  <w:vAlign w:val="center"/>
                </w:tcPr>
                <w:p w14:paraId="07A404E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噪声</w:t>
                  </w:r>
                </w:p>
              </w:tc>
              <w:tc>
                <w:tcPr>
                  <w:tcW w:w="1012" w:type="pct"/>
                  <w:noWrap w:val="0"/>
                  <w:vAlign w:val="center"/>
                </w:tcPr>
                <w:p w14:paraId="0ED43C9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东侧、南侧、西侧、北侧厂界</w:t>
                  </w:r>
                </w:p>
              </w:tc>
              <w:tc>
                <w:tcPr>
                  <w:tcW w:w="1375" w:type="pct"/>
                  <w:noWrap w:val="0"/>
                  <w:vAlign w:val="center"/>
                </w:tcPr>
                <w:p w14:paraId="01633B1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u w:val="none"/>
                      <w14:textFill>
                        <w14:solidFill>
                          <w14:schemeClr w14:val="tx1"/>
                        </w14:solidFill>
                      </w14:textFill>
                    </w:rPr>
                    <w:t>1次</w:t>
                  </w:r>
                  <w:r>
                    <w:rPr>
                      <w:rFonts w:hint="eastAsia" w:ascii="Times New Roman" w:hAnsi="Times New Roman" w:eastAsia="宋体" w:cs="Times New Roman"/>
                      <w:b w:val="0"/>
                      <w:bCs w:val="0"/>
                      <w:color w:val="000000" w:themeColor="text1"/>
                      <w:kern w:val="0"/>
                      <w:szCs w:val="21"/>
                      <w:u w:val="none"/>
                      <w:lang w:val="en-US" w:eastAsia="zh-CN"/>
                      <w14:textFill>
                        <w14:solidFill>
                          <w14:schemeClr w14:val="tx1"/>
                        </w14:solidFill>
                      </w14:textFill>
                    </w:rPr>
                    <w:t>/</w:t>
                  </w:r>
                  <w:r>
                    <w:rPr>
                      <w:rFonts w:hint="eastAsia" w:cs="Times New Roman"/>
                      <w:b w:val="0"/>
                      <w:bCs w:val="0"/>
                      <w:color w:val="000000" w:themeColor="text1"/>
                      <w:kern w:val="0"/>
                      <w:szCs w:val="21"/>
                      <w:u w:val="none"/>
                      <w:lang w:val="en-US" w:eastAsia="zh-CN"/>
                      <w14:textFill>
                        <w14:solidFill>
                          <w14:schemeClr w14:val="tx1"/>
                        </w14:solidFill>
                      </w14:textFill>
                    </w:rPr>
                    <w:t>季度</w:t>
                  </w:r>
                  <w:r>
                    <w:rPr>
                      <w:rFonts w:hint="eastAsia" w:ascii="Times New Roman" w:hAnsi="Times New Roman" w:eastAsia="宋体" w:cs="Times New Roman"/>
                      <w:b w:val="0"/>
                      <w:bCs w:val="0"/>
                      <w:color w:val="000000" w:themeColor="text1"/>
                      <w:kern w:val="0"/>
                      <w:szCs w:val="21"/>
                      <w:u w:val="none"/>
                      <w14:textFill>
                        <w14:solidFill>
                          <w14:schemeClr w14:val="tx1"/>
                        </w14:solidFill>
                      </w14:textFill>
                    </w:rPr>
                    <w:t>，</w:t>
                  </w:r>
                  <w:r>
                    <w:rPr>
                      <w:rFonts w:ascii="Times New Roman" w:hAnsi="Times New Roman" w:eastAsia="宋体" w:cs="Times New Roman"/>
                      <w:b w:val="0"/>
                      <w:bCs w:val="0"/>
                      <w:color w:val="000000" w:themeColor="text1"/>
                      <w:kern w:val="0"/>
                      <w:szCs w:val="21"/>
                      <w:u w:val="none"/>
                      <w14:textFill>
                        <w14:solidFill>
                          <w14:schemeClr w14:val="tx1"/>
                        </w14:solidFill>
                      </w14:textFill>
                    </w:rPr>
                    <w:t>连续</w:t>
                  </w:r>
                  <w:r>
                    <w:rPr>
                      <w:rFonts w:hint="eastAsia" w:ascii="Times New Roman" w:hAnsi="Times New Roman" w:eastAsia="宋体" w:cs="Times New Roman"/>
                      <w:b w:val="0"/>
                      <w:bCs w:val="0"/>
                      <w:color w:val="000000" w:themeColor="text1"/>
                      <w:kern w:val="0"/>
                      <w:szCs w:val="21"/>
                      <w:u w:val="none"/>
                      <w14:textFill>
                        <w14:solidFill>
                          <w14:schemeClr w14:val="tx1"/>
                        </w14:solidFill>
                      </w14:textFill>
                    </w:rPr>
                    <w:t>2天，监测昼</w:t>
                  </w:r>
                  <w:r>
                    <w:rPr>
                      <w:rFonts w:hint="eastAsia" w:ascii="Times New Roman" w:hAnsi="Times New Roman" w:eastAsia="宋体" w:cs="Times New Roman"/>
                      <w:b w:val="0"/>
                      <w:bCs w:val="0"/>
                      <w:color w:val="000000" w:themeColor="text1"/>
                      <w:kern w:val="0"/>
                      <w:szCs w:val="21"/>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Cs w:val="21"/>
                      <w:u w:val="none"/>
                      <w:lang w:val="en-US" w:eastAsia="zh-CN"/>
                      <w14:textFill>
                        <w14:solidFill>
                          <w14:schemeClr w14:val="tx1"/>
                        </w14:solidFill>
                      </w14:textFill>
                    </w:rPr>
                    <w:t>夜</w:t>
                  </w:r>
                  <w:r>
                    <w:rPr>
                      <w:rFonts w:hint="eastAsia" w:ascii="Times New Roman" w:hAnsi="Times New Roman" w:eastAsia="宋体" w:cs="Times New Roman"/>
                      <w:b w:val="0"/>
                      <w:bCs w:val="0"/>
                      <w:color w:val="000000" w:themeColor="text1"/>
                      <w:kern w:val="0"/>
                      <w:szCs w:val="21"/>
                      <w:u w:val="none"/>
                      <w14:textFill>
                        <w14:solidFill>
                          <w14:schemeClr w14:val="tx1"/>
                        </w14:solidFill>
                      </w14:textFill>
                    </w:rPr>
                    <w:t>时段</w:t>
                  </w:r>
                </w:p>
              </w:tc>
              <w:tc>
                <w:tcPr>
                  <w:tcW w:w="952" w:type="pct"/>
                  <w:noWrap w:val="0"/>
                  <w:vAlign w:val="center"/>
                </w:tcPr>
                <w:p w14:paraId="75B0176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类标准</w:t>
                  </w:r>
                </w:p>
              </w:tc>
              <w:tc>
                <w:tcPr>
                  <w:tcW w:w="1190" w:type="pct"/>
                  <w:noWrap w:val="0"/>
                  <w:vAlign w:val="center"/>
                </w:tcPr>
                <w:p w14:paraId="19A40D23">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0" w:firstLineChars="0"/>
                    <w:jc w:val="center"/>
                    <w:textAlignment w:val="auto"/>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昼间≤6</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0</w:t>
                  </w:r>
                  <w:r>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dB（A）</w:t>
                  </w:r>
                </w:p>
                <w:p w14:paraId="60E750F0">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夜间</w:t>
                  </w:r>
                  <w:r>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0</w:t>
                  </w:r>
                  <w:r>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dB（A）</w:t>
                  </w:r>
                </w:p>
              </w:tc>
            </w:tr>
          </w:tbl>
          <w:p w14:paraId="2F3D9558">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cs="Times New Roman"/>
                <w:b/>
                <w:bCs/>
                <w:color w:val="000000" w:themeColor="text1"/>
                <w:sz w:val="24"/>
                <w:szCs w:val="24"/>
                <w14:textFill>
                  <w14:solidFill>
                    <w14:schemeClr w14:val="tx1"/>
                  </w14:solidFill>
                </w14:textFill>
              </w:rPr>
              <w:t>、小结</w:t>
            </w:r>
          </w:p>
          <w:p w14:paraId="5FC1201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综上，运营期在采取建筑隔声、基础减震等措施，项目产生噪声可以得到一定程度衰减，厂房厂界昼</w:t>
            </w:r>
            <w:r>
              <w:rPr>
                <w:rFonts w:hint="eastAsia" w:ascii="Times New Roman" w:hAnsi="Times New Roman" w:cs="Times New Roman"/>
                <w:color w:val="000000" w:themeColor="text1"/>
                <w:sz w:val="24"/>
                <w:szCs w:val="24"/>
                <w:lang w:val="en-US" w:eastAsia="zh-CN"/>
                <w14:textFill>
                  <w14:solidFill>
                    <w14:schemeClr w14:val="tx1"/>
                  </w14:solidFill>
                </w14:textFill>
              </w:rPr>
              <w:t>间</w:t>
            </w:r>
            <w:r>
              <w:rPr>
                <w:rFonts w:hint="default" w:ascii="Times New Roman" w:hAnsi="Times New Roman" w:cs="Times New Roman"/>
                <w:color w:val="000000" w:themeColor="text1"/>
                <w:sz w:val="24"/>
                <w:szCs w:val="24"/>
                <w14:textFill>
                  <w14:solidFill>
                    <w14:schemeClr w14:val="tx1"/>
                  </w14:solidFill>
                </w14:textFill>
              </w:rPr>
              <w:t>噪声</w:t>
            </w:r>
            <w:r>
              <w:rPr>
                <w:rFonts w:hint="default" w:ascii="Times New Roman" w:hAnsi="Times New Roman" w:cs="Times New Roman"/>
                <w:color w:val="000000" w:themeColor="text1"/>
                <w:sz w:val="24"/>
                <w:szCs w:val="24"/>
                <w:lang w:val="en-US" w:eastAsia="zh-CN"/>
                <w14:textFill>
                  <w14:solidFill>
                    <w14:schemeClr w14:val="tx1"/>
                  </w14:solidFill>
                </w14:textFill>
              </w:rPr>
              <w:t>贡献值</w:t>
            </w:r>
            <w:r>
              <w:rPr>
                <w:rFonts w:hint="default" w:ascii="Times New Roman" w:hAnsi="Times New Roman" w:cs="Times New Roman"/>
                <w:color w:val="000000" w:themeColor="text1"/>
                <w:sz w:val="24"/>
                <w:szCs w:val="24"/>
                <w14:textFill>
                  <w14:solidFill>
                    <w14:schemeClr w14:val="tx1"/>
                  </w14:solidFill>
                </w14:textFill>
              </w:rPr>
              <w:t>能满足《工业企业厂界环境噪声排放标准》（GB12348-2008）中</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类标准，可以接受。</w:t>
            </w:r>
          </w:p>
          <w:p w14:paraId="50AFC0ED">
            <w:pPr>
              <w:keepNext/>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4.2.4运营期土壤及</w:t>
            </w:r>
            <w:r>
              <w:rPr>
                <w:rFonts w:hint="default" w:ascii="Times New Roman" w:hAnsi="Times New Roman" w:eastAsia="宋体" w:cs="Times New Roman"/>
                <w:b/>
                <w:color w:val="000000" w:themeColor="text1"/>
                <w:sz w:val="24"/>
                <w:lang w:val="en-US" w:eastAsia="zh-CN"/>
                <w14:textFill>
                  <w14:solidFill>
                    <w14:schemeClr w14:val="tx1"/>
                  </w14:solidFill>
                </w14:textFill>
              </w:rPr>
              <w:t>地下水</w:t>
            </w:r>
            <w:r>
              <w:rPr>
                <w:rFonts w:hint="eastAsia" w:ascii="Times New Roman" w:hAnsi="Times New Roman" w:eastAsia="宋体" w:cs="Times New Roman"/>
                <w:b/>
                <w:color w:val="000000" w:themeColor="text1"/>
                <w:sz w:val="24"/>
                <w:lang w:val="en-US" w:eastAsia="zh-CN"/>
                <w14:textFill>
                  <w14:solidFill>
                    <w14:schemeClr w14:val="tx1"/>
                  </w14:solidFill>
                </w14:textFill>
              </w:rPr>
              <w:t>环境影响及保护</w:t>
            </w:r>
            <w:r>
              <w:rPr>
                <w:rFonts w:hint="default" w:ascii="Times New Roman" w:hAnsi="Times New Roman" w:eastAsia="宋体" w:cs="Times New Roman"/>
                <w:b/>
                <w:color w:val="000000" w:themeColor="text1"/>
                <w:sz w:val="24"/>
                <w:lang w:val="en-US" w:eastAsia="zh-CN"/>
                <w14:textFill>
                  <w14:solidFill>
                    <w14:schemeClr w14:val="tx1"/>
                  </w14:solidFill>
                </w14:textFill>
              </w:rPr>
              <w:t>措施</w:t>
            </w:r>
          </w:p>
          <w:p w14:paraId="41B9740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污染途径</w:t>
            </w:r>
          </w:p>
          <w:p w14:paraId="792299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bookmarkStart w:id="26" w:name="_Hlk137328422"/>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本项目对地下水、土壤影响的途径主要为</w:t>
            </w:r>
            <w:r>
              <w:rPr>
                <w:rFonts w:hint="eastAsia" w:cs="Times New Roman"/>
                <w:color w:val="000000" w:themeColor="text1"/>
                <w:kern w:val="2"/>
                <w:sz w:val="24"/>
                <w:szCs w:val="24"/>
                <w:lang w:val="en-US" w:eastAsia="zh-CN" w:bidi="ar-SA"/>
                <w14:textFill>
                  <w14:solidFill>
                    <w14:schemeClr w14:val="tx1"/>
                  </w14:solidFill>
                </w14:textFill>
              </w:rPr>
              <w:t>各类危险废物贮存</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期间</w:t>
            </w:r>
            <w:r>
              <w:rPr>
                <w:rFonts w:hint="eastAsia" w:cs="Times New Roman"/>
                <w:color w:val="000000" w:themeColor="text1"/>
                <w:kern w:val="2"/>
                <w:sz w:val="24"/>
                <w:szCs w:val="24"/>
                <w:lang w:val="en-US" w:eastAsia="zh-CN" w:bidi="ar-SA"/>
                <w14:textFill>
                  <w14:solidFill>
                    <w14:schemeClr w14:val="tx1"/>
                  </w14:solidFill>
                </w14:textFill>
              </w:rPr>
              <w:t>发生泄漏、漫流</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，污染物</w:t>
            </w:r>
            <w:r>
              <w:rPr>
                <w:rFonts w:hint="eastAsia" w:cs="Times New Roman"/>
                <w:color w:val="000000" w:themeColor="text1"/>
                <w:kern w:val="2"/>
                <w:sz w:val="24"/>
                <w:szCs w:val="24"/>
                <w:lang w:val="en-US" w:eastAsia="zh-CN" w:bidi="ar-SA"/>
                <w14:textFill>
                  <w14:solidFill>
                    <w14:schemeClr w14:val="tx1"/>
                  </w14:solidFill>
                </w14:textFill>
              </w:rPr>
              <w:t>经入渗</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进入土壤，</w:t>
            </w:r>
            <w:r>
              <w:rPr>
                <w:rFonts w:hint="eastAsia" w:cs="Times New Roman"/>
                <w:color w:val="000000" w:themeColor="text1"/>
                <w:kern w:val="2"/>
                <w:sz w:val="24"/>
                <w:szCs w:val="24"/>
                <w:lang w:val="en-US" w:eastAsia="zh-CN" w:bidi="ar-SA"/>
                <w14:textFill>
                  <w14:solidFill>
                    <w14:schemeClr w14:val="tx1"/>
                  </w14:solidFill>
                </w14:textFill>
              </w:rPr>
              <w:t>并迁移至</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地下水含水层</w:t>
            </w:r>
            <w:r>
              <w:rPr>
                <w:rFonts w:hint="eastAsia" w:cs="Times New Roman"/>
                <w:color w:val="000000" w:themeColor="text1"/>
                <w:kern w:val="2"/>
                <w:sz w:val="24"/>
                <w:szCs w:val="24"/>
                <w:lang w:val="en-US" w:eastAsia="zh-CN" w:bidi="ar-SA"/>
                <w14:textFill>
                  <w14:solidFill>
                    <w14:schemeClr w14:val="tx1"/>
                  </w14:solidFill>
                </w14:textFill>
              </w:rPr>
              <w:t>对地下水造成污染。</w:t>
            </w:r>
          </w:p>
          <w:bookmarkEnd w:id="26"/>
          <w:p w14:paraId="6E9CAEC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地下水、土壤污染防治对策</w:t>
            </w:r>
          </w:p>
          <w:p w14:paraId="158508D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bookmarkStart w:id="27" w:name="_Hlk136597580"/>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源头控制</w:t>
            </w:r>
          </w:p>
          <w:p w14:paraId="3DAF52DD">
            <w:pPr>
              <w:spacing w:line="360" w:lineRule="auto"/>
              <w:ind w:firstLine="648" w:firstLineChars="270"/>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①盛装危险废物的包装材料选用合格品，且根据不同危险废物类别选取不同材料的包装物，确保危险废物与包装材料相容。</w:t>
            </w:r>
          </w:p>
          <w:p w14:paraId="282A093F">
            <w:pPr>
              <w:spacing w:line="360" w:lineRule="auto"/>
              <w:ind w:firstLine="648" w:firstLineChars="270"/>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②日常贮存期间应确保废物保持密闭，包装袋等盛装物应闭口包装。</w:t>
            </w:r>
          </w:p>
          <w:p w14:paraId="276ADA62">
            <w:pPr>
              <w:spacing w:line="360" w:lineRule="auto"/>
              <w:ind w:firstLine="648" w:firstLineChars="270"/>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③危险废物转移过程中应按要求进行搬运，禁止倾倒、野蛮装运等情况。</w:t>
            </w:r>
          </w:p>
          <w:p w14:paraId="7AE7DF18">
            <w:pPr>
              <w:spacing w:line="360" w:lineRule="auto"/>
              <w:ind w:firstLine="648" w:firstLineChars="270"/>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④</w:t>
            </w:r>
            <w:r>
              <w:rPr>
                <w:rFonts w:hint="eastAsia" w:ascii="Times New Roman" w:hAnsi="Times New Roman" w:eastAsia="宋体" w:cs="Times New Roman"/>
                <w:color w:val="000000" w:themeColor="text1"/>
                <w:kern w:val="0"/>
                <w:sz w:val="24"/>
                <w:szCs w:val="20"/>
                <w14:textFill>
                  <w14:solidFill>
                    <w14:schemeClr w14:val="tx1"/>
                  </w14:solidFill>
                </w14:textFill>
              </w:rPr>
              <w:t>选择优质</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材料建设贮存库区、储罐、管线</w:t>
            </w:r>
            <w:r>
              <w:rPr>
                <w:rFonts w:hint="eastAsia" w:ascii="Times New Roman" w:hAnsi="Times New Roman" w:eastAsia="宋体" w:cs="Times New Roman"/>
                <w:color w:val="000000" w:themeColor="text1"/>
                <w:kern w:val="0"/>
                <w:sz w:val="24"/>
                <w:szCs w:val="20"/>
                <w14:textFill>
                  <w14:solidFill>
                    <w14:schemeClr w14:val="tx1"/>
                  </w14:solidFill>
                </w14:textFill>
              </w:rPr>
              <w:t>，严格按设计要求进行</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安装</w:t>
            </w:r>
            <w:r>
              <w:rPr>
                <w:rFonts w:hint="eastAsia" w:ascii="Times New Roman" w:hAnsi="Times New Roman" w:eastAsia="宋体" w:cs="Times New Roman"/>
                <w:color w:val="000000" w:themeColor="text1"/>
                <w:kern w:val="0"/>
                <w:sz w:val="24"/>
                <w:szCs w:val="20"/>
                <w14:textFill>
                  <w14:solidFill>
                    <w14:schemeClr w14:val="tx1"/>
                  </w14:solidFill>
                </w14:textFill>
              </w:rPr>
              <w:t>。</w:t>
            </w:r>
          </w:p>
          <w:p w14:paraId="70325DDD">
            <w:pPr>
              <w:spacing w:line="360" w:lineRule="auto"/>
              <w:ind w:firstLine="648" w:firstLineChars="270"/>
              <w:rPr>
                <w:rFonts w:ascii="宋体" w:hAnsi="Times New Roman" w:eastAsia="宋体" w:cs="Times New Roman"/>
                <w:color w:val="000000" w:themeColor="text1"/>
                <w:kern w:val="0"/>
                <w:sz w:val="24"/>
                <w:szCs w:val="20"/>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⑤</w:t>
            </w:r>
            <w:r>
              <w:rPr>
                <w:rFonts w:hint="eastAsia" w:ascii="Times New Roman" w:hAnsi="Times New Roman" w:eastAsia="宋体" w:cs="Times New Roman"/>
                <w:color w:val="000000" w:themeColor="text1"/>
                <w:kern w:val="0"/>
                <w:sz w:val="24"/>
                <w:szCs w:val="20"/>
                <w14:textFill>
                  <w14:solidFill>
                    <w14:schemeClr w14:val="tx1"/>
                  </w14:solidFill>
                </w14:textFill>
              </w:rPr>
              <w:t>加强对</w:t>
            </w:r>
            <w:r>
              <w:rPr>
                <w:rFonts w:hint="eastAsia" w:cs="Times New Roman"/>
                <w:color w:val="000000" w:themeColor="text1"/>
                <w:kern w:val="0"/>
                <w:sz w:val="24"/>
                <w:szCs w:val="20"/>
                <w:lang w:val="en-US" w:eastAsia="zh-CN"/>
                <w14:textFill>
                  <w14:solidFill>
                    <w14:schemeClr w14:val="tx1"/>
                  </w14:solidFill>
                </w14:textFill>
              </w:rPr>
              <w:t>危险废物</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贮存的日常</w:t>
            </w:r>
            <w:r>
              <w:rPr>
                <w:rFonts w:hint="eastAsia" w:ascii="Times New Roman" w:hAnsi="Times New Roman" w:eastAsia="宋体" w:cs="Times New Roman"/>
                <w:color w:val="000000" w:themeColor="text1"/>
                <w:kern w:val="0"/>
                <w:sz w:val="24"/>
                <w:szCs w:val="20"/>
                <w14:textFill>
                  <w14:solidFill>
                    <w14:schemeClr w14:val="tx1"/>
                  </w14:solidFill>
                </w14:textFill>
              </w:rPr>
              <w:t>管理，建立</w:t>
            </w:r>
            <w:r>
              <w:rPr>
                <w:rFonts w:ascii="Times New Roman" w:hAnsi="Times New Roman" w:eastAsia="宋体" w:cs="Times New Roman"/>
                <w:color w:val="000000" w:themeColor="text1"/>
                <w:kern w:val="0"/>
                <w:sz w:val="24"/>
                <w:szCs w:val="20"/>
                <w14:textFill>
                  <w14:solidFill>
                    <w14:schemeClr w14:val="tx1"/>
                  </w14:solidFill>
                </w14:textFill>
              </w:rPr>
              <w:t>定期</w:t>
            </w:r>
            <w:r>
              <w:rPr>
                <w:rFonts w:hint="eastAsia" w:ascii="Times New Roman" w:hAnsi="Times New Roman" w:eastAsia="宋体" w:cs="Times New Roman"/>
                <w:color w:val="000000" w:themeColor="text1"/>
                <w:kern w:val="0"/>
                <w:sz w:val="24"/>
                <w:szCs w:val="20"/>
                <w14:textFill>
                  <w14:solidFill>
                    <w14:schemeClr w14:val="tx1"/>
                  </w14:solidFill>
                </w14:textFill>
              </w:rPr>
              <w:t>巡查</w:t>
            </w:r>
            <w:r>
              <w:rPr>
                <w:rFonts w:ascii="Times New Roman" w:hAnsi="Times New Roman" w:eastAsia="宋体" w:cs="Times New Roman"/>
                <w:color w:val="000000" w:themeColor="text1"/>
                <w:kern w:val="0"/>
                <w:sz w:val="24"/>
                <w:szCs w:val="20"/>
                <w14:textFill>
                  <w14:solidFill>
                    <w14:schemeClr w14:val="tx1"/>
                  </w14:solidFill>
                </w14:textFill>
              </w:rPr>
              <w:t>制度，做到早发现、早处理，以减少由于</w:t>
            </w:r>
            <w:r>
              <w:rPr>
                <w:rFonts w:hint="eastAsia" w:ascii="Times New Roman" w:hAnsi="Times New Roman" w:eastAsia="宋体" w:cs="Times New Roman"/>
                <w:color w:val="000000" w:themeColor="text1"/>
                <w:kern w:val="0"/>
                <w:sz w:val="24"/>
                <w:szCs w:val="20"/>
                <w14:textFill>
                  <w14:solidFill>
                    <w14:schemeClr w14:val="tx1"/>
                  </w14:solidFill>
                </w14:textFill>
              </w:rPr>
              <w:t>跑、冒、滴、漏</w:t>
            </w:r>
            <w:r>
              <w:rPr>
                <w:rFonts w:ascii="Times New Roman" w:hAnsi="Times New Roman" w:eastAsia="宋体" w:cs="Times New Roman"/>
                <w:color w:val="000000" w:themeColor="text1"/>
                <w:kern w:val="0"/>
                <w:sz w:val="24"/>
                <w:szCs w:val="20"/>
                <w14:textFill>
                  <w14:solidFill>
                    <w14:schemeClr w14:val="tx1"/>
                  </w14:solidFill>
                </w14:textFill>
              </w:rPr>
              <w:t>而可能造成地下水污染。</w:t>
            </w:r>
          </w:p>
          <w:p w14:paraId="20C0B3B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B050"/>
                <w:kern w:val="2"/>
                <w:sz w:val="24"/>
                <w:szCs w:val="24"/>
                <w:lang w:val="en-US" w:eastAsia="zh-CN" w:bidi="ar-SA"/>
              </w:rPr>
            </w:pPr>
            <w:r>
              <w:rPr>
                <w:rFonts w:hint="eastAsia" w:ascii="Times New Roman" w:hAnsi="Times New Roman" w:cs="Times New Roman"/>
                <w:b/>
                <w:bCs/>
                <w:color w:val="00B050"/>
                <w:kern w:val="2"/>
                <w:sz w:val="24"/>
                <w:szCs w:val="24"/>
                <w:lang w:val="en-US" w:eastAsia="zh-CN" w:bidi="ar-SA"/>
              </w:rPr>
              <w:t>（2）</w:t>
            </w:r>
            <w:r>
              <w:rPr>
                <w:rFonts w:hint="default" w:ascii="Times New Roman" w:hAnsi="Times New Roman" w:eastAsia="宋体" w:cs="Times New Roman"/>
                <w:b/>
                <w:bCs/>
                <w:color w:val="00B050"/>
                <w:kern w:val="2"/>
                <w:sz w:val="24"/>
                <w:szCs w:val="24"/>
                <w:lang w:val="en-US" w:eastAsia="zh-CN" w:bidi="ar-SA"/>
              </w:rPr>
              <w:t>分区防渗</w:t>
            </w:r>
          </w:p>
          <w:p w14:paraId="7775DB3E">
            <w:pPr>
              <w:spacing w:line="360" w:lineRule="auto"/>
              <w:ind w:firstLine="480" w:firstLineChars="200"/>
              <w:rPr>
                <w:rFonts w:hint="eastAsia"/>
                <w:color w:val="00B050"/>
                <w:kern w:val="0"/>
                <w:sz w:val="24"/>
                <w:szCs w:val="20"/>
                <w:lang w:val="en-US" w:eastAsia="zh-CN"/>
              </w:rPr>
            </w:pPr>
            <w:r>
              <w:rPr>
                <w:rFonts w:hint="eastAsia" w:ascii="Times New Roman" w:eastAsia="宋体"/>
                <w:color w:val="00B050"/>
                <w:kern w:val="0"/>
                <w:sz w:val="24"/>
                <w:szCs w:val="20"/>
              </w:rPr>
              <w:t>根据《环境影响评价技术导则 地下水环境》（HJ610-2016），</w:t>
            </w:r>
            <w:r>
              <w:rPr>
                <w:rFonts w:hint="eastAsia" w:eastAsia="宋体"/>
                <w:color w:val="00B050"/>
                <w:kern w:val="0"/>
                <w:sz w:val="24"/>
                <w:szCs w:val="20"/>
                <w:lang w:val="en-US" w:eastAsia="zh-CN"/>
              </w:rPr>
              <w:t>项目区</w:t>
            </w:r>
            <w:r>
              <w:rPr>
                <w:rFonts w:hint="eastAsia" w:ascii="Times New Roman" w:eastAsia="宋体"/>
                <w:color w:val="00B050"/>
                <w:kern w:val="0"/>
                <w:sz w:val="24"/>
                <w:szCs w:val="20"/>
              </w:rPr>
              <w:t>划分为重点防渗区和简单防渗区</w:t>
            </w:r>
            <w:r>
              <w:rPr>
                <w:rFonts w:hint="eastAsia"/>
                <w:color w:val="00B050"/>
                <w:kern w:val="0"/>
                <w:sz w:val="24"/>
                <w:szCs w:val="20"/>
                <w:lang w:eastAsia="zh-CN"/>
              </w:rPr>
              <w:t>。</w:t>
            </w:r>
            <w:r>
              <w:rPr>
                <w:rFonts w:hint="eastAsia"/>
                <w:color w:val="00B050"/>
                <w:kern w:val="0"/>
                <w:sz w:val="24"/>
                <w:szCs w:val="20"/>
                <w:lang w:val="en-US" w:eastAsia="zh-CN"/>
              </w:rPr>
              <w:t>重点防渗区为贮存库及消防事故池，防渗要求按照《危险废物贮存污染控制标准》（GB18597-2023）执行；简单防渗区为处重点防渗区以外的区域，采取普通地面硬化。</w:t>
            </w:r>
          </w:p>
          <w:p w14:paraId="2CE63DD1">
            <w:pPr>
              <w:spacing w:line="360" w:lineRule="auto"/>
              <w:ind w:firstLine="480" w:firstLineChars="200"/>
              <w:rPr>
                <w:rFonts w:ascii="Times New Roman" w:eastAsia="宋体"/>
                <w:color w:val="00B050"/>
                <w:kern w:val="0"/>
                <w:sz w:val="24"/>
                <w:szCs w:val="20"/>
              </w:rPr>
            </w:pPr>
            <w:r>
              <w:rPr>
                <w:rFonts w:hint="eastAsia" w:ascii="Times New Roman" w:eastAsia="宋体"/>
                <w:color w:val="00B050"/>
                <w:kern w:val="0"/>
                <w:sz w:val="24"/>
                <w:szCs w:val="20"/>
              </w:rPr>
              <w:t>本次环评建议的</w:t>
            </w:r>
            <w:r>
              <w:rPr>
                <w:rFonts w:hint="eastAsia"/>
                <w:color w:val="00B050"/>
                <w:kern w:val="0"/>
                <w:sz w:val="24"/>
                <w:szCs w:val="20"/>
                <w:lang w:val="en-US" w:eastAsia="zh-CN"/>
              </w:rPr>
              <w:t>分区</w:t>
            </w:r>
            <w:r>
              <w:rPr>
                <w:rFonts w:hint="eastAsia" w:ascii="Times New Roman" w:eastAsia="宋体"/>
                <w:color w:val="00B050"/>
                <w:kern w:val="0"/>
                <w:sz w:val="24"/>
                <w:szCs w:val="20"/>
              </w:rPr>
              <w:t>防渗方案见表</w:t>
            </w:r>
            <w:r>
              <w:rPr>
                <w:rFonts w:hint="eastAsia"/>
                <w:color w:val="00B050"/>
                <w:kern w:val="0"/>
                <w:sz w:val="24"/>
                <w:szCs w:val="20"/>
                <w:lang w:val="en-US" w:eastAsia="zh-CN"/>
              </w:rPr>
              <w:t>4.2-12</w:t>
            </w:r>
            <w:r>
              <w:rPr>
                <w:rFonts w:hint="eastAsia" w:ascii="Times New Roman" w:eastAsia="宋体"/>
                <w:color w:val="00B050"/>
                <w:kern w:val="0"/>
                <w:sz w:val="24"/>
                <w:szCs w:val="20"/>
              </w:rPr>
              <w:t>。</w:t>
            </w:r>
          </w:p>
          <w:p w14:paraId="730D9466">
            <w:pPr>
              <w:widowControl/>
              <w:jc w:val="center"/>
              <w:rPr>
                <w:rFonts w:hint="default" w:ascii="Times New Roman" w:hAnsi="Times New Roman" w:eastAsia="宋体" w:cs="Times New Roman"/>
                <w:b/>
                <w:bCs/>
                <w:color w:val="00B050"/>
                <w:sz w:val="21"/>
                <w:szCs w:val="16"/>
                <w:lang w:bidi="ar"/>
              </w:rPr>
            </w:pPr>
            <w:r>
              <w:rPr>
                <w:rFonts w:hint="default" w:ascii="Times New Roman" w:hAnsi="Times New Roman" w:eastAsia="宋体" w:cs="Times New Roman"/>
                <w:b/>
                <w:bCs/>
                <w:color w:val="00B050"/>
                <w:sz w:val="21"/>
                <w:szCs w:val="16"/>
                <w:lang w:bidi="ar"/>
              </w:rPr>
              <w:t>表</w:t>
            </w:r>
            <w:r>
              <w:rPr>
                <w:rFonts w:hint="default" w:ascii="Times New Roman" w:hAnsi="Times New Roman" w:eastAsia="宋体" w:cs="Times New Roman"/>
                <w:b/>
                <w:bCs/>
                <w:color w:val="00B050"/>
                <w:sz w:val="21"/>
                <w:szCs w:val="16"/>
                <w:lang w:val="en-US" w:eastAsia="zh-CN" w:bidi="ar"/>
              </w:rPr>
              <w:t>4.2-12</w:t>
            </w:r>
            <w:r>
              <w:rPr>
                <w:rFonts w:hint="default" w:ascii="Times New Roman" w:hAnsi="Times New Roman" w:eastAsia="宋体" w:cs="Times New Roman"/>
                <w:b/>
                <w:bCs/>
                <w:color w:val="00B050"/>
                <w:sz w:val="21"/>
                <w:szCs w:val="16"/>
                <w:lang w:bidi="ar"/>
              </w:rPr>
              <w:t xml:space="preserve">  分区防渗方案一览表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1128"/>
              <w:gridCol w:w="1391"/>
              <w:gridCol w:w="1050"/>
              <w:gridCol w:w="4754"/>
            </w:tblGrid>
            <w:tr w14:paraId="1966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jc w:val="center"/>
              </w:trPr>
              <w:tc>
                <w:tcPr>
                  <w:tcW w:w="1128" w:type="dxa"/>
                  <w:vAlign w:val="center"/>
                </w:tcPr>
                <w:p w14:paraId="411AD549">
                  <w:pPr>
                    <w:jc w:val="center"/>
                    <w:rPr>
                      <w:rFonts w:ascii="Times New Roman" w:eastAsiaTheme="majorEastAsia"/>
                      <w:b/>
                      <w:bCs/>
                      <w:color w:val="00B050"/>
                      <w:sz w:val="21"/>
                      <w:szCs w:val="21"/>
                    </w:rPr>
                  </w:pPr>
                  <w:r>
                    <w:rPr>
                      <w:rFonts w:ascii="Times New Roman" w:eastAsiaTheme="majorEastAsia"/>
                      <w:b/>
                      <w:bCs/>
                      <w:color w:val="00B050"/>
                      <w:sz w:val="21"/>
                      <w:szCs w:val="21"/>
                    </w:rPr>
                    <w:t>防渗分区</w:t>
                  </w:r>
                </w:p>
              </w:tc>
              <w:tc>
                <w:tcPr>
                  <w:tcW w:w="1391" w:type="dxa"/>
                  <w:vAlign w:val="center"/>
                </w:tcPr>
                <w:p w14:paraId="3489E8F3">
                  <w:pPr>
                    <w:jc w:val="center"/>
                    <w:rPr>
                      <w:rFonts w:ascii="Times New Roman" w:eastAsiaTheme="majorEastAsia"/>
                      <w:b/>
                      <w:bCs/>
                      <w:color w:val="00B050"/>
                      <w:sz w:val="21"/>
                      <w:szCs w:val="21"/>
                    </w:rPr>
                  </w:pPr>
                  <w:r>
                    <w:rPr>
                      <w:rFonts w:hint="eastAsia" w:ascii="Times New Roman" w:eastAsiaTheme="majorEastAsia"/>
                      <w:b/>
                      <w:bCs/>
                      <w:color w:val="00B050"/>
                      <w:sz w:val="21"/>
                      <w:szCs w:val="21"/>
                    </w:rPr>
                    <w:t>区域</w:t>
                  </w:r>
                </w:p>
              </w:tc>
              <w:tc>
                <w:tcPr>
                  <w:tcW w:w="1050" w:type="dxa"/>
                  <w:vAlign w:val="center"/>
                </w:tcPr>
                <w:p w14:paraId="7D58389D">
                  <w:pPr>
                    <w:widowControl/>
                    <w:jc w:val="center"/>
                    <w:textAlignment w:val="center"/>
                    <w:rPr>
                      <w:rFonts w:ascii="Times New Roman" w:eastAsiaTheme="majorEastAsia"/>
                      <w:b/>
                      <w:bCs/>
                      <w:color w:val="00B050"/>
                      <w:sz w:val="21"/>
                      <w:szCs w:val="21"/>
                    </w:rPr>
                  </w:pPr>
                  <w:r>
                    <w:rPr>
                      <w:rFonts w:ascii="Times New Roman" w:eastAsiaTheme="majorEastAsia"/>
                      <w:b/>
                      <w:bCs/>
                      <w:color w:val="00B050"/>
                      <w:sz w:val="21"/>
                      <w:szCs w:val="21"/>
                    </w:rPr>
                    <w:t>位置</w:t>
                  </w:r>
                </w:p>
              </w:tc>
              <w:tc>
                <w:tcPr>
                  <w:tcW w:w="4754" w:type="dxa"/>
                  <w:vAlign w:val="center"/>
                </w:tcPr>
                <w:p w14:paraId="09D16867">
                  <w:pPr>
                    <w:widowControl/>
                    <w:jc w:val="center"/>
                    <w:textAlignment w:val="center"/>
                    <w:rPr>
                      <w:rFonts w:ascii="Times New Roman" w:eastAsiaTheme="majorEastAsia"/>
                      <w:b/>
                      <w:bCs/>
                      <w:color w:val="00B050"/>
                      <w:sz w:val="21"/>
                      <w:szCs w:val="21"/>
                    </w:rPr>
                  </w:pPr>
                  <w:r>
                    <w:rPr>
                      <w:rFonts w:ascii="Times New Roman" w:eastAsiaTheme="majorEastAsia"/>
                      <w:b/>
                      <w:bCs/>
                      <w:color w:val="00B050"/>
                      <w:sz w:val="21"/>
                      <w:szCs w:val="21"/>
                    </w:rPr>
                    <w:t>防渗</w:t>
                  </w:r>
                  <w:r>
                    <w:rPr>
                      <w:rFonts w:hint="eastAsia" w:ascii="Times New Roman" w:eastAsiaTheme="majorEastAsia"/>
                      <w:b/>
                      <w:bCs/>
                      <w:color w:val="00B050"/>
                      <w:sz w:val="21"/>
                      <w:szCs w:val="21"/>
                    </w:rPr>
                    <w:t>方案</w:t>
                  </w:r>
                </w:p>
              </w:tc>
            </w:tr>
            <w:tr w14:paraId="404C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jc w:val="center"/>
              </w:trPr>
              <w:tc>
                <w:tcPr>
                  <w:tcW w:w="1128" w:type="dxa"/>
                  <w:vMerge w:val="restart"/>
                  <w:vAlign w:val="center"/>
                </w:tcPr>
                <w:p w14:paraId="3245A5A2">
                  <w:pPr>
                    <w:widowControl/>
                    <w:jc w:val="center"/>
                    <w:textAlignment w:val="center"/>
                    <w:rPr>
                      <w:rFonts w:ascii="Times New Roman" w:eastAsiaTheme="majorEastAsia"/>
                      <w:color w:val="00B050"/>
                      <w:sz w:val="21"/>
                      <w:szCs w:val="21"/>
                    </w:rPr>
                  </w:pPr>
                  <w:r>
                    <w:rPr>
                      <w:rFonts w:hint="eastAsia" w:ascii="Times New Roman" w:eastAsiaTheme="majorEastAsia"/>
                      <w:color w:val="00B050"/>
                      <w:sz w:val="21"/>
                      <w:szCs w:val="21"/>
                    </w:rPr>
                    <w:t>重点防渗区</w:t>
                  </w:r>
                </w:p>
              </w:tc>
              <w:tc>
                <w:tcPr>
                  <w:tcW w:w="1391" w:type="dxa"/>
                  <w:vMerge w:val="restart"/>
                  <w:vAlign w:val="center"/>
                </w:tcPr>
                <w:p w14:paraId="685C898B">
                  <w:pPr>
                    <w:widowControl/>
                    <w:jc w:val="center"/>
                    <w:textAlignment w:val="center"/>
                    <w:rPr>
                      <w:rFonts w:hint="default" w:ascii="Times New Roman" w:eastAsiaTheme="majorEastAsia"/>
                      <w:color w:val="00B050"/>
                      <w:sz w:val="21"/>
                      <w:szCs w:val="21"/>
                      <w:lang w:val="en-US" w:eastAsia="zh-CN"/>
                    </w:rPr>
                  </w:pPr>
                  <w:r>
                    <w:rPr>
                      <w:rFonts w:hint="eastAsia"/>
                      <w:color w:val="FF0000"/>
                      <w:szCs w:val="21"/>
                      <w:lang w:val="en-US" w:eastAsia="zh-CN"/>
                    </w:rPr>
                    <w:t>废矿物油罐区</w:t>
                  </w:r>
                  <w:r>
                    <w:rPr>
                      <w:rFonts w:hint="eastAsia" w:eastAsiaTheme="majorEastAsia"/>
                      <w:color w:val="FF0000"/>
                      <w:sz w:val="21"/>
                      <w:szCs w:val="21"/>
                      <w:lang w:val="en-US" w:eastAsia="zh-CN"/>
                    </w:rPr>
                    <w:t>、</w:t>
                  </w:r>
                  <w:r>
                    <w:rPr>
                      <w:rFonts w:hint="eastAsia"/>
                      <w:color w:val="FF0000"/>
                      <w:szCs w:val="21"/>
                      <w:lang w:val="en-US" w:eastAsia="zh-CN"/>
                    </w:rPr>
                    <w:t>废矿物油装卸区、</w:t>
                  </w:r>
                  <w:r>
                    <w:rPr>
                      <w:rFonts w:hint="eastAsia"/>
                      <w:color w:val="FF0000"/>
                      <w:szCs w:val="21"/>
                      <w:vertAlign w:val="baseline"/>
                      <w:lang w:val="en-US" w:eastAsia="zh-CN"/>
                    </w:rPr>
                    <w:t>废旧电池贮存区</w:t>
                  </w:r>
                  <w:r>
                    <w:rPr>
                      <w:rFonts w:hint="eastAsia" w:eastAsiaTheme="majorEastAsia"/>
                      <w:color w:val="FF0000"/>
                      <w:sz w:val="21"/>
                      <w:szCs w:val="21"/>
                      <w:lang w:val="en-US" w:eastAsia="zh-CN"/>
                    </w:rPr>
                    <w:t>（包括库内废液收集池）、</w:t>
                  </w:r>
                  <w:r>
                    <w:rPr>
                      <w:rFonts w:hint="eastAsia"/>
                      <w:color w:val="FF0000"/>
                      <w:szCs w:val="21"/>
                      <w:lang w:val="en-US" w:eastAsia="zh-CN"/>
                    </w:rPr>
                    <w:t>废旧电池装卸区、</w:t>
                  </w:r>
                  <w:r>
                    <w:rPr>
                      <w:rFonts w:hint="eastAsia" w:eastAsiaTheme="majorEastAsia"/>
                      <w:color w:val="FF0000"/>
                      <w:sz w:val="21"/>
                      <w:szCs w:val="21"/>
                      <w:lang w:val="en-US" w:eastAsia="zh-CN"/>
                    </w:rPr>
                    <w:t>消防事故池等</w:t>
                  </w:r>
                </w:p>
              </w:tc>
              <w:tc>
                <w:tcPr>
                  <w:tcW w:w="1050" w:type="dxa"/>
                  <w:vAlign w:val="center"/>
                </w:tcPr>
                <w:p w14:paraId="5A0D84C0">
                  <w:pPr>
                    <w:widowControl/>
                    <w:jc w:val="center"/>
                    <w:textAlignment w:val="center"/>
                    <w:rPr>
                      <w:rFonts w:hint="eastAsia" w:ascii="Times New Roman" w:eastAsiaTheme="majorEastAsia"/>
                      <w:color w:val="00B050"/>
                      <w:sz w:val="21"/>
                      <w:szCs w:val="21"/>
                      <w:lang w:eastAsia="zh-CN"/>
                    </w:rPr>
                  </w:pPr>
                  <w:r>
                    <w:rPr>
                      <w:rFonts w:ascii="Times New Roman" w:eastAsiaTheme="majorEastAsia"/>
                      <w:color w:val="00B050"/>
                      <w:sz w:val="21"/>
                      <w:szCs w:val="21"/>
                    </w:rPr>
                    <w:t>地面</w:t>
                  </w:r>
                  <w:r>
                    <w:rPr>
                      <w:rFonts w:hint="eastAsia" w:ascii="Times New Roman" w:eastAsiaTheme="majorEastAsia"/>
                      <w:color w:val="00B050"/>
                      <w:sz w:val="21"/>
                      <w:szCs w:val="21"/>
                      <w:lang w:eastAsia="zh-CN"/>
                    </w:rPr>
                    <w:t>（</w:t>
                  </w:r>
                  <w:r>
                    <w:rPr>
                      <w:rFonts w:hint="eastAsia" w:ascii="Times New Roman" w:eastAsiaTheme="majorEastAsia"/>
                      <w:color w:val="00B050"/>
                      <w:sz w:val="21"/>
                      <w:szCs w:val="21"/>
                      <w:lang w:val="en-US" w:eastAsia="zh-CN"/>
                    </w:rPr>
                    <w:t>池底</w:t>
                  </w:r>
                  <w:r>
                    <w:rPr>
                      <w:rFonts w:hint="eastAsia" w:ascii="Times New Roman" w:eastAsiaTheme="majorEastAsia"/>
                      <w:color w:val="00B050"/>
                      <w:sz w:val="21"/>
                      <w:szCs w:val="21"/>
                      <w:lang w:eastAsia="zh-CN"/>
                    </w:rPr>
                    <w:t>）</w:t>
                  </w:r>
                </w:p>
              </w:tc>
              <w:tc>
                <w:tcPr>
                  <w:tcW w:w="4754" w:type="dxa"/>
                  <w:vAlign w:val="center"/>
                </w:tcPr>
                <w:p w14:paraId="0B53BCA1">
                  <w:pPr>
                    <w:rPr>
                      <w:rFonts w:hint="default" w:ascii="Times New Roman" w:eastAsia="宋体"/>
                      <w:color w:val="00B050"/>
                      <w:sz w:val="21"/>
                      <w:szCs w:val="21"/>
                      <w:lang w:val="en-US" w:eastAsia="zh-CN"/>
                    </w:rPr>
                  </w:pPr>
                  <w:r>
                    <w:rPr>
                      <w:rFonts w:hint="eastAsia" w:ascii="Times New Roman"/>
                      <w:color w:val="00B050"/>
                      <w:sz w:val="21"/>
                      <w:szCs w:val="21"/>
                      <w:lang w:val="en-US" w:eastAsia="zh-CN"/>
                    </w:rPr>
                    <w:t>由上至下：</w:t>
                  </w:r>
                </w:p>
                <w:p w14:paraId="581AF277">
                  <w:pPr>
                    <w:rPr>
                      <w:rFonts w:ascii="Times New Roman"/>
                      <w:color w:val="00B050"/>
                      <w:sz w:val="21"/>
                      <w:szCs w:val="21"/>
                    </w:rPr>
                  </w:pPr>
                  <w:r>
                    <w:rPr>
                      <w:rFonts w:hint="eastAsia" w:ascii="Times New Roman"/>
                      <w:color w:val="00B050"/>
                      <w:sz w:val="21"/>
                      <w:szCs w:val="21"/>
                    </w:rPr>
                    <w:t>①</w:t>
                  </w:r>
                  <w:r>
                    <w:rPr>
                      <w:rFonts w:hint="eastAsia" w:ascii="Times New Roman"/>
                      <w:color w:val="00B050"/>
                      <w:sz w:val="21"/>
                      <w:szCs w:val="21"/>
                      <w:lang w:val="en-US" w:eastAsia="zh-CN"/>
                    </w:rPr>
                    <w:t>2mm厚</w:t>
                  </w:r>
                  <w:r>
                    <w:rPr>
                      <w:rFonts w:ascii="Times New Roman"/>
                      <w:color w:val="00B050"/>
                      <w:sz w:val="21"/>
                      <w:szCs w:val="21"/>
                    </w:rPr>
                    <w:t>环氧树脂地坪漆；</w:t>
                  </w:r>
                </w:p>
                <w:p w14:paraId="7381519A">
                  <w:pPr>
                    <w:rPr>
                      <w:rFonts w:ascii="Times New Roman"/>
                      <w:color w:val="00B050"/>
                      <w:sz w:val="21"/>
                      <w:szCs w:val="21"/>
                    </w:rPr>
                  </w:pPr>
                  <w:r>
                    <w:rPr>
                      <w:rFonts w:hint="eastAsia" w:ascii="Times New Roman"/>
                      <w:color w:val="00B050"/>
                      <w:sz w:val="21"/>
                      <w:szCs w:val="21"/>
                    </w:rPr>
                    <w:t>②</w:t>
                  </w:r>
                  <w:r>
                    <w:rPr>
                      <w:rFonts w:hint="eastAsia" w:ascii="Times New Roman"/>
                      <w:color w:val="00B050"/>
                      <w:sz w:val="21"/>
                      <w:szCs w:val="21"/>
                      <w:lang w:val="en-US" w:eastAsia="zh-CN"/>
                    </w:rPr>
                    <w:t>10</w:t>
                  </w:r>
                  <w:r>
                    <w:rPr>
                      <w:rFonts w:ascii="Times New Roman"/>
                      <w:color w:val="00B050"/>
                      <w:sz w:val="21"/>
                      <w:szCs w:val="21"/>
                    </w:rPr>
                    <w:t>mm厚细石混凝土保护层；</w:t>
                  </w:r>
                </w:p>
                <w:p w14:paraId="4C669FAB">
                  <w:pPr>
                    <w:rPr>
                      <w:rFonts w:ascii="Times New Roman"/>
                      <w:color w:val="00B050"/>
                      <w:sz w:val="21"/>
                      <w:szCs w:val="21"/>
                    </w:rPr>
                  </w:pPr>
                  <w:r>
                    <w:rPr>
                      <w:rFonts w:hint="eastAsia" w:ascii="Times New Roman"/>
                      <w:color w:val="00B050"/>
                      <w:sz w:val="21"/>
                      <w:szCs w:val="21"/>
                    </w:rPr>
                    <w:t>③</w:t>
                  </w:r>
                  <w:r>
                    <w:rPr>
                      <w:rFonts w:hint="eastAsia" w:ascii="Times New Roman"/>
                      <w:color w:val="00B050"/>
                      <w:sz w:val="21"/>
                      <w:szCs w:val="21"/>
                      <w:lang w:val="en-US" w:eastAsia="zh-CN"/>
                    </w:rPr>
                    <w:t>200m</w:t>
                  </w:r>
                  <w:r>
                    <w:rPr>
                      <w:rFonts w:ascii="Times New Roman"/>
                      <w:color w:val="00B050"/>
                      <w:sz w:val="21"/>
                      <w:szCs w:val="21"/>
                    </w:rPr>
                    <w:t>m厚</w:t>
                  </w:r>
                  <w:r>
                    <w:rPr>
                      <w:rFonts w:hint="eastAsia" w:ascii="Times New Roman"/>
                      <w:color w:val="00B050"/>
                      <w:sz w:val="21"/>
                      <w:szCs w:val="21"/>
                    </w:rPr>
                    <w:t>强度为</w:t>
                  </w:r>
                  <w:r>
                    <w:rPr>
                      <w:rFonts w:ascii="Times New Roman"/>
                      <w:color w:val="00B050"/>
                      <w:sz w:val="21"/>
                      <w:szCs w:val="21"/>
                    </w:rPr>
                    <w:t>C</w:t>
                  </w:r>
                  <w:r>
                    <w:rPr>
                      <w:rFonts w:hint="eastAsia" w:ascii="Times New Roman"/>
                      <w:color w:val="00B050"/>
                      <w:sz w:val="21"/>
                      <w:szCs w:val="21"/>
                    </w:rPr>
                    <w:t>25，抗渗等级P</w:t>
                  </w:r>
                  <w:r>
                    <w:rPr>
                      <w:rFonts w:hint="eastAsia"/>
                      <w:color w:val="00B050"/>
                      <w:sz w:val="21"/>
                      <w:szCs w:val="21"/>
                      <w:lang w:val="en-US" w:eastAsia="zh-CN"/>
                    </w:rPr>
                    <w:t>8</w:t>
                  </w:r>
                  <w:r>
                    <w:rPr>
                      <w:rFonts w:hint="eastAsia" w:ascii="Times New Roman"/>
                      <w:color w:val="00B050"/>
                      <w:sz w:val="21"/>
                      <w:szCs w:val="21"/>
                    </w:rPr>
                    <w:t>的抗渗</w:t>
                  </w:r>
                  <w:r>
                    <w:rPr>
                      <w:rFonts w:ascii="Times New Roman"/>
                      <w:color w:val="00B050"/>
                      <w:sz w:val="21"/>
                      <w:szCs w:val="21"/>
                    </w:rPr>
                    <w:t>混凝土层；</w:t>
                  </w:r>
                </w:p>
                <w:p w14:paraId="1E40E388">
                  <w:pPr>
                    <w:rPr>
                      <w:rFonts w:hint="default" w:ascii="Times New Roman" w:eastAsia="宋体"/>
                      <w:color w:val="00B050"/>
                      <w:sz w:val="21"/>
                      <w:szCs w:val="21"/>
                      <w:lang w:val="en-US" w:eastAsia="zh-CN"/>
                    </w:rPr>
                  </w:pPr>
                  <w:r>
                    <w:rPr>
                      <w:rFonts w:hint="eastAsia" w:ascii="Times New Roman" w:hAnsi="Times New Roman" w:cs="Times New Roman"/>
                      <w:color w:val="00B050"/>
                      <w:szCs w:val="21"/>
                      <w:lang w:val="en-US" w:eastAsia="zh-CN"/>
                    </w:rPr>
                    <w:t>④</w:t>
                  </w:r>
                  <w:r>
                    <w:rPr>
                      <w:rFonts w:ascii="Times New Roman" w:hAnsi="Times New Roman" w:eastAsia="宋体" w:cs="Times New Roman"/>
                      <w:color w:val="00B050"/>
                      <w:szCs w:val="21"/>
                    </w:rPr>
                    <w:t>2</w:t>
                  </w:r>
                  <w:r>
                    <w:rPr>
                      <w:rFonts w:hint="eastAsia" w:ascii="Times New Roman" w:hAnsi="Times New Roman" w:eastAsia="宋体" w:cs="Times New Roman"/>
                      <w:color w:val="00B050"/>
                      <w:szCs w:val="21"/>
                    </w:rPr>
                    <w:t>mm</w:t>
                  </w:r>
                  <w:r>
                    <w:rPr>
                      <w:rFonts w:hint="eastAsia" w:ascii="Times New Roman" w:hAnsi="Times New Roman" w:cs="Times New Roman"/>
                      <w:color w:val="00B050"/>
                      <w:szCs w:val="21"/>
                      <w:lang w:val="en-US" w:eastAsia="zh-CN"/>
                    </w:rPr>
                    <w:t>厚</w:t>
                  </w:r>
                  <w:r>
                    <w:rPr>
                      <w:rFonts w:ascii="Times New Roman" w:hAnsi="Times New Roman" w:eastAsia="宋体" w:cs="Times New Roman"/>
                      <w:color w:val="00B050"/>
                      <w:szCs w:val="21"/>
                    </w:rPr>
                    <w:t>HDPE</w:t>
                  </w:r>
                  <w:r>
                    <w:rPr>
                      <w:rFonts w:hint="eastAsia" w:ascii="Times New Roman" w:hAnsi="Times New Roman" w:eastAsia="宋体" w:cs="Times New Roman"/>
                      <w:color w:val="00B050"/>
                      <w:szCs w:val="21"/>
                    </w:rPr>
                    <w:t>膜</w:t>
                  </w:r>
                  <w:r>
                    <w:rPr>
                      <w:rFonts w:hint="eastAsia" w:ascii="Times New Roman" w:hAnsi="Times New Roman" w:cs="Times New Roman"/>
                      <w:color w:val="00B050"/>
                      <w:szCs w:val="21"/>
                      <w:lang w:val="en-US" w:eastAsia="zh-CN"/>
                    </w:rPr>
                    <w:t>防渗层</w:t>
                  </w:r>
                </w:p>
                <w:p w14:paraId="1883A53C">
                  <w:pPr>
                    <w:rPr>
                      <w:rFonts w:ascii="Times New Roman"/>
                      <w:color w:val="00B050"/>
                      <w:sz w:val="21"/>
                      <w:szCs w:val="21"/>
                    </w:rPr>
                  </w:pPr>
                  <w:r>
                    <w:rPr>
                      <w:rFonts w:hint="eastAsia" w:ascii="Times New Roman"/>
                      <w:color w:val="00B050"/>
                      <w:sz w:val="21"/>
                      <w:szCs w:val="21"/>
                      <w:lang w:val="en-US" w:eastAsia="zh-CN"/>
                    </w:rPr>
                    <w:t>⑤20</w:t>
                  </w:r>
                  <w:r>
                    <w:rPr>
                      <w:rFonts w:hint="eastAsia" w:ascii="Times New Roman"/>
                      <w:color w:val="00B050"/>
                      <w:sz w:val="21"/>
                      <w:szCs w:val="21"/>
                    </w:rPr>
                    <w:t>mm厚C15混凝土垫层；</w:t>
                  </w:r>
                </w:p>
                <w:p w14:paraId="3FB83BD9">
                  <w:pPr>
                    <w:rPr>
                      <w:rFonts w:hAnsi="宋体" w:cs="宋体"/>
                      <w:color w:val="00B050"/>
                      <w:kern w:val="2"/>
                      <w:sz w:val="21"/>
                      <w:szCs w:val="21"/>
                    </w:rPr>
                  </w:pPr>
                  <w:r>
                    <w:rPr>
                      <w:rFonts w:hint="eastAsia" w:ascii="Times New Roman"/>
                      <w:color w:val="00B050"/>
                      <w:sz w:val="21"/>
                      <w:szCs w:val="21"/>
                    </w:rPr>
                    <w:t>⑥</w:t>
                  </w:r>
                  <w:r>
                    <w:rPr>
                      <w:rFonts w:ascii="Times New Roman"/>
                      <w:color w:val="00B050"/>
                      <w:sz w:val="21"/>
                      <w:szCs w:val="21"/>
                    </w:rPr>
                    <w:t>素土夯实</w:t>
                  </w:r>
                  <w:r>
                    <w:rPr>
                      <w:rFonts w:hint="eastAsia" w:ascii="Times New Roman"/>
                      <w:color w:val="00B050"/>
                      <w:sz w:val="21"/>
                      <w:szCs w:val="21"/>
                    </w:rPr>
                    <w:t>。</w:t>
                  </w:r>
                </w:p>
              </w:tc>
            </w:tr>
            <w:tr w14:paraId="73B2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jc w:val="center"/>
              </w:trPr>
              <w:tc>
                <w:tcPr>
                  <w:tcW w:w="1128" w:type="dxa"/>
                  <w:vMerge w:val="continue"/>
                  <w:vAlign w:val="center"/>
                </w:tcPr>
                <w:p w14:paraId="562570CD">
                  <w:pPr>
                    <w:jc w:val="center"/>
                    <w:rPr>
                      <w:rFonts w:ascii="Times New Roman" w:eastAsiaTheme="majorEastAsia"/>
                      <w:color w:val="00B050"/>
                      <w:sz w:val="21"/>
                      <w:szCs w:val="21"/>
                    </w:rPr>
                  </w:pPr>
                </w:p>
              </w:tc>
              <w:tc>
                <w:tcPr>
                  <w:tcW w:w="1391" w:type="dxa"/>
                  <w:vMerge w:val="continue"/>
                  <w:vAlign w:val="center"/>
                </w:tcPr>
                <w:p w14:paraId="5091E36A">
                  <w:pPr>
                    <w:jc w:val="center"/>
                    <w:rPr>
                      <w:rFonts w:ascii="Times New Roman" w:eastAsiaTheme="majorEastAsia"/>
                      <w:color w:val="00B050"/>
                      <w:sz w:val="21"/>
                      <w:szCs w:val="21"/>
                    </w:rPr>
                  </w:pPr>
                </w:p>
              </w:tc>
              <w:tc>
                <w:tcPr>
                  <w:tcW w:w="1050" w:type="dxa"/>
                  <w:vAlign w:val="center"/>
                </w:tcPr>
                <w:p w14:paraId="265BCE22">
                  <w:pPr>
                    <w:widowControl/>
                    <w:jc w:val="center"/>
                    <w:textAlignment w:val="center"/>
                    <w:rPr>
                      <w:rFonts w:hint="default" w:ascii="Times New Roman" w:eastAsiaTheme="majorEastAsia"/>
                      <w:color w:val="00B050"/>
                      <w:sz w:val="21"/>
                      <w:szCs w:val="21"/>
                      <w:lang w:val="en-US" w:eastAsia="zh-CN"/>
                    </w:rPr>
                  </w:pPr>
                  <w:r>
                    <w:rPr>
                      <w:rFonts w:hint="eastAsia" w:eastAsiaTheme="majorEastAsia"/>
                      <w:color w:val="00B050"/>
                      <w:sz w:val="21"/>
                      <w:szCs w:val="21"/>
                    </w:rPr>
                    <w:t>内墙</w:t>
                  </w:r>
                  <w:r>
                    <w:rPr>
                      <w:rFonts w:hint="eastAsia" w:eastAsiaTheme="majorEastAsia"/>
                      <w:color w:val="00B050"/>
                      <w:sz w:val="21"/>
                      <w:szCs w:val="21"/>
                      <w:lang w:eastAsia="zh-CN"/>
                    </w:rPr>
                    <w:t>、</w:t>
                  </w:r>
                  <w:r>
                    <w:rPr>
                      <w:rFonts w:hint="eastAsia" w:eastAsiaTheme="majorEastAsia"/>
                      <w:color w:val="00B050"/>
                      <w:sz w:val="21"/>
                      <w:szCs w:val="21"/>
                      <w:lang w:val="en-US" w:eastAsia="zh-CN"/>
                    </w:rPr>
                    <w:t>围堰内壁</w:t>
                  </w:r>
                </w:p>
              </w:tc>
              <w:tc>
                <w:tcPr>
                  <w:tcW w:w="4754" w:type="dxa"/>
                  <w:vAlign w:val="center"/>
                </w:tcPr>
                <w:p w14:paraId="2B9D86CF">
                  <w:pPr>
                    <w:widowControl/>
                    <w:textAlignment w:val="center"/>
                    <w:rPr>
                      <w:rFonts w:hint="default" w:ascii="Times New Roman" w:eastAsiaTheme="majorEastAsia"/>
                      <w:color w:val="00B050"/>
                      <w:sz w:val="21"/>
                      <w:szCs w:val="21"/>
                      <w:lang w:val="en-US" w:eastAsia="zh-CN"/>
                    </w:rPr>
                  </w:pPr>
                  <w:r>
                    <w:rPr>
                      <w:rFonts w:hint="eastAsia" w:ascii="Times New Roman" w:eastAsiaTheme="majorEastAsia"/>
                      <w:color w:val="00B050"/>
                      <w:sz w:val="21"/>
                      <w:szCs w:val="21"/>
                      <w:lang w:val="en-US" w:eastAsia="zh-CN"/>
                    </w:rPr>
                    <w:t>由外至内：</w:t>
                  </w:r>
                </w:p>
                <w:p w14:paraId="0CDA79C4">
                  <w:pPr>
                    <w:rPr>
                      <w:rFonts w:ascii="Times New Roman"/>
                      <w:color w:val="00B050"/>
                      <w:sz w:val="21"/>
                      <w:szCs w:val="21"/>
                    </w:rPr>
                  </w:pPr>
                  <w:r>
                    <w:rPr>
                      <w:rFonts w:hint="eastAsia" w:ascii="Times New Roman"/>
                      <w:color w:val="00B050"/>
                      <w:sz w:val="21"/>
                      <w:szCs w:val="21"/>
                    </w:rPr>
                    <w:t>①</w:t>
                  </w:r>
                  <w:r>
                    <w:rPr>
                      <w:rFonts w:hint="eastAsia" w:ascii="Times New Roman"/>
                      <w:color w:val="00B050"/>
                      <w:sz w:val="21"/>
                      <w:szCs w:val="21"/>
                      <w:lang w:val="en-US" w:eastAsia="zh-CN"/>
                    </w:rPr>
                    <w:t>2mm厚</w:t>
                  </w:r>
                  <w:r>
                    <w:rPr>
                      <w:rFonts w:ascii="Times New Roman"/>
                      <w:color w:val="00B050"/>
                      <w:sz w:val="21"/>
                      <w:szCs w:val="21"/>
                    </w:rPr>
                    <w:t>环氧树脂地坪漆；</w:t>
                  </w:r>
                </w:p>
                <w:p w14:paraId="38BDB830">
                  <w:pPr>
                    <w:widowControl/>
                    <w:textAlignment w:val="center"/>
                    <w:rPr>
                      <w:rFonts w:ascii="Times New Roman"/>
                      <w:color w:val="00B050"/>
                      <w:sz w:val="21"/>
                      <w:szCs w:val="21"/>
                    </w:rPr>
                  </w:pPr>
                  <w:r>
                    <w:rPr>
                      <w:rFonts w:hint="eastAsia" w:ascii="Times New Roman" w:eastAsiaTheme="majorEastAsia"/>
                      <w:color w:val="00B050"/>
                      <w:sz w:val="21"/>
                      <w:szCs w:val="21"/>
                      <w:lang w:val="en-US" w:eastAsia="zh-CN"/>
                    </w:rPr>
                    <w:t>②</w:t>
                  </w:r>
                  <w:r>
                    <w:rPr>
                      <w:rFonts w:hint="eastAsia" w:ascii="Times New Roman"/>
                      <w:color w:val="00B050"/>
                      <w:sz w:val="21"/>
                      <w:szCs w:val="21"/>
                      <w:lang w:val="en-US" w:eastAsia="zh-CN"/>
                    </w:rPr>
                    <w:t>20</w:t>
                  </w:r>
                  <w:r>
                    <w:rPr>
                      <w:rFonts w:ascii="Times New Roman"/>
                      <w:color w:val="00B050"/>
                      <w:sz w:val="21"/>
                      <w:szCs w:val="21"/>
                    </w:rPr>
                    <w:t>mm厚细石混凝土保护层；</w:t>
                  </w:r>
                </w:p>
                <w:p w14:paraId="7EE525F4">
                  <w:pPr>
                    <w:widowControl/>
                    <w:textAlignment w:val="center"/>
                    <w:rPr>
                      <w:rFonts w:ascii="Times New Roman"/>
                      <w:color w:val="00B050"/>
                      <w:sz w:val="21"/>
                      <w:szCs w:val="21"/>
                    </w:rPr>
                  </w:pPr>
                  <w:r>
                    <w:rPr>
                      <w:rFonts w:hint="eastAsia" w:ascii="Times New Roman" w:eastAsiaTheme="majorEastAsia"/>
                      <w:color w:val="00B050"/>
                      <w:sz w:val="21"/>
                      <w:szCs w:val="21"/>
                      <w:lang w:val="en-US" w:eastAsia="zh-CN"/>
                    </w:rPr>
                    <w:t>③结构：370-500mm厚M7.5混合砂浆砌筑页岩砖</w:t>
                  </w:r>
                </w:p>
              </w:tc>
            </w:tr>
            <w:tr w14:paraId="509A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jc w:val="center"/>
              </w:trPr>
              <w:tc>
                <w:tcPr>
                  <w:tcW w:w="1128" w:type="dxa"/>
                  <w:vMerge w:val="continue"/>
                  <w:vAlign w:val="center"/>
                </w:tcPr>
                <w:p w14:paraId="2060EB0B">
                  <w:pPr>
                    <w:jc w:val="center"/>
                    <w:rPr>
                      <w:rFonts w:ascii="Times New Roman" w:eastAsiaTheme="majorEastAsia"/>
                      <w:color w:val="00B050"/>
                      <w:sz w:val="21"/>
                      <w:szCs w:val="21"/>
                    </w:rPr>
                  </w:pPr>
                </w:p>
              </w:tc>
              <w:tc>
                <w:tcPr>
                  <w:tcW w:w="1391" w:type="dxa"/>
                  <w:vMerge w:val="continue"/>
                  <w:vAlign w:val="center"/>
                </w:tcPr>
                <w:p w14:paraId="1B4039D4">
                  <w:pPr>
                    <w:jc w:val="center"/>
                    <w:rPr>
                      <w:rFonts w:ascii="Times New Roman" w:eastAsiaTheme="majorEastAsia"/>
                      <w:color w:val="00B050"/>
                      <w:sz w:val="21"/>
                      <w:szCs w:val="21"/>
                    </w:rPr>
                  </w:pPr>
                </w:p>
              </w:tc>
              <w:tc>
                <w:tcPr>
                  <w:tcW w:w="1050" w:type="dxa"/>
                  <w:vAlign w:val="center"/>
                </w:tcPr>
                <w:p w14:paraId="4726EA86">
                  <w:pPr>
                    <w:widowControl/>
                    <w:jc w:val="center"/>
                    <w:textAlignment w:val="center"/>
                    <w:rPr>
                      <w:rFonts w:hint="eastAsia" w:eastAsiaTheme="majorEastAsia"/>
                      <w:color w:val="00B050"/>
                      <w:sz w:val="21"/>
                      <w:szCs w:val="21"/>
                      <w:lang w:val="en-US" w:eastAsia="zh-CN"/>
                    </w:rPr>
                  </w:pPr>
                  <w:r>
                    <w:rPr>
                      <w:rFonts w:hint="eastAsia" w:eastAsiaTheme="majorEastAsia"/>
                      <w:color w:val="00B050"/>
                      <w:sz w:val="21"/>
                      <w:szCs w:val="21"/>
                      <w:lang w:val="en-US" w:eastAsia="zh-CN"/>
                    </w:rPr>
                    <w:t>池壁</w:t>
                  </w:r>
                </w:p>
              </w:tc>
              <w:tc>
                <w:tcPr>
                  <w:tcW w:w="4754" w:type="dxa"/>
                  <w:vAlign w:val="center"/>
                </w:tcPr>
                <w:p w14:paraId="11F37003">
                  <w:pPr>
                    <w:widowControl/>
                    <w:textAlignment w:val="center"/>
                    <w:rPr>
                      <w:rFonts w:hint="default" w:ascii="Times New Roman" w:eastAsiaTheme="majorEastAsia"/>
                      <w:color w:val="00B050"/>
                      <w:sz w:val="21"/>
                      <w:szCs w:val="21"/>
                      <w:lang w:val="en-US" w:eastAsia="zh-CN"/>
                    </w:rPr>
                  </w:pPr>
                  <w:r>
                    <w:rPr>
                      <w:rFonts w:hint="eastAsia" w:ascii="Times New Roman" w:eastAsiaTheme="majorEastAsia"/>
                      <w:color w:val="00B050"/>
                      <w:sz w:val="21"/>
                      <w:szCs w:val="21"/>
                      <w:lang w:val="en-US" w:eastAsia="zh-CN"/>
                    </w:rPr>
                    <w:t>由外至内：</w:t>
                  </w:r>
                </w:p>
                <w:p w14:paraId="71F44CC1">
                  <w:pPr>
                    <w:widowControl/>
                    <w:textAlignment w:val="center"/>
                    <w:rPr>
                      <w:rFonts w:hint="default" w:ascii="Times New Roman" w:eastAsiaTheme="majorEastAsia"/>
                      <w:color w:val="00B050"/>
                      <w:sz w:val="21"/>
                      <w:szCs w:val="21"/>
                      <w:lang w:val="en-US" w:eastAsia="zh-CN"/>
                    </w:rPr>
                  </w:pPr>
                  <w:r>
                    <w:rPr>
                      <w:rFonts w:hint="eastAsia" w:ascii="Times New Roman" w:eastAsiaTheme="majorEastAsia"/>
                      <w:color w:val="00B050"/>
                      <w:sz w:val="21"/>
                      <w:szCs w:val="21"/>
                      <w:lang w:val="en-US" w:eastAsia="zh-CN"/>
                    </w:rPr>
                    <w:t>①外抹灰层：20mm厚1:2.5水泥砂浆；</w:t>
                  </w:r>
                </w:p>
                <w:p w14:paraId="795DD5D9">
                  <w:pPr>
                    <w:widowControl/>
                    <w:textAlignment w:val="center"/>
                    <w:rPr>
                      <w:rFonts w:hint="default" w:ascii="Times New Roman" w:eastAsiaTheme="majorEastAsia"/>
                      <w:color w:val="00B050"/>
                      <w:sz w:val="21"/>
                      <w:szCs w:val="21"/>
                      <w:lang w:val="en-US" w:eastAsia="zh-CN"/>
                    </w:rPr>
                  </w:pPr>
                  <w:r>
                    <w:rPr>
                      <w:rFonts w:hint="eastAsia" w:ascii="Times New Roman" w:eastAsiaTheme="majorEastAsia"/>
                      <w:color w:val="00B050"/>
                      <w:sz w:val="21"/>
                      <w:szCs w:val="21"/>
                      <w:lang w:val="en-US" w:eastAsia="zh-CN"/>
                    </w:rPr>
                    <w:t>②结构：370-500mm厚M7.5混合砂浆砌筑页岩砖；</w:t>
                  </w:r>
                </w:p>
                <w:p w14:paraId="0E07A01F">
                  <w:pPr>
                    <w:widowControl/>
                    <w:textAlignment w:val="center"/>
                    <w:rPr>
                      <w:rFonts w:hint="default" w:ascii="Times New Roman" w:eastAsiaTheme="majorEastAsia"/>
                      <w:color w:val="00B050"/>
                      <w:sz w:val="21"/>
                      <w:szCs w:val="21"/>
                      <w:lang w:val="en-US" w:eastAsia="zh-CN"/>
                    </w:rPr>
                  </w:pPr>
                  <w:r>
                    <w:rPr>
                      <w:rFonts w:hint="eastAsia" w:ascii="Times New Roman" w:eastAsiaTheme="majorEastAsia"/>
                      <w:color w:val="00B050"/>
                      <w:sz w:val="21"/>
                      <w:szCs w:val="21"/>
                      <w:lang w:val="en-US" w:eastAsia="zh-CN"/>
                    </w:rPr>
                    <w:t>③找平层：20mm厚1:2.5水泥砂浆；</w:t>
                  </w:r>
                </w:p>
                <w:p w14:paraId="3D4FC97B">
                  <w:pPr>
                    <w:widowControl/>
                    <w:textAlignment w:val="center"/>
                    <w:rPr>
                      <w:rFonts w:hint="eastAsia" w:ascii="Times New Roman" w:eastAsiaTheme="majorEastAsia"/>
                      <w:color w:val="00B050"/>
                      <w:sz w:val="21"/>
                      <w:szCs w:val="21"/>
                      <w:lang w:val="en-US" w:eastAsia="zh-CN"/>
                    </w:rPr>
                  </w:pPr>
                  <w:r>
                    <w:rPr>
                      <w:rFonts w:hint="eastAsia" w:ascii="Times New Roman" w:eastAsiaTheme="majorEastAsia"/>
                      <w:color w:val="00B050"/>
                      <w:sz w:val="21"/>
                      <w:szCs w:val="21"/>
                      <w:lang w:val="en-US" w:eastAsia="zh-CN"/>
                    </w:rPr>
                    <w:t>④防水层：3mm厚SBS防水卷材；</w:t>
                  </w:r>
                </w:p>
                <w:p w14:paraId="5E40E55F">
                  <w:pPr>
                    <w:widowControl/>
                    <w:textAlignment w:val="center"/>
                    <w:rPr>
                      <w:rFonts w:hint="eastAsia" w:ascii="Times New Roman" w:eastAsiaTheme="majorEastAsia"/>
                      <w:color w:val="00B050"/>
                      <w:sz w:val="21"/>
                      <w:szCs w:val="21"/>
                      <w:lang w:val="en-US" w:eastAsia="zh-CN"/>
                    </w:rPr>
                  </w:pPr>
                  <w:r>
                    <w:rPr>
                      <w:rFonts w:hint="eastAsia" w:ascii="Times New Roman" w:eastAsiaTheme="majorEastAsia"/>
                      <w:color w:val="00B050"/>
                      <w:sz w:val="21"/>
                      <w:szCs w:val="21"/>
                      <w:lang w:val="en-US" w:eastAsia="zh-CN"/>
                    </w:rPr>
                    <w:t>⑤防水保护层：20mm厚1:2防水砂浆；</w:t>
                  </w:r>
                </w:p>
              </w:tc>
            </w:tr>
            <w:tr w14:paraId="4179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jc w:val="center"/>
              </w:trPr>
              <w:tc>
                <w:tcPr>
                  <w:tcW w:w="1128" w:type="dxa"/>
                  <w:vAlign w:val="center"/>
                </w:tcPr>
                <w:p w14:paraId="0A268D33">
                  <w:pPr>
                    <w:jc w:val="center"/>
                    <w:rPr>
                      <w:rFonts w:ascii="Times New Roman" w:eastAsiaTheme="majorEastAsia"/>
                      <w:color w:val="00B050"/>
                      <w:sz w:val="21"/>
                      <w:szCs w:val="21"/>
                    </w:rPr>
                  </w:pPr>
                  <w:r>
                    <w:rPr>
                      <w:rFonts w:hint="eastAsia" w:ascii="Times New Roman" w:eastAsiaTheme="majorEastAsia"/>
                      <w:color w:val="00B050"/>
                      <w:sz w:val="21"/>
                      <w:szCs w:val="21"/>
                      <w:lang w:val="en-US" w:eastAsia="zh-CN"/>
                    </w:rPr>
                    <w:t>简单</w:t>
                  </w:r>
                  <w:r>
                    <w:rPr>
                      <w:rFonts w:hint="eastAsia" w:ascii="Times New Roman" w:eastAsiaTheme="majorEastAsia"/>
                      <w:color w:val="00B050"/>
                      <w:sz w:val="21"/>
                      <w:szCs w:val="21"/>
                    </w:rPr>
                    <w:t>防渗区</w:t>
                  </w:r>
                </w:p>
              </w:tc>
              <w:tc>
                <w:tcPr>
                  <w:tcW w:w="1391" w:type="dxa"/>
                  <w:vAlign w:val="center"/>
                </w:tcPr>
                <w:p w14:paraId="6BB4387F">
                  <w:pPr>
                    <w:widowControl/>
                    <w:jc w:val="center"/>
                    <w:textAlignment w:val="center"/>
                    <w:rPr>
                      <w:rFonts w:ascii="Times New Roman" w:eastAsiaTheme="majorEastAsia"/>
                      <w:color w:val="00B050"/>
                      <w:sz w:val="21"/>
                      <w:szCs w:val="21"/>
                    </w:rPr>
                  </w:pPr>
                  <w:r>
                    <w:rPr>
                      <w:rFonts w:hint="eastAsia" w:ascii="Times New Roman"/>
                      <w:color w:val="00B050"/>
                      <w:sz w:val="21"/>
                      <w:szCs w:val="21"/>
                    </w:rPr>
                    <w:t>生产区内除重点防渗区以外的区域</w:t>
                  </w:r>
                </w:p>
              </w:tc>
              <w:tc>
                <w:tcPr>
                  <w:tcW w:w="1050" w:type="dxa"/>
                  <w:vAlign w:val="center"/>
                </w:tcPr>
                <w:p w14:paraId="02A0C543">
                  <w:pPr>
                    <w:widowControl/>
                    <w:jc w:val="center"/>
                    <w:textAlignment w:val="center"/>
                    <w:rPr>
                      <w:rFonts w:ascii="Times New Roman" w:eastAsiaTheme="majorEastAsia"/>
                      <w:color w:val="00B050"/>
                      <w:sz w:val="21"/>
                      <w:szCs w:val="21"/>
                    </w:rPr>
                  </w:pPr>
                  <w:r>
                    <w:rPr>
                      <w:rFonts w:hint="eastAsia" w:ascii="Times New Roman" w:eastAsiaTheme="majorEastAsia"/>
                      <w:color w:val="00B050"/>
                      <w:sz w:val="21"/>
                      <w:szCs w:val="21"/>
                    </w:rPr>
                    <w:t>地面</w:t>
                  </w:r>
                </w:p>
              </w:tc>
              <w:tc>
                <w:tcPr>
                  <w:tcW w:w="4754" w:type="dxa"/>
                  <w:vAlign w:val="center"/>
                </w:tcPr>
                <w:p w14:paraId="35820CC7">
                  <w:pPr>
                    <w:rPr>
                      <w:rFonts w:hint="default" w:ascii="Times New Roman" w:eastAsia="宋体"/>
                      <w:color w:val="00B050"/>
                      <w:sz w:val="21"/>
                      <w:szCs w:val="21"/>
                      <w:lang w:val="en-US" w:eastAsia="zh-CN"/>
                    </w:rPr>
                  </w:pPr>
                  <w:r>
                    <w:rPr>
                      <w:rFonts w:hint="eastAsia" w:ascii="Times New Roman"/>
                      <w:color w:val="00B050"/>
                      <w:sz w:val="21"/>
                      <w:szCs w:val="21"/>
                      <w:lang w:val="en-US" w:eastAsia="zh-CN"/>
                    </w:rPr>
                    <w:t>普通地面硬化</w:t>
                  </w:r>
                </w:p>
              </w:tc>
            </w:tr>
          </w:tbl>
          <w:p w14:paraId="5108783D">
            <w:pPr>
              <w:spacing w:line="360" w:lineRule="auto"/>
              <w:ind w:firstLine="651" w:firstLineChars="270"/>
              <w:rPr>
                <w:rFonts w:hint="default" w:ascii="Times New Roman" w:hAnsi="Times New Roman" w:eastAsia="宋体" w:cs="Times New Roman"/>
                <w:b/>
                <w:bCs/>
                <w:color w:val="000000" w:themeColor="text1"/>
                <w:kern w:val="0"/>
                <w:sz w:val="24"/>
                <w:szCs w:val="20"/>
                <w:lang w:val="en-US" w:eastAsia="zh-CN"/>
                <w14:textFill>
                  <w14:solidFill>
                    <w14:schemeClr w14:val="tx1"/>
                  </w14:solidFill>
                </w14:textFill>
              </w:rPr>
            </w:pPr>
            <w:r>
              <w:rPr>
                <w:rFonts w:hint="eastAsia" w:cs="Times New Roman"/>
                <w:b/>
                <w:bCs/>
                <w:color w:val="000000" w:themeColor="text1"/>
                <w:kern w:val="0"/>
                <w:sz w:val="24"/>
                <w:szCs w:val="20"/>
                <w:lang w:val="en-US" w:eastAsia="zh-CN"/>
                <w14:textFill>
                  <w14:solidFill>
                    <w14:schemeClr w14:val="tx1"/>
                  </w14:solidFill>
                </w14:textFill>
              </w:rPr>
              <w:t>（3）过程控制</w:t>
            </w:r>
          </w:p>
          <w:p w14:paraId="36A72C51">
            <w:pPr>
              <w:spacing w:line="360" w:lineRule="auto"/>
              <w:ind w:firstLine="648" w:firstLineChars="270"/>
              <w:rPr>
                <w:rFonts w:ascii="Times New Roman" w:hAnsi="Times New Roman" w:eastAsia="宋体" w:cs="Times New Roman"/>
                <w:color w:val="000000" w:themeColor="text1"/>
                <w:kern w:val="0"/>
                <w:sz w:val="24"/>
                <w:szCs w:val="20"/>
                <w:highlight w:val="green"/>
                <w14:textFill>
                  <w14:solidFill>
                    <w14:schemeClr w14:val="tx1"/>
                  </w14:solidFill>
                </w14:textFill>
              </w:rPr>
            </w:pPr>
            <w:r>
              <w:rPr>
                <w:rFonts w:hint="eastAsia"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①</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罐区设置</w:t>
            </w:r>
            <w:r>
              <w:rPr>
                <w:rFonts w:hint="eastAsia" w:cs="Times New Roman"/>
                <w:color w:val="000000" w:themeColor="text1"/>
                <w:kern w:val="0"/>
                <w:sz w:val="24"/>
                <w:szCs w:val="24"/>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m的围堰</w:t>
            </w:r>
            <w:r>
              <w:rPr>
                <w:rFonts w:hint="eastAsia" w:cs="Times New Roman"/>
                <w:color w:val="000000" w:themeColor="text1"/>
                <w:kern w:val="0"/>
                <w:sz w:val="24"/>
                <w:szCs w:val="24"/>
                <w:highlight w:val="none"/>
                <w:lang w:val="en-US" w:eastAsia="zh-CN"/>
                <w14:textFill>
                  <w14:solidFill>
                    <w14:schemeClr w14:val="tx1"/>
                  </w14:solidFill>
                </w14:textFill>
              </w:rPr>
              <w:t>1座，</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有效容积</w:t>
            </w:r>
            <w:r>
              <w:rPr>
                <w:rFonts w:hint="eastAsia" w:cs="Times New Roman"/>
                <w:color w:val="000000" w:themeColor="text1"/>
                <w:kern w:val="0"/>
                <w:sz w:val="24"/>
                <w:szCs w:val="24"/>
                <w:highlight w:val="none"/>
                <w:lang w:val="en-US" w:eastAsia="zh-CN"/>
                <w14:textFill>
                  <w14:solidFill>
                    <w14:schemeClr w14:val="tx1"/>
                  </w14:solidFill>
                </w14:textFill>
              </w:rPr>
              <w:t>108</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vertAlign w:val="baseli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设置1座应急储罐用于倒罐。废矿物油装卸区设置11.67</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m×</w:t>
            </w:r>
            <w:r>
              <w:rPr>
                <w:rFonts w:hint="eastAsia" w:cs="Times New Roman"/>
                <w:color w:val="000000" w:themeColor="text1"/>
                <w:kern w:val="0"/>
                <w:sz w:val="24"/>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m×0.15m围堰1座，有效容积</w:t>
            </w:r>
            <w:r>
              <w:rPr>
                <w:rFonts w:hint="eastAsia" w:cs="Times New Roman"/>
                <w:color w:val="000000" w:themeColor="text1"/>
                <w:kern w:val="0"/>
                <w:sz w:val="24"/>
                <w:szCs w:val="24"/>
                <w:highlight w:val="none"/>
                <w:lang w:val="en-US" w:eastAsia="zh-CN"/>
                <w14:textFill>
                  <w14:solidFill>
                    <w14:schemeClr w14:val="tx1"/>
                  </w14:solidFill>
                </w14:textFill>
              </w:rPr>
              <w:t>10.5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围堰内</w:t>
            </w:r>
            <w:r>
              <w:rPr>
                <w:rFonts w:ascii="Times New Roman" w:hAnsi="Times New Roman" w:eastAsia="宋体" w:cs="Times New Roman"/>
                <w:color w:val="000000" w:themeColor="text1"/>
                <w:kern w:val="0"/>
                <w:sz w:val="24"/>
                <w:szCs w:val="24"/>
                <w:highlight w:val="none"/>
                <w14:textFill>
                  <w14:solidFill>
                    <w14:schemeClr w14:val="tx1"/>
                  </w14:solidFill>
                </w14:textFill>
              </w:rPr>
              <w:t>不能存放废水或其他</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废液</w:t>
            </w:r>
            <w:r>
              <w:rPr>
                <w:rFonts w:hint="eastAsia" w:cs="Times New Roman"/>
                <w:color w:val="000000" w:themeColor="text1"/>
                <w:kern w:val="0"/>
                <w:sz w:val="24"/>
                <w:szCs w:val="24"/>
                <w:highlight w:val="none"/>
                <w:lang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日常保持空置。</w:t>
            </w:r>
          </w:p>
          <w:p w14:paraId="4F6142DA">
            <w:pPr>
              <w:spacing w:line="360" w:lineRule="auto"/>
              <w:ind w:firstLine="648" w:firstLineChars="270"/>
              <w:rPr>
                <w:rFonts w:ascii="Times New Roman" w:hAnsi="Times New Roman" w:eastAsia="宋体" w:cs="Times New Roman"/>
                <w:color w:val="000000" w:themeColor="text1"/>
                <w:kern w:val="0"/>
                <w:sz w:val="24"/>
                <w:szCs w:val="20"/>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②</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其他</w:t>
            </w:r>
            <w:r>
              <w:rPr>
                <w:rFonts w:hint="eastAsia" w:cs="Times New Roman"/>
                <w:color w:val="000000" w:themeColor="text1"/>
                <w:kern w:val="0"/>
                <w:sz w:val="24"/>
                <w:szCs w:val="20"/>
                <w:lang w:val="en-US" w:eastAsia="zh-CN"/>
                <w14:textFill>
                  <w14:solidFill>
                    <w14:schemeClr w14:val="tx1"/>
                  </w14:solidFill>
                </w14:textFill>
              </w:rPr>
              <w:t>危险废物</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贮存区内，各贮存分区分别建设1座0.1m</w:t>
            </w:r>
            <w:r>
              <w:rPr>
                <w:rFonts w:hint="eastAsia" w:ascii="Times New Roman" w:hAnsi="Times New Roman" w:eastAsia="宋体" w:cs="Times New Roman"/>
                <w:color w:val="000000" w:themeColor="text1"/>
                <w:kern w:val="0"/>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szCs w:val="20"/>
                <w:vertAlign w:val="baseline"/>
                <w:lang w:val="en-US" w:eastAsia="zh-CN"/>
                <w14:textFill>
                  <w14:solidFill>
                    <w14:schemeClr w14:val="tx1"/>
                  </w14:solidFill>
                </w14:textFill>
              </w:rPr>
              <w:t>的</w:t>
            </w:r>
            <w:r>
              <w:rPr>
                <w:rFonts w:hint="eastAsia" w:cs="Times New Roman"/>
                <w:color w:val="000000" w:themeColor="text1"/>
                <w:kern w:val="0"/>
                <w:sz w:val="24"/>
                <w:szCs w:val="20"/>
                <w:vertAlign w:val="baseline"/>
                <w:lang w:val="en-US" w:eastAsia="zh-CN"/>
                <w14:textFill>
                  <w14:solidFill>
                    <w14:schemeClr w14:val="tx1"/>
                  </w14:solidFill>
                </w14:textFill>
              </w:rPr>
              <w:t>废液收集池</w:t>
            </w:r>
            <w:r>
              <w:rPr>
                <w:rFonts w:hint="eastAsia" w:ascii="Times New Roman" w:hAnsi="Times New Roman" w:eastAsia="宋体" w:cs="Times New Roman"/>
                <w:color w:val="000000" w:themeColor="text1"/>
                <w:kern w:val="0"/>
                <w:sz w:val="24"/>
                <w:szCs w:val="20"/>
                <w:vertAlign w:val="baseline"/>
                <w:lang w:val="en-US" w:eastAsia="zh-CN"/>
                <w14:textFill>
                  <w14:solidFill>
                    <w14:schemeClr w14:val="tx1"/>
                  </w14:solidFill>
                </w14:textFill>
              </w:rPr>
              <w:t>，分区内地面建设环状导流沟</w:t>
            </w:r>
            <w:r>
              <w:rPr>
                <w:rFonts w:hint="eastAsia" w:cs="Times New Roman"/>
                <w:color w:val="000000" w:themeColor="text1"/>
                <w:kern w:val="0"/>
                <w:sz w:val="24"/>
                <w:szCs w:val="20"/>
                <w:vertAlign w:val="baseline"/>
                <w:lang w:val="en-US" w:eastAsia="zh-CN"/>
                <w14:textFill>
                  <w14:solidFill>
                    <w14:schemeClr w14:val="tx1"/>
                  </w14:solidFill>
                </w14:textFill>
              </w:rPr>
              <w:t>，末端</w:t>
            </w:r>
            <w:r>
              <w:rPr>
                <w:rFonts w:hint="eastAsia" w:ascii="Times New Roman" w:hAnsi="Times New Roman" w:eastAsia="宋体" w:cs="Times New Roman"/>
                <w:color w:val="000000" w:themeColor="text1"/>
                <w:kern w:val="0"/>
                <w:sz w:val="24"/>
                <w:szCs w:val="20"/>
                <w:vertAlign w:val="baseline"/>
                <w:lang w:val="en-US" w:eastAsia="zh-CN"/>
                <w14:textFill>
                  <w14:solidFill>
                    <w14:schemeClr w14:val="tx1"/>
                  </w14:solidFill>
                </w14:textFill>
              </w:rPr>
              <w:t>与</w:t>
            </w:r>
            <w:r>
              <w:rPr>
                <w:rFonts w:hint="eastAsia" w:cs="Times New Roman"/>
                <w:color w:val="000000" w:themeColor="text1"/>
                <w:kern w:val="0"/>
                <w:sz w:val="24"/>
                <w:szCs w:val="20"/>
                <w:vertAlign w:val="baseline"/>
                <w:lang w:val="en-US" w:eastAsia="zh-CN"/>
                <w14:textFill>
                  <w14:solidFill>
                    <w14:schemeClr w14:val="tx1"/>
                  </w14:solidFill>
                </w14:textFill>
              </w:rPr>
              <w:t>废液收集池</w:t>
            </w:r>
            <w:r>
              <w:rPr>
                <w:rFonts w:hint="eastAsia" w:ascii="Times New Roman" w:hAnsi="Times New Roman" w:eastAsia="宋体" w:cs="Times New Roman"/>
                <w:color w:val="000000" w:themeColor="text1"/>
                <w:kern w:val="0"/>
                <w:sz w:val="24"/>
                <w:szCs w:val="20"/>
                <w:vertAlign w:val="baseline"/>
                <w:lang w:val="en-US" w:eastAsia="zh-CN"/>
                <w14:textFill>
                  <w14:solidFill>
                    <w14:schemeClr w14:val="tx1"/>
                  </w14:solidFill>
                </w14:textFill>
              </w:rPr>
              <w:t>相连接</w:t>
            </w:r>
            <w:r>
              <w:rPr>
                <w:rFonts w:hint="eastAsia" w:ascii="Times New Roman" w:hAnsi="Times New Roman" w:eastAsia="宋体" w:cs="Times New Roman"/>
                <w:color w:val="000000" w:themeColor="text1"/>
                <w:kern w:val="0"/>
                <w:sz w:val="24"/>
                <w:szCs w:val="20"/>
                <w14:textFill>
                  <w14:solidFill>
                    <w14:schemeClr w14:val="tx1"/>
                  </w14:solidFill>
                </w14:textFill>
              </w:rPr>
              <w:t>。</w:t>
            </w:r>
          </w:p>
          <w:p w14:paraId="50D5ADE8">
            <w:pPr>
              <w:spacing w:line="360" w:lineRule="auto"/>
              <w:ind w:firstLine="648" w:firstLineChars="270"/>
              <w:rPr>
                <w:rFonts w:hint="default"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③贮存库区内合理布置应急收集设施，包括吸附、吸收材料、备用包装材料、可移动式泵机等，确保发生泄漏时可对危险废物进行有效收集，及时消除污染源。</w:t>
            </w:r>
          </w:p>
          <w:bookmarkEnd w:id="27"/>
          <w:p w14:paraId="693AC24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color w:val="000000" w:themeColor="text1"/>
                <w:kern w:val="0"/>
                <w:sz w:val="24"/>
                <w:szCs w:val="24"/>
                <w:lang w:val="en-US" w:eastAsia="zh-CN" w:bidi="ar-SA"/>
                <w14:textFill>
                  <w14:solidFill>
                    <w14:schemeClr w14:val="tx1"/>
                  </w14:solidFill>
                </w14:textFill>
              </w:rPr>
            </w:pPr>
            <w:r>
              <w:rPr>
                <w:rFonts w:hint="eastAsia" w:cs="Times New Roman"/>
                <w:b/>
                <w:bCs/>
                <w:color w:val="000000" w:themeColor="text1"/>
                <w:kern w:val="0"/>
                <w:sz w:val="24"/>
                <w:szCs w:val="24"/>
                <w:lang w:val="en-US" w:eastAsia="zh-CN" w:bidi="ar-SA"/>
                <w14:textFill>
                  <w14:solidFill>
                    <w14:schemeClr w14:val="tx1"/>
                  </w14:solidFill>
                </w14:textFill>
              </w:rPr>
              <w:t>（4）跟踪监测</w:t>
            </w:r>
          </w:p>
          <w:p w14:paraId="01AD90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B050"/>
                <w:kern w:val="0"/>
                <w:sz w:val="24"/>
                <w:szCs w:val="24"/>
                <w:lang w:val="en-US" w:eastAsia="zh-CN" w:bidi="ar-SA"/>
              </w:rPr>
            </w:pPr>
            <w:r>
              <w:rPr>
                <w:rFonts w:hint="eastAsia" w:cs="Times New Roman"/>
                <w:color w:val="00B050"/>
                <w:kern w:val="0"/>
                <w:sz w:val="24"/>
                <w:szCs w:val="24"/>
                <w:lang w:val="en-US" w:eastAsia="zh-CN" w:bidi="ar-SA"/>
              </w:rPr>
              <w:t>环评要求项目于贮存库西侧建设1口地下水跟踪监测井。</w:t>
            </w:r>
          </w:p>
          <w:p w14:paraId="0D52A7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参照《工业企业土壤和地下水自行监测技术指南（试行）》（HJ1209-2021）</w:t>
            </w:r>
            <w:r>
              <w:rPr>
                <w:rFonts w:hint="eastAsia" w:cs="Times New Roman"/>
                <w:color w:val="000000" w:themeColor="text1"/>
                <w:kern w:val="0"/>
                <w:sz w:val="24"/>
                <w:szCs w:val="24"/>
                <w:lang w:val="en-US" w:eastAsia="zh-CN" w:bidi="ar-SA"/>
                <w14:textFill>
                  <w14:solidFill>
                    <w14:schemeClr w14:val="tx1"/>
                  </w14:solidFill>
                </w14:textFill>
              </w:rPr>
              <w:t>，本次环评</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制定</w:t>
            </w:r>
            <w:r>
              <w:rPr>
                <w:rFonts w:hint="eastAsia" w:cs="Times New Roman"/>
                <w:color w:val="000000" w:themeColor="text1"/>
                <w:kern w:val="0"/>
                <w:sz w:val="24"/>
                <w:szCs w:val="24"/>
                <w:lang w:val="en-US" w:eastAsia="zh-CN" w:bidi="ar-SA"/>
                <w14:textFill>
                  <w14:solidFill>
                    <w14:schemeClr w14:val="tx1"/>
                  </w14:solidFill>
                </w14:textFill>
              </w:rPr>
              <w:t>的地下水、</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土壤环境跟踪监测计划</w:t>
            </w:r>
            <w:r>
              <w:rPr>
                <w:rFonts w:hint="eastAsia" w:cs="Times New Roman"/>
                <w:color w:val="000000" w:themeColor="text1"/>
                <w:kern w:val="0"/>
                <w:sz w:val="24"/>
                <w:szCs w:val="24"/>
                <w:lang w:val="en-US" w:eastAsia="zh-CN" w:bidi="ar-SA"/>
                <w14:textFill>
                  <w14:solidFill>
                    <w14:schemeClr w14:val="tx1"/>
                  </w14:solidFill>
                </w14:textFill>
              </w:rPr>
              <w:t>见表4.2-13、4.2-19所示</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14:paraId="67793186">
            <w:pPr>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表</w:t>
            </w: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4-13</w:t>
            </w:r>
            <w:r>
              <w:rPr>
                <w:rFonts w:hint="default" w:ascii="Times New Roman" w:hAnsi="Times New Roman" w:eastAsia="宋体" w:cs="Times New Roman"/>
                <w:b/>
                <w:bCs/>
                <w:color w:val="000000" w:themeColor="text1"/>
                <w:kern w:val="2"/>
                <w:sz w:val="21"/>
                <w:szCs w:val="21"/>
                <w14:textFill>
                  <w14:solidFill>
                    <w14:schemeClr w14:val="tx1"/>
                  </w14:solidFill>
                </w14:textFill>
              </w:rPr>
              <w:t xml:space="preserve">  地下水跟踪监测</w:t>
            </w: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计划</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997"/>
              <w:gridCol w:w="5037"/>
              <w:gridCol w:w="651"/>
              <w:gridCol w:w="778"/>
            </w:tblGrid>
            <w:tr w14:paraId="5078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tcBorders>
                    <w:tl2br w:val="nil"/>
                    <w:tr2bl w:val="nil"/>
                  </w:tcBorders>
                  <w:vAlign w:val="center"/>
                </w:tcPr>
                <w:p w14:paraId="28393B3E">
                  <w:pPr>
                    <w:jc w:val="center"/>
                    <w:rPr>
                      <w:rFonts w:ascii="Times New Roman"/>
                      <w:b/>
                      <w:bCs/>
                      <w:color w:val="000000" w:themeColor="text1"/>
                      <w:kern w:val="2"/>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监测点位置</w:t>
                  </w:r>
                </w:p>
              </w:tc>
              <w:tc>
                <w:tcPr>
                  <w:tcW w:w="599" w:type="pct"/>
                  <w:tcBorders>
                    <w:tl2br w:val="nil"/>
                    <w:tr2bl w:val="nil"/>
                  </w:tcBorders>
                  <w:vAlign w:val="center"/>
                </w:tcPr>
                <w:p w14:paraId="01B8ED03">
                  <w:pPr>
                    <w:autoSpaceDE w:val="0"/>
                    <w:autoSpaceDN w:val="0"/>
                    <w:adjustRightInd w:val="0"/>
                    <w:jc w:val="center"/>
                    <w:rPr>
                      <w:rFonts w:hint="eastAsia" w:ascii="Times New Roman" w:eastAsia="宋体"/>
                      <w:b/>
                      <w:bCs/>
                      <w:color w:val="000000" w:themeColor="text1"/>
                      <w:sz w:val="21"/>
                      <w:szCs w:val="21"/>
                      <w:lang w:eastAsia="zh-CN"/>
                      <w14:textFill>
                        <w14:solidFill>
                          <w14:schemeClr w14:val="tx1"/>
                        </w14:solidFill>
                      </w14:textFill>
                    </w:rPr>
                  </w:pPr>
                  <w:r>
                    <w:rPr>
                      <w:rFonts w:hint="eastAsia" w:ascii="Times New Roman"/>
                      <w:b/>
                      <w:bCs/>
                      <w:color w:val="000000" w:themeColor="text1"/>
                      <w:sz w:val="21"/>
                      <w:szCs w:val="21"/>
                      <w:lang w:val="en-US" w:eastAsia="zh-CN"/>
                      <w14:textFill>
                        <w14:solidFill>
                          <w14:schemeClr w14:val="tx1"/>
                        </w14:solidFill>
                      </w14:textFill>
                    </w:rPr>
                    <w:t>属性</w:t>
                  </w:r>
                </w:p>
              </w:tc>
              <w:tc>
                <w:tcPr>
                  <w:tcW w:w="3026" w:type="pct"/>
                  <w:tcBorders>
                    <w:tl2br w:val="nil"/>
                    <w:tr2bl w:val="nil"/>
                  </w:tcBorders>
                  <w:vAlign w:val="center"/>
                </w:tcPr>
                <w:p w14:paraId="6DFFB40A">
                  <w:pPr>
                    <w:jc w:val="center"/>
                    <w:rPr>
                      <w:rFonts w:ascii="Times New Roman"/>
                      <w:b/>
                      <w:bCs/>
                      <w:color w:val="000000" w:themeColor="text1"/>
                      <w:kern w:val="2"/>
                      <w:sz w:val="21"/>
                      <w:szCs w:val="21"/>
                      <w14:textFill>
                        <w14:solidFill>
                          <w14:schemeClr w14:val="tx1"/>
                        </w14:solidFill>
                      </w14:textFill>
                    </w:rPr>
                  </w:pPr>
                  <w:r>
                    <w:rPr>
                      <w:rFonts w:hint="eastAsia" w:ascii="Times New Roman"/>
                      <w:b/>
                      <w:bCs/>
                      <w:color w:val="000000" w:themeColor="text1"/>
                      <w:kern w:val="2"/>
                      <w:sz w:val="21"/>
                      <w:szCs w:val="21"/>
                      <w14:textFill>
                        <w14:solidFill>
                          <w14:schemeClr w14:val="tx1"/>
                        </w14:solidFill>
                      </w14:textFill>
                    </w:rPr>
                    <w:t>监测因子</w:t>
                  </w:r>
                </w:p>
              </w:tc>
              <w:tc>
                <w:tcPr>
                  <w:tcW w:w="391" w:type="pct"/>
                  <w:tcBorders>
                    <w:tl2br w:val="nil"/>
                    <w:tr2bl w:val="nil"/>
                  </w:tcBorders>
                  <w:vAlign w:val="center"/>
                </w:tcPr>
                <w:p w14:paraId="3A67CB9E">
                  <w:pPr>
                    <w:jc w:val="center"/>
                    <w:rPr>
                      <w:rFonts w:hint="eastAsia" w:ascii="Times New Roman" w:eastAsia="宋体"/>
                      <w:b/>
                      <w:bCs/>
                      <w:color w:val="000000" w:themeColor="text1"/>
                      <w:sz w:val="21"/>
                      <w:szCs w:val="21"/>
                      <w:lang w:val="en-US" w:eastAsia="zh-CN"/>
                      <w14:textFill>
                        <w14:solidFill>
                          <w14:schemeClr w14:val="tx1"/>
                        </w14:solidFill>
                      </w14:textFill>
                    </w:rPr>
                  </w:pPr>
                  <w:r>
                    <w:rPr>
                      <w:rFonts w:ascii="Times New Roman"/>
                      <w:b/>
                      <w:bCs/>
                      <w:color w:val="000000" w:themeColor="text1"/>
                      <w:sz w:val="21"/>
                      <w:szCs w:val="21"/>
                      <w14:textFill>
                        <w14:solidFill>
                          <w14:schemeClr w14:val="tx1"/>
                        </w14:solidFill>
                      </w14:textFill>
                    </w:rPr>
                    <w:t>监测</w:t>
                  </w:r>
                  <w:r>
                    <w:rPr>
                      <w:rFonts w:hint="eastAsia" w:ascii="Times New Roman"/>
                      <w:b/>
                      <w:bCs/>
                      <w:color w:val="000000" w:themeColor="text1"/>
                      <w:sz w:val="21"/>
                      <w:szCs w:val="21"/>
                      <w:lang w:val="en-US" w:eastAsia="zh-CN"/>
                      <w14:textFill>
                        <w14:solidFill>
                          <w14:schemeClr w14:val="tx1"/>
                        </w14:solidFill>
                      </w14:textFill>
                    </w:rPr>
                    <w:t>频次</w:t>
                  </w:r>
                </w:p>
              </w:tc>
              <w:tc>
                <w:tcPr>
                  <w:tcW w:w="467" w:type="pct"/>
                  <w:tcBorders>
                    <w:tl2br w:val="nil"/>
                    <w:tr2bl w:val="nil"/>
                  </w:tcBorders>
                  <w:vAlign w:val="center"/>
                </w:tcPr>
                <w:p w14:paraId="7FF6DA91">
                  <w:pPr>
                    <w:jc w:val="center"/>
                    <w:rPr>
                      <w:rFonts w:hint="eastAsia" w:ascii="Times New Roman"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备注</w:t>
                  </w:r>
                </w:p>
              </w:tc>
            </w:tr>
            <w:tr w14:paraId="4B33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tcBorders>
                    <w:tl2br w:val="nil"/>
                    <w:tr2bl w:val="nil"/>
                  </w:tcBorders>
                  <w:vAlign w:val="center"/>
                </w:tcPr>
                <w:p w14:paraId="495CA987">
                  <w:pPr>
                    <w:autoSpaceDE w:val="0"/>
                    <w:autoSpaceDN w:val="0"/>
                    <w:adjustRightInd w:val="0"/>
                    <w:jc w:val="center"/>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贮存库</w:t>
                  </w:r>
                  <w:r>
                    <w:rPr>
                      <w:rFonts w:hint="eastAsia"/>
                      <w:color w:val="000000" w:themeColor="text1"/>
                      <w:sz w:val="21"/>
                      <w:szCs w:val="21"/>
                      <w:lang w:val="en-US" w:eastAsia="zh-CN"/>
                      <w14:textFill>
                        <w14:solidFill>
                          <w14:schemeClr w14:val="tx1"/>
                        </w14:solidFill>
                      </w14:textFill>
                    </w:rPr>
                    <w:t>西侧</w:t>
                  </w:r>
                </w:p>
              </w:tc>
              <w:tc>
                <w:tcPr>
                  <w:tcW w:w="599" w:type="pct"/>
                  <w:tcBorders>
                    <w:tl2br w:val="nil"/>
                    <w:tr2bl w:val="nil"/>
                  </w:tcBorders>
                  <w:vAlign w:val="center"/>
                </w:tcPr>
                <w:p w14:paraId="46FB7E95">
                  <w:pPr>
                    <w:autoSpaceDE w:val="0"/>
                    <w:autoSpaceDN w:val="0"/>
                    <w:adjustRightInd w:val="0"/>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污染监控井</w:t>
                  </w:r>
                </w:p>
              </w:tc>
              <w:tc>
                <w:tcPr>
                  <w:tcW w:w="3026" w:type="pct"/>
                  <w:tcBorders>
                    <w:tl2br w:val="nil"/>
                    <w:tr2bl w:val="nil"/>
                  </w:tcBorders>
                  <w:vAlign w:val="center"/>
                </w:tcPr>
                <w:p w14:paraId="2EB3B3D0">
                  <w:pPr>
                    <w:autoSpaceDE w:val="0"/>
                    <w:autoSpaceDN w:val="0"/>
                    <w:adjustRightInd w:val="0"/>
                    <w:jc w:val="center"/>
                    <w:rPr>
                      <w:rFonts w:hint="default" w:ascii="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t>pH、总硬度、溶解性总固体、硫酸盐、氯化物、铁、锰、铜、锌、铝、挥发性酚类、石油类、阴离子表面活性剂、耗氧量、氨氮、硫化物、钠、总大肠菌群、菌落总数、亚硝酸盐、硝酸盐、氰化物、氟化物、汞、砷、硒、镉、六价铬、铅、</w:t>
                  </w:r>
                  <w:r>
                    <w:rPr>
                      <w:rFonts w:hint="eastAsia" w:cs="Times New Roman"/>
                      <w:color w:val="000000" w:themeColor="text1"/>
                      <w:kern w:val="0"/>
                      <w:sz w:val="21"/>
                      <w:szCs w:val="24"/>
                      <w:lang w:val="en-US" w:eastAsia="zh-CN" w:bidi="ar-SA"/>
                      <w14:textFill>
                        <w14:solidFill>
                          <w14:schemeClr w14:val="tx1"/>
                        </w14:solidFill>
                      </w14:textFill>
                    </w:rPr>
                    <w:t>石油类、</w:t>
                  </w:r>
                  <w: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t>三氯甲烷、四氯化碳、苯、甲苯、镍、二氯甲烷、1，2-氯乙烷、1，1，1-氯乙烷、1，1，2-三氯乙烷、三氯乙烯</w:t>
                  </w:r>
                </w:p>
              </w:tc>
              <w:tc>
                <w:tcPr>
                  <w:tcW w:w="391" w:type="pct"/>
                  <w:tcBorders>
                    <w:tl2br w:val="nil"/>
                    <w:tr2bl w:val="nil"/>
                  </w:tcBorders>
                  <w:vAlign w:val="center"/>
                </w:tcPr>
                <w:p w14:paraId="6C65842A">
                  <w:pPr>
                    <w:autoSpaceDE w:val="0"/>
                    <w:autoSpaceDN w:val="0"/>
                    <w:adjustRightInd w:val="0"/>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1次/年</w:t>
                  </w:r>
                </w:p>
              </w:tc>
              <w:tc>
                <w:tcPr>
                  <w:tcW w:w="467" w:type="pct"/>
                  <w:tcBorders>
                    <w:tl2br w:val="nil"/>
                    <w:tr2bl w:val="nil"/>
                  </w:tcBorders>
                  <w:vAlign w:val="center"/>
                </w:tcPr>
                <w:p w14:paraId="1B7B924C">
                  <w:pPr>
                    <w:autoSpaceDE w:val="0"/>
                    <w:autoSpaceDN w:val="0"/>
                    <w:adjustRightInd w:val="0"/>
                    <w:jc w:val="center"/>
                    <w:rPr>
                      <w:rFonts w:hint="default" w:asci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bl>
          <w:p w14:paraId="357C81F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color w:val="000000" w:themeColor="text1"/>
                <w:kern w:val="2"/>
                <w:sz w:val="21"/>
                <w:szCs w:val="21"/>
                <w:lang w:eastAsia="zh-CN"/>
                <w14:textFill>
                  <w14:solidFill>
                    <w14:schemeClr w14:val="tx1"/>
                  </w14:solidFill>
                </w14:textFill>
              </w:rPr>
            </w:pPr>
            <w:r>
              <w:rPr>
                <w:rFonts w:hint="eastAsia" w:ascii="宋体" w:hAnsi="宋体" w:eastAsia="宋体" w:cs="宋体"/>
                <w:b/>
                <w:bCs/>
                <w:color w:val="000000" w:themeColor="text1"/>
                <w:kern w:val="2"/>
                <w:sz w:val="21"/>
                <w:szCs w:val="21"/>
                <w14:textFill>
                  <w14:solidFill>
                    <w14:schemeClr w14:val="tx1"/>
                  </w14:solidFill>
                </w14:textFill>
              </w:rPr>
              <w:t>表</w:t>
            </w:r>
            <w:r>
              <w:rPr>
                <w:rFonts w:hint="eastAsia" w:ascii="宋体" w:hAnsi="宋体" w:eastAsia="宋体" w:cs="宋体"/>
                <w:b/>
                <w:bCs/>
                <w:color w:val="000000" w:themeColor="text1"/>
                <w:kern w:val="2"/>
                <w:sz w:val="21"/>
                <w:szCs w:val="21"/>
                <w:lang w:val="en-US" w:eastAsia="zh-CN"/>
                <w14:textFill>
                  <w14:solidFill>
                    <w14:schemeClr w14:val="tx1"/>
                  </w14:solidFill>
                </w14:textFill>
              </w:rPr>
              <w:t>4.2-14</w:t>
            </w:r>
            <w:r>
              <w:rPr>
                <w:rFonts w:hint="eastAsia" w:ascii="宋体" w:hAnsi="宋体" w:eastAsia="宋体" w:cs="宋体"/>
                <w:b/>
                <w:bCs/>
                <w:color w:val="000000" w:themeColor="text1"/>
                <w:kern w:val="2"/>
                <w:sz w:val="21"/>
                <w:szCs w:val="21"/>
                <w14:textFill>
                  <w14:solidFill>
                    <w14:schemeClr w14:val="tx1"/>
                  </w14:solidFill>
                </w14:textFill>
              </w:rPr>
              <w:t xml:space="preserve">  </w:t>
            </w:r>
            <w:r>
              <w:rPr>
                <w:rFonts w:hint="eastAsia" w:ascii="宋体" w:hAnsi="宋体" w:eastAsia="宋体" w:cs="宋体"/>
                <w:b/>
                <w:bCs/>
                <w:color w:val="000000" w:themeColor="text1"/>
                <w:kern w:val="2"/>
                <w:sz w:val="21"/>
                <w:szCs w:val="21"/>
                <w:lang w:val="en-US" w:eastAsia="zh-CN"/>
                <w14:textFill>
                  <w14:solidFill>
                    <w14:schemeClr w14:val="tx1"/>
                  </w14:solidFill>
                </w14:textFill>
              </w:rPr>
              <w:t>土壤</w:t>
            </w:r>
            <w:r>
              <w:rPr>
                <w:rFonts w:hint="eastAsia" w:ascii="宋体" w:hAnsi="宋体" w:eastAsia="宋体" w:cs="宋体"/>
                <w:b/>
                <w:bCs/>
                <w:color w:val="000000" w:themeColor="text1"/>
                <w:kern w:val="2"/>
                <w:sz w:val="21"/>
                <w:szCs w:val="21"/>
                <w14:textFill>
                  <w14:solidFill>
                    <w14:schemeClr w14:val="tx1"/>
                  </w14:solidFill>
                </w14:textFill>
              </w:rPr>
              <w:t>跟踪监测</w:t>
            </w:r>
            <w:r>
              <w:rPr>
                <w:rFonts w:hint="eastAsia" w:ascii="宋体" w:hAnsi="宋体" w:eastAsia="宋体" w:cs="宋体"/>
                <w:b/>
                <w:bCs/>
                <w:color w:val="000000" w:themeColor="text1"/>
                <w:kern w:val="2"/>
                <w:sz w:val="21"/>
                <w:szCs w:val="21"/>
                <w:lang w:val="en-US" w:eastAsia="zh-CN"/>
                <w14:textFill>
                  <w14:solidFill>
                    <w14:schemeClr w14:val="tx1"/>
                  </w14:solidFill>
                </w14:textFill>
              </w:rPr>
              <w:t>计划</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314"/>
              <w:gridCol w:w="4069"/>
              <w:gridCol w:w="1142"/>
            </w:tblGrid>
            <w:tr w14:paraId="6D82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tcBorders>
                    <w:tl2br w:val="nil"/>
                    <w:tr2bl w:val="nil"/>
                  </w:tcBorders>
                  <w:vAlign w:val="center"/>
                </w:tcPr>
                <w:p w14:paraId="3329B91A">
                  <w:pPr>
                    <w:jc w:val="center"/>
                    <w:rPr>
                      <w:rFonts w:ascii="Times New Roman"/>
                      <w:b/>
                      <w:bCs/>
                      <w:color w:val="000000" w:themeColor="text1"/>
                      <w:kern w:val="2"/>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监测点位置</w:t>
                  </w:r>
                </w:p>
              </w:tc>
              <w:tc>
                <w:tcPr>
                  <w:tcW w:w="1325" w:type="dxa"/>
                  <w:tcBorders>
                    <w:tl2br w:val="nil"/>
                    <w:tr2bl w:val="nil"/>
                  </w:tcBorders>
                  <w:vAlign w:val="center"/>
                </w:tcPr>
                <w:p w14:paraId="21AE5E11">
                  <w:pPr>
                    <w:jc w:val="center"/>
                    <w:rPr>
                      <w:rFonts w:hint="default" w:ascii="Times New Roman" w:eastAsia="宋体"/>
                      <w:b/>
                      <w:bCs/>
                      <w:color w:val="000000" w:themeColor="text1"/>
                      <w:kern w:val="2"/>
                      <w:sz w:val="21"/>
                      <w:szCs w:val="21"/>
                      <w:lang w:val="en-US" w:eastAsia="zh-CN"/>
                      <w14:textFill>
                        <w14:solidFill>
                          <w14:schemeClr w14:val="tx1"/>
                        </w14:solidFill>
                      </w14:textFill>
                    </w:rPr>
                  </w:pPr>
                  <w:r>
                    <w:rPr>
                      <w:rFonts w:hint="eastAsia" w:ascii="Times New Roman"/>
                      <w:b/>
                      <w:bCs/>
                      <w:color w:val="000000" w:themeColor="text1"/>
                      <w:kern w:val="2"/>
                      <w:sz w:val="21"/>
                      <w:szCs w:val="21"/>
                      <w:lang w:val="en-US" w:eastAsia="zh-CN"/>
                      <w14:textFill>
                        <w14:solidFill>
                          <w14:schemeClr w14:val="tx1"/>
                        </w14:solidFill>
                      </w14:textFill>
                    </w:rPr>
                    <w:t>取样深度</w:t>
                  </w:r>
                </w:p>
              </w:tc>
              <w:tc>
                <w:tcPr>
                  <w:tcW w:w="4107" w:type="dxa"/>
                  <w:tcBorders>
                    <w:tl2br w:val="nil"/>
                    <w:tr2bl w:val="nil"/>
                  </w:tcBorders>
                  <w:vAlign w:val="center"/>
                </w:tcPr>
                <w:p w14:paraId="15301EEA">
                  <w:pPr>
                    <w:jc w:val="center"/>
                    <w:rPr>
                      <w:rFonts w:ascii="Times New Roman"/>
                      <w:b/>
                      <w:bCs/>
                      <w:color w:val="000000" w:themeColor="text1"/>
                      <w:kern w:val="2"/>
                      <w:sz w:val="21"/>
                      <w:szCs w:val="21"/>
                      <w14:textFill>
                        <w14:solidFill>
                          <w14:schemeClr w14:val="tx1"/>
                        </w14:solidFill>
                      </w14:textFill>
                    </w:rPr>
                  </w:pPr>
                  <w:r>
                    <w:rPr>
                      <w:rFonts w:hint="eastAsia" w:ascii="Times New Roman"/>
                      <w:b/>
                      <w:bCs/>
                      <w:color w:val="000000" w:themeColor="text1"/>
                      <w:kern w:val="2"/>
                      <w:sz w:val="21"/>
                      <w:szCs w:val="21"/>
                      <w14:textFill>
                        <w14:solidFill>
                          <w14:schemeClr w14:val="tx1"/>
                        </w14:solidFill>
                      </w14:textFill>
                    </w:rPr>
                    <w:t>监测因子</w:t>
                  </w:r>
                </w:p>
              </w:tc>
              <w:tc>
                <w:tcPr>
                  <w:tcW w:w="1151" w:type="dxa"/>
                  <w:tcBorders>
                    <w:tl2br w:val="nil"/>
                    <w:tr2bl w:val="nil"/>
                  </w:tcBorders>
                  <w:vAlign w:val="center"/>
                </w:tcPr>
                <w:p w14:paraId="5F925C3C">
                  <w:pPr>
                    <w:jc w:val="center"/>
                    <w:rPr>
                      <w:rFonts w:hint="eastAsia" w:ascii="Times New Roman" w:eastAsia="宋体"/>
                      <w:b/>
                      <w:bCs/>
                      <w:color w:val="000000" w:themeColor="text1"/>
                      <w:sz w:val="21"/>
                      <w:szCs w:val="21"/>
                      <w:lang w:val="en-US" w:eastAsia="zh-CN"/>
                      <w14:textFill>
                        <w14:solidFill>
                          <w14:schemeClr w14:val="tx1"/>
                        </w14:solidFill>
                      </w14:textFill>
                    </w:rPr>
                  </w:pPr>
                  <w:r>
                    <w:rPr>
                      <w:rFonts w:ascii="Times New Roman"/>
                      <w:b/>
                      <w:bCs/>
                      <w:color w:val="000000" w:themeColor="text1"/>
                      <w:sz w:val="21"/>
                      <w:szCs w:val="21"/>
                      <w14:textFill>
                        <w14:solidFill>
                          <w14:schemeClr w14:val="tx1"/>
                        </w14:solidFill>
                      </w14:textFill>
                    </w:rPr>
                    <w:t>监测</w:t>
                  </w:r>
                  <w:r>
                    <w:rPr>
                      <w:rFonts w:hint="eastAsia" w:ascii="Times New Roman"/>
                      <w:b/>
                      <w:bCs/>
                      <w:color w:val="000000" w:themeColor="text1"/>
                      <w:sz w:val="21"/>
                      <w:szCs w:val="21"/>
                      <w:lang w:val="en-US" w:eastAsia="zh-CN"/>
                      <w14:textFill>
                        <w14:solidFill>
                          <w14:schemeClr w14:val="tx1"/>
                        </w14:solidFill>
                      </w14:textFill>
                    </w:rPr>
                    <w:t>频次</w:t>
                  </w:r>
                </w:p>
              </w:tc>
            </w:tr>
            <w:tr w14:paraId="2D76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14" w:type="dxa"/>
                  <w:tcBorders>
                    <w:tl2br w:val="nil"/>
                    <w:tr2bl w:val="nil"/>
                  </w:tcBorders>
                  <w:vAlign w:val="center"/>
                </w:tcPr>
                <w:p w14:paraId="6C24E5B1">
                  <w:pPr>
                    <w:autoSpaceDE w:val="0"/>
                    <w:autoSpaceDN w:val="0"/>
                    <w:adjustRightInd w:val="0"/>
                    <w:jc w:val="center"/>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贮存库东侧</w:t>
                  </w:r>
                </w:p>
              </w:tc>
              <w:tc>
                <w:tcPr>
                  <w:tcW w:w="1325" w:type="dxa"/>
                  <w:tcBorders>
                    <w:tl2br w:val="nil"/>
                    <w:tr2bl w:val="nil"/>
                  </w:tcBorders>
                  <w:vAlign w:val="center"/>
                </w:tcPr>
                <w:p w14:paraId="1C6AB445">
                  <w:pPr>
                    <w:autoSpaceDE w:val="0"/>
                    <w:autoSpaceDN w:val="0"/>
                    <w:adjustRightInd w:val="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4"/>
                      <w:lang w:val="en-US" w:eastAsia="zh-CN" w:bidi="ar-SA"/>
                      <w14:textFill>
                        <w14:solidFill>
                          <w14:schemeClr w14:val="tx1"/>
                        </w14:solidFill>
                      </w14:textFill>
                    </w:rPr>
                    <w:t>0~0.5m</w:t>
                  </w:r>
                </w:p>
              </w:tc>
              <w:tc>
                <w:tcPr>
                  <w:tcW w:w="4107" w:type="dxa"/>
                  <w:tcBorders>
                    <w:tl2br w:val="nil"/>
                    <w:tr2bl w:val="nil"/>
                  </w:tcBorders>
                  <w:vAlign w:val="center"/>
                </w:tcPr>
                <w:p w14:paraId="2351245B">
                  <w:pPr>
                    <w:autoSpaceDE w:val="0"/>
                    <w:autoSpaceDN w:val="0"/>
                    <w:adjustRightInd w:val="0"/>
                    <w:jc w:val="center"/>
                    <w:rPr>
                      <w:rFonts w:hint="default" w:ascii="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t>《土壤环境质量 建设用地土壤污染风险管控标准（试行）》（GB36600-2018）</w:t>
                  </w:r>
                  <w:r>
                    <w:rPr>
                      <w:rFonts w:hint="eastAsia" w:ascii="Times New Roman" w:hAnsi="Times New Roman" w:cs="Times New Roman"/>
                      <w:color w:val="000000" w:themeColor="text1"/>
                      <w:kern w:val="0"/>
                      <w:sz w:val="21"/>
                      <w:szCs w:val="24"/>
                      <w:lang w:val="en-US" w:eastAsia="zh-CN" w:bidi="ar-SA"/>
                      <w14:textFill>
                        <w14:solidFill>
                          <w14:schemeClr w14:val="tx1"/>
                        </w14:solidFill>
                      </w14:textFill>
                    </w:rPr>
                    <w:t>中45项基本因子、pH、</w:t>
                  </w:r>
                  <w:r>
                    <w:rPr>
                      <w:rFonts w:hint="eastAsia" w:cs="Times New Roman"/>
                      <w:color w:val="000000" w:themeColor="text1"/>
                      <w:kern w:val="0"/>
                      <w:sz w:val="21"/>
                      <w:szCs w:val="24"/>
                      <w:lang w:val="en-US" w:eastAsia="zh-CN" w:bidi="ar-SA"/>
                      <w14:textFill>
                        <w14:solidFill>
                          <w14:schemeClr w14:val="tx1"/>
                        </w14:solidFill>
                      </w14:textFill>
                    </w:rPr>
                    <w:t>氟化物、石油烃</w:t>
                  </w:r>
                </w:p>
              </w:tc>
              <w:tc>
                <w:tcPr>
                  <w:tcW w:w="1151" w:type="dxa"/>
                  <w:tcBorders>
                    <w:tl2br w:val="nil"/>
                    <w:tr2bl w:val="nil"/>
                  </w:tcBorders>
                  <w:vAlign w:val="center"/>
                </w:tcPr>
                <w:p w14:paraId="0C28D56C">
                  <w:pPr>
                    <w:autoSpaceDE w:val="0"/>
                    <w:autoSpaceDN w:val="0"/>
                    <w:adjustRightInd w:val="0"/>
                    <w:jc w:val="center"/>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1次/年</w:t>
                  </w:r>
                </w:p>
              </w:tc>
            </w:tr>
          </w:tbl>
          <w:p w14:paraId="032F8447">
            <w:pPr>
              <w:keepNext/>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宋体" w:cs="Times New Roman"/>
                <w:b/>
                <w:bCs w:val="0"/>
                <w:color w:val="000000" w:themeColor="text1"/>
                <w:kern w:val="0"/>
                <w:sz w:val="24"/>
                <w:szCs w:val="24"/>
                <w:lang w:val="en-US" w:eastAsia="zh-CN" w:bidi="ar-SA"/>
                <w14:textFill>
                  <w14:solidFill>
                    <w14:schemeClr w14:val="tx1"/>
                  </w14:solidFill>
                </w14:textFill>
              </w:rPr>
            </w:pPr>
            <w:r>
              <w:rPr>
                <w:rFonts w:hint="eastAsia" w:cs="Times New Roman"/>
                <w:b/>
                <w:bCs w:val="0"/>
                <w:color w:val="000000" w:themeColor="text1"/>
                <w:kern w:val="0"/>
                <w:sz w:val="24"/>
                <w:szCs w:val="24"/>
                <w:lang w:val="en-US" w:eastAsia="zh-CN" w:bidi="ar-SA"/>
                <w14:textFill>
                  <w14:solidFill>
                    <w14:schemeClr w14:val="tx1"/>
                  </w14:solidFill>
                </w14:textFill>
              </w:rPr>
              <w:t>3</w:t>
            </w:r>
            <w:r>
              <w:rPr>
                <w:rFonts w:hint="eastAsia" w:eastAsia="宋体" w:cs="Times New Roman"/>
                <w:b/>
                <w:bCs w:val="0"/>
                <w:color w:val="000000" w:themeColor="text1"/>
                <w:kern w:val="0"/>
                <w:sz w:val="24"/>
                <w:szCs w:val="24"/>
                <w:lang w:val="en-US" w:eastAsia="zh-CN" w:bidi="ar-SA"/>
                <w14:textFill>
                  <w14:solidFill>
                    <w14:schemeClr w14:val="tx1"/>
                  </w14:solidFill>
                </w14:textFill>
              </w:rPr>
              <w:t>、地下水</w:t>
            </w:r>
            <w:r>
              <w:rPr>
                <w:rFonts w:hint="eastAsia" w:cs="Times New Roman"/>
                <w:b/>
                <w:bCs w:val="0"/>
                <w:color w:val="000000" w:themeColor="text1"/>
                <w:kern w:val="0"/>
                <w:sz w:val="24"/>
                <w:szCs w:val="24"/>
                <w:lang w:val="en-US" w:eastAsia="zh-CN" w:bidi="ar-SA"/>
                <w14:textFill>
                  <w14:solidFill>
                    <w14:schemeClr w14:val="tx1"/>
                  </w14:solidFill>
                </w14:textFill>
              </w:rPr>
              <w:t>、土壤</w:t>
            </w:r>
            <w:r>
              <w:rPr>
                <w:rFonts w:hint="eastAsia" w:eastAsia="宋体" w:cs="Times New Roman"/>
                <w:b/>
                <w:bCs w:val="0"/>
                <w:color w:val="000000" w:themeColor="text1"/>
                <w:kern w:val="0"/>
                <w:sz w:val="24"/>
                <w:szCs w:val="24"/>
                <w:lang w:val="en-US" w:eastAsia="zh-CN" w:bidi="ar-SA"/>
                <w14:textFill>
                  <w14:solidFill>
                    <w14:schemeClr w14:val="tx1"/>
                  </w14:solidFill>
                </w14:textFill>
              </w:rPr>
              <w:t>环境影响分析</w:t>
            </w:r>
          </w:p>
          <w:p w14:paraId="37C3AED2">
            <w:pPr>
              <w:keepNext/>
              <w:keepLines w:val="0"/>
              <w:pageBreakBefore w:val="0"/>
              <w:widowControl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r>
              <w:rPr>
                <w:rFonts w:hint="eastAsia" w:eastAsia="宋体" w:cs="Times New Roman"/>
                <w:bCs/>
                <w:color w:val="000000" w:themeColor="text1"/>
                <w:kern w:val="0"/>
                <w:sz w:val="24"/>
                <w:szCs w:val="24"/>
                <w:lang w:val="en-US" w:eastAsia="zh-CN" w:bidi="ar-SA"/>
                <w14:textFill>
                  <w14:solidFill>
                    <w14:schemeClr w14:val="tx1"/>
                  </w14:solidFill>
                </w14:textFill>
              </w:rPr>
              <w:t>根据现场踏勘，项目区周边无</w:t>
            </w:r>
            <w:r>
              <w:rPr>
                <w:rFonts w:hint="eastAsia" w:cs="Times New Roman"/>
                <w:bCs/>
                <w:color w:val="000000" w:themeColor="text1"/>
                <w:kern w:val="0"/>
                <w:sz w:val="24"/>
                <w:szCs w:val="24"/>
                <w:lang w:val="en-US" w:eastAsia="zh-CN" w:bidi="ar-SA"/>
                <w14:textFill>
                  <w14:solidFill>
                    <w14:schemeClr w14:val="tx1"/>
                  </w14:solidFill>
                </w14:textFill>
              </w:rPr>
              <w:t>土壤、</w:t>
            </w:r>
            <w:r>
              <w:rPr>
                <w:rFonts w:hint="eastAsia" w:eastAsia="宋体" w:cs="Times New Roman"/>
                <w:bCs/>
                <w:color w:val="000000" w:themeColor="text1"/>
                <w:kern w:val="0"/>
                <w:sz w:val="24"/>
                <w:szCs w:val="24"/>
                <w:lang w:val="en-US" w:eastAsia="zh-CN" w:bidi="ar-SA"/>
                <w14:textFill>
                  <w14:solidFill>
                    <w14:schemeClr w14:val="tx1"/>
                  </w14:solidFill>
                </w14:textFill>
              </w:rPr>
              <w:t>地下水环境保护目标。厂区内通过采取</w:t>
            </w:r>
            <w:r>
              <w:rPr>
                <w:rFonts w:hint="eastAsia" w:cs="Times New Roman"/>
                <w:bCs/>
                <w:color w:val="000000" w:themeColor="text1"/>
                <w:kern w:val="0"/>
                <w:sz w:val="24"/>
                <w:szCs w:val="24"/>
                <w:lang w:val="en-US" w:eastAsia="zh-CN" w:bidi="ar-SA"/>
                <w14:textFill>
                  <w14:solidFill>
                    <w14:schemeClr w14:val="tx1"/>
                  </w14:solidFill>
                </w14:textFill>
              </w:rPr>
              <w:t>源头控制、</w:t>
            </w:r>
            <w:r>
              <w:rPr>
                <w:rFonts w:hint="eastAsia" w:eastAsia="宋体" w:cs="Times New Roman"/>
                <w:bCs/>
                <w:color w:val="000000" w:themeColor="text1"/>
                <w:kern w:val="0"/>
                <w:sz w:val="24"/>
                <w:szCs w:val="24"/>
                <w:lang w:val="en-US" w:eastAsia="zh-CN" w:bidi="ar-SA"/>
                <w14:textFill>
                  <w14:solidFill>
                    <w14:schemeClr w14:val="tx1"/>
                  </w14:solidFill>
                </w14:textFill>
              </w:rPr>
              <w:t>分区防渗措施</w:t>
            </w:r>
            <w:r>
              <w:rPr>
                <w:rFonts w:hint="eastAsia" w:cs="Times New Roman"/>
                <w:bCs/>
                <w:color w:val="000000" w:themeColor="text1"/>
                <w:kern w:val="0"/>
                <w:sz w:val="24"/>
                <w:szCs w:val="24"/>
                <w:lang w:val="en-US" w:eastAsia="zh-CN" w:bidi="ar-SA"/>
                <w14:textFill>
                  <w14:solidFill>
                    <w14:schemeClr w14:val="tx1"/>
                  </w14:solidFill>
                </w14:textFill>
              </w:rPr>
              <w:t>、过程控制措施等</w:t>
            </w:r>
            <w:r>
              <w:rPr>
                <w:rFonts w:hint="eastAsia" w:eastAsia="宋体" w:cs="Times New Roman"/>
                <w:bCs/>
                <w:color w:val="000000" w:themeColor="text1"/>
                <w:kern w:val="0"/>
                <w:sz w:val="24"/>
                <w:szCs w:val="24"/>
                <w:lang w:val="en-US" w:eastAsia="zh-CN" w:bidi="ar-SA"/>
                <w14:textFill>
                  <w14:solidFill>
                    <w14:schemeClr w14:val="tx1"/>
                  </w14:solidFill>
                </w14:textFill>
              </w:rPr>
              <w:t>，可阻断污染物入渗途径</w:t>
            </w:r>
            <w:r>
              <w:rPr>
                <w:rFonts w:hint="eastAsia" w:cs="Times New Roman"/>
                <w:bCs/>
                <w:color w:val="000000" w:themeColor="text1"/>
                <w:kern w:val="0"/>
                <w:sz w:val="24"/>
                <w:szCs w:val="24"/>
                <w:lang w:val="en-US" w:eastAsia="zh-CN" w:bidi="ar-SA"/>
                <w14:textFill>
                  <w14:solidFill>
                    <w14:schemeClr w14:val="tx1"/>
                  </w14:solidFill>
                </w14:textFill>
              </w:rPr>
              <w:t>。通过加强管理，</w:t>
            </w:r>
            <w:r>
              <w:rPr>
                <w:rFonts w:hint="eastAsia" w:eastAsia="宋体" w:cs="Times New Roman"/>
                <w:bCs/>
                <w:color w:val="000000" w:themeColor="text1"/>
                <w:kern w:val="0"/>
                <w:sz w:val="24"/>
                <w:szCs w:val="24"/>
                <w:lang w:val="en-US" w:eastAsia="zh-CN" w:bidi="ar-SA"/>
                <w14:textFill>
                  <w14:solidFill>
                    <w14:schemeClr w14:val="tx1"/>
                  </w14:solidFill>
                </w14:textFill>
              </w:rPr>
              <w:t>可进一步从源头控制污染物的</w:t>
            </w:r>
            <w:r>
              <w:rPr>
                <w:rFonts w:hint="eastAsia" w:cs="Times New Roman"/>
                <w:bCs/>
                <w:color w:val="000000" w:themeColor="text1"/>
                <w:kern w:val="0"/>
                <w:sz w:val="24"/>
                <w:szCs w:val="24"/>
                <w:lang w:val="en-US" w:eastAsia="zh-CN" w:bidi="ar-SA"/>
                <w14:textFill>
                  <w14:solidFill>
                    <w14:schemeClr w14:val="tx1"/>
                  </w14:solidFill>
                </w14:textFill>
              </w:rPr>
              <w:t>泄漏、漫流，在落实上述地下水环境保护措施后，</w:t>
            </w:r>
            <w:r>
              <w:rPr>
                <w:rFonts w:hint="eastAsia" w:eastAsia="宋体" w:cs="Times New Roman"/>
                <w:bCs/>
                <w:color w:val="000000" w:themeColor="text1"/>
                <w:kern w:val="0"/>
                <w:sz w:val="24"/>
                <w:szCs w:val="24"/>
                <w:lang w:val="en-US" w:eastAsia="zh-CN" w:bidi="ar-SA"/>
                <w14:textFill>
                  <w14:solidFill>
                    <w14:schemeClr w14:val="tx1"/>
                  </w14:solidFill>
                </w14:textFill>
              </w:rPr>
              <w:t>项目运营期对</w:t>
            </w:r>
            <w:r>
              <w:rPr>
                <w:rFonts w:hint="eastAsia" w:cs="Times New Roman"/>
                <w:bCs/>
                <w:color w:val="000000" w:themeColor="text1"/>
                <w:kern w:val="0"/>
                <w:sz w:val="24"/>
                <w:szCs w:val="24"/>
                <w:lang w:val="en-US" w:eastAsia="zh-CN" w:bidi="ar-SA"/>
                <w14:textFill>
                  <w14:solidFill>
                    <w14:schemeClr w14:val="tx1"/>
                  </w14:solidFill>
                </w14:textFill>
              </w:rPr>
              <w:t>土壤及</w:t>
            </w:r>
            <w:r>
              <w:rPr>
                <w:rFonts w:hint="eastAsia" w:eastAsia="宋体" w:cs="Times New Roman"/>
                <w:bCs/>
                <w:color w:val="000000" w:themeColor="text1"/>
                <w:kern w:val="0"/>
                <w:sz w:val="24"/>
                <w:szCs w:val="24"/>
                <w:lang w:val="en-US" w:eastAsia="zh-CN" w:bidi="ar-SA"/>
                <w14:textFill>
                  <w14:solidFill>
                    <w14:schemeClr w14:val="tx1"/>
                  </w14:solidFill>
                </w14:textFill>
              </w:rPr>
              <w:t>地下水环境影响较小。</w:t>
            </w:r>
          </w:p>
          <w:p w14:paraId="44D07E72">
            <w:pPr>
              <w:keepNext/>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B050"/>
                <w:sz w:val="24"/>
                <w:lang w:val="en-US" w:eastAsia="zh-CN"/>
              </w:rPr>
            </w:pPr>
            <w:r>
              <w:rPr>
                <w:rFonts w:hint="eastAsia" w:ascii="Times New Roman" w:hAnsi="Times New Roman" w:eastAsia="宋体" w:cs="Times New Roman"/>
                <w:b/>
                <w:color w:val="00B050"/>
                <w:sz w:val="24"/>
                <w:lang w:val="en-US" w:eastAsia="zh-CN"/>
              </w:rPr>
              <w:t>4.2.5固体废物环境影响分析</w:t>
            </w:r>
          </w:p>
          <w:p w14:paraId="7F517045">
            <w:pPr>
              <w:keepNext/>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cs="Times New Roman"/>
                <w:b/>
                <w:bCs w:val="0"/>
                <w:color w:val="00B050"/>
                <w:kern w:val="0"/>
                <w:sz w:val="24"/>
                <w:szCs w:val="24"/>
                <w:lang w:val="en-US" w:eastAsia="zh-CN" w:bidi="ar-SA"/>
              </w:rPr>
            </w:pPr>
            <w:r>
              <w:rPr>
                <w:rFonts w:hint="eastAsia" w:ascii="Times New Roman" w:hAnsi="Times New Roman" w:cs="Times New Roman"/>
                <w:b/>
                <w:bCs w:val="0"/>
                <w:color w:val="00B050"/>
                <w:kern w:val="0"/>
                <w:sz w:val="24"/>
                <w:szCs w:val="24"/>
                <w:lang w:val="en-US" w:eastAsia="zh-CN" w:bidi="ar-SA"/>
              </w:rPr>
              <w:t>1、固废种类</w:t>
            </w:r>
          </w:p>
          <w:p w14:paraId="74EC2232">
            <w:pPr>
              <w:widowControl w:val="0"/>
              <w:spacing w:line="360" w:lineRule="auto"/>
              <w:ind w:firstLine="482" w:firstLineChars="200"/>
              <w:jc w:val="both"/>
              <w:rPr>
                <w:rFonts w:hint="eastAsia" w:ascii="Times New Roman" w:hAnsi="Times New Roman" w:eastAsia="宋体" w:cs="Times New Roman"/>
                <w:b/>
                <w:bCs/>
                <w:color w:val="00B050"/>
                <w:kern w:val="0"/>
                <w:sz w:val="24"/>
                <w:szCs w:val="52"/>
                <w:lang w:val="en-US" w:eastAsia="zh-CN" w:bidi="ar-SA"/>
              </w:rPr>
            </w:pPr>
            <w:r>
              <w:rPr>
                <w:rFonts w:hint="eastAsia" w:ascii="Times New Roman" w:hAnsi="Times New Roman" w:cs="Times New Roman"/>
                <w:b/>
                <w:bCs/>
                <w:color w:val="00B050"/>
                <w:kern w:val="0"/>
                <w:sz w:val="24"/>
                <w:szCs w:val="52"/>
                <w:lang w:val="en-US" w:eastAsia="zh-CN" w:bidi="ar-SA"/>
              </w:rPr>
              <w:t>（1）含</w:t>
            </w:r>
            <w:r>
              <w:rPr>
                <w:rFonts w:hint="eastAsia" w:ascii="Times New Roman" w:hAnsi="Times New Roman" w:eastAsia="宋体" w:cs="Times New Roman"/>
                <w:b/>
                <w:bCs/>
                <w:color w:val="00B050"/>
                <w:kern w:val="0"/>
                <w:sz w:val="24"/>
                <w:szCs w:val="52"/>
                <w:lang w:val="en-US" w:eastAsia="zh-CN" w:bidi="ar-SA"/>
              </w:rPr>
              <w:t>油废抹布及废手套</w:t>
            </w:r>
          </w:p>
          <w:p w14:paraId="4DE6FE97">
            <w:pPr>
              <w:widowControl w:val="0"/>
              <w:spacing w:line="360" w:lineRule="auto"/>
              <w:ind w:firstLine="480" w:firstLineChars="200"/>
              <w:jc w:val="both"/>
              <w:rPr>
                <w:rFonts w:hint="default" w:ascii="Times New Roman" w:hAnsi="Times New Roman" w:eastAsia="宋体" w:cs="Times New Roman"/>
                <w:color w:val="00B050"/>
                <w:kern w:val="0"/>
                <w:sz w:val="24"/>
                <w:szCs w:val="52"/>
                <w:lang w:val="en-US" w:eastAsia="zh-CN" w:bidi="ar-SA"/>
              </w:rPr>
            </w:pPr>
            <w:r>
              <w:rPr>
                <w:rFonts w:hint="default" w:ascii="Times New Roman" w:hAnsi="Times New Roman" w:eastAsia="宋体" w:cs="Times New Roman"/>
                <w:b w:val="0"/>
                <w:bCs/>
                <w:color w:val="00B050"/>
                <w:sz w:val="24"/>
                <w:szCs w:val="24"/>
                <w:highlight w:val="none"/>
                <w:lang w:val="en-US" w:eastAsia="zh-CN"/>
              </w:rPr>
              <w:t>项目定期对设备进行清洁维护，擦拭完后会产生含油废抹布手套，根据建设单位提供资料，废抹布手套的产生量约为0.0</w:t>
            </w:r>
            <w:r>
              <w:rPr>
                <w:rFonts w:hint="eastAsia" w:ascii="Times New Roman" w:hAnsi="Times New Roman" w:eastAsia="宋体" w:cs="Times New Roman"/>
                <w:b w:val="0"/>
                <w:bCs/>
                <w:color w:val="00B050"/>
                <w:sz w:val="24"/>
                <w:szCs w:val="24"/>
                <w:highlight w:val="none"/>
                <w:lang w:val="en-US" w:eastAsia="zh-CN"/>
              </w:rPr>
              <w:t>2</w:t>
            </w:r>
            <w:r>
              <w:rPr>
                <w:rFonts w:hint="default" w:ascii="Times New Roman" w:hAnsi="Times New Roman" w:eastAsia="宋体" w:cs="Times New Roman"/>
                <w:b w:val="0"/>
                <w:bCs/>
                <w:color w:val="00B050"/>
                <w:sz w:val="24"/>
                <w:szCs w:val="24"/>
                <w:highlight w:val="none"/>
                <w:lang w:val="en-US" w:eastAsia="zh-CN"/>
              </w:rPr>
              <w:t>t/a，</w:t>
            </w:r>
            <w:r>
              <w:rPr>
                <w:rFonts w:hint="eastAsia"/>
                <w:color w:val="00B050"/>
                <w:sz w:val="24"/>
                <w:szCs w:val="24"/>
                <w:lang w:val="en-US" w:eastAsia="zh-CN"/>
              </w:rPr>
              <w:t>由于</w:t>
            </w:r>
            <w:r>
              <w:rPr>
                <w:rFonts w:hint="eastAsia" w:cs="Times New Roman"/>
                <w:color w:val="00B050"/>
                <w:spacing w:val="-6"/>
                <w:sz w:val="24"/>
                <w:szCs w:val="24"/>
                <w:highlight w:val="none"/>
                <w:lang w:val="en-US" w:eastAsia="zh-CN"/>
              </w:rPr>
              <w:t>项目建设周期3个月，本项目产生含油</w:t>
            </w:r>
            <w:r>
              <w:rPr>
                <w:rFonts w:hint="default" w:ascii="Times New Roman" w:hAnsi="Times New Roman" w:eastAsia="宋体" w:cs="Times New Roman"/>
                <w:b w:val="0"/>
                <w:bCs/>
                <w:color w:val="00B050"/>
                <w:sz w:val="24"/>
                <w:szCs w:val="24"/>
                <w:highlight w:val="none"/>
                <w:lang w:val="en-US" w:eastAsia="zh-CN"/>
              </w:rPr>
              <w:t>废抹布</w:t>
            </w:r>
            <w:r>
              <w:rPr>
                <w:rFonts w:hint="eastAsia" w:cs="Times New Roman"/>
                <w:b w:val="0"/>
                <w:bCs/>
                <w:color w:val="00B050"/>
                <w:sz w:val="24"/>
                <w:szCs w:val="24"/>
                <w:highlight w:val="none"/>
                <w:lang w:val="en-US" w:eastAsia="zh-CN"/>
              </w:rPr>
              <w:t>、</w:t>
            </w:r>
            <w:r>
              <w:rPr>
                <w:rFonts w:hint="default" w:ascii="Times New Roman" w:hAnsi="Times New Roman" w:eastAsia="宋体" w:cs="Times New Roman"/>
                <w:b w:val="0"/>
                <w:bCs/>
                <w:color w:val="00B050"/>
                <w:sz w:val="24"/>
                <w:szCs w:val="24"/>
                <w:highlight w:val="none"/>
                <w:lang w:val="en-US" w:eastAsia="zh-CN"/>
              </w:rPr>
              <w:t>手套属于</w:t>
            </w:r>
            <w:r>
              <w:rPr>
                <w:rFonts w:hint="eastAsia" w:cs="Times New Roman"/>
                <w:color w:val="00B050"/>
                <w:spacing w:val="-6"/>
                <w:sz w:val="24"/>
                <w:szCs w:val="24"/>
                <w:highlight w:val="none"/>
                <w:lang w:val="en-US" w:eastAsia="zh-CN"/>
              </w:rPr>
              <w:t>2025年1月1日起施行</w:t>
            </w:r>
            <w:r>
              <w:rPr>
                <w:rFonts w:hint="default" w:ascii="Times New Roman" w:hAnsi="Times New Roman" w:eastAsia="宋体" w:cs="Times New Roman"/>
                <w:color w:val="00B050"/>
                <w:spacing w:val="-6"/>
                <w:sz w:val="24"/>
                <w:szCs w:val="24"/>
                <w:highlight w:val="none"/>
                <w:lang w:val="en-US" w:eastAsia="zh-CN"/>
              </w:rPr>
              <w:t>《国家危险废物名录》（202</w:t>
            </w:r>
            <w:r>
              <w:rPr>
                <w:rFonts w:hint="eastAsia" w:cs="Times New Roman"/>
                <w:color w:val="00B050"/>
                <w:spacing w:val="-6"/>
                <w:sz w:val="24"/>
                <w:szCs w:val="24"/>
                <w:highlight w:val="none"/>
                <w:lang w:val="en-US" w:eastAsia="zh-CN"/>
              </w:rPr>
              <w:t>5</w:t>
            </w:r>
            <w:r>
              <w:rPr>
                <w:rFonts w:hint="default" w:ascii="Times New Roman" w:hAnsi="Times New Roman" w:eastAsia="宋体" w:cs="Times New Roman"/>
                <w:color w:val="00B050"/>
                <w:spacing w:val="-6"/>
                <w:sz w:val="24"/>
                <w:szCs w:val="24"/>
                <w:highlight w:val="none"/>
                <w:lang w:val="en-US" w:eastAsia="zh-CN"/>
              </w:rPr>
              <w:t>年版）</w:t>
            </w:r>
            <w:r>
              <w:rPr>
                <w:rFonts w:hint="default" w:ascii="Times New Roman" w:hAnsi="Times New Roman" w:eastAsia="宋体" w:cs="Times New Roman"/>
                <w:b w:val="0"/>
                <w:bCs/>
                <w:color w:val="00B050"/>
                <w:sz w:val="24"/>
                <w:szCs w:val="24"/>
                <w:highlight w:val="none"/>
                <w:lang w:val="en-US" w:eastAsia="zh-CN"/>
              </w:rPr>
              <w:t>中</w:t>
            </w:r>
            <w:r>
              <w:rPr>
                <w:rFonts w:hint="eastAsia" w:ascii="Times New Roman" w:hAnsi="Times New Roman" w:eastAsia="宋体" w:cs="Times New Roman"/>
                <w:b w:val="0"/>
                <w:bCs/>
                <w:color w:val="00B050"/>
                <w:sz w:val="24"/>
                <w:szCs w:val="24"/>
                <w:highlight w:val="none"/>
                <w:lang w:val="en-US" w:eastAsia="zh-CN"/>
              </w:rPr>
              <w:t>“</w:t>
            </w:r>
            <w:r>
              <w:rPr>
                <w:rFonts w:hint="default" w:ascii="Times New Roman" w:hAnsi="Times New Roman" w:eastAsia="宋体" w:cs="Times New Roman"/>
                <w:color w:val="00B050"/>
                <w:spacing w:val="-6"/>
                <w:sz w:val="24"/>
                <w:szCs w:val="24"/>
                <w:highlight w:val="none"/>
                <w:lang w:val="en-US" w:eastAsia="zh-CN"/>
              </w:rPr>
              <w:t>HW</w:t>
            </w:r>
            <w:r>
              <w:rPr>
                <w:rFonts w:hint="eastAsia" w:eastAsia="宋体" w:cs="Times New Roman"/>
                <w:color w:val="00B050"/>
                <w:spacing w:val="-6"/>
                <w:sz w:val="24"/>
                <w:szCs w:val="24"/>
                <w:highlight w:val="none"/>
                <w:lang w:val="en-US" w:eastAsia="zh-CN"/>
              </w:rPr>
              <w:t xml:space="preserve">08 </w:t>
            </w:r>
            <w:r>
              <w:rPr>
                <w:rFonts w:hint="default" w:ascii="Times New Roman" w:hAnsi="Times New Roman" w:eastAsia="宋体" w:cs="Times New Roman"/>
                <w:color w:val="00B050"/>
                <w:spacing w:val="-6"/>
                <w:sz w:val="24"/>
                <w:szCs w:val="24"/>
                <w:highlight w:val="none"/>
                <w:lang w:val="en-US" w:eastAsia="zh-CN"/>
              </w:rPr>
              <w:t>废矿物油与含矿物油废物，废物代码900-</w:t>
            </w:r>
            <w:r>
              <w:rPr>
                <w:rFonts w:hint="eastAsia" w:eastAsia="宋体" w:cs="Times New Roman"/>
                <w:color w:val="00B050"/>
                <w:spacing w:val="-6"/>
                <w:sz w:val="24"/>
                <w:szCs w:val="24"/>
                <w:highlight w:val="none"/>
                <w:lang w:val="en-US" w:eastAsia="zh-CN"/>
              </w:rPr>
              <w:t>249</w:t>
            </w:r>
            <w:r>
              <w:rPr>
                <w:rFonts w:hint="default" w:ascii="Times New Roman" w:hAnsi="Times New Roman" w:eastAsia="宋体" w:cs="Times New Roman"/>
                <w:color w:val="00B050"/>
                <w:spacing w:val="-6"/>
                <w:sz w:val="24"/>
                <w:szCs w:val="24"/>
                <w:highlight w:val="none"/>
                <w:lang w:val="en-US" w:eastAsia="zh-CN"/>
              </w:rPr>
              <w:t>-</w:t>
            </w:r>
            <w:r>
              <w:rPr>
                <w:rFonts w:hint="eastAsia" w:eastAsia="宋体" w:cs="Times New Roman"/>
                <w:color w:val="00B050"/>
                <w:spacing w:val="-6"/>
                <w:sz w:val="24"/>
                <w:szCs w:val="24"/>
                <w:highlight w:val="none"/>
                <w:lang w:val="en-US" w:eastAsia="zh-CN"/>
              </w:rPr>
              <w:t>08</w:t>
            </w:r>
            <w:r>
              <w:rPr>
                <w:rFonts w:hint="eastAsia" w:ascii="Times New Roman" w:hAnsi="Times New Roman" w:eastAsia="宋体" w:cs="Times New Roman"/>
                <w:color w:val="00B050"/>
                <w:spacing w:val="-6"/>
                <w:sz w:val="24"/>
                <w:szCs w:val="24"/>
                <w:highlight w:val="none"/>
                <w:lang w:val="en-US" w:eastAsia="zh-CN"/>
              </w:rPr>
              <w:t>，危险特性</w:t>
            </w:r>
            <w:r>
              <w:rPr>
                <w:rFonts w:hint="default" w:ascii="Times New Roman" w:hAnsi="Times New Roman" w:eastAsia="宋体" w:cs="Times New Roman"/>
                <w:color w:val="00B050"/>
                <w:spacing w:val="-6"/>
                <w:sz w:val="24"/>
                <w:szCs w:val="24"/>
                <w:highlight w:val="none"/>
                <w:lang w:val="en-US" w:eastAsia="zh-CN"/>
              </w:rPr>
              <w:t>：</w:t>
            </w:r>
            <w:r>
              <w:rPr>
                <w:rFonts w:hint="default" w:ascii="Times New Roman" w:hAnsi="Times New Roman" w:cs="Times New Roman"/>
                <w:color w:val="00B050"/>
                <w:kern w:val="0"/>
                <w:sz w:val="24"/>
                <w:szCs w:val="24"/>
              </w:rPr>
              <w:t>T，I</w:t>
            </w:r>
            <w:r>
              <w:rPr>
                <w:rFonts w:hint="eastAsia" w:ascii="Times New Roman" w:hAnsi="Times New Roman" w:eastAsia="宋体" w:cs="Times New Roman"/>
                <w:b w:val="0"/>
                <w:bCs/>
                <w:color w:val="00B050"/>
                <w:sz w:val="24"/>
                <w:szCs w:val="24"/>
                <w:highlight w:val="none"/>
                <w:lang w:val="en-US" w:eastAsia="zh-CN"/>
              </w:rPr>
              <w:t>”</w:t>
            </w:r>
            <w:r>
              <w:rPr>
                <w:rFonts w:hint="default" w:ascii="Times New Roman" w:hAnsi="Times New Roman" w:eastAsia="宋体" w:cs="Times New Roman"/>
                <w:b w:val="0"/>
                <w:bCs/>
                <w:color w:val="00B050"/>
                <w:sz w:val="24"/>
                <w:szCs w:val="24"/>
                <w:highlight w:val="none"/>
                <w:lang w:val="en-US" w:eastAsia="zh-CN"/>
              </w:rPr>
              <w:t>，</w:t>
            </w:r>
            <w:r>
              <w:rPr>
                <w:rFonts w:hint="eastAsia" w:eastAsia="宋体" w:cs="Times New Roman"/>
                <w:b/>
                <w:bCs w:val="0"/>
                <w:color w:val="00B050"/>
                <w:sz w:val="24"/>
                <w:szCs w:val="24"/>
                <w:highlight w:val="none"/>
                <w:lang w:val="en-US" w:eastAsia="zh-CN"/>
              </w:rPr>
              <w:t>环评要求：</w:t>
            </w:r>
            <w:r>
              <w:rPr>
                <w:rFonts w:hint="eastAsia" w:eastAsia="宋体" w:cs="Times New Roman"/>
                <w:b w:val="0"/>
                <w:bCs/>
                <w:color w:val="00B050"/>
                <w:sz w:val="24"/>
                <w:szCs w:val="24"/>
                <w:highlight w:val="none"/>
                <w:lang w:val="en-US" w:eastAsia="zh-CN"/>
              </w:rPr>
              <w:t>含油废抹布、手套</w:t>
            </w:r>
            <w:r>
              <w:rPr>
                <w:rFonts w:hint="eastAsia"/>
                <w:b w:val="0"/>
                <w:bCs w:val="0"/>
                <w:color w:val="00B050"/>
                <w:sz w:val="24"/>
                <w:szCs w:val="24"/>
                <w:lang w:val="en-US" w:eastAsia="zh-CN"/>
              </w:rPr>
              <w:t>使用密闭容器统一收集后暂存于危险废物暂存区域，交有资质单位定期清运处置</w:t>
            </w:r>
            <w:r>
              <w:rPr>
                <w:rFonts w:hint="eastAsia" w:cs="Times New Roman"/>
                <w:color w:val="00B050"/>
                <w:kern w:val="0"/>
                <w:sz w:val="24"/>
                <w:szCs w:val="52"/>
                <w:lang w:val="en-US" w:eastAsia="zh-CN" w:bidi="ar-SA"/>
              </w:rPr>
              <w:t>。</w:t>
            </w:r>
          </w:p>
          <w:p w14:paraId="0573FD30">
            <w:pPr>
              <w:widowControl w:val="0"/>
              <w:spacing w:line="360" w:lineRule="auto"/>
              <w:ind w:firstLine="482" w:firstLineChars="200"/>
              <w:jc w:val="both"/>
              <w:rPr>
                <w:rFonts w:hint="eastAsia" w:ascii="Times New Roman" w:hAnsi="Times New Roman" w:eastAsia="宋体" w:cs="Times New Roman"/>
                <w:b/>
                <w:bCs/>
                <w:color w:val="00B050"/>
                <w:kern w:val="0"/>
                <w:sz w:val="24"/>
                <w:szCs w:val="52"/>
                <w:lang w:val="en-US" w:eastAsia="zh-CN" w:bidi="ar-SA"/>
              </w:rPr>
            </w:pPr>
            <w:r>
              <w:rPr>
                <w:rFonts w:hint="eastAsia" w:ascii="Times New Roman" w:hAnsi="Times New Roman" w:cs="Times New Roman"/>
                <w:b/>
                <w:bCs/>
                <w:color w:val="00B050"/>
                <w:kern w:val="0"/>
                <w:sz w:val="24"/>
                <w:szCs w:val="52"/>
                <w:lang w:val="en-US" w:eastAsia="zh-CN" w:bidi="ar-SA"/>
              </w:rPr>
              <w:t>（2）</w:t>
            </w:r>
            <w:r>
              <w:rPr>
                <w:rFonts w:hint="eastAsia" w:ascii="Times New Roman" w:hAnsi="Times New Roman" w:eastAsia="宋体" w:cs="Times New Roman"/>
                <w:b/>
                <w:bCs/>
                <w:color w:val="00B050"/>
                <w:kern w:val="0"/>
                <w:sz w:val="24"/>
                <w:szCs w:val="52"/>
                <w:lang w:val="en-US" w:eastAsia="zh-CN" w:bidi="ar-SA"/>
              </w:rPr>
              <w:t>废活性炭</w:t>
            </w:r>
          </w:p>
          <w:p w14:paraId="50AF1B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B050"/>
                <w:kern w:val="0"/>
                <w:sz w:val="24"/>
                <w:szCs w:val="52"/>
                <w:lang w:val="en-US" w:eastAsia="zh-CN" w:bidi="ar-SA"/>
              </w:rPr>
            </w:pPr>
            <w:r>
              <w:rPr>
                <w:rFonts w:hint="eastAsia" w:ascii="Times New Roman" w:hAnsi="Times New Roman" w:cs="Times New Roman"/>
                <w:color w:val="00B050"/>
                <w:kern w:val="0"/>
                <w:sz w:val="24"/>
                <w:szCs w:val="24"/>
                <w:lang w:val="en-US" w:eastAsia="zh-CN" w:bidi="ar-SA"/>
              </w:rPr>
              <w:t>项目废气治理设施产生的废活性炭约0.2</w:t>
            </w:r>
            <w:r>
              <w:rPr>
                <w:rFonts w:hint="eastAsia" w:cs="Times New Roman"/>
                <w:color w:val="00B050"/>
                <w:kern w:val="0"/>
                <w:sz w:val="24"/>
                <w:szCs w:val="24"/>
                <w:lang w:val="en-US" w:eastAsia="zh-CN" w:bidi="ar-SA"/>
              </w:rPr>
              <w:t>5</w:t>
            </w:r>
            <w:r>
              <w:rPr>
                <w:rFonts w:hint="eastAsia" w:ascii="Times New Roman" w:hAnsi="Times New Roman" w:cs="Times New Roman"/>
                <w:color w:val="00B050"/>
                <w:kern w:val="0"/>
                <w:sz w:val="24"/>
                <w:szCs w:val="24"/>
                <w:lang w:val="en-US" w:eastAsia="zh-CN" w:bidi="ar-SA"/>
              </w:rPr>
              <w:t>t</w:t>
            </w:r>
            <w:r>
              <w:rPr>
                <w:rFonts w:hint="eastAsia" w:ascii="Times New Roman" w:hAnsi="Times New Roman" w:eastAsia="宋体" w:cs="Times New Roman"/>
                <w:color w:val="00B050"/>
                <w:kern w:val="0"/>
                <w:sz w:val="24"/>
                <w:szCs w:val="24"/>
                <w:lang w:val="en-US" w:eastAsia="zh-CN" w:bidi="ar-SA"/>
              </w:rPr>
              <w:t>/a，</w:t>
            </w:r>
            <w:r>
              <w:rPr>
                <w:rFonts w:hint="eastAsia" w:ascii="Times New Roman" w:hAnsi="Times New Roman" w:cs="Times New Roman"/>
                <w:color w:val="00B050"/>
                <w:kern w:val="0"/>
                <w:sz w:val="24"/>
                <w:szCs w:val="24"/>
                <w:lang w:val="en-US" w:eastAsia="zh-CN" w:bidi="ar-SA"/>
              </w:rPr>
              <w:t>废活性炭属于</w:t>
            </w:r>
            <w:r>
              <w:rPr>
                <w:rFonts w:hint="eastAsia" w:cs="Times New Roman"/>
                <w:color w:val="00B050"/>
                <w:spacing w:val="-6"/>
                <w:sz w:val="24"/>
                <w:szCs w:val="24"/>
                <w:highlight w:val="none"/>
                <w:lang w:val="en-US" w:eastAsia="zh-CN"/>
              </w:rPr>
              <w:t>2025年1月1日起施行</w:t>
            </w:r>
            <w:r>
              <w:rPr>
                <w:rFonts w:hint="default" w:ascii="Times New Roman" w:hAnsi="Times New Roman" w:cs="Times New Roman"/>
                <w:b w:val="0"/>
                <w:bCs w:val="0"/>
                <w:color w:val="00B050"/>
                <w:sz w:val="24"/>
                <w:szCs w:val="24"/>
                <w:lang w:val="en-US" w:eastAsia="zh-CN"/>
              </w:rPr>
              <w:t>《国家危险废物名录》（202</w:t>
            </w:r>
            <w:r>
              <w:rPr>
                <w:rFonts w:hint="eastAsia" w:ascii="Times New Roman" w:hAnsi="Times New Roman" w:cs="Times New Roman"/>
                <w:b w:val="0"/>
                <w:bCs w:val="0"/>
                <w:color w:val="00B050"/>
                <w:sz w:val="24"/>
                <w:szCs w:val="24"/>
                <w:lang w:val="en-US" w:eastAsia="zh-CN"/>
              </w:rPr>
              <w:t>5</w:t>
            </w:r>
            <w:r>
              <w:rPr>
                <w:rFonts w:hint="default" w:ascii="Times New Roman" w:hAnsi="Times New Roman" w:cs="Times New Roman"/>
                <w:b w:val="0"/>
                <w:bCs w:val="0"/>
                <w:color w:val="00B050"/>
                <w:sz w:val="24"/>
                <w:szCs w:val="24"/>
                <w:lang w:val="en-US" w:eastAsia="zh-CN"/>
              </w:rPr>
              <w:t>年版）</w:t>
            </w:r>
            <w:r>
              <w:rPr>
                <w:rFonts w:hint="eastAsia" w:ascii="Times New Roman" w:hAnsi="Times New Roman" w:cs="Times New Roman"/>
                <w:b w:val="0"/>
                <w:bCs w:val="0"/>
                <w:color w:val="00B050"/>
                <w:sz w:val="24"/>
                <w:szCs w:val="24"/>
                <w:lang w:val="en-US" w:eastAsia="zh-CN"/>
              </w:rPr>
              <w:t>中</w:t>
            </w:r>
            <w:r>
              <w:rPr>
                <w:rFonts w:hint="default" w:ascii="Times New Roman" w:hAnsi="Times New Roman" w:cs="Times New Roman"/>
                <w:b w:val="0"/>
                <w:bCs w:val="0"/>
                <w:color w:val="00B050"/>
                <w:sz w:val="24"/>
                <w:szCs w:val="24"/>
                <w:lang w:val="en-US" w:eastAsia="zh-CN"/>
              </w:rPr>
              <w:t>“HW49其他废物中的烟气、VOCs治理过程（不包括餐饮行业油烟治理过程）产生的废活性炭”，危废代码为900-039-49，</w:t>
            </w:r>
            <w:r>
              <w:rPr>
                <w:rFonts w:hint="default" w:ascii="Times New Roman" w:hAnsi="Times New Roman" w:cs="Times New Roman"/>
                <w:b/>
                <w:bCs/>
                <w:color w:val="00B050"/>
                <w:sz w:val="24"/>
                <w:szCs w:val="24"/>
                <w:lang w:val="en-US" w:eastAsia="zh-CN"/>
              </w:rPr>
              <w:t>环评要求：</w:t>
            </w:r>
            <w:r>
              <w:rPr>
                <w:rFonts w:hint="default" w:ascii="Times New Roman" w:hAnsi="Times New Roman" w:cs="Times New Roman"/>
                <w:b w:val="0"/>
                <w:bCs w:val="0"/>
                <w:color w:val="00B050"/>
                <w:sz w:val="24"/>
                <w:szCs w:val="24"/>
                <w:lang w:val="en-US" w:eastAsia="zh-CN"/>
              </w:rPr>
              <w:t>更换后暂存于</w:t>
            </w:r>
            <w:r>
              <w:rPr>
                <w:rFonts w:hint="eastAsia" w:ascii="Times New Roman" w:hAnsi="Times New Roman" w:cs="Times New Roman"/>
                <w:b w:val="0"/>
                <w:bCs w:val="0"/>
                <w:color w:val="00B050"/>
                <w:sz w:val="24"/>
                <w:szCs w:val="24"/>
                <w:lang w:val="en-US" w:eastAsia="zh-CN"/>
              </w:rPr>
              <w:t>危险废物暂存区域</w:t>
            </w:r>
            <w:r>
              <w:rPr>
                <w:rFonts w:hint="default" w:ascii="Times New Roman" w:hAnsi="Times New Roman" w:cs="Times New Roman"/>
                <w:b w:val="0"/>
                <w:bCs w:val="0"/>
                <w:color w:val="00B050"/>
                <w:sz w:val="24"/>
                <w:szCs w:val="24"/>
                <w:lang w:val="en-US" w:eastAsia="zh-CN"/>
              </w:rPr>
              <w:t>，废活性炭</w:t>
            </w:r>
            <w:r>
              <w:rPr>
                <w:rFonts w:hint="default" w:ascii="Times New Roman" w:hAnsi="Times New Roman" w:cs="Times New Roman"/>
                <w:color w:val="00B050"/>
                <w:sz w:val="24"/>
                <w:szCs w:val="24"/>
                <w:lang w:val="en-US" w:eastAsia="zh-CN"/>
              </w:rPr>
              <w:t>交由有资质的单位处置，建设单位应根据生产情况，及时更换活性炭，并做好活性炭更换记录，留档备查。</w:t>
            </w:r>
          </w:p>
          <w:p w14:paraId="4D5EE858">
            <w:pPr>
              <w:widowControl w:val="0"/>
              <w:spacing w:line="360" w:lineRule="auto"/>
              <w:ind w:firstLine="482" w:firstLineChars="200"/>
              <w:jc w:val="both"/>
              <w:rPr>
                <w:rFonts w:hint="eastAsia" w:ascii="Times New Roman" w:hAnsi="Times New Roman" w:eastAsia="宋体" w:cs="Times New Roman"/>
                <w:b/>
                <w:bCs/>
                <w:color w:val="00B050"/>
                <w:kern w:val="0"/>
                <w:sz w:val="24"/>
                <w:szCs w:val="52"/>
                <w:lang w:val="en-US" w:eastAsia="zh-CN" w:bidi="ar-SA"/>
              </w:rPr>
            </w:pPr>
            <w:r>
              <w:rPr>
                <w:rFonts w:hint="eastAsia" w:ascii="Times New Roman" w:hAnsi="Times New Roman" w:cs="Times New Roman"/>
                <w:b/>
                <w:bCs/>
                <w:color w:val="00B050"/>
                <w:kern w:val="0"/>
                <w:sz w:val="24"/>
                <w:szCs w:val="52"/>
                <w:lang w:val="en-US" w:eastAsia="zh-CN" w:bidi="ar-SA"/>
              </w:rPr>
              <w:t>（3）</w:t>
            </w:r>
            <w:r>
              <w:rPr>
                <w:rFonts w:hint="eastAsia" w:ascii="Times New Roman" w:hAnsi="Times New Roman" w:eastAsia="宋体" w:cs="Times New Roman"/>
                <w:b/>
                <w:bCs/>
                <w:color w:val="00B050"/>
                <w:kern w:val="0"/>
                <w:sz w:val="24"/>
                <w:szCs w:val="52"/>
                <w:lang w:val="en-US" w:eastAsia="zh-CN" w:bidi="ar-SA"/>
              </w:rPr>
              <w:t>废矿物油滴漏处理的废沙土</w:t>
            </w:r>
          </w:p>
          <w:p w14:paraId="1415666A">
            <w:pPr>
              <w:widowControl w:val="0"/>
              <w:spacing w:line="360" w:lineRule="auto"/>
              <w:ind w:firstLine="480" w:firstLineChars="200"/>
              <w:jc w:val="both"/>
              <w:rPr>
                <w:rFonts w:hint="eastAsia" w:ascii="Times New Roman" w:hAnsi="Times New Roman" w:eastAsia="宋体" w:cs="Times New Roman"/>
                <w:color w:val="00B050"/>
                <w:kern w:val="0"/>
                <w:sz w:val="24"/>
                <w:szCs w:val="52"/>
                <w:lang w:val="en-US" w:eastAsia="zh-CN" w:bidi="ar-SA"/>
              </w:rPr>
            </w:pPr>
            <w:r>
              <w:rPr>
                <w:rFonts w:hint="eastAsia" w:ascii="Times New Roman" w:hAnsi="Times New Roman" w:eastAsia="宋体" w:cs="Times New Roman"/>
                <w:color w:val="00B050"/>
                <w:kern w:val="0"/>
                <w:sz w:val="24"/>
                <w:szCs w:val="52"/>
                <w:lang w:val="en-US" w:eastAsia="zh-CN" w:bidi="ar-SA"/>
              </w:rPr>
              <w:t>废矿物油发生滴漏后，使用沙土覆盖、清理，产生的</w:t>
            </w:r>
            <w:r>
              <w:rPr>
                <w:rFonts w:hint="eastAsia" w:ascii="Times New Roman" w:hAnsi="Times New Roman" w:cs="Times New Roman"/>
                <w:color w:val="00B050"/>
                <w:kern w:val="0"/>
                <w:sz w:val="24"/>
                <w:szCs w:val="52"/>
                <w:lang w:val="en-US" w:eastAsia="zh-CN" w:bidi="ar-SA"/>
              </w:rPr>
              <w:t>废</w:t>
            </w:r>
            <w:r>
              <w:rPr>
                <w:rFonts w:hint="eastAsia" w:ascii="Times New Roman" w:hAnsi="Times New Roman" w:eastAsia="宋体" w:cs="Times New Roman"/>
                <w:color w:val="00B050"/>
                <w:kern w:val="0"/>
                <w:sz w:val="24"/>
                <w:szCs w:val="52"/>
                <w:lang w:val="en-US" w:eastAsia="zh-CN" w:bidi="ar-SA"/>
              </w:rPr>
              <w:t>沙土</w:t>
            </w:r>
            <w:r>
              <w:rPr>
                <w:rFonts w:hint="eastAsia" w:ascii="Times New Roman" w:hAnsi="Times New Roman" w:cs="Times New Roman"/>
                <w:color w:val="00B050"/>
                <w:kern w:val="0"/>
                <w:sz w:val="24"/>
                <w:szCs w:val="52"/>
                <w:lang w:val="en-US" w:eastAsia="zh-CN" w:bidi="ar-SA"/>
              </w:rPr>
              <w:t>约0.0</w:t>
            </w:r>
            <w:r>
              <w:rPr>
                <w:rFonts w:hint="eastAsia" w:cs="Times New Roman"/>
                <w:color w:val="00B050"/>
                <w:kern w:val="0"/>
                <w:sz w:val="24"/>
                <w:szCs w:val="52"/>
                <w:lang w:val="en-US" w:eastAsia="zh-CN" w:bidi="ar-SA"/>
              </w:rPr>
              <w:t>8</w:t>
            </w:r>
            <w:r>
              <w:rPr>
                <w:rFonts w:hint="eastAsia" w:ascii="Times New Roman" w:hAnsi="Times New Roman" w:cs="Times New Roman"/>
                <w:color w:val="00B050"/>
                <w:kern w:val="0"/>
                <w:sz w:val="24"/>
                <w:szCs w:val="52"/>
                <w:lang w:val="en-US" w:eastAsia="zh-CN" w:bidi="ar-SA"/>
              </w:rPr>
              <w:t>t/a，</w:t>
            </w:r>
            <w:r>
              <w:rPr>
                <w:rFonts w:hint="eastAsia" w:ascii="Times New Roman" w:hAnsi="Times New Roman" w:eastAsia="宋体" w:cs="Times New Roman"/>
                <w:b w:val="0"/>
                <w:bCs w:val="0"/>
                <w:color w:val="00B050"/>
                <w:kern w:val="0"/>
                <w:sz w:val="24"/>
                <w:szCs w:val="52"/>
                <w:lang w:val="en-US" w:eastAsia="zh-CN" w:bidi="ar-SA"/>
              </w:rPr>
              <w:t>废矿物油滴漏处理的废沙土</w:t>
            </w:r>
            <w:r>
              <w:rPr>
                <w:rFonts w:hint="eastAsia" w:ascii="Times New Roman" w:hAnsi="Times New Roman" w:cs="Times New Roman"/>
                <w:color w:val="00B050"/>
                <w:kern w:val="0"/>
                <w:sz w:val="24"/>
                <w:szCs w:val="24"/>
                <w:lang w:val="en-US" w:eastAsia="zh-CN" w:bidi="ar-SA"/>
              </w:rPr>
              <w:t>属于</w:t>
            </w:r>
            <w:r>
              <w:rPr>
                <w:rFonts w:hint="eastAsia" w:cs="Times New Roman"/>
                <w:color w:val="00B050"/>
                <w:spacing w:val="-6"/>
                <w:sz w:val="24"/>
                <w:szCs w:val="24"/>
                <w:highlight w:val="none"/>
                <w:lang w:val="en-US" w:eastAsia="zh-CN"/>
              </w:rPr>
              <w:t>2025年1月1日起施行</w:t>
            </w:r>
            <w:r>
              <w:rPr>
                <w:rFonts w:hint="default" w:ascii="Times New Roman" w:hAnsi="Times New Roman" w:cs="Times New Roman"/>
                <w:b w:val="0"/>
                <w:bCs w:val="0"/>
                <w:color w:val="00B050"/>
                <w:sz w:val="24"/>
                <w:szCs w:val="24"/>
                <w:lang w:val="en-US" w:eastAsia="zh-CN"/>
              </w:rPr>
              <w:t>《国家危险废物名录》（202</w:t>
            </w:r>
            <w:r>
              <w:rPr>
                <w:rFonts w:hint="eastAsia" w:ascii="Times New Roman" w:hAnsi="Times New Roman" w:cs="Times New Roman"/>
                <w:b w:val="0"/>
                <w:bCs w:val="0"/>
                <w:color w:val="00B050"/>
                <w:sz w:val="24"/>
                <w:szCs w:val="24"/>
                <w:lang w:val="en-US" w:eastAsia="zh-CN"/>
              </w:rPr>
              <w:t>5</w:t>
            </w:r>
            <w:r>
              <w:rPr>
                <w:rFonts w:hint="default" w:ascii="Times New Roman" w:hAnsi="Times New Roman" w:cs="Times New Roman"/>
                <w:b w:val="0"/>
                <w:bCs w:val="0"/>
                <w:color w:val="00B050"/>
                <w:sz w:val="24"/>
                <w:szCs w:val="24"/>
                <w:lang w:val="en-US" w:eastAsia="zh-CN"/>
              </w:rPr>
              <w:t>年版）</w:t>
            </w:r>
            <w:r>
              <w:rPr>
                <w:rFonts w:hint="eastAsia" w:ascii="Times New Roman" w:hAnsi="Times New Roman" w:cs="Times New Roman"/>
                <w:b w:val="0"/>
                <w:bCs w:val="0"/>
                <w:color w:val="00B050"/>
                <w:sz w:val="24"/>
                <w:szCs w:val="24"/>
                <w:lang w:val="en-US" w:eastAsia="zh-CN"/>
              </w:rPr>
              <w:t>中“HW49—其他废物中含有或者沾染毒性、感染性危险废物的废弃的包装物、容器、过滤吸附介质，危废代码：900-041-49”</w:t>
            </w:r>
            <w:r>
              <w:rPr>
                <w:rFonts w:hint="eastAsia" w:cs="Times New Roman"/>
                <w:b w:val="0"/>
                <w:bCs w:val="0"/>
                <w:color w:val="00B050"/>
                <w:sz w:val="24"/>
                <w:szCs w:val="24"/>
                <w:lang w:val="en-US" w:eastAsia="zh-CN"/>
              </w:rPr>
              <w:t>，</w:t>
            </w:r>
            <w:r>
              <w:rPr>
                <w:rFonts w:hint="eastAsia" w:ascii="Times New Roman" w:hAnsi="Times New Roman" w:cs="Times New Roman"/>
                <w:b/>
                <w:bCs/>
                <w:color w:val="00B050"/>
                <w:sz w:val="24"/>
                <w:szCs w:val="24"/>
                <w:lang w:val="en-US" w:eastAsia="zh-CN"/>
              </w:rPr>
              <w:t>环评要求：</w:t>
            </w:r>
            <w:r>
              <w:rPr>
                <w:rFonts w:hint="eastAsia" w:ascii="Times New Roman" w:hAnsi="Times New Roman" w:cs="Times New Roman"/>
                <w:color w:val="00B050"/>
                <w:kern w:val="0"/>
                <w:sz w:val="24"/>
                <w:szCs w:val="52"/>
                <w:lang w:val="en-US" w:eastAsia="zh-CN" w:bidi="ar-SA"/>
              </w:rPr>
              <w:t>经贮存库收集后随同类</w:t>
            </w:r>
            <w:r>
              <w:rPr>
                <w:rFonts w:hint="eastAsia" w:cs="Times New Roman"/>
                <w:color w:val="00B050"/>
                <w:kern w:val="0"/>
                <w:sz w:val="24"/>
                <w:szCs w:val="52"/>
                <w:lang w:val="en-US" w:eastAsia="zh-CN" w:bidi="ar-SA"/>
              </w:rPr>
              <w:t>危险废物转移至资质单位处置。</w:t>
            </w:r>
          </w:p>
          <w:p w14:paraId="5E4698B9">
            <w:pPr>
              <w:widowControl w:val="0"/>
              <w:numPr>
                <w:ilvl w:val="0"/>
                <w:numId w:val="0"/>
              </w:numPr>
              <w:spacing w:line="360" w:lineRule="auto"/>
              <w:ind w:leftChars="200"/>
              <w:jc w:val="both"/>
              <w:rPr>
                <w:rFonts w:hint="eastAsia" w:cs="Times New Roman"/>
                <w:b/>
                <w:bCs/>
                <w:color w:val="FF0000"/>
                <w:kern w:val="0"/>
                <w:sz w:val="24"/>
                <w:szCs w:val="52"/>
                <w:lang w:val="en-US" w:eastAsia="zh-CN" w:bidi="ar-SA"/>
              </w:rPr>
            </w:pPr>
            <w:r>
              <w:rPr>
                <w:rFonts w:hint="eastAsia" w:cs="Times New Roman"/>
                <w:b/>
                <w:bCs/>
                <w:color w:val="FF0000"/>
                <w:kern w:val="0"/>
                <w:sz w:val="24"/>
                <w:szCs w:val="52"/>
                <w:lang w:val="en-US" w:eastAsia="zh-CN" w:bidi="ar-SA"/>
              </w:rPr>
              <w:t>（4）废积液</w:t>
            </w:r>
          </w:p>
          <w:p w14:paraId="13E8FAFC">
            <w:pPr>
              <w:widowControl w:val="0"/>
              <w:spacing w:line="360" w:lineRule="auto"/>
              <w:ind w:firstLine="480" w:firstLineChars="200"/>
              <w:jc w:val="both"/>
              <w:rPr>
                <w:rFonts w:hint="default" w:ascii="Times New Roman" w:hAnsi="Times New Roman" w:eastAsia="宋体" w:cs="Times New Roman"/>
                <w:b w:val="0"/>
                <w:bCs w:val="0"/>
                <w:color w:val="FF0000"/>
                <w:kern w:val="0"/>
                <w:sz w:val="24"/>
                <w:szCs w:val="24"/>
                <w:lang w:val="en-US" w:eastAsia="zh-CN" w:bidi="ar-SA"/>
              </w:rPr>
            </w:pPr>
            <w:r>
              <w:rPr>
                <w:rFonts w:hint="eastAsia" w:ascii="Times New Roman" w:hAnsi="Times New Roman" w:eastAsia="宋体" w:cs="Times New Roman"/>
                <w:b w:val="0"/>
                <w:bCs w:val="0"/>
                <w:color w:val="FF0000"/>
                <w:kern w:val="0"/>
                <w:sz w:val="24"/>
                <w:szCs w:val="24"/>
                <w:lang w:val="en-US" w:eastAsia="zh-CN" w:bidi="ar-SA"/>
              </w:rPr>
              <w:t>项目废旧电池收集贮存过程中产生废积液经收集后暂存于废液收集池，</w:t>
            </w:r>
            <w:r>
              <w:rPr>
                <w:rFonts w:hint="eastAsia" w:cs="Times New Roman"/>
                <w:b w:val="0"/>
                <w:bCs w:val="0"/>
                <w:color w:val="FF0000"/>
                <w:kern w:val="0"/>
                <w:sz w:val="24"/>
                <w:szCs w:val="24"/>
                <w:lang w:val="en-US" w:eastAsia="zh-CN" w:bidi="ar-SA"/>
              </w:rPr>
              <w:t>根据业主提供资料，项目收集</w:t>
            </w:r>
            <w:r>
              <w:rPr>
                <w:rFonts w:hint="eastAsia" w:cs="Times New Roman"/>
                <w:b w:val="0"/>
                <w:bCs w:val="0"/>
                <w:color w:val="FF0000"/>
                <w:kern w:val="0"/>
                <w:sz w:val="24"/>
                <w:szCs w:val="52"/>
                <w:lang w:val="en-US" w:eastAsia="zh-CN" w:bidi="ar-SA"/>
              </w:rPr>
              <w:t>废积液量约为0.2t/a，</w:t>
            </w:r>
            <w:r>
              <w:rPr>
                <w:rFonts w:hint="eastAsia" w:cs="Times New Roman"/>
                <w:b w:val="0"/>
                <w:bCs w:val="0"/>
                <w:color w:val="FF0000"/>
                <w:kern w:val="0"/>
                <w:sz w:val="24"/>
                <w:szCs w:val="24"/>
                <w:lang w:val="en-US" w:eastAsia="zh-CN" w:bidi="ar-SA"/>
              </w:rPr>
              <w:t>废积液属于2025年1月1日起施行</w:t>
            </w:r>
            <w:r>
              <w:rPr>
                <w:rFonts w:hint="default" w:cs="Times New Roman"/>
                <w:b w:val="0"/>
                <w:bCs w:val="0"/>
                <w:color w:val="FF0000"/>
                <w:kern w:val="0"/>
                <w:sz w:val="24"/>
                <w:szCs w:val="24"/>
                <w:lang w:val="en-US" w:eastAsia="zh-CN" w:bidi="ar-SA"/>
              </w:rPr>
              <w:t>《国家危险废物名录》（202</w:t>
            </w:r>
            <w:r>
              <w:rPr>
                <w:rFonts w:hint="eastAsia" w:cs="Times New Roman"/>
                <w:b w:val="0"/>
                <w:bCs w:val="0"/>
                <w:color w:val="FF0000"/>
                <w:kern w:val="0"/>
                <w:sz w:val="24"/>
                <w:szCs w:val="24"/>
                <w:lang w:val="en-US" w:eastAsia="zh-CN" w:bidi="ar-SA"/>
              </w:rPr>
              <w:t>5</w:t>
            </w:r>
            <w:r>
              <w:rPr>
                <w:rFonts w:hint="default" w:cs="Times New Roman"/>
                <w:b w:val="0"/>
                <w:bCs w:val="0"/>
                <w:color w:val="FF0000"/>
                <w:kern w:val="0"/>
                <w:sz w:val="24"/>
                <w:szCs w:val="24"/>
                <w:lang w:val="en-US" w:eastAsia="zh-CN" w:bidi="ar-SA"/>
              </w:rPr>
              <w:t>年版）</w:t>
            </w:r>
            <w:r>
              <w:rPr>
                <w:rFonts w:hint="eastAsia" w:cs="Times New Roman"/>
                <w:b w:val="0"/>
                <w:bCs w:val="0"/>
                <w:color w:val="FF0000"/>
                <w:kern w:val="0"/>
                <w:sz w:val="24"/>
                <w:szCs w:val="24"/>
                <w:lang w:val="en-US" w:eastAsia="zh-CN" w:bidi="ar-SA"/>
              </w:rPr>
              <w:t>中“（HW31—含铅废物，废物代码：900-052-31”“HW49-其他废物，废物代码：900-047-49”等，</w:t>
            </w:r>
            <w:r>
              <w:rPr>
                <w:rFonts w:hint="eastAsia" w:ascii="Times New Roman" w:hAnsi="Times New Roman" w:cs="Times New Roman"/>
                <w:b/>
                <w:bCs/>
                <w:color w:val="FF0000"/>
                <w:sz w:val="24"/>
                <w:szCs w:val="24"/>
                <w:lang w:val="en-US" w:eastAsia="zh-CN"/>
              </w:rPr>
              <w:t>环评要求：</w:t>
            </w:r>
            <w:r>
              <w:rPr>
                <w:rFonts w:hint="eastAsia" w:cs="Times New Roman"/>
                <w:b w:val="0"/>
                <w:bCs w:val="0"/>
                <w:color w:val="0000FF"/>
                <w:kern w:val="0"/>
                <w:sz w:val="24"/>
                <w:szCs w:val="52"/>
                <w:lang w:val="en-US" w:eastAsia="zh-CN" w:bidi="ar-SA"/>
              </w:rPr>
              <w:t>废积液经密闭积液管道收集后排入</w:t>
            </w:r>
            <w:r>
              <w:rPr>
                <w:rFonts w:hint="eastAsia" w:ascii="Times New Roman" w:hAnsi="Times New Roman" w:eastAsia="宋体" w:cs="Times New Roman"/>
                <w:b w:val="0"/>
                <w:bCs w:val="0"/>
                <w:color w:val="0000FF"/>
                <w:kern w:val="0"/>
                <w:sz w:val="24"/>
                <w:szCs w:val="24"/>
                <w:lang w:val="en-US" w:eastAsia="zh-CN" w:bidi="ar-SA"/>
              </w:rPr>
              <w:t>废液收集池</w:t>
            </w:r>
            <w:r>
              <w:rPr>
                <w:rFonts w:hint="eastAsia" w:cs="Times New Roman"/>
                <w:b w:val="0"/>
                <w:bCs w:val="0"/>
                <w:color w:val="0000FF"/>
                <w:kern w:val="0"/>
                <w:sz w:val="24"/>
                <w:szCs w:val="24"/>
                <w:lang w:val="en-US" w:eastAsia="zh-CN" w:bidi="ar-SA"/>
              </w:rPr>
              <w:t>，废液收集池进行盖板密封处理，废积液</w:t>
            </w:r>
            <w:r>
              <w:rPr>
                <w:rFonts w:hint="eastAsia" w:ascii="Times New Roman" w:hAnsi="Times New Roman" w:cs="Times New Roman"/>
                <w:b w:val="0"/>
                <w:bCs w:val="0"/>
                <w:color w:val="0000FF"/>
                <w:kern w:val="0"/>
                <w:sz w:val="24"/>
                <w:szCs w:val="52"/>
                <w:lang w:val="en-US" w:eastAsia="zh-CN" w:bidi="ar-SA"/>
              </w:rPr>
              <w:t>收集后随同类</w:t>
            </w:r>
            <w:r>
              <w:rPr>
                <w:rFonts w:hint="eastAsia" w:cs="Times New Roman"/>
                <w:b w:val="0"/>
                <w:bCs w:val="0"/>
                <w:color w:val="0000FF"/>
                <w:kern w:val="0"/>
                <w:sz w:val="24"/>
                <w:szCs w:val="52"/>
                <w:lang w:val="en-US" w:eastAsia="zh-CN" w:bidi="ar-SA"/>
              </w:rPr>
              <w:t>危险废物转移至资质单位处置。</w:t>
            </w:r>
          </w:p>
          <w:p w14:paraId="3C582FDF">
            <w:pPr>
              <w:widowControl w:val="0"/>
              <w:spacing w:line="360" w:lineRule="auto"/>
              <w:ind w:firstLine="482" w:firstLineChars="200"/>
              <w:jc w:val="both"/>
              <w:rPr>
                <w:rFonts w:hint="eastAsia" w:ascii="Times New Roman" w:hAnsi="Times New Roman" w:eastAsia="宋体" w:cs="Times New Roman"/>
                <w:b/>
                <w:bCs/>
                <w:color w:val="00B050"/>
                <w:kern w:val="0"/>
                <w:sz w:val="24"/>
                <w:szCs w:val="52"/>
                <w:lang w:val="en-US" w:eastAsia="zh-CN" w:bidi="ar-SA"/>
              </w:rPr>
            </w:pPr>
            <w:r>
              <w:rPr>
                <w:rFonts w:hint="eastAsia" w:cs="Times New Roman"/>
                <w:b/>
                <w:bCs/>
                <w:color w:val="00B050"/>
                <w:kern w:val="0"/>
                <w:sz w:val="24"/>
                <w:szCs w:val="52"/>
                <w:lang w:val="en-US" w:eastAsia="zh-CN" w:bidi="ar-SA"/>
              </w:rPr>
              <w:t>（5）</w:t>
            </w:r>
            <w:r>
              <w:rPr>
                <w:rFonts w:hint="eastAsia" w:ascii="Times New Roman" w:hAnsi="Times New Roman" w:eastAsia="宋体" w:cs="Times New Roman"/>
                <w:b/>
                <w:bCs/>
                <w:color w:val="00B050"/>
                <w:kern w:val="0"/>
                <w:sz w:val="24"/>
                <w:szCs w:val="52"/>
                <w:lang w:val="en-US" w:eastAsia="zh-CN" w:bidi="ar-SA"/>
              </w:rPr>
              <w:t>生活垃圾</w:t>
            </w:r>
          </w:p>
          <w:p w14:paraId="0CB9967F">
            <w:pPr>
              <w:spacing w:line="360" w:lineRule="auto"/>
              <w:ind w:firstLine="480" w:firstLineChars="200"/>
              <w:rPr>
                <w:rFonts w:ascii="Times New Roman" w:eastAsia="宋体"/>
                <w:color w:val="00B050"/>
                <w:kern w:val="0"/>
                <w:sz w:val="24"/>
                <w:szCs w:val="20"/>
              </w:rPr>
            </w:pPr>
            <w:r>
              <w:rPr>
                <w:rFonts w:hint="eastAsia"/>
                <w:color w:val="00B050"/>
                <w:kern w:val="0"/>
                <w:sz w:val="24"/>
                <w:szCs w:val="24"/>
                <w:lang w:val="en-US" w:eastAsia="zh-CN"/>
              </w:rPr>
              <w:t>项目</w:t>
            </w:r>
            <w:r>
              <w:rPr>
                <w:rFonts w:hint="eastAsia" w:eastAsia="宋体"/>
                <w:color w:val="00B050"/>
                <w:kern w:val="0"/>
                <w:sz w:val="24"/>
                <w:szCs w:val="24"/>
                <w:lang w:val="en-US" w:eastAsia="zh-CN"/>
              </w:rPr>
              <w:t>劳动人员</w:t>
            </w:r>
            <w:r>
              <w:rPr>
                <w:rFonts w:hint="eastAsia"/>
                <w:color w:val="00B050"/>
                <w:kern w:val="0"/>
                <w:sz w:val="24"/>
                <w:szCs w:val="24"/>
                <w:lang w:val="en-US" w:eastAsia="zh-CN"/>
              </w:rPr>
              <w:t>5</w:t>
            </w:r>
            <w:r>
              <w:rPr>
                <w:rFonts w:hint="eastAsia" w:ascii="Times New Roman" w:eastAsia="宋体"/>
                <w:color w:val="00B050"/>
                <w:kern w:val="0"/>
                <w:sz w:val="24"/>
                <w:szCs w:val="24"/>
              </w:rPr>
              <w:t>人，生活垃圾</w:t>
            </w:r>
            <w:r>
              <w:rPr>
                <w:rFonts w:ascii="Times New Roman" w:eastAsia="宋体"/>
                <w:color w:val="00B050"/>
                <w:kern w:val="0"/>
                <w:sz w:val="24"/>
                <w:szCs w:val="20"/>
              </w:rPr>
              <w:t>产生量按每人每天1</w:t>
            </w:r>
            <w:r>
              <w:rPr>
                <w:rFonts w:hint="eastAsia" w:ascii="Times New Roman" w:eastAsia="宋体"/>
                <w:color w:val="00B050"/>
                <w:kern w:val="0"/>
                <w:sz w:val="24"/>
                <w:szCs w:val="20"/>
              </w:rPr>
              <w:t>.0</w:t>
            </w:r>
            <w:r>
              <w:rPr>
                <w:rFonts w:ascii="Times New Roman" w:eastAsia="宋体"/>
                <w:color w:val="00B050"/>
                <w:kern w:val="0"/>
                <w:sz w:val="24"/>
                <w:szCs w:val="20"/>
              </w:rPr>
              <w:t>kg计，生活垃圾产生量为</w:t>
            </w:r>
            <w:r>
              <w:rPr>
                <w:rFonts w:hint="eastAsia"/>
                <w:color w:val="00B050"/>
                <w:kern w:val="0"/>
                <w:sz w:val="24"/>
                <w:szCs w:val="20"/>
                <w:lang w:val="en-US" w:eastAsia="zh-CN"/>
              </w:rPr>
              <w:t>1.825</w:t>
            </w:r>
            <w:r>
              <w:rPr>
                <w:rFonts w:ascii="Times New Roman" w:eastAsia="宋体"/>
                <w:color w:val="00B050"/>
                <w:kern w:val="0"/>
                <w:sz w:val="24"/>
                <w:szCs w:val="20"/>
              </w:rPr>
              <w:t>t/a，</w:t>
            </w:r>
            <w:r>
              <w:rPr>
                <w:rFonts w:hint="default" w:ascii="Times New Roman" w:hAnsi="Times New Roman" w:cs="Times New Roman"/>
                <w:b w:val="0"/>
                <w:bCs/>
                <w:color w:val="00B050"/>
                <w:sz w:val="24"/>
                <w:szCs w:val="24"/>
                <w:highlight w:val="none"/>
                <w:lang w:val="en-US" w:eastAsia="zh-CN"/>
              </w:rPr>
              <w:t>根据《固体废物分类与代码目录》（</w:t>
            </w:r>
            <w:r>
              <w:rPr>
                <w:rFonts w:hint="eastAsia" w:cs="Times New Roman"/>
                <w:b w:val="0"/>
                <w:bCs/>
                <w:color w:val="00B050"/>
                <w:sz w:val="24"/>
                <w:szCs w:val="24"/>
                <w:highlight w:val="none"/>
                <w:lang w:val="en-US" w:eastAsia="zh-CN"/>
              </w:rPr>
              <w:t>2024年1月24日施行</w:t>
            </w:r>
            <w:r>
              <w:rPr>
                <w:rFonts w:hint="default" w:ascii="Times New Roman" w:hAnsi="Times New Roman" w:cs="Times New Roman"/>
                <w:b w:val="0"/>
                <w:bCs/>
                <w:color w:val="00B050"/>
                <w:sz w:val="24"/>
                <w:szCs w:val="24"/>
                <w:highlight w:val="none"/>
                <w:lang w:val="en-US" w:eastAsia="zh-CN"/>
              </w:rPr>
              <w:t>），</w:t>
            </w:r>
            <w:r>
              <w:rPr>
                <w:rFonts w:hint="eastAsia" w:ascii="Times New Roman" w:hAnsi="Times New Roman"/>
                <w:b w:val="0"/>
                <w:bCs w:val="0"/>
                <w:color w:val="00B050"/>
                <w:sz w:val="24"/>
                <w:szCs w:val="24"/>
                <w:lang w:val="en-US" w:eastAsia="zh-CN"/>
              </w:rPr>
              <w:t>废物种类：SW64-其他垃圾，</w:t>
            </w:r>
            <w:r>
              <w:rPr>
                <w:rFonts w:hint="default" w:ascii="Times New Roman" w:hAnsi="Times New Roman" w:cs="Times New Roman"/>
                <w:b w:val="0"/>
                <w:bCs/>
                <w:color w:val="00B050"/>
                <w:sz w:val="24"/>
                <w:szCs w:val="24"/>
                <w:highlight w:val="none"/>
                <w:lang w:val="en-US" w:eastAsia="zh-CN"/>
              </w:rPr>
              <w:t>分类代码为：900-</w:t>
            </w:r>
            <w:r>
              <w:rPr>
                <w:rFonts w:hint="eastAsia" w:cs="Times New Roman"/>
                <w:b w:val="0"/>
                <w:bCs/>
                <w:color w:val="00B050"/>
                <w:sz w:val="24"/>
                <w:szCs w:val="24"/>
                <w:highlight w:val="none"/>
                <w:lang w:val="en-US" w:eastAsia="zh-CN"/>
              </w:rPr>
              <w:t>099</w:t>
            </w:r>
            <w:r>
              <w:rPr>
                <w:rFonts w:hint="default" w:ascii="Times New Roman" w:hAnsi="Times New Roman" w:cs="Times New Roman"/>
                <w:b w:val="0"/>
                <w:bCs/>
                <w:color w:val="00B050"/>
                <w:sz w:val="24"/>
                <w:szCs w:val="24"/>
                <w:highlight w:val="none"/>
                <w:lang w:val="en-US" w:eastAsia="zh-CN"/>
              </w:rPr>
              <w:t>-S64</w:t>
            </w:r>
            <w:r>
              <w:rPr>
                <w:rFonts w:hint="eastAsia" w:ascii="Times New Roman" w:hAnsi="Times New Roman" w:cs="Times New Roman"/>
                <w:b w:val="0"/>
                <w:bCs/>
                <w:color w:val="00B050"/>
                <w:sz w:val="24"/>
                <w:szCs w:val="24"/>
                <w:highlight w:val="none"/>
                <w:lang w:val="en-US" w:eastAsia="zh-CN"/>
              </w:rPr>
              <w:t>，</w:t>
            </w:r>
            <w:r>
              <w:rPr>
                <w:rFonts w:hint="eastAsia" w:cs="Times New Roman"/>
                <w:b/>
                <w:bCs w:val="0"/>
                <w:color w:val="00B050"/>
                <w:sz w:val="24"/>
                <w:szCs w:val="24"/>
                <w:highlight w:val="none"/>
                <w:lang w:val="en-US" w:eastAsia="zh-CN"/>
              </w:rPr>
              <w:t>环评要求：</w:t>
            </w:r>
            <w:r>
              <w:rPr>
                <w:rFonts w:hint="eastAsia"/>
                <w:bCs/>
                <w:color w:val="00B050"/>
                <w:sz w:val="24"/>
                <w:szCs w:val="24"/>
                <w:lang w:val="en-US" w:eastAsia="zh-CN"/>
              </w:rPr>
              <w:t>项目产生</w:t>
            </w:r>
            <w:r>
              <w:rPr>
                <w:rFonts w:hint="eastAsia"/>
                <w:bCs/>
                <w:color w:val="00B050"/>
                <w:sz w:val="24"/>
                <w:szCs w:val="24"/>
              </w:rPr>
              <w:t>生活垃圾进行简单分类，可以回收的回收利用，不可回收的装袋</w:t>
            </w:r>
            <w:r>
              <w:rPr>
                <w:rFonts w:hint="default" w:ascii="Times New Roman" w:hAnsi="Times New Roman" w:eastAsia="宋体" w:cs="Times New Roman"/>
                <w:bCs/>
                <w:color w:val="00B050"/>
                <w:spacing w:val="-10"/>
                <w:sz w:val="24"/>
                <w:szCs w:val="24"/>
                <w:highlight w:val="none"/>
              </w:rPr>
              <w:t>送至</w:t>
            </w:r>
            <w:r>
              <w:rPr>
                <w:rFonts w:hint="default" w:ascii="Times New Roman" w:hAnsi="Times New Roman" w:eastAsia="宋体" w:cs="Times New Roman"/>
                <w:bCs/>
                <w:color w:val="00B050"/>
                <w:spacing w:val="-10"/>
                <w:sz w:val="24"/>
                <w:szCs w:val="24"/>
                <w:highlight w:val="none"/>
                <w:lang w:val="en-US" w:eastAsia="zh-CN"/>
              </w:rPr>
              <w:t>珠街社区珠街村</w:t>
            </w:r>
            <w:r>
              <w:rPr>
                <w:rFonts w:hint="default" w:ascii="Times New Roman" w:hAnsi="Times New Roman" w:eastAsia="宋体" w:cs="Times New Roman"/>
                <w:bCs/>
                <w:color w:val="00B050"/>
                <w:spacing w:val="-10"/>
                <w:sz w:val="24"/>
                <w:szCs w:val="24"/>
                <w:highlight w:val="none"/>
              </w:rPr>
              <w:t>垃圾堆放点，委托</w:t>
            </w:r>
            <w:r>
              <w:rPr>
                <w:rFonts w:hint="eastAsia" w:ascii="Times New Roman" w:hAnsi="Times New Roman" w:eastAsia="宋体" w:cs="Times New Roman"/>
                <w:bCs/>
                <w:color w:val="00B050"/>
                <w:spacing w:val="-10"/>
                <w:sz w:val="24"/>
                <w:szCs w:val="24"/>
                <w:highlight w:val="none"/>
                <w:lang w:val="en-US" w:eastAsia="zh-CN"/>
              </w:rPr>
              <w:t>麒麟区</w:t>
            </w:r>
            <w:r>
              <w:rPr>
                <w:rFonts w:hint="default" w:ascii="Times New Roman" w:hAnsi="Times New Roman" w:eastAsia="宋体" w:cs="Times New Roman"/>
                <w:bCs/>
                <w:color w:val="00B050"/>
                <w:spacing w:val="-10"/>
                <w:sz w:val="24"/>
                <w:szCs w:val="24"/>
                <w:highlight w:val="none"/>
              </w:rPr>
              <w:t>环卫部门清运处置。</w:t>
            </w:r>
          </w:p>
          <w:p w14:paraId="38CC4299">
            <w:pPr>
              <w:widowControl w:val="0"/>
              <w:spacing w:line="360" w:lineRule="auto"/>
              <w:ind w:firstLine="480" w:firstLineChars="200"/>
              <w:jc w:val="both"/>
              <w:rPr>
                <w:rFonts w:ascii="Times New Roman" w:hAnsi="Times New Roman" w:eastAsia="宋体" w:cs="Times New Roman"/>
                <w:color w:val="00B050"/>
                <w:kern w:val="0"/>
                <w:sz w:val="24"/>
                <w:szCs w:val="52"/>
                <w:lang w:val="en-US" w:eastAsia="zh-CN" w:bidi="ar-SA"/>
              </w:rPr>
            </w:pPr>
            <w:r>
              <w:rPr>
                <w:rFonts w:hint="eastAsia" w:ascii="Times New Roman" w:hAnsi="Times New Roman" w:cs="Times New Roman"/>
                <w:color w:val="00B050"/>
                <w:kern w:val="0"/>
                <w:sz w:val="24"/>
                <w:szCs w:val="52"/>
                <w:lang w:val="en-US" w:eastAsia="zh-CN" w:bidi="ar-SA"/>
              </w:rPr>
              <w:t>项目</w:t>
            </w:r>
            <w:r>
              <w:rPr>
                <w:rFonts w:hint="eastAsia" w:ascii="Times New Roman" w:hAnsi="Times New Roman" w:eastAsia="宋体" w:cs="Times New Roman"/>
                <w:color w:val="00B050"/>
                <w:kern w:val="0"/>
                <w:sz w:val="24"/>
                <w:szCs w:val="52"/>
                <w:lang w:val="en-US" w:eastAsia="zh-CN" w:bidi="ar-SA"/>
              </w:rPr>
              <w:t>固废产生、处置情况见表</w:t>
            </w:r>
            <w:r>
              <w:rPr>
                <w:rFonts w:hint="eastAsia" w:cs="Times New Roman"/>
                <w:color w:val="00B050"/>
                <w:kern w:val="0"/>
                <w:sz w:val="24"/>
                <w:szCs w:val="52"/>
                <w:lang w:val="en-US" w:eastAsia="zh-CN" w:bidi="ar-SA"/>
              </w:rPr>
              <w:t>4.2-15所示</w:t>
            </w:r>
            <w:r>
              <w:rPr>
                <w:rFonts w:hint="eastAsia" w:ascii="Times New Roman" w:hAnsi="Times New Roman" w:eastAsia="宋体" w:cs="Times New Roman"/>
                <w:color w:val="00B050"/>
                <w:kern w:val="0"/>
                <w:sz w:val="24"/>
                <w:szCs w:val="52"/>
                <w:lang w:val="en-US" w:eastAsia="zh-CN" w:bidi="ar-SA"/>
              </w:rPr>
              <w:t>。</w:t>
            </w:r>
          </w:p>
          <w:p w14:paraId="25A63DEF">
            <w:pPr>
              <w:spacing w:line="240" w:lineRule="auto"/>
              <w:ind w:firstLine="0" w:firstLineChars="0"/>
              <w:jc w:val="center"/>
              <w:textAlignment w:val="center"/>
              <w:rPr>
                <w:rFonts w:hint="default" w:ascii="Times New Roman" w:hAnsi="Times New Roman" w:eastAsia="宋体" w:cs="Times New Roman"/>
                <w:b/>
                <w:bCs/>
                <w:color w:val="00B050"/>
                <w:sz w:val="21"/>
                <w:szCs w:val="18"/>
              </w:rPr>
            </w:pPr>
            <w:r>
              <w:rPr>
                <w:rFonts w:hint="default" w:ascii="Times New Roman" w:hAnsi="Times New Roman" w:eastAsia="宋体" w:cs="Times New Roman"/>
                <w:b/>
                <w:bCs/>
                <w:color w:val="00B050"/>
                <w:sz w:val="21"/>
                <w:szCs w:val="18"/>
              </w:rPr>
              <w:t>表</w:t>
            </w:r>
            <w:r>
              <w:rPr>
                <w:rFonts w:hint="default" w:ascii="Times New Roman" w:hAnsi="Times New Roman" w:eastAsia="宋体" w:cs="Times New Roman"/>
                <w:b/>
                <w:bCs/>
                <w:color w:val="00B050"/>
                <w:sz w:val="21"/>
                <w:szCs w:val="18"/>
                <w:lang w:val="en-US" w:eastAsia="zh-CN"/>
              </w:rPr>
              <w:t>4</w:t>
            </w:r>
            <w:r>
              <w:rPr>
                <w:rFonts w:hint="eastAsia" w:ascii="Times New Roman" w:hAnsi="Times New Roman" w:eastAsia="宋体" w:cs="Times New Roman"/>
                <w:b/>
                <w:bCs/>
                <w:color w:val="00B050"/>
                <w:sz w:val="21"/>
                <w:szCs w:val="18"/>
                <w:lang w:val="en-US" w:eastAsia="zh-CN"/>
              </w:rPr>
              <w:t>.2</w:t>
            </w:r>
            <w:r>
              <w:rPr>
                <w:rFonts w:hint="default" w:ascii="Times New Roman" w:hAnsi="Times New Roman" w:eastAsia="宋体" w:cs="Times New Roman"/>
                <w:b/>
                <w:bCs/>
                <w:color w:val="00B050"/>
                <w:sz w:val="21"/>
                <w:szCs w:val="18"/>
                <w:lang w:val="en-US" w:eastAsia="zh-CN"/>
              </w:rPr>
              <w:t>-15  项目</w:t>
            </w:r>
            <w:r>
              <w:rPr>
                <w:rFonts w:hint="default" w:ascii="Times New Roman" w:hAnsi="Times New Roman" w:eastAsia="宋体" w:cs="Times New Roman"/>
                <w:b/>
                <w:bCs/>
                <w:color w:val="00B050"/>
                <w:sz w:val="21"/>
                <w:szCs w:val="18"/>
              </w:rPr>
              <w:t>固废产生、处置情况汇总</w:t>
            </w:r>
            <w:r>
              <w:rPr>
                <w:rFonts w:hint="eastAsia" w:ascii="Times New Roman" w:hAnsi="Times New Roman" w:eastAsia="宋体" w:cs="Times New Roman"/>
                <w:b/>
                <w:bCs/>
                <w:color w:val="00B050"/>
                <w:sz w:val="21"/>
                <w:szCs w:val="18"/>
                <w:lang w:val="en-US" w:eastAsia="zh-CN"/>
              </w:rPr>
              <w:t>一览</w:t>
            </w:r>
            <w:r>
              <w:rPr>
                <w:rFonts w:hint="default" w:ascii="Times New Roman" w:hAnsi="Times New Roman" w:eastAsia="宋体" w:cs="Times New Roman"/>
                <w:b/>
                <w:bCs/>
                <w:color w:val="00B050"/>
                <w:sz w:val="21"/>
                <w:szCs w:val="18"/>
              </w:rPr>
              <w:t>表</w:t>
            </w:r>
          </w:p>
          <w:tbl>
            <w:tblPr>
              <w:tblStyle w:val="26"/>
              <w:tblW w:w="8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472"/>
              <w:gridCol w:w="969"/>
              <w:gridCol w:w="1341"/>
              <w:gridCol w:w="1141"/>
              <w:gridCol w:w="2862"/>
            </w:tblGrid>
            <w:tr w14:paraId="4D5E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11" w:type="dxa"/>
                  <w:noWrap/>
                  <w:vAlign w:val="center"/>
                </w:tcPr>
                <w:p w14:paraId="6014A0AA">
                  <w:pPr>
                    <w:spacing w:line="240" w:lineRule="auto"/>
                    <w:ind w:firstLine="0" w:firstLineChars="0"/>
                    <w:jc w:val="center"/>
                    <w:rPr>
                      <w:rFonts w:ascii="Times New Roman" w:hAnsi="Times New Roman" w:eastAsia="宋体" w:cs="Times New Roman"/>
                      <w:b/>
                      <w:bCs/>
                      <w:snapToGrid w:val="0"/>
                      <w:color w:val="00B050"/>
                      <w:sz w:val="21"/>
                    </w:rPr>
                  </w:pPr>
                  <w:r>
                    <w:rPr>
                      <w:rFonts w:ascii="Times New Roman" w:hAnsi="Times New Roman" w:eastAsia="宋体" w:cs="Times New Roman"/>
                      <w:b/>
                      <w:bCs/>
                      <w:snapToGrid w:val="0"/>
                      <w:color w:val="00B050"/>
                      <w:sz w:val="21"/>
                    </w:rPr>
                    <w:t>序号</w:t>
                  </w:r>
                </w:p>
              </w:tc>
              <w:tc>
                <w:tcPr>
                  <w:tcW w:w="1472" w:type="dxa"/>
                  <w:noWrap/>
                  <w:vAlign w:val="center"/>
                </w:tcPr>
                <w:p w14:paraId="2054AF3E">
                  <w:pPr>
                    <w:spacing w:line="240" w:lineRule="auto"/>
                    <w:ind w:firstLine="0" w:firstLineChars="0"/>
                    <w:jc w:val="center"/>
                    <w:rPr>
                      <w:rFonts w:hint="eastAsia" w:ascii="Times New Roman" w:hAnsi="Times New Roman" w:eastAsia="宋体" w:cs="Times New Roman"/>
                      <w:b/>
                      <w:bCs/>
                      <w:snapToGrid w:val="0"/>
                      <w:color w:val="00B050"/>
                      <w:sz w:val="21"/>
                      <w:lang w:val="en-US" w:eastAsia="zh-CN"/>
                    </w:rPr>
                  </w:pPr>
                  <w:r>
                    <w:rPr>
                      <w:rFonts w:hint="eastAsia" w:cs="Times New Roman"/>
                      <w:b/>
                      <w:bCs/>
                      <w:snapToGrid w:val="0"/>
                      <w:color w:val="00B050"/>
                      <w:sz w:val="21"/>
                      <w:lang w:val="en-US" w:eastAsia="zh-CN"/>
                    </w:rPr>
                    <w:t>名称</w:t>
                  </w:r>
                </w:p>
              </w:tc>
              <w:tc>
                <w:tcPr>
                  <w:tcW w:w="969" w:type="dxa"/>
                  <w:noWrap/>
                  <w:vAlign w:val="center"/>
                </w:tcPr>
                <w:p w14:paraId="5BBDF2F5">
                  <w:pPr>
                    <w:spacing w:line="240" w:lineRule="auto"/>
                    <w:ind w:firstLine="0" w:firstLineChars="0"/>
                    <w:jc w:val="center"/>
                    <w:rPr>
                      <w:rFonts w:ascii="Times New Roman" w:hAnsi="Times New Roman" w:eastAsia="宋体" w:cs="Times New Roman"/>
                      <w:b/>
                      <w:bCs/>
                      <w:snapToGrid w:val="0"/>
                      <w:color w:val="00B050"/>
                      <w:sz w:val="21"/>
                    </w:rPr>
                  </w:pPr>
                  <w:r>
                    <w:rPr>
                      <w:rFonts w:hint="eastAsia" w:ascii="Times New Roman" w:hAnsi="Times New Roman" w:eastAsia="宋体" w:cs="Times New Roman"/>
                      <w:b/>
                      <w:bCs/>
                      <w:snapToGrid w:val="0"/>
                      <w:color w:val="00B050"/>
                      <w:sz w:val="21"/>
                    </w:rPr>
                    <w:t>产生量t/a</w:t>
                  </w:r>
                </w:p>
              </w:tc>
              <w:tc>
                <w:tcPr>
                  <w:tcW w:w="1341" w:type="dxa"/>
                  <w:noWrap/>
                  <w:vAlign w:val="center"/>
                </w:tcPr>
                <w:p w14:paraId="4B3D2F17">
                  <w:pPr>
                    <w:spacing w:line="240" w:lineRule="auto"/>
                    <w:ind w:firstLine="0" w:firstLineChars="0"/>
                    <w:jc w:val="center"/>
                    <w:rPr>
                      <w:rFonts w:ascii="Times New Roman" w:hAnsi="Times New Roman" w:eastAsia="宋体" w:cs="Times New Roman"/>
                      <w:b/>
                      <w:bCs/>
                      <w:snapToGrid w:val="0"/>
                      <w:color w:val="00B050"/>
                      <w:sz w:val="21"/>
                    </w:rPr>
                  </w:pPr>
                  <w:r>
                    <w:rPr>
                      <w:rFonts w:hint="eastAsia" w:ascii="Times New Roman" w:hAnsi="Times New Roman" w:eastAsia="宋体" w:cs="Times New Roman"/>
                      <w:b/>
                      <w:bCs/>
                      <w:snapToGrid w:val="0"/>
                      <w:color w:val="00B050"/>
                      <w:sz w:val="21"/>
                    </w:rPr>
                    <w:t>废物代码</w:t>
                  </w:r>
                </w:p>
              </w:tc>
              <w:tc>
                <w:tcPr>
                  <w:tcW w:w="1141" w:type="dxa"/>
                  <w:noWrap/>
                  <w:vAlign w:val="center"/>
                </w:tcPr>
                <w:p w14:paraId="43AB99A0">
                  <w:pPr>
                    <w:spacing w:line="240" w:lineRule="auto"/>
                    <w:ind w:firstLine="0" w:firstLineChars="0"/>
                    <w:jc w:val="center"/>
                    <w:rPr>
                      <w:rFonts w:ascii="Times New Roman" w:hAnsi="Times New Roman" w:eastAsia="宋体" w:cs="Times New Roman"/>
                      <w:b/>
                      <w:bCs/>
                      <w:snapToGrid w:val="0"/>
                      <w:color w:val="00B050"/>
                      <w:sz w:val="21"/>
                    </w:rPr>
                  </w:pPr>
                  <w:r>
                    <w:rPr>
                      <w:rFonts w:ascii="Times New Roman" w:hAnsi="Times New Roman" w:eastAsia="宋体" w:cs="Times New Roman"/>
                      <w:b/>
                      <w:bCs/>
                      <w:snapToGrid w:val="0"/>
                      <w:color w:val="00B050"/>
                      <w:sz w:val="21"/>
                    </w:rPr>
                    <w:t>废物属性</w:t>
                  </w:r>
                </w:p>
              </w:tc>
              <w:tc>
                <w:tcPr>
                  <w:tcW w:w="2862" w:type="dxa"/>
                  <w:noWrap/>
                  <w:vAlign w:val="center"/>
                </w:tcPr>
                <w:p w14:paraId="6323005E">
                  <w:pPr>
                    <w:spacing w:line="240" w:lineRule="auto"/>
                    <w:ind w:firstLine="0" w:firstLineChars="0"/>
                    <w:jc w:val="center"/>
                    <w:rPr>
                      <w:rFonts w:ascii="宋体" w:hAnsi="宋体" w:eastAsia="宋体" w:cs="Times New Roman"/>
                      <w:b/>
                      <w:bCs/>
                      <w:snapToGrid w:val="0"/>
                      <w:color w:val="00B050"/>
                      <w:sz w:val="21"/>
                    </w:rPr>
                  </w:pPr>
                  <w:r>
                    <w:rPr>
                      <w:rFonts w:ascii="宋体" w:hAnsi="宋体" w:eastAsia="宋体" w:cs="Times New Roman"/>
                      <w:b/>
                      <w:bCs/>
                      <w:snapToGrid w:val="0"/>
                      <w:color w:val="00B050"/>
                      <w:sz w:val="21"/>
                    </w:rPr>
                    <w:t>处理方式</w:t>
                  </w:r>
                </w:p>
              </w:tc>
            </w:tr>
            <w:tr w14:paraId="77CA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11" w:type="dxa"/>
                  <w:noWrap/>
                  <w:vAlign w:val="center"/>
                </w:tcPr>
                <w:p w14:paraId="298B0D1F">
                  <w:pPr>
                    <w:spacing w:line="240" w:lineRule="auto"/>
                    <w:ind w:firstLine="0" w:firstLineChars="0"/>
                    <w:jc w:val="center"/>
                    <w:rPr>
                      <w:rFonts w:ascii="Times New Roman" w:hAnsi="Times New Roman" w:eastAsia="宋体" w:cs="Times New Roman"/>
                      <w:snapToGrid w:val="0"/>
                      <w:color w:val="00B050"/>
                      <w:sz w:val="21"/>
                    </w:rPr>
                  </w:pPr>
                  <w:r>
                    <w:rPr>
                      <w:rFonts w:hint="eastAsia" w:ascii="Times New Roman" w:hAnsi="Times New Roman" w:eastAsia="宋体" w:cs="Times New Roman"/>
                      <w:snapToGrid w:val="0"/>
                      <w:color w:val="00B050"/>
                      <w:sz w:val="21"/>
                    </w:rPr>
                    <w:t>1</w:t>
                  </w:r>
                </w:p>
              </w:tc>
              <w:tc>
                <w:tcPr>
                  <w:tcW w:w="1472" w:type="dxa"/>
                  <w:noWrap/>
                  <w:vAlign w:val="center"/>
                </w:tcPr>
                <w:p w14:paraId="1F427826">
                  <w:pPr>
                    <w:spacing w:line="240" w:lineRule="auto"/>
                    <w:ind w:firstLine="0" w:firstLineChars="0"/>
                    <w:jc w:val="center"/>
                    <w:rPr>
                      <w:rFonts w:hint="eastAsia" w:ascii="Times New Roman" w:hAnsi="Times New Roman" w:eastAsia="宋体" w:cs="Times New Roman"/>
                      <w:snapToGrid w:val="0"/>
                      <w:color w:val="00B050"/>
                      <w:sz w:val="21"/>
                      <w:lang w:eastAsia="zh-CN"/>
                    </w:rPr>
                  </w:pPr>
                  <w:r>
                    <w:rPr>
                      <w:rFonts w:hint="eastAsia" w:ascii="Times New Roman" w:hAnsi="Times New Roman" w:eastAsia="宋体" w:cs="Times New Roman"/>
                      <w:snapToGrid w:val="0"/>
                      <w:color w:val="00B050"/>
                      <w:sz w:val="21"/>
                      <w:lang w:eastAsia="zh-CN"/>
                    </w:rPr>
                    <w:t>含油废抹布及废手套</w:t>
                  </w:r>
                </w:p>
              </w:tc>
              <w:tc>
                <w:tcPr>
                  <w:tcW w:w="969" w:type="dxa"/>
                  <w:noWrap/>
                  <w:vAlign w:val="center"/>
                </w:tcPr>
                <w:p w14:paraId="32DB4EA0">
                  <w:pPr>
                    <w:spacing w:line="240" w:lineRule="auto"/>
                    <w:ind w:firstLine="0" w:firstLineChars="0"/>
                    <w:jc w:val="center"/>
                    <w:rPr>
                      <w:rFonts w:hint="default" w:ascii="Times New Roman" w:hAnsi="Times New Roman" w:eastAsia="宋体" w:cs="Times New Roman"/>
                      <w:snapToGrid w:val="0"/>
                      <w:color w:val="00B050"/>
                      <w:sz w:val="21"/>
                      <w:lang w:val="en-US" w:eastAsia="zh-CN"/>
                    </w:rPr>
                  </w:pPr>
                  <w:r>
                    <w:rPr>
                      <w:rFonts w:hint="eastAsia" w:ascii="Times New Roman" w:hAnsi="Times New Roman" w:cs="Times New Roman"/>
                      <w:snapToGrid w:val="0"/>
                      <w:color w:val="00B050"/>
                      <w:sz w:val="21"/>
                      <w:lang w:val="en-US" w:eastAsia="zh-CN"/>
                    </w:rPr>
                    <w:t>0.0</w:t>
                  </w:r>
                  <w:r>
                    <w:rPr>
                      <w:rFonts w:hint="eastAsia" w:cs="Times New Roman"/>
                      <w:snapToGrid w:val="0"/>
                      <w:color w:val="00B050"/>
                      <w:sz w:val="21"/>
                      <w:lang w:val="en-US" w:eastAsia="zh-CN"/>
                    </w:rPr>
                    <w:t>2</w:t>
                  </w:r>
                </w:p>
              </w:tc>
              <w:tc>
                <w:tcPr>
                  <w:tcW w:w="1341" w:type="dxa"/>
                  <w:noWrap/>
                  <w:vAlign w:val="center"/>
                </w:tcPr>
                <w:p w14:paraId="0A003FDE">
                  <w:pPr>
                    <w:spacing w:line="240" w:lineRule="auto"/>
                    <w:ind w:firstLine="0" w:firstLineChars="0"/>
                    <w:jc w:val="center"/>
                    <w:rPr>
                      <w:rFonts w:ascii="Times New Roman" w:hAnsi="Times New Roman" w:eastAsia="宋体" w:cs="Times New Roman"/>
                      <w:snapToGrid w:val="0"/>
                      <w:color w:val="00B050"/>
                      <w:sz w:val="21"/>
                    </w:rPr>
                  </w:pPr>
                  <w:r>
                    <w:rPr>
                      <w:rFonts w:hint="default" w:ascii="Times New Roman" w:hAnsi="Times New Roman" w:eastAsia="宋体" w:cs="Times New Roman"/>
                      <w:color w:val="00B050"/>
                      <w:sz w:val="21"/>
                      <w:szCs w:val="21"/>
                    </w:rPr>
                    <w:t>900-</w:t>
                  </w:r>
                  <w:r>
                    <w:rPr>
                      <w:rFonts w:hint="eastAsia" w:eastAsia="宋体" w:cs="Times New Roman"/>
                      <w:color w:val="00B050"/>
                      <w:sz w:val="21"/>
                      <w:szCs w:val="21"/>
                      <w:lang w:val="en-US" w:eastAsia="zh-CN"/>
                    </w:rPr>
                    <w:t>249</w:t>
                  </w:r>
                  <w:r>
                    <w:rPr>
                      <w:rFonts w:hint="default" w:ascii="Times New Roman" w:hAnsi="Times New Roman" w:eastAsia="宋体" w:cs="Times New Roman"/>
                      <w:color w:val="00B050"/>
                      <w:sz w:val="21"/>
                      <w:szCs w:val="21"/>
                    </w:rPr>
                    <w:t>-</w:t>
                  </w:r>
                  <w:r>
                    <w:rPr>
                      <w:rFonts w:hint="eastAsia" w:eastAsia="宋体" w:cs="Times New Roman"/>
                      <w:color w:val="00B050"/>
                      <w:sz w:val="21"/>
                      <w:szCs w:val="21"/>
                      <w:lang w:val="en-US" w:eastAsia="zh-CN"/>
                    </w:rPr>
                    <w:t>08</w:t>
                  </w:r>
                </w:p>
              </w:tc>
              <w:tc>
                <w:tcPr>
                  <w:tcW w:w="1141" w:type="dxa"/>
                  <w:noWrap/>
                  <w:vAlign w:val="center"/>
                </w:tcPr>
                <w:p w14:paraId="2399CFDC">
                  <w:pPr>
                    <w:spacing w:line="240" w:lineRule="auto"/>
                    <w:ind w:firstLine="0" w:firstLineChars="0"/>
                    <w:jc w:val="center"/>
                    <w:rPr>
                      <w:rFonts w:hint="eastAsia" w:ascii="Times New Roman" w:hAnsi="Times New Roman" w:eastAsia="宋体" w:cs="Times New Roman"/>
                      <w:snapToGrid w:val="0"/>
                      <w:color w:val="00B050"/>
                      <w:sz w:val="21"/>
                      <w:lang w:eastAsia="zh-CN"/>
                    </w:rPr>
                  </w:pPr>
                  <w:r>
                    <w:rPr>
                      <w:rFonts w:hint="eastAsia" w:cs="Times New Roman"/>
                      <w:snapToGrid w:val="0"/>
                      <w:color w:val="00B050"/>
                      <w:sz w:val="21"/>
                      <w:lang w:val="en-US" w:eastAsia="zh-CN"/>
                    </w:rPr>
                    <w:t>危险废物</w:t>
                  </w:r>
                </w:p>
              </w:tc>
              <w:tc>
                <w:tcPr>
                  <w:tcW w:w="2862" w:type="dxa"/>
                  <w:noWrap/>
                  <w:vAlign w:val="center"/>
                </w:tcPr>
                <w:p w14:paraId="303346DB">
                  <w:pPr>
                    <w:spacing w:line="240" w:lineRule="auto"/>
                    <w:ind w:firstLine="0" w:firstLineChars="0"/>
                    <w:jc w:val="center"/>
                    <w:rPr>
                      <w:rFonts w:hint="default" w:ascii="Calibri" w:hAnsi="Calibri" w:eastAsia="宋体" w:cs="Times New Roman"/>
                      <w:color w:val="00B050"/>
                      <w:sz w:val="21"/>
                      <w:szCs w:val="22"/>
                      <w:lang w:val="en-US" w:eastAsia="zh-CN"/>
                    </w:rPr>
                  </w:pPr>
                  <w:r>
                    <w:rPr>
                      <w:rFonts w:hint="eastAsia" w:ascii="宋体" w:hAnsi="宋体" w:eastAsia="宋体" w:cs="Times New Roman"/>
                      <w:snapToGrid w:val="0"/>
                      <w:color w:val="00B050"/>
                      <w:sz w:val="21"/>
                    </w:rPr>
                    <w:t>经贮存库收集后随同类</w:t>
                  </w:r>
                  <w:r>
                    <w:rPr>
                      <w:rFonts w:hint="eastAsia" w:ascii="宋体" w:hAnsi="宋体" w:cs="Times New Roman"/>
                      <w:snapToGrid w:val="0"/>
                      <w:color w:val="00B050"/>
                      <w:sz w:val="21"/>
                      <w:lang w:eastAsia="zh-CN"/>
                    </w:rPr>
                    <w:t>危险废物</w:t>
                  </w:r>
                  <w:r>
                    <w:rPr>
                      <w:rFonts w:hint="eastAsia" w:ascii="宋体" w:hAnsi="宋体" w:eastAsia="宋体" w:cs="Times New Roman"/>
                      <w:snapToGrid w:val="0"/>
                      <w:color w:val="00B050"/>
                      <w:sz w:val="21"/>
                    </w:rPr>
                    <w:t>转移至资质单位处置</w:t>
                  </w:r>
                </w:p>
              </w:tc>
            </w:tr>
            <w:tr w14:paraId="0CF6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11" w:type="dxa"/>
                  <w:noWrap/>
                  <w:vAlign w:val="center"/>
                </w:tcPr>
                <w:p w14:paraId="4BD99EB6">
                  <w:pPr>
                    <w:spacing w:line="240" w:lineRule="auto"/>
                    <w:ind w:firstLine="0" w:firstLineChars="0"/>
                    <w:jc w:val="center"/>
                    <w:rPr>
                      <w:rFonts w:ascii="Times New Roman" w:hAnsi="Times New Roman" w:eastAsia="宋体" w:cs="Times New Roman"/>
                      <w:snapToGrid w:val="0"/>
                      <w:color w:val="00B050"/>
                      <w:sz w:val="21"/>
                    </w:rPr>
                  </w:pPr>
                  <w:r>
                    <w:rPr>
                      <w:rFonts w:hint="eastAsia" w:ascii="Times New Roman" w:hAnsi="Times New Roman" w:eastAsia="宋体" w:cs="Times New Roman"/>
                      <w:snapToGrid w:val="0"/>
                      <w:color w:val="00B050"/>
                      <w:sz w:val="21"/>
                    </w:rPr>
                    <w:t>2</w:t>
                  </w:r>
                </w:p>
              </w:tc>
              <w:tc>
                <w:tcPr>
                  <w:tcW w:w="1472" w:type="dxa"/>
                  <w:noWrap/>
                  <w:vAlign w:val="center"/>
                </w:tcPr>
                <w:p w14:paraId="2BA1B145">
                  <w:pPr>
                    <w:spacing w:line="240" w:lineRule="auto"/>
                    <w:ind w:firstLine="0" w:firstLineChars="0"/>
                    <w:jc w:val="center"/>
                    <w:rPr>
                      <w:rFonts w:hint="default" w:ascii="Times New Roman" w:hAnsi="Times New Roman" w:eastAsia="宋体" w:cs="Times New Roman"/>
                      <w:snapToGrid w:val="0"/>
                      <w:color w:val="00B050"/>
                      <w:sz w:val="21"/>
                      <w:lang w:val="en-US" w:eastAsia="zh-CN"/>
                    </w:rPr>
                  </w:pPr>
                  <w:r>
                    <w:rPr>
                      <w:rFonts w:hint="eastAsia" w:ascii="Times New Roman" w:hAnsi="Times New Roman" w:cs="Times New Roman"/>
                      <w:snapToGrid w:val="0"/>
                      <w:color w:val="00B050"/>
                      <w:sz w:val="21"/>
                      <w:lang w:val="en-US" w:eastAsia="zh-CN"/>
                    </w:rPr>
                    <w:t>生活垃圾</w:t>
                  </w:r>
                </w:p>
              </w:tc>
              <w:tc>
                <w:tcPr>
                  <w:tcW w:w="969" w:type="dxa"/>
                  <w:noWrap/>
                  <w:vAlign w:val="center"/>
                </w:tcPr>
                <w:p w14:paraId="4E711849">
                  <w:pPr>
                    <w:spacing w:line="240" w:lineRule="auto"/>
                    <w:ind w:firstLine="0" w:firstLineChars="0"/>
                    <w:jc w:val="center"/>
                    <w:rPr>
                      <w:rFonts w:hint="default" w:ascii="Times New Roman" w:hAnsi="Times New Roman" w:eastAsia="宋体" w:cs="Times New Roman"/>
                      <w:snapToGrid w:val="0"/>
                      <w:color w:val="00B050"/>
                      <w:sz w:val="21"/>
                      <w:lang w:val="en-US" w:eastAsia="zh-CN"/>
                    </w:rPr>
                  </w:pPr>
                  <w:r>
                    <w:rPr>
                      <w:rFonts w:hint="eastAsia" w:cs="Times New Roman"/>
                      <w:snapToGrid w:val="0"/>
                      <w:color w:val="00B050"/>
                      <w:sz w:val="21"/>
                      <w:lang w:val="en-US" w:eastAsia="zh-CN"/>
                    </w:rPr>
                    <w:t>1.825</w:t>
                  </w:r>
                </w:p>
              </w:tc>
              <w:tc>
                <w:tcPr>
                  <w:tcW w:w="1341" w:type="dxa"/>
                  <w:noWrap/>
                  <w:vAlign w:val="center"/>
                </w:tcPr>
                <w:p w14:paraId="3B79E6EB">
                  <w:pPr>
                    <w:spacing w:line="240" w:lineRule="auto"/>
                    <w:ind w:firstLine="0" w:firstLineChars="0"/>
                    <w:jc w:val="center"/>
                    <w:rPr>
                      <w:rFonts w:hint="eastAsia" w:ascii="Times New Roman" w:hAnsi="Times New Roman" w:eastAsia="宋体" w:cs="Times New Roman"/>
                      <w:snapToGrid w:val="0"/>
                      <w:color w:val="00B050"/>
                      <w:sz w:val="21"/>
                      <w:lang w:val="en-US" w:eastAsia="zh-CN"/>
                    </w:rPr>
                  </w:pPr>
                  <w:r>
                    <w:rPr>
                      <w:rFonts w:hint="default" w:ascii="Times New Roman" w:hAnsi="Times New Roman" w:eastAsia="宋体" w:cs="Times New Roman"/>
                      <w:snapToGrid w:val="0"/>
                      <w:color w:val="00B050"/>
                      <w:sz w:val="21"/>
                      <w:lang w:val="en-US" w:eastAsia="zh-CN"/>
                    </w:rPr>
                    <w:t>900-</w:t>
                  </w:r>
                  <w:r>
                    <w:rPr>
                      <w:rFonts w:hint="eastAsia" w:ascii="Times New Roman" w:hAnsi="Times New Roman" w:eastAsia="宋体" w:cs="Times New Roman"/>
                      <w:snapToGrid w:val="0"/>
                      <w:color w:val="00B050"/>
                      <w:sz w:val="21"/>
                      <w:lang w:val="en-US" w:eastAsia="zh-CN"/>
                    </w:rPr>
                    <w:t>099</w:t>
                  </w:r>
                  <w:r>
                    <w:rPr>
                      <w:rFonts w:hint="default" w:ascii="Times New Roman" w:hAnsi="Times New Roman" w:eastAsia="宋体" w:cs="Times New Roman"/>
                      <w:snapToGrid w:val="0"/>
                      <w:color w:val="00B050"/>
                      <w:sz w:val="21"/>
                      <w:lang w:val="en-US" w:eastAsia="zh-CN"/>
                    </w:rPr>
                    <w:t>-S64</w:t>
                  </w:r>
                </w:p>
              </w:tc>
              <w:tc>
                <w:tcPr>
                  <w:tcW w:w="1141" w:type="dxa"/>
                  <w:noWrap/>
                  <w:vAlign w:val="center"/>
                </w:tcPr>
                <w:p w14:paraId="3FC7C70B">
                  <w:pPr>
                    <w:spacing w:line="240" w:lineRule="auto"/>
                    <w:ind w:firstLine="0" w:firstLineChars="0"/>
                    <w:jc w:val="center"/>
                    <w:rPr>
                      <w:rFonts w:ascii="Times New Roman" w:hAnsi="Times New Roman" w:eastAsia="宋体" w:cs="Times New Roman"/>
                      <w:snapToGrid w:val="0"/>
                      <w:color w:val="00B050"/>
                      <w:sz w:val="21"/>
                    </w:rPr>
                  </w:pPr>
                  <w:r>
                    <w:rPr>
                      <w:rFonts w:hint="eastAsia" w:cs="Times New Roman"/>
                      <w:snapToGrid w:val="0"/>
                      <w:color w:val="00B050"/>
                      <w:sz w:val="21"/>
                      <w:lang w:val="en-US" w:eastAsia="zh-CN"/>
                    </w:rPr>
                    <w:t>生活固废</w:t>
                  </w:r>
                </w:p>
              </w:tc>
              <w:tc>
                <w:tcPr>
                  <w:tcW w:w="2862" w:type="dxa"/>
                  <w:noWrap/>
                  <w:vAlign w:val="center"/>
                </w:tcPr>
                <w:p w14:paraId="70BA619E">
                  <w:pPr>
                    <w:spacing w:line="240" w:lineRule="auto"/>
                    <w:ind w:firstLine="0" w:firstLineChars="0"/>
                    <w:jc w:val="center"/>
                    <w:rPr>
                      <w:rFonts w:ascii="Calibri" w:hAnsi="Calibri" w:eastAsia="宋体" w:cs="Times New Roman"/>
                      <w:color w:val="00B050"/>
                      <w:sz w:val="21"/>
                      <w:szCs w:val="22"/>
                    </w:rPr>
                  </w:pPr>
                  <w:r>
                    <w:rPr>
                      <w:rFonts w:hint="eastAsia" w:ascii="宋体" w:hAnsi="宋体" w:cs="Times New Roman"/>
                      <w:snapToGrid w:val="0"/>
                      <w:color w:val="00B050"/>
                      <w:sz w:val="21"/>
                      <w:lang w:val="en-US" w:eastAsia="zh-CN"/>
                    </w:rPr>
                    <w:t>经垃圾桶收集后送至珠街社区垃圾堆放点，委托麒麟区环卫部门清运处置</w:t>
                  </w:r>
                </w:p>
              </w:tc>
            </w:tr>
            <w:tr w14:paraId="6148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11" w:type="dxa"/>
                  <w:noWrap/>
                  <w:vAlign w:val="center"/>
                </w:tcPr>
                <w:p w14:paraId="657B4A7E">
                  <w:pPr>
                    <w:spacing w:line="240" w:lineRule="auto"/>
                    <w:ind w:firstLine="0" w:firstLineChars="0"/>
                    <w:jc w:val="center"/>
                    <w:rPr>
                      <w:rFonts w:hint="eastAsia" w:ascii="Times New Roman" w:hAnsi="Times New Roman" w:eastAsia="宋体" w:cs="Times New Roman"/>
                      <w:snapToGrid w:val="0"/>
                      <w:color w:val="00B050"/>
                      <w:sz w:val="21"/>
                      <w:lang w:eastAsia="zh-CN"/>
                    </w:rPr>
                  </w:pPr>
                  <w:r>
                    <w:rPr>
                      <w:rFonts w:hint="eastAsia" w:cs="Times New Roman"/>
                      <w:snapToGrid w:val="0"/>
                      <w:color w:val="00B050"/>
                      <w:sz w:val="21"/>
                      <w:lang w:val="en-US" w:eastAsia="zh-CN"/>
                    </w:rPr>
                    <w:t>3</w:t>
                  </w:r>
                </w:p>
              </w:tc>
              <w:tc>
                <w:tcPr>
                  <w:tcW w:w="1472" w:type="dxa"/>
                  <w:noWrap/>
                  <w:vAlign w:val="center"/>
                </w:tcPr>
                <w:p w14:paraId="3C53AE78">
                  <w:pPr>
                    <w:spacing w:line="240" w:lineRule="auto"/>
                    <w:ind w:firstLine="0" w:firstLineChars="0"/>
                    <w:jc w:val="center"/>
                    <w:rPr>
                      <w:rFonts w:hint="eastAsia" w:ascii="Times New Roman" w:hAnsi="Times New Roman" w:eastAsia="宋体" w:cs="Times New Roman"/>
                      <w:snapToGrid w:val="0"/>
                      <w:color w:val="00B050"/>
                      <w:kern w:val="2"/>
                      <w:sz w:val="21"/>
                      <w:szCs w:val="24"/>
                      <w:lang w:val="en-US" w:eastAsia="zh-CN" w:bidi="ar-SA"/>
                    </w:rPr>
                  </w:pPr>
                  <w:r>
                    <w:rPr>
                      <w:rFonts w:hint="eastAsia" w:ascii="Times New Roman" w:hAnsi="Times New Roman" w:cs="Times New Roman"/>
                      <w:snapToGrid w:val="0"/>
                      <w:color w:val="00B050"/>
                      <w:sz w:val="21"/>
                      <w:lang w:val="en-US" w:eastAsia="zh-CN"/>
                    </w:rPr>
                    <w:t>废活性炭</w:t>
                  </w:r>
                </w:p>
              </w:tc>
              <w:tc>
                <w:tcPr>
                  <w:tcW w:w="969" w:type="dxa"/>
                  <w:noWrap/>
                  <w:vAlign w:val="center"/>
                </w:tcPr>
                <w:p w14:paraId="73A2DEB5">
                  <w:pPr>
                    <w:spacing w:line="240" w:lineRule="auto"/>
                    <w:ind w:firstLine="0" w:firstLineChars="0"/>
                    <w:jc w:val="center"/>
                    <w:rPr>
                      <w:rFonts w:hint="default" w:ascii="Times New Roman" w:hAnsi="Times New Roman" w:eastAsia="宋体" w:cs="Times New Roman"/>
                      <w:snapToGrid w:val="0"/>
                      <w:color w:val="00B050"/>
                      <w:kern w:val="2"/>
                      <w:sz w:val="21"/>
                      <w:szCs w:val="24"/>
                      <w:lang w:val="en-US" w:eastAsia="zh-CN" w:bidi="ar-SA"/>
                    </w:rPr>
                  </w:pPr>
                  <w:r>
                    <w:rPr>
                      <w:rFonts w:hint="eastAsia" w:cs="Times New Roman"/>
                      <w:snapToGrid w:val="0"/>
                      <w:color w:val="00B050"/>
                      <w:sz w:val="21"/>
                      <w:lang w:val="en-US" w:eastAsia="zh-CN"/>
                    </w:rPr>
                    <w:t>0.25</w:t>
                  </w:r>
                </w:p>
              </w:tc>
              <w:tc>
                <w:tcPr>
                  <w:tcW w:w="1341" w:type="dxa"/>
                  <w:noWrap/>
                  <w:vAlign w:val="center"/>
                </w:tcPr>
                <w:p w14:paraId="0B76A4F5">
                  <w:pPr>
                    <w:spacing w:line="240" w:lineRule="auto"/>
                    <w:ind w:firstLine="0" w:firstLineChars="0"/>
                    <w:jc w:val="center"/>
                    <w:rPr>
                      <w:rFonts w:hint="eastAsia" w:ascii="Times New Roman" w:hAnsi="Times New Roman" w:eastAsia="宋体" w:cs="Times New Roman"/>
                      <w:snapToGrid w:val="0"/>
                      <w:color w:val="00B050"/>
                      <w:sz w:val="21"/>
                      <w:lang w:val="en-US" w:eastAsia="zh-CN"/>
                    </w:rPr>
                  </w:pPr>
                  <w:r>
                    <w:rPr>
                      <w:rFonts w:hint="eastAsia" w:ascii="Times New Roman" w:hAnsi="Times New Roman" w:eastAsia="宋体" w:cs="Times New Roman"/>
                      <w:snapToGrid w:val="0"/>
                      <w:color w:val="00B050"/>
                      <w:sz w:val="21"/>
                      <w:lang w:val="en-US" w:eastAsia="zh-CN"/>
                    </w:rPr>
                    <w:t>900-039-49</w:t>
                  </w:r>
                </w:p>
              </w:tc>
              <w:tc>
                <w:tcPr>
                  <w:tcW w:w="1141" w:type="dxa"/>
                  <w:noWrap/>
                  <w:vAlign w:val="center"/>
                </w:tcPr>
                <w:p w14:paraId="256D2D65">
                  <w:pPr>
                    <w:spacing w:line="240" w:lineRule="auto"/>
                    <w:ind w:firstLine="0" w:firstLineChars="0"/>
                    <w:jc w:val="center"/>
                    <w:rPr>
                      <w:rFonts w:ascii="Times New Roman" w:hAnsi="Times New Roman" w:eastAsia="宋体" w:cs="Times New Roman"/>
                      <w:snapToGrid w:val="0"/>
                      <w:color w:val="00B050"/>
                      <w:kern w:val="2"/>
                      <w:sz w:val="21"/>
                      <w:szCs w:val="24"/>
                      <w:lang w:val="en-US" w:eastAsia="zh-CN" w:bidi="ar-SA"/>
                    </w:rPr>
                  </w:pPr>
                  <w:r>
                    <w:rPr>
                      <w:rFonts w:ascii="Times New Roman" w:hAnsi="Times New Roman" w:eastAsia="宋体" w:cs="Times New Roman"/>
                      <w:snapToGrid w:val="0"/>
                      <w:color w:val="00B050"/>
                      <w:sz w:val="21"/>
                      <w:szCs w:val="21"/>
                    </w:rPr>
                    <w:t>危险废物</w:t>
                  </w:r>
                </w:p>
              </w:tc>
              <w:tc>
                <w:tcPr>
                  <w:tcW w:w="2862" w:type="dxa"/>
                  <w:vMerge w:val="restart"/>
                  <w:noWrap/>
                  <w:vAlign w:val="center"/>
                </w:tcPr>
                <w:p w14:paraId="19AACEDE">
                  <w:pPr>
                    <w:spacing w:line="240" w:lineRule="auto"/>
                    <w:ind w:firstLine="0" w:firstLineChars="0"/>
                    <w:jc w:val="center"/>
                    <w:rPr>
                      <w:rFonts w:ascii="宋体" w:hAnsi="宋体" w:eastAsia="宋体" w:cs="Times New Roman"/>
                      <w:snapToGrid w:val="0"/>
                      <w:color w:val="00B050"/>
                      <w:sz w:val="21"/>
                    </w:rPr>
                  </w:pPr>
                  <w:r>
                    <w:rPr>
                      <w:rFonts w:hint="eastAsia" w:ascii="宋体" w:hAnsi="宋体" w:eastAsia="宋体" w:cs="Times New Roman"/>
                      <w:snapToGrid w:val="0"/>
                      <w:color w:val="00B050"/>
                      <w:sz w:val="21"/>
                    </w:rPr>
                    <w:t>经贮存库收集后随同类</w:t>
                  </w:r>
                  <w:r>
                    <w:rPr>
                      <w:rFonts w:hint="eastAsia" w:ascii="宋体" w:hAnsi="宋体" w:cs="Times New Roman"/>
                      <w:snapToGrid w:val="0"/>
                      <w:color w:val="00B050"/>
                      <w:sz w:val="21"/>
                      <w:lang w:eastAsia="zh-CN"/>
                    </w:rPr>
                    <w:t>危险废物</w:t>
                  </w:r>
                  <w:r>
                    <w:rPr>
                      <w:rFonts w:hint="eastAsia" w:ascii="宋体" w:hAnsi="宋体" w:eastAsia="宋体" w:cs="Times New Roman"/>
                      <w:snapToGrid w:val="0"/>
                      <w:color w:val="00B050"/>
                      <w:sz w:val="21"/>
                    </w:rPr>
                    <w:t>转移至资质单位处置</w:t>
                  </w:r>
                </w:p>
              </w:tc>
            </w:tr>
            <w:tr w14:paraId="7FBB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11" w:type="dxa"/>
                  <w:noWrap/>
                  <w:vAlign w:val="center"/>
                </w:tcPr>
                <w:p w14:paraId="7ADAD898">
                  <w:pPr>
                    <w:spacing w:line="240" w:lineRule="auto"/>
                    <w:ind w:firstLine="0" w:firstLineChars="0"/>
                    <w:jc w:val="center"/>
                    <w:rPr>
                      <w:rFonts w:hint="default" w:cs="Times New Roman"/>
                      <w:snapToGrid w:val="0"/>
                      <w:color w:val="00B050"/>
                      <w:sz w:val="21"/>
                      <w:lang w:val="en-US" w:eastAsia="zh-CN"/>
                    </w:rPr>
                  </w:pPr>
                  <w:r>
                    <w:rPr>
                      <w:rFonts w:hint="eastAsia" w:cs="Times New Roman"/>
                      <w:snapToGrid w:val="0"/>
                      <w:color w:val="00B050"/>
                      <w:sz w:val="21"/>
                      <w:lang w:val="en-US" w:eastAsia="zh-CN"/>
                    </w:rPr>
                    <w:t>4</w:t>
                  </w:r>
                </w:p>
              </w:tc>
              <w:tc>
                <w:tcPr>
                  <w:tcW w:w="1472" w:type="dxa"/>
                  <w:noWrap/>
                  <w:vAlign w:val="center"/>
                </w:tcPr>
                <w:p w14:paraId="4FF14D84">
                  <w:pPr>
                    <w:spacing w:line="240" w:lineRule="auto"/>
                    <w:ind w:firstLine="0" w:firstLineChars="0"/>
                    <w:jc w:val="center"/>
                    <w:rPr>
                      <w:rFonts w:hint="default" w:ascii="Times New Roman" w:hAnsi="Times New Roman" w:cs="Times New Roman"/>
                      <w:snapToGrid w:val="0"/>
                      <w:color w:val="00B050"/>
                      <w:sz w:val="21"/>
                      <w:lang w:val="en-US" w:eastAsia="zh-CN"/>
                    </w:rPr>
                  </w:pPr>
                  <w:r>
                    <w:rPr>
                      <w:rFonts w:hint="eastAsia" w:ascii="Times New Roman" w:hAnsi="Times New Roman" w:cs="Times New Roman"/>
                      <w:snapToGrid w:val="0"/>
                      <w:color w:val="00B050"/>
                      <w:sz w:val="21"/>
                      <w:lang w:val="en-US" w:eastAsia="zh-CN"/>
                    </w:rPr>
                    <w:t>废沙土</w:t>
                  </w:r>
                </w:p>
              </w:tc>
              <w:tc>
                <w:tcPr>
                  <w:tcW w:w="969" w:type="dxa"/>
                  <w:noWrap/>
                  <w:vAlign w:val="center"/>
                </w:tcPr>
                <w:p w14:paraId="1BDE6585">
                  <w:pPr>
                    <w:spacing w:line="240" w:lineRule="auto"/>
                    <w:ind w:firstLine="0" w:firstLineChars="0"/>
                    <w:jc w:val="center"/>
                    <w:rPr>
                      <w:rFonts w:hint="default" w:ascii="Times New Roman" w:hAnsi="Times New Roman" w:eastAsia="宋体" w:cs="Times New Roman"/>
                      <w:snapToGrid w:val="0"/>
                      <w:color w:val="00B050"/>
                      <w:sz w:val="21"/>
                      <w:lang w:val="en-US" w:eastAsia="zh-CN"/>
                    </w:rPr>
                  </w:pPr>
                  <w:r>
                    <w:rPr>
                      <w:rFonts w:hint="eastAsia" w:ascii="Times New Roman" w:hAnsi="Times New Roman" w:cs="Times New Roman"/>
                      <w:snapToGrid w:val="0"/>
                      <w:color w:val="00B050"/>
                      <w:sz w:val="21"/>
                      <w:lang w:val="en-US" w:eastAsia="zh-CN"/>
                    </w:rPr>
                    <w:t>0.0</w:t>
                  </w:r>
                  <w:r>
                    <w:rPr>
                      <w:rFonts w:hint="eastAsia" w:cs="Times New Roman"/>
                      <w:snapToGrid w:val="0"/>
                      <w:color w:val="00B050"/>
                      <w:sz w:val="21"/>
                      <w:lang w:val="en-US" w:eastAsia="zh-CN"/>
                    </w:rPr>
                    <w:t>8</w:t>
                  </w:r>
                </w:p>
              </w:tc>
              <w:tc>
                <w:tcPr>
                  <w:tcW w:w="1341" w:type="dxa"/>
                  <w:noWrap/>
                  <w:vAlign w:val="center"/>
                </w:tcPr>
                <w:p w14:paraId="060CCBC5">
                  <w:pPr>
                    <w:spacing w:line="240" w:lineRule="auto"/>
                    <w:ind w:firstLine="0" w:firstLineChars="0"/>
                    <w:jc w:val="center"/>
                    <w:rPr>
                      <w:rFonts w:hint="eastAsia" w:ascii="Times New Roman" w:hAnsi="Times New Roman" w:eastAsia="宋体" w:cs="Times New Roman"/>
                      <w:snapToGrid w:val="0"/>
                      <w:color w:val="00B050"/>
                      <w:sz w:val="21"/>
                    </w:rPr>
                  </w:pPr>
                  <w:r>
                    <w:rPr>
                      <w:color w:val="00B050"/>
                      <w:w w:val="100"/>
                      <w:kern w:val="0"/>
                      <w:sz w:val="21"/>
                      <w:szCs w:val="21"/>
                    </w:rPr>
                    <w:t>900-041-49</w:t>
                  </w:r>
                </w:p>
              </w:tc>
              <w:tc>
                <w:tcPr>
                  <w:tcW w:w="1141" w:type="dxa"/>
                  <w:noWrap/>
                  <w:vAlign w:val="center"/>
                </w:tcPr>
                <w:p w14:paraId="7CBEEF30">
                  <w:pPr>
                    <w:spacing w:line="240" w:lineRule="auto"/>
                    <w:ind w:firstLine="0" w:firstLineChars="0"/>
                    <w:jc w:val="center"/>
                    <w:rPr>
                      <w:rFonts w:ascii="Times New Roman" w:hAnsi="Times New Roman" w:eastAsia="宋体" w:cs="Times New Roman"/>
                      <w:snapToGrid w:val="0"/>
                      <w:color w:val="00B050"/>
                      <w:sz w:val="21"/>
                      <w:szCs w:val="21"/>
                    </w:rPr>
                  </w:pPr>
                  <w:r>
                    <w:rPr>
                      <w:rFonts w:ascii="Times New Roman" w:hAnsi="Times New Roman" w:eastAsia="宋体" w:cs="Times New Roman"/>
                      <w:snapToGrid w:val="0"/>
                      <w:color w:val="00B050"/>
                      <w:sz w:val="21"/>
                      <w:szCs w:val="21"/>
                    </w:rPr>
                    <w:t>危险废物</w:t>
                  </w:r>
                </w:p>
              </w:tc>
              <w:tc>
                <w:tcPr>
                  <w:tcW w:w="2862" w:type="dxa"/>
                  <w:vMerge w:val="continue"/>
                  <w:noWrap/>
                  <w:vAlign w:val="center"/>
                </w:tcPr>
                <w:p w14:paraId="2243BDFB">
                  <w:pPr>
                    <w:spacing w:line="240" w:lineRule="auto"/>
                    <w:ind w:firstLine="0" w:firstLineChars="0"/>
                    <w:jc w:val="center"/>
                    <w:rPr>
                      <w:rFonts w:hint="eastAsia" w:ascii="宋体" w:hAnsi="宋体" w:eastAsia="宋体" w:cs="Times New Roman"/>
                      <w:snapToGrid w:val="0"/>
                      <w:color w:val="00B050"/>
                      <w:sz w:val="21"/>
                    </w:rPr>
                  </w:pPr>
                </w:p>
              </w:tc>
            </w:tr>
            <w:tr w14:paraId="69F4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11" w:type="dxa"/>
                  <w:vMerge w:val="restart"/>
                  <w:noWrap/>
                  <w:vAlign w:val="center"/>
                </w:tcPr>
                <w:p w14:paraId="60441502">
                  <w:pPr>
                    <w:spacing w:line="240" w:lineRule="auto"/>
                    <w:ind w:firstLine="0" w:firstLineChars="0"/>
                    <w:jc w:val="center"/>
                    <w:rPr>
                      <w:rFonts w:hint="default" w:cs="Times New Roman"/>
                      <w:b w:val="0"/>
                      <w:bCs w:val="0"/>
                      <w:snapToGrid w:val="0"/>
                      <w:color w:val="FF0000"/>
                      <w:sz w:val="21"/>
                      <w:szCs w:val="21"/>
                      <w:lang w:val="en-US" w:eastAsia="zh-CN"/>
                    </w:rPr>
                  </w:pPr>
                  <w:r>
                    <w:rPr>
                      <w:rFonts w:hint="eastAsia" w:cs="Times New Roman"/>
                      <w:b w:val="0"/>
                      <w:bCs w:val="0"/>
                      <w:snapToGrid w:val="0"/>
                      <w:color w:val="FF0000"/>
                      <w:sz w:val="21"/>
                      <w:szCs w:val="21"/>
                      <w:lang w:val="en-US" w:eastAsia="zh-CN"/>
                    </w:rPr>
                    <w:t>5</w:t>
                  </w:r>
                </w:p>
              </w:tc>
              <w:tc>
                <w:tcPr>
                  <w:tcW w:w="1472" w:type="dxa"/>
                  <w:vMerge w:val="restart"/>
                  <w:noWrap/>
                  <w:vAlign w:val="center"/>
                </w:tcPr>
                <w:p w14:paraId="6B823558">
                  <w:pPr>
                    <w:spacing w:line="240" w:lineRule="auto"/>
                    <w:ind w:firstLine="0" w:firstLineChars="0"/>
                    <w:jc w:val="center"/>
                    <w:rPr>
                      <w:rFonts w:hint="eastAsia" w:ascii="Times New Roman" w:hAnsi="Times New Roman" w:cs="Times New Roman"/>
                      <w:b w:val="0"/>
                      <w:bCs w:val="0"/>
                      <w:snapToGrid w:val="0"/>
                      <w:color w:val="FF0000"/>
                      <w:sz w:val="21"/>
                      <w:szCs w:val="21"/>
                      <w:lang w:val="en-US" w:eastAsia="zh-CN"/>
                    </w:rPr>
                  </w:pPr>
                  <w:r>
                    <w:rPr>
                      <w:rFonts w:hint="eastAsia" w:cs="Times New Roman"/>
                      <w:b w:val="0"/>
                      <w:bCs w:val="0"/>
                      <w:color w:val="FF0000"/>
                      <w:kern w:val="0"/>
                      <w:sz w:val="21"/>
                      <w:szCs w:val="21"/>
                      <w:lang w:val="en-US" w:eastAsia="zh-CN" w:bidi="ar-SA"/>
                    </w:rPr>
                    <w:t>废积液</w:t>
                  </w:r>
                </w:p>
              </w:tc>
              <w:tc>
                <w:tcPr>
                  <w:tcW w:w="969" w:type="dxa"/>
                  <w:vMerge w:val="restart"/>
                  <w:noWrap/>
                  <w:vAlign w:val="center"/>
                </w:tcPr>
                <w:p w14:paraId="70AD70E9">
                  <w:pPr>
                    <w:spacing w:line="240" w:lineRule="auto"/>
                    <w:ind w:firstLine="0" w:firstLineChars="0"/>
                    <w:jc w:val="center"/>
                    <w:rPr>
                      <w:rFonts w:hint="default" w:ascii="Times New Roman" w:hAnsi="Times New Roman" w:cs="Times New Roman"/>
                      <w:b w:val="0"/>
                      <w:bCs w:val="0"/>
                      <w:snapToGrid w:val="0"/>
                      <w:color w:val="FF0000"/>
                      <w:sz w:val="21"/>
                      <w:szCs w:val="21"/>
                      <w:lang w:val="en-US" w:eastAsia="zh-CN"/>
                    </w:rPr>
                  </w:pPr>
                  <w:r>
                    <w:rPr>
                      <w:rFonts w:hint="eastAsia" w:cs="Times New Roman"/>
                      <w:b w:val="0"/>
                      <w:bCs w:val="0"/>
                      <w:snapToGrid w:val="0"/>
                      <w:color w:val="FF0000"/>
                      <w:sz w:val="21"/>
                      <w:szCs w:val="21"/>
                      <w:lang w:val="en-US" w:eastAsia="zh-CN"/>
                    </w:rPr>
                    <w:t>0.2</w:t>
                  </w:r>
                </w:p>
              </w:tc>
              <w:tc>
                <w:tcPr>
                  <w:tcW w:w="1341" w:type="dxa"/>
                  <w:noWrap/>
                  <w:vAlign w:val="center"/>
                </w:tcPr>
                <w:p w14:paraId="2B702549">
                  <w:pPr>
                    <w:spacing w:line="240" w:lineRule="auto"/>
                    <w:ind w:firstLine="0" w:firstLineChars="0"/>
                    <w:jc w:val="center"/>
                    <w:rPr>
                      <w:b w:val="0"/>
                      <w:bCs w:val="0"/>
                      <w:color w:val="FF0000"/>
                      <w:w w:val="100"/>
                      <w:kern w:val="0"/>
                      <w:sz w:val="21"/>
                      <w:szCs w:val="21"/>
                    </w:rPr>
                  </w:pPr>
                  <w:r>
                    <w:rPr>
                      <w:rFonts w:hint="eastAsia" w:cs="Times New Roman"/>
                      <w:b w:val="0"/>
                      <w:bCs w:val="0"/>
                      <w:color w:val="FF0000"/>
                      <w:kern w:val="0"/>
                      <w:sz w:val="21"/>
                      <w:szCs w:val="21"/>
                      <w:lang w:val="en-US" w:eastAsia="zh-CN" w:bidi="ar-SA"/>
                    </w:rPr>
                    <w:t>900-052-31</w:t>
                  </w:r>
                </w:p>
              </w:tc>
              <w:tc>
                <w:tcPr>
                  <w:tcW w:w="1141" w:type="dxa"/>
                  <w:noWrap/>
                  <w:vAlign w:val="center"/>
                </w:tcPr>
                <w:p w14:paraId="7DD04C31">
                  <w:pPr>
                    <w:spacing w:line="240" w:lineRule="auto"/>
                    <w:ind w:firstLine="0" w:firstLineChars="0"/>
                    <w:jc w:val="center"/>
                    <w:rPr>
                      <w:rFonts w:ascii="Times New Roman" w:hAnsi="Times New Roman" w:eastAsia="宋体" w:cs="Times New Roman"/>
                      <w:b w:val="0"/>
                      <w:bCs w:val="0"/>
                      <w:snapToGrid w:val="0"/>
                      <w:color w:val="FF0000"/>
                      <w:sz w:val="21"/>
                      <w:szCs w:val="21"/>
                    </w:rPr>
                  </w:pPr>
                  <w:r>
                    <w:rPr>
                      <w:rFonts w:ascii="Times New Roman" w:hAnsi="Times New Roman" w:eastAsia="宋体" w:cs="Times New Roman"/>
                      <w:b w:val="0"/>
                      <w:bCs w:val="0"/>
                      <w:snapToGrid w:val="0"/>
                      <w:color w:val="FF0000"/>
                      <w:sz w:val="21"/>
                      <w:szCs w:val="21"/>
                    </w:rPr>
                    <w:t>危险废物</w:t>
                  </w:r>
                </w:p>
              </w:tc>
              <w:tc>
                <w:tcPr>
                  <w:tcW w:w="2862" w:type="dxa"/>
                  <w:vMerge w:val="restart"/>
                  <w:noWrap/>
                  <w:vAlign w:val="center"/>
                </w:tcPr>
                <w:p w14:paraId="200AA0AC">
                  <w:pPr>
                    <w:spacing w:line="240" w:lineRule="auto"/>
                    <w:ind w:firstLine="0" w:firstLineChars="0"/>
                    <w:jc w:val="center"/>
                    <w:rPr>
                      <w:rFonts w:hint="eastAsia" w:ascii="宋体" w:hAnsi="宋体" w:eastAsia="宋体" w:cs="Times New Roman"/>
                      <w:snapToGrid w:val="0"/>
                      <w:color w:val="00B050"/>
                      <w:sz w:val="21"/>
                    </w:rPr>
                  </w:pPr>
                  <w:r>
                    <w:rPr>
                      <w:rFonts w:hint="eastAsia" w:cs="Times New Roman"/>
                      <w:b w:val="0"/>
                      <w:bCs w:val="0"/>
                      <w:color w:val="0000FF"/>
                      <w:kern w:val="0"/>
                      <w:sz w:val="21"/>
                      <w:szCs w:val="21"/>
                      <w:lang w:val="en-US" w:eastAsia="zh-CN" w:bidi="ar-SA"/>
                    </w:rPr>
                    <w:t>废积液经密闭积液管道收集后排入</w:t>
                  </w:r>
                  <w:r>
                    <w:rPr>
                      <w:rFonts w:hint="eastAsia" w:ascii="Times New Roman" w:hAnsi="Times New Roman" w:eastAsia="宋体" w:cs="Times New Roman"/>
                      <w:b w:val="0"/>
                      <w:bCs w:val="0"/>
                      <w:color w:val="0000FF"/>
                      <w:kern w:val="0"/>
                      <w:sz w:val="21"/>
                      <w:szCs w:val="21"/>
                      <w:lang w:val="en-US" w:eastAsia="zh-CN" w:bidi="ar-SA"/>
                    </w:rPr>
                    <w:t>废液收集池</w:t>
                  </w:r>
                  <w:r>
                    <w:rPr>
                      <w:rFonts w:hint="eastAsia" w:cs="Times New Roman"/>
                      <w:b w:val="0"/>
                      <w:bCs w:val="0"/>
                      <w:color w:val="0000FF"/>
                      <w:kern w:val="0"/>
                      <w:sz w:val="21"/>
                      <w:szCs w:val="21"/>
                      <w:lang w:val="en-US" w:eastAsia="zh-CN" w:bidi="ar-SA"/>
                    </w:rPr>
                    <w:t>，废液收集池进行盖板密封处理，废积液</w:t>
                  </w:r>
                  <w:r>
                    <w:rPr>
                      <w:rFonts w:hint="eastAsia" w:ascii="Times New Roman" w:hAnsi="Times New Roman" w:cs="Times New Roman"/>
                      <w:b w:val="0"/>
                      <w:bCs w:val="0"/>
                      <w:color w:val="0000FF"/>
                      <w:kern w:val="0"/>
                      <w:sz w:val="21"/>
                      <w:szCs w:val="21"/>
                      <w:lang w:val="en-US" w:eastAsia="zh-CN" w:bidi="ar-SA"/>
                    </w:rPr>
                    <w:t>收集后随同类</w:t>
                  </w:r>
                  <w:r>
                    <w:rPr>
                      <w:rFonts w:hint="eastAsia" w:cs="Times New Roman"/>
                      <w:b w:val="0"/>
                      <w:bCs w:val="0"/>
                      <w:color w:val="0000FF"/>
                      <w:kern w:val="0"/>
                      <w:sz w:val="21"/>
                      <w:szCs w:val="21"/>
                      <w:lang w:val="en-US" w:eastAsia="zh-CN" w:bidi="ar-SA"/>
                    </w:rPr>
                    <w:t>危险废物转移至资质单位处置。</w:t>
                  </w:r>
                </w:p>
              </w:tc>
            </w:tr>
            <w:tr w14:paraId="6913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11" w:type="dxa"/>
                  <w:vMerge w:val="continue"/>
                  <w:noWrap/>
                  <w:vAlign w:val="center"/>
                </w:tcPr>
                <w:p w14:paraId="33E73BC4">
                  <w:pPr>
                    <w:spacing w:line="240" w:lineRule="auto"/>
                    <w:ind w:firstLine="0" w:firstLineChars="0"/>
                    <w:jc w:val="center"/>
                    <w:rPr>
                      <w:rFonts w:hint="eastAsia" w:cs="Times New Roman"/>
                      <w:b w:val="0"/>
                      <w:bCs w:val="0"/>
                      <w:snapToGrid w:val="0"/>
                      <w:color w:val="FF0000"/>
                      <w:sz w:val="21"/>
                      <w:szCs w:val="21"/>
                      <w:lang w:val="en-US" w:eastAsia="zh-CN"/>
                    </w:rPr>
                  </w:pPr>
                </w:p>
              </w:tc>
              <w:tc>
                <w:tcPr>
                  <w:tcW w:w="1472" w:type="dxa"/>
                  <w:vMerge w:val="continue"/>
                  <w:noWrap/>
                  <w:vAlign w:val="center"/>
                </w:tcPr>
                <w:p w14:paraId="2B8E3153">
                  <w:pPr>
                    <w:spacing w:line="240" w:lineRule="auto"/>
                    <w:ind w:firstLine="0" w:firstLineChars="0"/>
                    <w:jc w:val="center"/>
                    <w:rPr>
                      <w:rFonts w:hint="eastAsia" w:cs="Times New Roman"/>
                      <w:b w:val="0"/>
                      <w:bCs w:val="0"/>
                      <w:color w:val="FF0000"/>
                      <w:kern w:val="0"/>
                      <w:sz w:val="21"/>
                      <w:szCs w:val="21"/>
                      <w:lang w:val="en-US" w:eastAsia="zh-CN" w:bidi="ar-SA"/>
                    </w:rPr>
                  </w:pPr>
                </w:p>
              </w:tc>
              <w:tc>
                <w:tcPr>
                  <w:tcW w:w="969" w:type="dxa"/>
                  <w:vMerge w:val="continue"/>
                  <w:noWrap/>
                  <w:vAlign w:val="center"/>
                </w:tcPr>
                <w:p w14:paraId="0BCD9CF5">
                  <w:pPr>
                    <w:spacing w:line="240" w:lineRule="auto"/>
                    <w:ind w:firstLine="0" w:firstLineChars="0"/>
                    <w:jc w:val="center"/>
                    <w:rPr>
                      <w:rFonts w:hint="eastAsia" w:cs="Times New Roman"/>
                      <w:b w:val="0"/>
                      <w:bCs w:val="0"/>
                      <w:snapToGrid w:val="0"/>
                      <w:color w:val="FF0000"/>
                      <w:sz w:val="21"/>
                      <w:szCs w:val="21"/>
                      <w:lang w:val="en-US" w:eastAsia="zh-CN"/>
                    </w:rPr>
                  </w:pPr>
                </w:p>
              </w:tc>
              <w:tc>
                <w:tcPr>
                  <w:tcW w:w="1341" w:type="dxa"/>
                  <w:noWrap/>
                  <w:vAlign w:val="center"/>
                </w:tcPr>
                <w:p w14:paraId="4DA0A40D">
                  <w:pPr>
                    <w:spacing w:line="240" w:lineRule="auto"/>
                    <w:ind w:firstLine="0" w:firstLineChars="0"/>
                    <w:jc w:val="center"/>
                    <w:rPr>
                      <w:b w:val="0"/>
                      <w:bCs w:val="0"/>
                      <w:color w:val="FF0000"/>
                      <w:w w:val="100"/>
                      <w:kern w:val="0"/>
                      <w:sz w:val="21"/>
                      <w:szCs w:val="21"/>
                    </w:rPr>
                  </w:pPr>
                  <w:r>
                    <w:rPr>
                      <w:rFonts w:hint="eastAsia" w:cs="Times New Roman"/>
                      <w:b w:val="0"/>
                      <w:bCs w:val="0"/>
                      <w:color w:val="FF0000"/>
                      <w:kern w:val="0"/>
                      <w:sz w:val="21"/>
                      <w:szCs w:val="21"/>
                      <w:lang w:val="en-US" w:eastAsia="zh-CN" w:bidi="ar-SA"/>
                    </w:rPr>
                    <w:t>900-047-49</w:t>
                  </w:r>
                </w:p>
              </w:tc>
              <w:tc>
                <w:tcPr>
                  <w:tcW w:w="1141" w:type="dxa"/>
                  <w:noWrap/>
                  <w:vAlign w:val="center"/>
                </w:tcPr>
                <w:p w14:paraId="62A155C9">
                  <w:pPr>
                    <w:spacing w:line="240" w:lineRule="auto"/>
                    <w:ind w:firstLine="0" w:firstLineChars="0"/>
                    <w:jc w:val="center"/>
                    <w:rPr>
                      <w:rFonts w:ascii="Times New Roman" w:hAnsi="Times New Roman" w:eastAsia="宋体" w:cs="Times New Roman"/>
                      <w:b w:val="0"/>
                      <w:bCs w:val="0"/>
                      <w:snapToGrid w:val="0"/>
                      <w:color w:val="FF0000"/>
                      <w:sz w:val="21"/>
                      <w:szCs w:val="21"/>
                    </w:rPr>
                  </w:pPr>
                  <w:r>
                    <w:rPr>
                      <w:rFonts w:ascii="Times New Roman" w:hAnsi="Times New Roman" w:eastAsia="宋体" w:cs="Times New Roman"/>
                      <w:b w:val="0"/>
                      <w:bCs w:val="0"/>
                      <w:snapToGrid w:val="0"/>
                      <w:color w:val="FF0000"/>
                      <w:sz w:val="21"/>
                      <w:szCs w:val="21"/>
                    </w:rPr>
                    <w:t>危险废物</w:t>
                  </w:r>
                </w:p>
              </w:tc>
              <w:tc>
                <w:tcPr>
                  <w:tcW w:w="2862" w:type="dxa"/>
                  <w:vMerge w:val="continue"/>
                  <w:noWrap/>
                  <w:vAlign w:val="center"/>
                </w:tcPr>
                <w:p w14:paraId="470BED50">
                  <w:pPr>
                    <w:spacing w:line="240" w:lineRule="auto"/>
                    <w:ind w:firstLine="0" w:firstLineChars="0"/>
                    <w:jc w:val="center"/>
                    <w:rPr>
                      <w:rFonts w:hint="eastAsia" w:ascii="宋体" w:hAnsi="宋体" w:eastAsia="宋体" w:cs="Times New Roman"/>
                      <w:snapToGrid w:val="0"/>
                      <w:color w:val="00B050"/>
                      <w:sz w:val="21"/>
                    </w:rPr>
                  </w:pPr>
                </w:p>
              </w:tc>
            </w:tr>
          </w:tbl>
          <w:p w14:paraId="55BE26D5">
            <w:pPr>
              <w:keepNext/>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2</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w:t>
            </w:r>
            <w:r>
              <w:rPr>
                <w:rFonts w:hint="eastAsia" w:cs="Times New Roman"/>
                <w:b/>
                <w:bCs w:val="0"/>
                <w:color w:val="000000" w:themeColor="text1"/>
                <w:sz w:val="24"/>
                <w:lang w:val="en-US" w:eastAsia="zh-CN"/>
                <w14:textFill>
                  <w14:solidFill>
                    <w14:schemeClr w14:val="tx1"/>
                  </w14:solidFill>
                </w14:textFill>
              </w:rPr>
              <w:t>固体废物管理措施</w:t>
            </w:r>
          </w:p>
          <w:p w14:paraId="28457A63">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ascii="Times New Roman" w:eastAsia="宋体"/>
                <w:color w:val="000000" w:themeColor="text1"/>
                <w:kern w:val="0"/>
                <w:sz w:val="24"/>
                <w:lang w:val="en-US" w:eastAsia="zh-CN"/>
                <w14:textFill>
                  <w14:solidFill>
                    <w14:schemeClr w14:val="tx1"/>
                  </w14:solidFill>
                </w14:textFill>
              </w:rPr>
              <w:t>建设单位应按照《危险废物收集、贮存、运输技术规范》（HJ2025-2012）、《危险废物贮存污染控制标准》（GB18597-2023）以及《危险废物转移管理办法》等要求对固体废物进行管理，做到收集、运输、贮存过程中规范、可控。</w:t>
            </w:r>
            <w:r>
              <w:rPr>
                <w:rFonts w:hint="eastAsia"/>
                <w:color w:val="000000" w:themeColor="text1"/>
                <w:kern w:val="0"/>
                <w:sz w:val="24"/>
                <w:lang w:val="en-US" w:eastAsia="zh-CN"/>
                <w14:textFill>
                  <w14:solidFill>
                    <w14:schemeClr w14:val="tx1"/>
                  </w14:solidFill>
                </w14:textFill>
              </w:rPr>
              <w:t>除此之外</w:t>
            </w:r>
            <w:r>
              <w:rPr>
                <w:rFonts w:hint="eastAsia" w:ascii="Times New Roman" w:eastAsia="宋体"/>
                <w:color w:val="000000" w:themeColor="text1"/>
                <w:kern w:val="0"/>
                <w:sz w:val="24"/>
                <w:lang w:val="en-US" w:eastAsia="zh-CN"/>
                <w14:textFill>
                  <w14:solidFill>
                    <w14:schemeClr w14:val="tx1"/>
                  </w14:solidFill>
                </w14:textFill>
              </w:rPr>
              <w:t>，环评提出以下管理措施：</w:t>
            </w:r>
          </w:p>
          <w:p w14:paraId="39CDCFDB">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ascii="Times New Roman" w:eastAsia="宋体"/>
                <w:color w:val="000000" w:themeColor="text1"/>
                <w:kern w:val="0"/>
                <w:sz w:val="24"/>
                <w:lang w:val="en-US" w:eastAsia="zh-CN"/>
                <w14:textFill>
                  <w14:solidFill>
                    <w14:schemeClr w14:val="tx1"/>
                  </w14:solidFill>
                </w14:textFill>
              </w:rPr>
              <w:t>（1）严禁</w:t>
            </w:r>
            <w:r>
              <w:rPr>
                <w:rFonts w:hint="eastAsia"/>
                <w:color w:val="000000" w:themeColor="text1"/>
                <w:kern w:val="0"/>
                <w:sz w:val="24"/>
                <w:lang w:val="en-US" w:eastAsia="zh-CN"/>
                <w14:textFill>
                  <w14:solidFill>
                    <w14:schemeClr w14:val="tx1"/>
                  </w14:solidFill>
                </w14:textFill>
              </w:rPr>
              <w:t>收集和贮存核准类别以外的危险废物以及其他废物，其中不收集破损铅蓄电池</w:t>
            </w:r>
            <w:r>
              <w:rPr>
                <w:rFonts w:hint="eastAsia" w:ascii="Times New Roman" w:eastAsia="宋体"/>
                <w:color w:val="000000" w:themeColor="text1"/>
                <w:kern w:val="0"/>
                <w:sz w:val="24"/>
                <w:lang w:val="en-US" w:eastAsia="zh-CN"/>
                <w14:textFill>
                  <w14:solidFill>
                    <w14:schemeClr w14:val="tx1"/>
                  </w14:solidFill>
                </w14:textFill>
              </w:rPr>
              <w:t>。</w:t>
            </w:r>
          </w:p>
          <w:p w14:paraId="7EEE2725">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（2）合理制定收集计划，</w:t>
            </w:r>
            <w:r>
              <w:rPr>
                <w:rFonts w:hint="eastAsia" w:ascii="Times New Roman" w:hAnsi="Times New Roman" w:eastAsia="宋体" w:cs="Times New Roman"/>
                <w:color w:val="000000" w:themeColor="text1"/>
                <w:kern w:val="0"/>
                <w:sz w:val="24"/>
                <w:szCs w:val="20"/>
                <w14:textFill>
                  <w14:solidFill>
                    <w14:schemeClr w14:val="tx1"/>
                  </w14:solidFill>
                </w14:textFill>
              </w:rPr>
              <w:t>包括收集范围及原则、收集量估算、收集方法、安全生产与个人防护、进度安排与组织管理等。</w:t>
            </w:r>
          </w:p>
          <w:p w14:paraId="45452D75">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szCs w:val="20"/>
                <w14:textFill>
                  <w14:solidFill>
                    <w14:schemeClr w14:val="tx1"/>
                  </w14:solidFill>
                </w14:textFill>
              </w:rPr>
              <w:t>制定详细的操作规程，内容包括适用范围、操作程序和方法、专用设备和工具、转移和交接、安全保障和应急防护等。</w:t>
            </w:r>
          </w:p>
          <w:p w14:paraId="6C1D0212">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（4）</w:t>
            </w:r>
            <w:r>
              <w:rPr>
                <w:rFonts w:hint="eastAsia" w:ascii="Times New Roman" w:hAnsi="Times New Roman" w:cs="Times New Roman"/>
                <w:color w:val="000000" w:themeColor="text1"/>
                <w:kern w:val="0"/>
                <w:sz w:val="24"/>
                <w:szCs w:val="20"/>
                <w:lang w:val="en-US" w:eastAsia="zh-CN"/>
                <w14:textFill>
                  <w14:solidFill>
                    <w14:schemeClr w14:val="tx1"/>
                  </w14:solidFill>
                </w14:textFill>
              </w:rPr>
              <w:t>要求收运</w:t>
            </w:r>
            <w:r>
              <w:rPr>
                <w:rFonts w:hint="eastAsia" w:ascii="Times New Roman" w:hAnsi="Times New Roman" w:eastAsia="宋体" w:cs="Times New Roman"/>
                <w:color w:val="000000" w:themeColor="text1"/>
                <w:kern w:val="0"/>
                <w:sz w:val="24"/>
                <w:szCs w:val="20"/>
                <w14:textFill>
                  <w14:solidFill>
                    <w14:schemeClr w14:val="tx1"/>
                  </w14:solidFill>
                </w14:textFill>
              </w:rPr>
              <w:t>作业人员需根据工作需要配备必要的个人防护装备，如手套、防护镜、防护服、口罩等。在收集过程中，采取相应的安全防护和污染防治措施，包括防爆、防火、防中毒、防泄漏、防雨或其他防止污染环境的措施。</w:t>
            </w:r>
            <w:r>
              <w:rPr>
                <w:rFonts w:ascii="Times New Roman" w:hAnsi="Times New Roman" w:eastAsia="宋体" w:cs="Times New Roman"/>
                <w:color w:val="000000" w:themeColor="text1"/>
                <w:kern w:val="0"/>
                <w:sz w:val="24"/>
                <w:szCs w:val="20"/>
                <w14:textFill>
                  <w14:solidFill>
                    <w14:schemeClr w14:val="tx1"/>
                  </w14:solidFill>
                </w14:textFill>
              </w:rPr>
              <w:t>收集作业满足如下要求：</w:t>
            </w:r>
          </w:p>
          <w:p w14:paraId="2DE68E6A">
            <w:pPr>
              <w:spacing w:line="360" w:lineRule="auto"/>
              <w:ind w:firstLine="480" w:firstLineChars="200"/>
              <w:rPr>
                <w:rFonts w:ascii="Times New Roman" w:hAnsi="Times New Roman" w:eastAsia="宋体" w:cs="Times New Roman"/>
                <w:color w:val="000000" w:themeColor="text1"/>
                <w:kern w:val="0"/>
                <w:sz w:val="24"/>
                <w:szCs w:val="20"/>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①</w:t>
            </w:r>
            <w:r>
              <w:rPr>
                <w:rFonts w:ascii="Times New Roman" w:hAnsi="Times New Roman" w:eastAsia="宋体" w:cs="Times New Roman"/>
                <w:color w:val="000000" w:themeColor="text1"/>
                <w:kern w:val="0"/>
                <w:sz w:val="24"/>
                <w:szCs w:val="20"/>
                <w14:textFill>
                  <w14:solidFill>
                    <w14:schemeClr w14:val="tx1"/>
                  </w14:solidFill>
                </w14:textFill>
              </w:rPr>
              <w:t>根据转运车辆以及现场人员等实际情况确定相应作业区域，同时设置作业界限标志和警示牌；</w:t>
            </w:r>
          </w:p>
          <w:p w14:paraId="4FFE5858">
            <w:pPr>
              <w:spacing w:line="360" w:lineRule="auto"/>
              <w:ind w:firstLine="480" w:firstLineChars="200"/>
              <w:rPr>
                <w:rFonts w:ascii="Times New Roman" w:hAnsi="Times New Roman" w:eastAsia="宋体" w:cs="Times New Roman"/>
                <w:color w:val="000000" w:themeColor="text1"/>
                <w:kern w:val="0"/>
                <w:sz w:val="24"/>
                <w:szCs w:val="20"/>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②</w:t>
            </w:r>
            <w:r>
              <w:rPr>
                <w:rFonts w:ascii="Times New Roman" w:hAnsi="Times New Roman" w:eastAsia="宋体" w:cs="Times New Roman"/>
                <w:color w:val="000000" w:themeColor="text1"/>
                <w:kern w:val="0"/>
                <w:sz w:val="24"/>
                <w:szCs w:val="20"/>
                <w14:textFill>
                  <w14:solidFill>
                    <w14:schemeClr w14:val="tx1"/>
                  </w14:solidFill>
                </w14:textFill>
              </w:rPr>
              <w:t>作业区域内设置危险废物收集专用通道和人员避险通道；</w:t>
            </w:r>
          </w:p>
          <w:p w14:paraId="7A6BA6A5">
            <w:pPr>
              <w:spacing w:line="360" w:lineRule="auto"/>
              <w:ind w:firstLine="480" w:firstLineChars="200"/>
              <w:rPr>
                <w:rFonts w:ascii="Times New Roman" w:hAnsi="Times New Roman" w:eastAsia="宋体" w:cs="Times New Roman"/>
                <w:color w:val="000000" w:themeColor="text1"/>
                <w:kern w:val="0"/>
                <w:sz w:val="24"/>
                <w:szCs w:val="20"/>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③</w:t>
            </w:r>
            <w:r>
              <w:rPr>
                <w:rFonts w:ascii="Times New Roman" w:hAnsi="Times New Roman" w:eastAsia="宋体" w:cs="Times New Roman"/>
                <w:color w:val="000000" w:themeColor="text1"/>
                <w:kern w:val="0"/>
                <w:sz w:val="24"/>
                <w:szCs w:val="20"/>
                <w14:textFill>
                  <w14:solidFill>
                    <w14:schemeClr w14:val="tx1"/>
                  </w14:solidFill>
                </w14:textFill>
              </w:rPr>
              <w:t>收集时配备必要的收集工具和包装物，以及必要的应急监测设备及应急装备；</w:t>
            </w:r>
          </w:p>
          <w:p w14:paraId="3B4B287E">
            <w:pPr>
              <w:spacing w:line="360" w:lineRule="auto"/>
              <w:ind w:firstLine="480" w:firstLineChars="200"/>
              <w:rPr>
                <w:rFonts w:ascii="Times New Roman" w:hAnsi="Times New Roman" w:eastAsia="宋体" w:cs="Times New Roman"/>
                <w:b/>
                <w:color w:val="000000" w:themeColor="text1"/>
                <w:kern w:val="0"/>
                <w:sz w:val="24"/>
                <w:szCs w:val="20"/>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④</w:t>
            </w:r>
            <w:r>
              <w:rPr>
                <w:rFonts w:ascii="Times New Roman" w:hAnsi="Times New Roman" w:eastAsia="宋体" w:cs="Times New Roman"/>
                <w:color w:val="000000" w:themeColor="text1"/>
                <w:kern w:val="0"/>
                <w:sz w:val="24"/>
                <w:szCs w:val="20"/>
                <w14:textFill>
                  <w14:solidFill>
                    <w14:schemeClr w14:val="tx1"/>
                  </w14:solidFill>
                </w14:textFill>
              </w:rPr>
              <w:t>按照《危险废物收集贮存运输技术规范》（HJ2015-2012）要求填写记录表，并将记录表作为危险废物管理的重要档案妥善保存；</w:t>
            </w:r>
          </w:p>
          <w:p w14:paraId="5D15EF50">
            <w:pPr>
              <w:spacing w:line="360" w:lineRule="auto"/>
              <w:ind w:firstLine="480" w:firstLineChars="200"/>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⑤</w:t>
            </w:r>
            <w:r>
              <w:rPr>
                <w:rFonts w:ascii="Times New Roman" w:hAnsi="Times New Roman" w:eastAsia="宋体" w:cs="Times New Roman"/>
                <w:color w:val="000000" w:themeColor="text1"/>
                <w:kern w:val="0"/>
                <w:sz w:val="24"/>
                <w:szCs w:val="20"/>
                <w14:textFill>
                  <w14:solidFill>
                    <w14:schemeClr w14:val="tx1"/>
                  </w14:solidFill>
                </w14:textFill>
              </w:rPr>
              <w:t>收集结束后清理和恢复收集作业区域，确保作业区域环境整洁安全；</w:t>
            </w:r>
          </w:p>
          <w:p w14:paraId="0F979853">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eastAsia="宋体"/>
                <w:color w:val="000000" w:themeColor="text1"/>
                <w:kern w:val="0"/>
                <w:sz w:val="24"/>
                <w:lang w:val="en-US" w:eastAsia="zh-CN"/>
                <w14:textFill>
                  <w14:solidFill>
                    <w14:schemeClr w14:val="tx1"/>
                  </w14:solidFill>
                </w14:textFill>
              </w:rPr>
            </w:pPr>
            <w:r>
              <w:rPr>
                <w:rFonts w:hint="eastAsia" w:ascii="Times New Roman" w:eastAsia="宋体"/>
                <w:color w:val="000000" w:themeColor="text1"/>
                <w:kern w:val="0"/>
                <w:sz w:val="24"/>
                <w:lang w:val="en-US"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5</w:t>
            </w:r>
            <w:r>
              <w:rPr>
                <w:rFonts w:hint="eastAsia" w:ascii="Times New Roman" w:eastAsia="宋体"/>
                <w:color w:val="000000" w:themeColor="text1"/>
                <w:kern w:val="0"/>
                <w:sz w:val="24"/>
                <w:lang w:val="en-US"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落实危险废物在产废地点的接收检查和管理工作，具体内容包括：</w:t>
            </w:r>
          </w:p>
          <w:p w14:paraId="7FB7851A">
            <w:pPr>
              <w:spacing w:line="360" w:lineRule="auto"/>
              <w:ind w:firstLine="480" w:firstLineChars="200"/>
              <w:rPr>
                <w:rFonts w:ascii="Times New Roman" w:hAnsi="Times New Roman" w:eastAsia="宋体" w:cs="Times New Roman"/>
                <w:b/>
                <w:color w:val="000000" w:themeColor="text1"/>
                <w:kern w:val="0"/>
                <w:sz w:val="24"/>
                <w:szCs w:val="20"/>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①</w:t>
            </w:r>
            <w:r>
              <w:rPr>
                <w:rFonts w:hint="eastAsia" w:cs="Times New Roman"/>
                <w:color w:val="000000" w:themeColor="text1"/>
                <w:kern w:val="0"/>
                <w:sz w:val="24"/>
                <w:szCs w:val="20"/>
                <w:lang w:val="en-US" w:eastAsia="zh-CN"/>
                <w14:textFill>
                  <w14:solidFill>
                    <w14:schemeClr w14:val="tx1"/>
                  </w14:solidFill>
                </w14:textFill>
              </w:rPr>
              <w:t>危险废物</w:t>
            </w:r>
            <w:r>
              <w:rPr>
                <w:rFonts w:hint="eastAsia" w:ascii="Times New Roman" w:hAnsi="Times New Roman" w:eastAsia="宋体" w:cs="Times New Roman"/>
                <w:color w:val="000000" w:themeColor="text1"/>
                <w:kern w:val="0"/>
                <w:sz w:val="24"/>
                <w:szCs w:val="20"/>
                <w14:textFill>
                  <w14:solidFill>
                    <w14:schemeClr w14:val="tx1"/>
                  </w14:solidFill>
                </w14:textFill>
              </w:rPr>
              <w:t>的交接</w:t>
            </w:r>
            <w:r>
              <w:rPr>
                <w:rFonts w:hint="eastAsia" w:ascii="Times New Roman" w:hAnsi="Times New Roman" w:cs="Times New Roman"/>
                <w:color w:val="000000" w:themeColor="text1"/>
                <w:kern w:val="0"/>
                <w:sz w:val="24"/>
                <w:szCs w:val="20"/>
                <w:lang w:val="en-US" w:eastAsia="zh-CN"/>
                <w14:textFill>
                  <w14:solidFill>
                    <w14:schemeClr w14:val="tx1"/>
                  </w14:solidFill>
                </w14:textFill>
              </w:rPr>
              <w:t>时核实</w:t>
            </w:r>
            <w:r>
              <w:rPr>
                <w:rFonts w:hint="eastAsia" w:ascii="Times New Roman" w:hAnsi="Times New Roman" w:eastAsia="宋体" w:cs="Times New Roman"/>
                <w:color w:val="000000" w:themeColor="text1"/>
                <w:kern w:val="0"/>
                <w:sz w:val="24"/>
                <w:szCs w:val="20"/>
                <w14:textFill>
                  <w14:solidFill>
                    <w14:schemeClr w14:val="tx1"/>
                  </w14:solidFill>
                </w14:textFill>
              </w:rPr>
              <w:t>标签内容</w:t>
            </w:r>
            <w:r>
              <w:rPr>
                <w:rFonts w:hint="eastAsia" w:ascii="Times New Roman" w:hAnsi="Times New Roman" w:cs="Times New Roman"/>
                <w:color w:val="000000" w:themeColor="text1"/>
                <w:kern w:val="0"/>
                <w:sz w:val="24"/>
                <w:szCs w:val="20"/>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0"/>
                <w14:textFill>
                  <w14:solidFill>
                    <w14:schemeClr w14:val="tx1"/>
                  </w14:solidFill>
                </w14:textFill>
              </w:rPr>
              <w:t>包括</w:t>
            </w:r>
            <w:r>
              <w:rPr>
                <w:rFonts w:hint="eastAsia" w:cs="Times New Roman"/>
                <w:color w:val="000000" w:themeColor="text1"/>
                <w:kern w:val="0"/>
                <w:sz w:val="24"/>
                <w:szCs w:val="20"/>
                <w:lang w:eastAsia="zh-CN"/>
                <w14:textFill>
                  <w14:solidFill>
                    <w14:schemeClr w14:val="tx1"/>
                  </w14:solidFill>
                </w14:textFill>
              </w:rPr>
              <w:t>危险废物</w:t>
            </w:r>
            <w:r>
              <w:rPr>
                <w:rFonts w:hint="eastAsia" w:ascii="Times New Roman" w:hAnsi="Times New Roman" w:eastAsia="宋体" w:cs="Times New Roman"/>
                <w:color w:val="000000" w:themeColor="text1"/>
                <w:kern w:val="0"/>
                <w:sz w:val="24"/>
                <w:szCs w:val="20"/>
                <w14:textFill>
                  <w14:solidFill>
                    <w14:schemeClr w14:val="tx1"/>
                  </w14:solidFill>
                </w14:textFill>
              </w:rPr>
              <w:t>代码、数量、危险特性等注意事项等内容，标签应粘贴于容器侧身明显处。</w:t>
            </w:r>
          </w:p>
          <w:p w14:paraId="2E6BC535">
            <w:pPr>
              <w:spacing w:line="360" w:lineRule="auto"/>
              <w:ind w:firstLine="480" w:firstLineChars="200"/>
              <w:rPr>
                <w:rFonts w:ascii="Times New Roman" w:hAnsi="Times New Roman" w:eastAsia="宋体" w:cs="Times New Roman"/>
                <w:color w:val="000000" w:themeColor="text1"/>
                <w:kern w:val="0"/>
                <w:sz w:val="24"/>
                <w:szCs w:val="20"/>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②</w:t>
            </w:r>
            <w:r>
              <w:rPr>
                <w:rFonts w:hint="eastAsia" w:cs="Times New Roman"/>
                <w:color w:val="000000" w:themeColor="text1"/>
                <w:kern w:val="0"/>
                <w:sz w:val="24"/>
                <w:szCs w:val="20"/>
                <w:lang w:val="en-US" w:eastAsia="zh-CN"/>
                <w14:textFill>
                  <w14:solidFill>
                    <w14:schemeClr w14:val="tx1"/>
                  </w14:solidFill>
                </w14:textFill>
              </w:rPr>
              <w:t>危险废物</w:t>
            </w:r>
            <w:r>
              <w:rPr>
                <w:rFonts w:hint="eastAsia" w:ascii="Times New Roman" w:hAnsi="Times New Roman" w:cs="Times New Roman"/>
                <w:color w:val="000000" w:themeColor="text1"/>
                <w:kern w:val="0"/>
                <w:sz w:val="24"/>
                <w:szCs w:val="20"/>
                <w:lang w:val="en-US" w:eastAsia="zh-CN"/>
                <w14:textFill>
                  <w14:solidFill>
                    <w14:schemeClr w14:val="tx1"/>
                  </w14:solidFill>
                </w14:textFill>
              </w:rPr>
              <w:t>包装严格</w:t>
            </w:r>
            <w:r>
              <w:rPr>
                <w:rFonts w:hint="eastAsia" w:ascii="Times New Roman" w:hAnsi="Times New Roman" w:eastAsia="宋体" w:cs="Times New Roman"/>
                <w:color w:val="000000" w:themeColor="text1"/>
                <w:kern w:val="0"/>
                <w:sz w:val="24"/>
                <w:szCs w:val="20"/>
                <w14:textFill>
                  <w14:solidFill>
                    <w14:schemeClr w14:val="tx1"/>
                  </w14:solidFill>
                </w14:textFill>
              </w:rPr>
              <w:t>执行</w:t>
            </w:r>
            <w:r>
              <w:rPr>
                <w:rFonts w:hint="eastAsia"/>
                <w:color w:val="000000" w:themeColor="text1"/>
                <w:sz w:val="24"/>
                <w14:textFill>
                  <w14:solidFill>
                    <w14:schemeClr w14:val="tx1"/>
                  </w14:solidFill>
                </w14:textFill>
              </w:rPr>
              <w:t>《危险货物运输包装通用技术条件》（GB12463-2009）</w:t>
            </w:r>
            <w:r>
              <w:rPr>
                <w:rFonts w:hint="eastAsia" w:ascii="Times New Roman" w:hAnsi="Times New Roman" w:eastAsia="宋体" w:cs="Times New Roman"/>
                <w:color w:val="000000" w:themeColor="text1"/>
                <w:kern w:val="0"/>
                <w:sz w:val="24"/>
                <w:szCs w:val="20"/>
                <w14:textFill>
                  <w14:solidFill>
                    <w14:schemeClr w14:val="tx1"/>
                  </w14:solidFill>
                </w14:textFill>
              </w:rPr>
              <w:t>及</w:t>
            </w:r>
            <w:r>
              <w:rPr>
                <w:rFonts w:hint="eastAsia"/>
                <w:color w:val="000000" w:themeColor="text1"/>
                <w:sz w:val="24"/>
                <w14:textFill>
                  <w14:solidFill>
                    <w14:schemeClr w14:val="tx1"/>
                  </w14:solidFill>
                </w14:textFill>
              </w:rPr>
              <w:t>《危险货物运输包装标志》（GB190-2009）</w:t>
            </w:r>
            <w:r>
              <w:rPr>
                <w:rFonts w:hint="eastAsia" w:ascii="Times New Roman" w:hAnsi="Times New Roman" w:eastAsia="宋体" w:cs="Times New Roman"/>
                <w:color w:val="000000" w:themeColor="text1"/>
                <w:kern w:val="0"/>
                <w:sz w:val="24"/>
                <w:szCs w:val="20"/>
                <w14:textFill>
                  <w14:solidFill>
                    <w14:schemeClr w14:val="tx1"/>
                  </w14:solidFill>
                </w14:textFill>
              </w:rPr>
              <w:t>的要求。</w:t>
            </w:r>
          </w:p>
          <w:p w14:paraId="3FB81689">
            <w:pPr>
              <w:spacing w:line="360" w:lineRule="auto"/>
              <w:ind w:firstLine="480" w:firstLineChars="200"/>
              <w:rPr>
                <w:rFonts w:ascii="Times New Roman" w:hAnsi="Times New Roman" w:eastAsia="宋体" w:cs="Times New Roman"/>
                <w:color w:val="000000" w:themeColor="text1"/>
                <w:kern w:val="0"/>
                <w:sz w:val="24"/>
                <w:szCs w:val="20"/>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③</w:t>
            </w:r>
            <w:r>
              <w:rPr>
                <w:rFonts w:hint="eastAsia" w:ascii="Times New Roman" w:hAnsi="Times New Roman" w:eastAsia="宋体" w:cs="Times New Roman"/>
                <w:color w:val="000000" w:themeColor="text1"/>
                <w:kern w:val="0"/>
                <w:sz w:val="24"/>
                <w:szCs w:val="20"/>
                <w14:textFill>
                  <w14:solidFill>
                    <w14:schemeClr w14:val="tx1"/>
                  </w14:solidFill>
                </w14:textFill>
              </w:rPr>
              <w:t>在与</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产废单位</w:t>
            </w:r>
            <w:r>
              <w:rPr>
                <w:rFonts w:hint="eastAsia" w:ascii="Times New Roman" w:hAnsi="Times New Roman" w:eastAsia="宋体" w:cs="Times New Roman"/>
                <w:color w:val="000000" w:themeColor="text1"/>
                <w:kern w:val="0"/>
                <w:sz w:val="24"/>
                <w:szCs w:val="20"/>
                <w14:textFill>
                  <w14:solidFill>
                    <w14:schemeClr w14:val="tx1"/>
                  </w14:solidFill>
                </w14:textFill>
              </w:rPr>
              <w:t>交接危险废物时要填写《危险废物转移联单》。</w:t>
            </w:r>
          </w:p>
          <w:p w14:paraId="743BDEC6">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eastAsia="宋体"/>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w:t>
            </w:r>
            <w:r>
              <w:rPr>
                <w:rFonts w:hint="eastAsia" w:cs="Times New Roman"/>
                <w:color w:val="000000" w:themeColor="text1"/>
                <w:kern w:val="0"/>
                <w:sz w:val="24"/>
                <w:szCs w:val="20"/>
                <w:lang w:val="en-US" w:eastAsia="zh-CN"/>
                <w14:textFill>
                  <w14:solidFill>
                    <w14:schemeClr w14:val="tx1"/>
                  </w14:solidFill>
                </w14:textFill>
              </w:rPr>
              <w:t>6</w:t>
            </w:r>
            <w:r>
              <w:rPr>
                <w:rFonts w:hint="eastAsia" w:ascii="Times New Roman" w:hAnsi="Times New Roman" w:cs="Times New Roman"/>
                <w:color w:val="000000" w:themeColor="text1"/>
                <w:kern w:val="0"/>
                <w:sz w:val="24"/>
                <w:szCs w:val="20"/>
                <w:lang w:val="en-US"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落实危险废物入厂贮存的接收检查和管理工作，具体内容包括：</w:t>
            </w:r>
          </w:p>
          <w:p w14:paraId="29F53CDE">
            <w:pPr>
              <w:spacing w:line="360" w:lineRule="auto"/>
              <w:ind w:firstLine="480" w:firstLineChars="200"/>
              <w:rPr>
                <w:rFonts w:hint="eastAsia" w:ascii="Times New Roman" w:hAnsi="Times New Roman" w:eastAsia="宋体" w:cs="Times New Roman"/>
                <w:color w:val="000000" w:themeColor="text1"/>
                <w:kern w:val="0"/>
                <w:sz w:val="24"/>
                <w:szCs w:val="20"/>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①</w:t>
            </w:r>
            <w:r>
              <w:rPr>
                <w:rFonts w:hint="eastAsia" w:ascii="Times New Roman" w:hAnsi="Times New Roman" w:eastAsia="宋体" w:cs="Times New Roman"/>
                <w:color w:val="000000" w:themeColor="text1"/>
                <w:kern w:val="0"/>
                <w:sz w:val="24"/>
                <w:szCs w:val="20"/>
                <w14:textFill>
                  <w14:solidFill>
                    <w14:schemeClr w14:val="tx1"/>
                  </w14:solidFill>
                </w14:textFill>
              </w:rPr>
              <w:t>对危险废物进行称重</w:t>
            </w:r>
            <w:r>
              <w:rPr>
                <w:rFonts w:hint="eastAsia" w:ascii="Times New Roman" w:hAnsi="Times New Roman" w:cs="Times New Roman"/>
                <w:color w:val="000000" w:themeColor="text1"/>
                <w:kern w:val="0"/>
                <w:sz w:val="24"/>
                <w:szCs w:val="20"/>
                <w:lang w:eastAsia="zh-CN"/>
                <w14:textFill>
                  <w14:solidFill>
                    <w14:schemeClr w14:val="tx1"/>
                  </w14:solidFill>
                </w14:textFill>
              </w:rPr>
              <w:t>，</w:t>
            </w:r>
            <w:r>
              <w:rPr>
                <w:rFonts w:hint="eastAsia" w:ascii="Times New Roman" w:hAnsi="Times New Roman" w:cs="Times New Roman"/>
                <w:color w:val="000000" w:themeColor="text1"/>
                <w:kern w:val="0"/>
                <w:sz w:val="24"/>
                <w:szCs w:val="20"/>
                <w:lang w:val="en-US" w:eastAsia="zh-CN"/>
                <w14:textFill>
                  <w14:solidFill>
                    <w14:schemeClr w14:val="tx1"/>
                  </w14:solidFill>
                </w14:textFill>
              </w:rPr>
              <w:t>同时对照标签、目视观察等方式，确定</w:t>
            </w:r>
            <w:r>
              <w:rPr>
                <w:rFonts w:hint="eastAsia" w:ascii="Times New Roman" w:hAnsi="Times New Roman" w:eastAsia="宋体" w:cs="Times New Roman"/>
                <w:color w:val="000000" w:themeColor="text1"/>
                <w:kern w:val="0"/>
                <w:sz w:val="24"/>
                <w:szCs w:val="20"/>
                <w14:textFill>
                  <w14:solidFill>
                    <w14:schemeClr w14:val="tx1"/>
                  </w14:solidFill>
                </w14:textFill>
              </w:rPr>
              <w:t>危险废物是否符合要求，所标注内容是否与《危险废物转移联单》</w:t>
            </w:r>
            <w:r>
              <w:rPr>
                <w:rFonts w:hint="eastAsia" w:ascii="Times New Roman" w:hAnsi="Times New Roman" w:eastAsia="宋体" w:cs="Times New Roman"/>
                <w:color w:val="000000" w:themeColor="text1"/>
                <w:kern w:val="0"/>
                <w:sz w:val="24"/>
                <w:szCs w:val="20"/>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0"/>
                <w14:textFill>
                  <w14:solidFill>
                    <w14:schemeClr w14:val="tx1"/>
                  </w14:solidFill>
                </w14:textFill>
              </w:rPr>
              <w:t>签订的合同一致；</w:t>
            </w:r>
          </w:p>
          <w:p w14:paraId="344B945F">
            <w:pPr>
              <w:spacing w:line="360" w:lineRule="auto"/>
              <w:ind w:firstLine="480" w:firstLineChars="200"/>
              <w:rPr>
                <w:rFonts w:hint="eastAsia" w:ascii="Times New Roman" w:hAnsi="Times New Roman" w:eastAsia="宋体" w:cs="Times New Roman"/>
                <w:color w:val="000000" w:themeColor="text1"/>
                <w:kern w:val="0"/>
                <w:sz w:val="24"/>
                <w:szCs w:val="20"/>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②</w:t>
            </w:r>
            <w:r>
              <w:rPr>
                <w:rFonts w:hint="eastAsia" w:ascii="Times New Roman" w:hAnsi="Times New Roman" w:eastAsia="宋体" w:cs="Times New Roman"/>
                <w:color w:val="000000" w:themeColor="text1"/>
                <w:kern w:val="0"/>
                <w:sz w:val="24"/>
                <w:szCs w:val="20"/>
                <w14:textFill>
                  <w14:solidFill>
                    <w14:schemeClr w14:val="tx1"/>
                  </w14:solidFill>
                </w14:textFill>
              </w:rPr>
              <w:t>检查危险废物有无泄漏现象；</w:t>
            </w:r>
          </w:p>
          <w:p w14:paraId="437C4AF0">
            <w:pPr>
              <w:spacing w:line="360" w:lineRule="auto"/>
              <w:ind w:firstLine="480" w:firstLineChars="200"/>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③</w:t>
            </w:r>
            <w:r>
              <w:rPr>
                <w:rFonts w:hint="eastAsia" w:ascii="Times New Roman" w:hAnsi="Times New Roman" w:eastAsia="宋体" w:cs="Times New Roman"/>
                <w:color w:val="000000" w:themeColor="text1"/>
                <w:kern w:val="0"/>
                <w:sz w:val="24"/>
                <w:szCs w:val="20"/>
                <w14:textFill>
                  <w14:solidFill>
                    <w14:schemeClr w14:val="tx1"/>
                  </w14:solidFill>
                </w14:textFill>
              </w:rPr>
              <w:t>根据上述规定检查</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无误后，根据各</w:t>
            </w:r>
            <w:r>
              <w:rPr>
                <w:rFonts w:hint="eastAsia" w:cs="Times New Roman"/>
                <w:color w:val="000000" w:themeColor="text1"/>
                <w:kern w:val="0"/>
                <w:sz w:val="24"/>
                <w:szCs w:val="20"/>
                <w:lang w:val="en-US" w:eastAsia="zh-CN"/>
                <w14:textFill>
                  <w14:solidFill>
                    <w14:schemeClr w14:val="tx1"/>
                  </w14:solidFill>
                </w14:textFill>
              </w:rPr>
              <w:t>危险废物</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类别进行分类贮存</w:t>
            </w:r>
            <w:r>
              <w:rPr>
                <w:rFonts w:hint="eastAsia" w:cs="Times New Roman"/>
                <w:color w:val="000000" w:themeColor="text1"/>
                <w:kern w:val="0"/>
                <w:sz w:val="24"/>
                <w:szCs w:val="20"/>
                <w:lang w:val="en-US" w:eastAsia="zh-CN"/>
                <w14:textFill>
                  <w14:solidFill>
                    <w14:schemeClr w14:val="tx1"/>
                  </w14:solidFill>
                </w14:textFill>
              </w:rPr>
              <w:t>，并进行台账记录</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w:t>
            </w:r>
          </w:p>
          <w:p w14:paraId="727A42E7">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0"/>
                <w:lang w:val="en-US" w:eastAsia="zh-CN"/>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w:t>
            </w:r>
            <w:r>
              <w:rPr>
                <w:rFonts w:hint="eastAsia" w:cs="Times New Roman"/>
                <w:color w:val="000000" w:themeColor="text1"/>
                <w:kern w:val="0"/>
                <w:sz w:val="24"/>
                <w:szCs w:val="20"/>
                <w:lang w:val="en-US" w:eastAsia="zh-CN"/>
                <w14:textFill>
                  <w14:solidFill>
                    <w14:schemeClr w14:val="tx1"/>
                  </w14:solidFill>
                </w14:textFill>
              </w:rPr>
              <w:t>7</w:t>
            </w:r>
            <w:r>
              <w:rPr>
                <w:rFonts w:hint="eastAsia" w:ascii="Times New Roman" w:hAnsi="Times New Roman" w:cs="Times New Roman"/>
                <w:color w:val="000000" w:themeColor="text1"/>
                <w:kern w:val="0"/>
                <w:sz w:val="24"/>
                <w:szCs w:val="20"/>
                <w:lang w:val="en-US" w:eastAsia="zh-CN"/>
                <w14:textFill>
                  <w14:solidFill>
                    <w14:schemeClr w14:val="tx1"/>
                  </w14:solidFill>
                </w14:textFill>
              </w:rPr>
              <w:t>）</w:t>
            </w:r>
            <w:r>
              <w:rPr>
                <w:rFonts w:hint="eastAsia" w:cs="Times New Roman"/>
                <w:color w:val="000000" w:themeColor="text1"/>
                <w:kern w:val="0"/>
                <w:sz w:val="24"/>
                <w:szCs w:val="20"/>
                <w:lang w:val="en-US" w:eastAsia="zh-CN"/>
                <w14:textFill>
                  <w14:solidFill>
                    <w14:schemeClr w14:val="tx1"/>
                  </w14:solidFill>
                </w14:textFill>
              </w:rPr>
              <w:t>落实贮存过程污染控制措施，包括：</w:t>
            </w:r>
          </w:p>
          <w:p w14:paraId="3A83C3F9">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①按照《危险废物贮存污染控制标准》（GB18597-2023）落实分类贮存要求，防止危险废物之间发生相互反应等情况。</w:t>
            </w:r>
          </w:p>
          <w:p w14:paraId="2382CA7B">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②</w:t>
            </w:r>
            <w:r>
              <w:rPr>
                <w:rFonts w:hint="eastAsia" w:cs="Times New Roman"/>
                <w:color w:val="000000" w:themeColor="text1"/>
                <w:kern w:val="0"/>
                <w:sz w:val="24"/>
                <w:szCs w:val="20"/>
                <w:lang w:val="en-US" w:eastAsia="zh-CN"/>
                <w14:textFill>
                  <w14:solidFill>
                    <w14:schemeClr w14:val="tx1"/>
                  </w14:solidFill>
                </w14:textFill>
              </w:rPr>
              <w:t>危险废物</w:t>
            </w:r>
            <w:r>
              <w:rPr>
                <w:rFonts w:hint="eastAsia"/>
                <w:color w:val="000000" w:themeColor="text1"/>
                <w:kern w:val="0"/>
                <w:sz w:val="24"/>
                <w:lang w:val="en-US" w:eastAsia="zh-CN"/>
                <w14:textFill>
                  <w14:solidFill>
                    <w14:schemeClr w14:val="tx1"/>
                  </w14:solidFill>
                </w14:textFill>
              </w:rPr>
              <w:t>贮存期间采取闭口、密闭措施贮存。</w:t>
            </w:r>
          </w:p>
          <w:p w14:paraId="6838EACB">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③各类危险废物贮存最大周期不应超过90天，合理安排危险废物贮存规模，要求</w:t>
            </w:r>
            <w:r>
              <w:rPr>
                <w:rFonts w:hint="eastAsia" w:ascii="Times New Roman" w:hAnsi="Times New Roman" w:eastAsia="宋体" w:cs="Times New Roman"/>
                <w:color w:val="000000" w:themeColor="text1"/>
                <w:sz w:val="24"/>
                <w14:textFill>
                  <w14:solidFill>
                    <w14:schemeClr w14:val="tx1"/>
                  </w14:solidFill>
                </w14:textFill>
              </w:rPr>
              <w:t>最大贮存量不超过500吨</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单一类别</w:t>
            </w:r>
            <w:r>
              <w:rPr>
                <w:rFonts w:hint="eastAsia" w:cs="Times New Roman"/>
                <w:color w:val="000000" w:themeColor="text1"/>
                <w:sz w:val="24"/>
                <w:lang w:val="en-US" w:eastAsia="zh-CN"/>
                <w14:textFill>
                  <w14:solidFill>
                    <w14:schemeClr w14:val="tx1"/>
                  </w14:solidFill>
                </w14:textFill>
              </w:rPr>
              <w:t>危险废物</w:t>
            </w:r>
            <w:r>
              <w:rPr>
                <w:rFonts w:hint="eastAsia" w:ascii="Times New Roman" w:hAnsi="Times New Roman" w:eastAsia="宋体" w:cs="Times New Roman"/>
                <w:color w:val="000000" w:themeColor="text1"/>
                <w:sz w:val="24"/>
                <w14:textFill>
                  <w14:solidFill>
                    <w14:schemeClr w14:val="tx1"/>
                  </w14:solidFill>
                </w14:textFill>
              </w:rPr>
              <w:t>最大贮存量不超过100吨</w:t>
            </w:r>
            <w:r>
              <w:rPr>
                <w:rFonts w:hint="eastAsia" w:cs="Times New Roman"/>
                <w:color w:val="000000" w:themeColor="text1"/>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合理安排转移计划，提高转移频次，缩短危险废物贮存周期。</w:t>
            </w:r>
          </w:p>
          <w:p w14:paraId="4FF3B7BE">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（8）落实危险废物处置单位，根据处置单位处置安排协调项目危险废物收集和贮存种类和数量。</w:t>
            </w:r>
          </w:p>
          <w:p w14:paraId="349100AF">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（9）</w:t>
            </w:r>
            <w:r>
              <w:rPr>
                <w:rFonts w:hint="eastAsia" w:ascii="Times New Roman" w:eastAsia="宋体"/>
                <w:color w:val="000000" w:themeColor="text1"/>
                <w:kern w:val="0"/>
                <w:sz w:val="24"/>
                <w:lang w:val="en-US" w:eastAsia="zh-CN"/>
                <w14:textFill>
                  <w14:solidFill>
                    <w14:schemeClr w14:val="tx1"/>
                  </w14:solidFill>
                </w14:textFill>
              </w:rPr>
              <w:t>按照《危险废物识别标志设置技术规范》（HJ1276-2022）中的相关要求对标志进行制作和粘贴。</w:t>
            </w:r>
          </w:p>
          <w:p w14:paraId="63D8AECD">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（10）</w:t>
            </w:r>
            <w:r>
              <w:rPr>
                <w:rFonts w:hint="eastAsia" w:ascii="Times New Roman" w:eastAsia="宋体"/>
                <w:color w:val="000000" w:themeColor="text1"/>
                <w:kern w:val="0"/>
                <w:sz w:val="24"/>
                <w:lang w:val="en-US" w:eastAsia="zh-CN"/>
                <w14:textFill>
                  <w14:solidFill>
                    <w14:schemeClr w14:val="tx1"/>
                  </w14:solidFill>
                </w14:textFill>
              </w:rPr>
              <w:t>企业应按照有关法律和《环境监测管理办法》等规定，建立企业危险废物台账制度，要求如下：</w:t>
            </w:r>
          </w:p>
          <w:p w14:paraId="6766C656">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①</w:t>
            </w:r>
            <w:r>
              <w:rPr>
                <w:rFonts w:hint="eastAsia" w:ascii="Times New Roman" w:eastAsia="宋体"/>
                <w:color w:val="000000" w:themeColor="text1"/>
                <w:kern w:val="0"/>
                <w:sz w:val="24"/>
                <w:lang w:val="en-US" w:eastAsia="zh-CN"/>
                <w14:textFill>
                  <w14:solidFill>
                    <w14:schemeClr w14:val="tx1"/>
                  </w14:solidFill>
                </w14:textFill>
              </w:rPr>
              <w:t>根据危险废物的贮存采取不同的管理流程，在产生、贮存等环节建立有关危险废物的台账记录表，如实记录危险废物产生、贮存情况。</w:t>
            </w:r>
          </w:p>
          <w:p w14:paraId="0BCC1832">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②</w:t>
            </w:r>
            <w:r>
              <w:rPr>
                <w:rFonts w:hint="eastAsia" w:ascii="Times New Roman" w:eastAsia="宋体"/>
                <w:color w:val="000000" w:themeColor="text1"/>
                <w:kern w:val="0"/>
                <w:sz w:val="24"/>
                <w:lang w:val="en-US" w:eastAsia="zh-CN"/>
                <w14:textFill>
                  <w14:solidFill>
                    <w14:schemeClr w14:val="tx1"/>
                  </w14:solidFill>
                </w14:textFill>
              </w:rPr>
              <w:t>在危险废物储存环节，应按重量、体积、桶的方式记录危险废物数量。危险废物转移出产生单位时，必须进行称重。</w:t>
            </w:r>
          </w:p>
          <w:p w14:paraId="00674F43">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③</w:t>
            </w:r>
            <w:r>
              <w:rPr>
                <w:rFonts w:hint="eastAsia" w:ascii="Times New Roman" w:eastAsia="宋体"/>
                <w:color w:val="000000" w:themeColor="text1"/>
                <w:kern w:val="0"/>
                <w:sz w:val="24"/>
                <w:lang w:val="en-US" w:eastAsia="zh-CN"/>
                <w14:textFill>
                  <w14:solidFill>
                    <w14:schemeClr w14:val="tx1"/>
                  </w14:solidFill>
                </w14:textFill>
              </w:rPr>
              <w:t>按月汇总危险废物台账记录表，形成周期性报表，报表应当按所收集的危险废物的种类及库存情况，按危险废物的种类以及利用处置方式反映处置情况。相应记录表或凭证以及</w:t>
            </w:r>
            <w:r>
              <w:rPr>
                <w:rFonts w:hint="eastAsia"/>
                <w:color w:val="000000" w:themeColor="text1"/>
                <w:kern w:val="0"/>
                <w:sz w:val="24"/>
                <w:lang w:val="en-US" w:eastAsia="zh-CN"/>
                <w14:textFill>
                  <w14:solidFill>
                    <w14:schemeClr w14:val="tx1"/>
                  </w14:solidFill>
                </w14:textFill>
              </w:rPr>
              <w:t>危险废物</w:t>
            </w:r>
            <w:r>
              <w:rPr>
                <w:rFonts w:hint="eastAsia" w:ascii="Times New Roman" w:eastAsia="宋体"/>
                <w:color w:val="000000" w:themeColor="text1"/>
                <w:kern w:val="0"/>
                <w:sz w:val="24"/>
                <w:lang w:val="en-US" w:eastAsia="zh-CN"/>
                <w14:textFill>
                  <w14:solidFill>
                    <w14:schemeClr w14:val="tx1"/>
                  </w14:solidFill>
                </w14:textFill>
              </w:rPr>
              <w:t>转移联单，记录要封装汇总。</w:t>
            </w:r>
          </w:p>
          <w:p w14:paraId="52778CE8">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④</w:t>
            </w:r>
            <w:r>
              <w:rPr>
                <w:rFonts w:hint="eastAsia" w:ascii="Times New Roman" w:eastAsia="宋体"/>
                <w:color w:val="000000" w:themeColor="text1"/>
                <w:kern w:val="0"/>
                <w:sz w:val="24"/>
                <w:lang w:val="en-US" w:eastAsia="zh-CN"/>
                <w14:textFill>
                  <w14:solidFill>
                    <w14:schemeClr w14:val="tx1"/>
                  </w14:solidFill>
                </w14:textFill>
              </w:rPr>
              <w:t>汇总危险废物台账报表，危险废物特性表，汇总处置利用情况，形成完整的危险废物台账。</w:t>
            </w:r>
          </w:p>
          <w:p w14:paraId="4BD88E2D">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（11）加强员工培训，包括生产技术培训、环保培训、安全生产培训、职业卫生培训等。对产废单位废物收集暂存提供指导服务。</w:t>
            </w:r>
          </w:p>
          <w:p w14:paraId="0A859BCF">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（12）建立健全档案管理，包括①工程设计、施工、验收、运行资料；②危险废物收集、贮存、转运台账、联单资料；③环境监测、环境应急等资料。</w:t>
            </w:r>
          </w:p>
          <w:p w14:paraId="25311CDE">
            <w:pPr>
              <w:keepNext/>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3</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w:t>
            </w:r>
            <w:r>
              <w:rPr>
                <w:rFonts w:hint="eastAsia" w:cs="Times New Roman"/>
                <w:b/>
                <w:bCs w:val="0"/>
                <w:color w:val="000000" w:themeColor="text1"/>
                <w:sz w:val="24"/>
                <w:lang w:val="en-US" w:eastAsia="zh-CN"/>
                <w14:textFill>
                  <w14:solidFill>
                    <w14:schemeClr w14:val="tx1"/>
                  </w14:solidFill>
                </w14:textFill>
              </w:rPr>
              <w:t>固体废物环境影响分析</w:t>
            </w:r>
          </w:p>
          <w:p w14:paraId="50EEA4C3">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固体废物主要体现为危险废物收集、贮存过程中产生环境影响，通过加强收集检查工作、贮存防控措施等，可有效降低危险废物对环境的影响。其次，建设单位应重点根据处置单位要求做好项目危险废物收集种类和数量的工作，使其能够协调进行，确保危险废物做到转运及时、处置及时，减少危险废物在项目区贮存时长。</w:t>
            </w:r>
          </w:p>
          <w:p w14:paraId="3822C679">
            <w:pPr>
              <w:keepNext/>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4.2.6环境风险分析</w:t>
            </w:r>
          </w:p>
          <w:p w14:paraId="667E69B9">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详见环境风险评价专项。</w:t>
            </w:r>
          </w:p>
          <w:p w14:paraId="024FC6B6">
            <w:pPr>
              <w:keepNext/>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4.2.7生态环境</w:t>
            </w:r>
          </w:p>
          <w:p w14:paraId="22A1A1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eastAsia="宋体"/>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14:textFill>
                  <w14:solidFill>
                    <w14:schemeClr w14:val="tx1"/>
                  </w14:solidFill>
                </w14:textFill>
              </w:rPr>
              <w:t>本项目位于曲靖市麒麟区珠街街道办事处珠街社区珠街村666号2栋18-19-20</w:t>
            </w:r>
            <w:r>
              <w:rPr>
                <w:rFonts w:hint="eastAsia"/>
                <w:color w:val="000000" w:themeColor="text1"/>
                <w:kern w:val="0"/>
                <w:sz w:val="24"/>
                <w:szCs w:val="24"/>
                <w:lang w:val="en-US" w:eastAsia="zh-CN"/>
                <w14:textFill>
                  <w14:solidFill>
                    <w14:schemeClr w14:val="tx1"/>
                  </w14:solidFill>
                </w14:textFill>
              </w:rPr>
              <w:t>，项目区域不涉及自然保护区、社会文化和自然遗产地扥特殊生态敏感区。</w:t>
            </w:r>
          </w:p>
          <w:p w14:paraId="1277E2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bCs/>
                <w:color w:val="000000" w:themeColor="text1"/>
                <w:sz w:val="24"/>
                <w:lang w:val="en-US" w:eastAsia="zh-CN"/>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项目区域人为活动频繁区域，周边植被类型以人工植被</w:t>
            </w:r>
            <w:r>
              <w:rPr>
                <w:rFonts w:hint="eastAsia"/>
                <w:color w:val="000000" w:themeColor="text1"/>
                <w:kern w:val="0"/>
                <w:sz w:val="24"/>
                <w:szCs w:val="24"/>
                <w:lang w:val="en-US" w:eastAsia="zh-CN"/>
                <w14:textFill>
                  <w14:solidFill>
                    <w14:schemeClr w14:val="tx1"/>
                  </w14:solidFill>
                </w14:textFill>
              </w:rPr>
              <w:t>和</w:t>
            </w:r>
            <w:r>
              <w:rPr>
                <w:rFonts w:hint="eastAsia"/>
                <w:color w:val="000000" w:themeColor="text1"/>
                <w:kern w:val="0"/>
                <w:sz w:val="24"/>
                <w:szCs w:val="24"/>
                <w:lang w:eastAsia="zh-CN"/>
                <w14:textFill>
                  <w14:solidFill>
                    <w14:schemeClr w14:val="tx1"/>
                  </w14:solidFill>
                </w14:textFill>
              </w:rPr>
              <w:t>各种农作物为主，根据现场调查，评价区内未发现古树名木、国家和省级保护植物分布、狭域特有植物项目区域人为活动频繁区域，区内及周边野生动物较少，均属常见种类，无国家保护的野生动物，多为当地常见的、游动性较强、适应人类活动的小型啮齿目哺乳类动物和</w:t>
            </w:r>
            <w:r>
              <w:rPr>
                <w:rFonts w:hint="eastAsia"/>
                <w:color w:val="000000" w:themeColor="text1"/>
                <w:kern w:val="0"/>
                <w:sz w:val="24"/>
                <w:szCs w:val="24"/>
                <w:lang w:val="en-US" w:eastAsia="zh-CN"/>
                <w14:textFill>
                  <w14:solidFill>
                    <w14:schemeClr w14:val="tx1"/>
                  </w14:solidFill>
                </w14:textFill>
              </w:rPr>
              <w:t>鸟类</w:t>
            </w:r>
            <w:r>
              <w:rPr>
                <w:rFonts w:hint="eastAsia"/>
                <w:color w:val="000000" w:themeColor="text1"/>
                <w:kern w:val="0"/>
                <w:sz w:val="24"/>
                <w:szCs w:val="24"/>
                <w:lang w:eastAsia="zh-CN"/>
                <w14:textFill>
                  <w14:solidFill>
                    <w14:schemeClr w14:val="tx1"/>
                  </w14:solidFill>
                </w14:textFill>
              </w:rPr>
              <w:t>如家鼠、麻雀等。根据调查，评价区内未发现国家和云南省省级保护野生动物，亦未发现珍稀濒危保护动物和地方特有</w:t>
            </w:r>
            <w:r>
              <w:rPr>
                <w:rFonts w:hint="eastAsia"/>
                <w:color w:val="000000" w:themeColor="text1"/>
                <w:kern w:val="0"/>
                <w:sz w:val="24"/>
                <w:szCs w:val="24"/>
                <w:lang w:val="en-US" w:eastAsia="zh-CN"/>
                <w14:textFill>
                  <w14:solidFill>
                    <w14:schemeClr w14:val="tx1"/>
                  </w14:solidFill>
                </w14:textFill>
              </w:rPr>
              <w:t>物</w:t>
            </w:r>
            <w:r>
              <w:rPr>
                <w:rFonts w:hint="eastAsia"/>
                <w:color w:val="000000" w:themeColor="text1"/>
                <w:kern w:val="0"/>
                <w:sz w:val="24"/>
                <w:szCs w:val="24"/>
                <w:lang w:eastAsia="zh-CN"/>
                <w14:textFill>
                  <w14:solidFill>
                    <w14:schemeClr w14:val="tx1"/>
                  </w14:solidFill>
                </w14:textFill>
              </w:rPr>
              <w:t>种</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，即项目实施不会对生态环境造成影响。</w:t>
            </w:r>
          </w:p>
          <w:p w14:paraId="1CAFEDC2">
            <w:pPr>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color w:val="000000" w:themeColor="text1"/>
                <w:kern w:val="21"/>
                <w:sz w:val="28"/>
                <w:szCs w:val="28"/>
                <w:lang w:val="en-US" w:eastAsia="zh-CN"/>
                <w14:textFill>
                  <w14:solidFill>
                    <w14:schemeClr w14:val="tx1"/>
                  </w14:solidFill>
                </w14:textFill>
              </w:rPr>
            </w:pPr>
            <w:r>
              <w:rPr>
                <w:rFonts w:hint="eastAsia" w:ascii="Times New Roman" w:hAnsi="Times New Roman" w:eastAsia="宋体" w:cs="Times New Roman"/>
                <w:b/>
                <w:color w:val="000000" w:themeColor="text1"/>
                <w:kern w:val="21"/>
                <w:sz w:val="28"/>
                <w:szCs w:val="28"/>
                <w:lang w:val="en-US" w:eastAsia="zh-CN"/>
                <w14:textFill>
                  <w14:solidFill>
                    <w14:schemeClr w14:val="tx1"/>
                  </w14:solidFill>
                </w14:textFill>
              </w:rPr>
              <w:t>4.3本项目污染物汇总情况</w:t>
            </w:r>
          </w:p>
          <w:p w14:paraId="2440E91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综上所述，本项目主要污染物产生及排放情况见下表</w:t>
            </w:r>
            <w:r>
              <w:rPr>
                <w:rFonts w:hint="eastAsia"/>
                <w:color w:val="000000" w:themeColor="text1"/>
                <w:sz w:val="24"/>
                <w:szCs w:val="24"/>
                <w:lang w:val="en-US" w:eastAsia="zh-CN"/>
                <w14:textFill>
                  <w14:solidFill>
                    <w14:schemeClr w14:val="tx1"/>
                  </w14:solidFill>
                </w14:textFill>
              </w:rPr>
              <w:t>4.3-1所示</w:t>
            </w:r>
            <w:r>
              <w:rPr>
                <w:rFonts w:hint="eastAsia"/>
                <w:color w:val="000000" w:themeColor="text1"/>
                <w:sz w:val="24"/>
                <w:szCs w:val="24"/>
                <w14:textFill>
                  <w14:solidFill>
                    <w14:schemeClr w14:val="tx1"/>
                  </w14:solidFill>
                </w14:textFill>
              </w:rPr>
              <w:t>。</w:t>
            </w:r>
          </w:p>
          <w:p w14:paraId="7E23ECF8">
            <w:pPr>
              <w:pStyle w:val="97"/>
              <w:rPr>
                <w:color w:val="000000" w:themeColor="text1"/>
                <w14:textFill>
                  <w14:solidFill>
                    <w14:schemeClr w14:val="tx1"/>
                  </w14:solidFill>
                </w14:textFill>
              </w:rPr>
            </w:pPr>
            <w:r>
              <w:rPr>
                <w:rFonts w:hint="eastAsia"/>
                <w:color w:val="000000" w:themeColor="text1"/>
                <w14:textFill>
                  <w14:solidFill>
                    <w14:schemeClr w14:val="tx1"/>
                  </w14:solidFill>
                </w14:textFill>
              </w:rPr>
              <w:t>表4.3-1 项目主要污染物产生及排放情况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798"/>
              <w:gridCol w:w="1089"/>
              <w:gridCol w:w="2163"/>
              <w:gridCol w:w="2483"/>
            </w:tblGrid>
            <w:tr w14:paraId="7EA0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Align w:val="center"/>
                </w:tcPr>
                <w:p w14:paraId="748B95B0">
                  <w:pPr>
                    <w:pStyle w:val="96"/>
                    <w:rPr>
                      <w:b/>
                      <w:bCs/>
                      <w:color w:val="000000" w:themeColor="text1"/>
                      <w14:textFill>
                        <w14:solidFill>
                          <w14:schemeClr w14:val="tx1"/>
                        </w14:solidFill>
                      </w14:textFill>
                    </w:rPr>
                  </w:pPr>
                  <w:r>
                    <w:rPr>
                      <w:b/>
                      <w:bCs/>
                      <w:color w:val="000000" w:themeColor="text1"/>
                      <w14:textFill>
                        <w14:solidFill>
                          <w14:schemeClr w14:val="tx1"/>
                        </w14:solidFill>
                      </w14:textFill>
                    </w:rPr>
                    <w:t>污染类别</w:t>
                  </w:r>
                </w:p>
              </w:tc>
              <w:tc>
                <w:tcPr>
                  <w:tcW w:w="1080" w:type="pct"/>
                  <w:vAlign w:val="center"/>
                </w:tcPr>
                <w:p w14:paraId="29FA81BE">
                  <w:pPr>
                    <w:pStyle w:val="96"/>
                    <w:rPr>
                      <w:b/>
                      <w:bCs/>
                      <w:color w:val="000000" w:themeColor="text1"/>
                      <w14:textFill>
                        <w14:solidFill>
                          <w14:schemeClr w14:val="tx1"/>
                        </w14:solidFill>
                      </w14:textFill>
                    </w:rPr>
                  </w:pPr>
                  <w:r>
                    <w:rPr>
                      <w:b/>
                      <w:bCs/>
                      <w:color w:val="000000" w:themeColor="text1"/>
                      <w14:textFill>
                        <w14:solidFill>
                          <w14:schemeClr w14:val="tx1"/>
                        </w14:solidFill>
                      </w14:textFill>
                    </w:rPr>
                    <w:t>排放源</w:t>
                  </w:r>
                </w:p>
              </w:tc>
              <w:tc>
                <w:tcPr>
                  <w:tcW w:w="654" w:type="pct"/>
                  <w:vAlign w:val="center"/>
                </w:tcPr>
                <w:p w14:paraId="0A5012CB">
                  <w:pPr>
                    <w:pStyle w:val="96"/>
                    <w:rPr>
                      <w:b/>
                      <w:bCs/>
                      <w:color w:val="000000" w:themeColor="text1"/>
                      <w14:textFill>
                        <w14:solidFill>
                          <w14:schemeClr w14:val="tx1"/>
                        </w14:solidFill>
                      </w14:textFill>
                    </w:rPr>
                  </w:pPr>
                  <w:r>
                    <w:rPr>
                      <w:b/>
                      <w:bCs/>
                      <w:color w:val="000000" w:themeColor="text1"/>
                      <w14:textFill>
                        <w14:solidFill>
                          <w14:schemeClr w14:val="tx1"/>
                        </w14:solidFill>
                      </w14:textFill>
                    </w:rPr>
                    <w:t>污染物名称</w:t>
                  </w:r>
                </w:p>
              </w:tc>
              <w:tc>
                <w:tcPr>
                  <w:tcW w:w="1299" w:type="pct"/>
                  <w:vAlign w:val="center"/>
                </w:tcPr>
                <w:p w14:paraId="3CEDB523">
                  <w:pPr>
                    <w:pStyle w:val="96"/>
                    <w:rPr>
                      <w:b/>
                      <w:bCs/>
                      <w:color w:val="000000" w:themeColor="text1"/>
                      <w14:textFill>
                        <w14:solidFill>
                          <w14:schemeClr w14:val="tx1"/>
                        </w14:solidFill>
                      </w14:textFill>
                    </w:rPr>
                  </w:pPr>
                  <w:r>
                    <w:rPr>
                      <w:b/>
                      <w:bCs/>
                      <w:color w:val="000000" w:themeColor="text1"/>
                      <w14:textFill>
                        <w14:solidFill>
                          <w14:schemeClr w14:val="tx1"/>
                        </w14:solidFill>
                      </w14:textFill>
                    </w:rPr>
                    <w:t>产生浓度及产生量</w:t>
                  </w:r>
                </w:p>
              </w:tc>
              <w:tc>
                <w:tcPr>
                  <w:tcW w:w="1491" w:type="pct"/>
                  <w:vAlign w:val="center"/>
                </w:tcPr>
                <w:p w14:paraId="064ACCD2">
                  <w:pPr>
                    <w:pStyle w:val="96"/>
                    <w:rPr>
                      <w:b/>
                      <w:bCs/>
                      <w:color w:val="000000" w:themeColor="text1"/>
                      <w14:textFill>
                        <w14:solidFill>
                          <w14:schemeClr w14:val="tx1"/>
                        </w14:solidFill>
                      </w14:textFill>
                    </w:rPr>
                  </w:pPr>
                  <w:r>
                    <w:rPr>
                      <w:b/>
                      <w:bCs/>
                      <w:color w:val="000000" w:themeColor="text1"/>
                      <w14:textFill>
                        <w14:solidFill>
                          <w14:schemeClr w14:val="tx1"/>
                        </w14:solidFill>
                      </w14:textFill>
                    </w:rPr>
                    <w:t>排放浓度及排放量</w:t>
                  </w:r>
                </w:p>
              </w:tc>
            </w:tr>
            <w:tr w14:paraId="0272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restart"/>
                  <w:vAlign w:val="center"/>
                </w:tcPr>
                <w:p w14:paraId="6A67EF9E">
                  <w:pPr>
                    <w:pStyle w:val="9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废气</w:t>
                  </w:r>
                </w:p>
              </w:tc>
              <w:tc>
                <w:tcPr>
                  <w:tcW w:w="1080" w:type="pct"/>
                  <w:vMerge w:val="restart"/>
                  <w:vAlign w:val="center"/>
                </w:tcPr>
                <w:p w14:paraId="30607A15">
                  <w:pPr>
                    <w:pStyle w:val="96"/>
                    <w:rPr>
                      <w:color w:val="000000" w:themeColor="text1"/>
                      <w14:textFill>
                        <w14:solidFill>
                          <w14:schemeClr w14:val="tx1"/>
                        </w14:solidFill>
                      </w14:textFill>
                    </w:rPr>
                  </w:pPr>
                  <w:r>
                    <w:rPr>
                      <w:rFonts w:hint="eastAsia"/>
                      <w:color w:val="000000" w:themeColor="text1"/>
                      <w:szCs w:val="20"/>
                      <w:lang w:val="en-US" w:eastAsia="zh-CN"/>
                      <w14:textFill>
                        <w14:solidFill>
                          <w14:schemeClr w14:val="tx1"/>
                        </w14:solidFill>
                      </w14:textFill>
                    </w:rPr>
                    <w:t>废矿物油储存、废铅蓄电池贮存</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编号：</w:t>
                  </w:r>
                  <w:r>
                    <w:rPr>
                      <w:rFonts w:hint="eastAsia"/>
                      <w:color w:val="000000" w:themeColor="text1"/>
                      <w:lang w:eastAsia="zh-CN"/>
                      <w14:textFill>
                        <w14:solidFill>
                          <w14:schemeClr w14:val="tx1"/>
                        </w14:solidFill>
                      </w14:textFill>
                    </w:rPr>
                    <w:t>D</w:t>
                  </w:r>
                  <w:r>
                    <w:rPr>
                      <w:color w:val="000000" w:themeColor="text1"/>
                      <w:lang w:eastAsia="zh-CN"/>
                      <w14:textFill>
                        <w14:solidFill>
                          <w14:schemeClr w14:val="tx1"/>
                        </w14:solidFill>
                      </w14:textFill>
                    </w:rPr>
                    <w:t>A001</w:t>
                  </w:r>
                  <w:r>
                    <w:rPr>
                      <w:rFonts w:hint="eastAsia"/>
                      <w:color w:val="000000" w:themeColor="text1"/>
                      <w:lang w:eastAsia="zh-CN"/>
                      <w14:textFill>
                        <w14:solidFill>
                          <w14:schemeClr w14:val="tx1"/>
                        </w14:solidFill>
                      </w14:textFill>
                    </w:rPr>
                    <w:t>）</w:t>
                  </w:r>
                </w:p>
              </w:tc>
              <w:tc>
                <w:tcPr>
                  <w:tcW w:w="654" w:type="pct"/>
                  <w:vAlign w:val="center"/>
                </w:tcPr>
                <w:p w14:paraId="003850DF">
                  <w:pPr>
                    <w:pStyle w:val="96"/>
                    <w:rPr>
                      <w:color w:val="000000" w:themeColor="text1"/>
                      <w14:textFill>
                        <w14:solidFill>
                          <w14:schemeClr w14:val="tx1"/>
                        </w14:solidFill>
                      </w14:textFill>
                    </w:rPr>
                  </w:pPr>
                  <w:r>
                    <w:rPr>
                      <w:rFonts w:hint="eastAsia"/>
                      <w:color w:val="000000" w:themeColor="text1"/>
                      <w:szCs w:val="20"/>
                      <w:vertAlign w:val="baseline"/>
                      <w:lang w:val="en-US" w:eastAsia="zh-CN"/>
                      <w14:textFill>
                        <w14:solidFill>
                          <w14:schemeClr w14:val="tx1"/>
                        </w14:solidFill>
                      </w14:textFill>
                    </w:rPr>
                    <w:t>NMHC</w:t>
                  </w:r>
                </w:p>
              </w:tc>
              <w:tc>
                <w:tcPr>
                  <w:tcW w:w="1299" w:type="pct"/>
                  <w:vAlign w:val="center"/>
                </w:tcPr>
                <w:p w14:paraId="0B833B4E">
                  <w:pPr>
                    <w:pStyle w:val="96"/>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0.277</w:t>
                  </w:r>
                  <w:r>
                    <w:rPr>
                      <w:color w:val="000000" w:themeColor="text1"/>
                      <w:lang w:val="en-US" w:eastAsia="zh-CN"/>
                      <w14:textFill>
                        <w14:solidFill>
                          <w14:schemeClr w14:val="tx1"/>
                        </w14:solidFill>
                      </w14:textFill>
                    </w:rPr>
                    <w:t>t/a</w:t>
                  </w:r>
                  <w:r>
                    <w:rPr>
                      <w:rFonts w:hint="eastAsia"/>
                      <w:color w:val="000000" w:themeColor="text1"/>
                      <w:lang w:val="en-US" w:eastAsia="zh-CN"/>
                      <w14:textFill>
                        <w14:solidFill>
                          <w14:schemeClr w14:val="tx1"/>
                        </w14:solidFill>
                      </w14:textFill>
                    </w:rPr>
                    <w:t>,173</w:t>
                  </w:r>
                  <w:r>
                    <w:rPr>
                      <w:color w:val="000000" w:themeColor="text1"/>
                      <w:lang w:val="en-US" w:eastAsia="zh-CN"/>
                      <w14:textFill>
                        <w14:solidFill>
                          <w14:schemeClr w14:val="tx1"/>
                        </w14:solidFill>
                      </w14:textFill>
                    </w:rPr>
                    <w:t>mg/m</w:t>
                  </w:r>
                  <w:r>
                    <w:rPr>
                      <w:color w:val="000000" w:themeColor="text1"/>
                      <w:vertAlign w:val="superscript"/>
                      <w:lang w:val="en-US" w:eastAsia="zh-CN"/>
                      <w14:textFill>
                        <w14:solidFill>
                          <w14:schemeClr w14:val="tx1"/>
                        </w14:solidFill>
                      </w14:textFill>
                    </w:rPr>
                    <w:t>3</w:t>
                  </w:r>
                </w:p>
              </w:tc>
              <w:tc>
                <w:tcPr>
                  <w:tcW w:w="1491" w:type="pct"/>
                  <w:vAlign w:val="center"/>
                </w:tcPr>
                <w:p w14:paraId="4486CCF8">
                  <w:pPr>
                    <w:pStyle w:val="9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0.125</w:t>
                  </w:r>
                  <w:r>
                    <w:rPr>
                      <w:color w:val="000000" w:themeColor="text1"/>
                      <w:lang w:val="en-US" w:eastAsia="zh-CN"/>
                      <w14:textFill>
                        <w14:solidFill>
                          <w14:schemeClr w14:val="tx1"/>
                        </w14:solidFill>
                      </w14:textFill>
                    </w:rPr>
                    <w:t>t/a</w:t>
                  </w:r>
                  <w:r>
                    <w:rPr>
                      <w:rFonts w:hint="eastAsia"/>
                      <w:color w:val="000000" w:themeColor="text1"/>
                      <w:lang w:val="en-US" w:eastAsia="zh-CN"/>
                      <w14:textFill>
                        <w14:solidFill>
                          <w14:schemeClr w14:val="tx1"/>
                        </w14:solidFill>
                      </w14:textFill>
                    </w:rPr>
                    <w:t>,</w:t>
                  </w:r>
                  <w:r>
                    <w:rPr>
                      <w:rFonts w:hint="eastAsia"/>
                      <w:color w:val="FF0000"/>
                      <w:lang w:val="en-US" w:eastAsia="zh-CN"/>
                    </w:rPr>
                    <w:t>39</w:t>
                  </w:r>
                  <w:r>
                    <w:rPr>
                      <w:color w:val="FF0000"/>
                      <w:lang w:val="en-US" w:eastAsia="zh-CN"/>
                    </w:rPr>
                    <w:t>mg/m</w:t>
                  </w:r>
                  <w:r>
                    <w:rPr>
                      <w:color w:val="FF0000"/>
                      <w:vertAlign w:val="superscript"/>
                      <w:lang w:val="en-US" w:eastAsia="zh-CN"/>
                    </w:rPr>
                    <w:t>3</w:t>
                  </w:r>
                </w:p>
              </w:tc>
            </w:tr>
            <w:tr w14:paraId="354A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continue"/>
                  <w:vAlign w:val="center"/>
                </w:tcPr>
                <w:p w14:paraId="07A64C9A">
                  <w:pPr>
                    <w:pStyle w:val="96"/>
                    <w:rPr>
                      <w:color w:val="000000" w:themeColor="text1"/>
                      <w:lang w:eastAsia="zh-CN"/>
                      <w14:textFill>
                        <w14:solidFill>
                          <w14:schemeClr w14:val="tx1"/>
                        </w14:solidFill>
                      </w14:textFill>
                    </w:rPr>
                  </w:pPr>
                </w:p>
              </w:tc>
              <w:tc>
                <w:tcPr>
                  <w:tcW w:w="1080" w:type="pct"/>
                  <w:vMerge w:val="continue"/>
                  <w:vAlign w:val="center"/>
                </w:tcPr>
                <w:p w14:paraId="11D57482">
                  <w:pPr>
                    <w:pStyle w:val="96"/>
                    <w:rPr>
                      <w:color w:val="000000" w:themeColor="text1"/>
                      <w:lang w:eastAsia="zh-CN"/>
                      <w14:textFill>
                        <w14:solidFill>
                          <w14:schemeClr w14:val="tx1"/>
                        </w14:solidFill>
                      </w14:textFill>
                    </w:rPr>
                  </w:pPr>
                </w:p>
              </w:tc>
              <w:tc>
                <w:tcPr>
                  <w:tcW w:w="654" w:type="pct"/>
                  <w:vAlign w:val="center"/>
                </w:tcPr>
                <w:p w14:paraId="44E35A6C">
                  <w:pPr>
                    <w:pStyle w:val="9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臭气浓度</w:t>
                  </w:r>
                </w:p>
              </w:tc>
              <w:tc>
                <w:tcPr>
                  <w:tcW w:w="1299" w:type="pct"/>
                  <w:vAlign w:val="center"/>
                </w:tcPr>
                <w:p w14:paraId="6110A7BD">
                  <w:pPr>
                    <w:pStyle w:val="96"/>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少量</w:t>
                  </w:r>
                </w:p>
              </w:tc>
              <w:tc>
                <w:tcPr>
                  <w:tcW w:w="1491" w:type="pct"/>
                  <w:vAlign w:val="center"/>
                </w:tcPr>
                <w:p w14:paraId="56FFFAF0">
                  <w:pPr>
                    <w:pStyle w:val="96"/>
                    <w:rPr>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少量</w:t>
                  </w:r>
                </w:p>
              </w:tc>
            </w:tr>
            <w:tr w14:paraId="0BCA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continue"/>
                  <w:vAlign w:val="center"/>
                </w:tcPr>
                <w:p w14:paraId="61B3E2DD">
                  <w:pPr>
                    <w:pStyle w:val="96"/>
                    <w:rPr>
                      <w:color w:val="000000" w:themeColor="text1"/>
                      <w:lang w:eastAsia="zh-CN"/>
                      <w14:textFill>
                        <w14:solidFill>
                          <w14:schemeClr w14:val="tx1"/>
                        </w14:solidFill>
                      </w14:textFill>
                    </w:rPr>
                  </w:pPr>
                </w:p>
              </w:tc>
              <w:tc>
                <w:tcPr>
                  <w:tcW w:w="1080" w:type="pct"/>
                  <w:vMerge w:val="continue"/>
                  <w:vAlign w:val="center"/>
                </w:tcPr>
                <w:p w14:paraId="4C2F93FD">
                  <w:pPr>
                    <w:pStyle w:val="96"/>
                    <w:rPr>
                      <w:color w:val="000000" w:themeColor="text1"/>
                      <w:lang w:eastAsia="zh-CN"/>
                      <w14:textFill>
                        <w14:solidFill>
                          <w14:schemeClr w14:val="tx1"/>
                        </w14:solidFill>
                      </w14:textFill>
                    </w:rPr>
                  </w:pPr>
                </w:p>
              </w:tc>
              <w:tc>
                <w:tcPr>
                  <w:tcW w:w="654" w:type="pct"/>
                  <w:shd w:val="clear" w:color="auto" w:fill="auto"/>
                  <w:vAlign w:val="center"/>
                </w:tcPr>
                <w:p w14:paraId="73316C99">
                  <w:pPr>
                    <w:pStyle w:val="96"/>
                    <w:ind w:firstLine="0" w:firstLineChars="0"/>
                    <w:rPr>
                      <w:rFonts w:hint="eastAsia" w:ascii="Times New Roman" w:hAnsi="Times New Roman" w:eastAsia="宋体" w:cs="宋体"/>
                      <w:color w:val="FF0000"/>
                      <w:kern w:val="2"/>
                      <w:sz w:val="21"/>
                      <w:szCs w:val="21"/>
                      <w:lang w:val="en-US" w:eastAsia="zh-CN" w:bidi="ar-SA"/>
                    </w:rPr>
                  </w:pPr>
                  <w:r>
                    <w:rPr>
                      <w:rFonts w:hint="eastAsia" w:cs="Times New Roman"/>
                      <w:color w:val="FF0000"/>
                      <w:sz w:val="21"/>
                      <w:szCs w:val="21"/>
                      <w:lang w:val="en-US" w:eastAsia="zh-CN" w:bidi="ar-SA"/>
                    </w:rPr>
                    <w:t>酸性废气</w:t>
                  </w:r>
                </w:p>
              </w:tc>
              <w:tc>
                <w:tcPr>
                  <w:tcW w:w="1299" w:type="pct"/>
                  <w:shd w:val="clear" w:color="auto" w:fill="auto"/>
                  <w:vAlign w:val="center"/>
                </w:tcPr>
                <w:p w14:paraId="03876DAB">
                  <w:pPr>
                    <w:pStyle w:val="96"/>
                    <w:ind w:firstLine="0" w:firstLineChars="0"/>
                    <w:rPr>
                      <w:rFonts w:hint="eastAsia" w:ascii="Times New Roman" w:hAnsi="Times New Roman" w:eastAsia="宋体" w:cs="宋体"/>
                      <w:color w:val="FF0000"/>
                      <w:kern w:val="2"/>
                      <w:sz w:val="21"/>
                      <w:szCs w:val="21"/>
                      <w:lang w:val="en-US" w:eastAsia="zh-CN" w:bidi="ar-SA"/>
                    </w:rPr>
                  </w:pPr>
                  <w:r>
                    <w:rPr>
                      <w:rFonts w:hint="eastAsia"/>
                      <w:color w:val="FF0000"/>
                      <w:lang w:val="en-US" w:eastAsia="zh-CN"/>
                    </w:rPr>
                    <w:t>少量</w:t>
                  </w:r>
                </w:p>
              </w:tc>
              <w:tc>
                <w:tcPr>
                  <w:tcW w:w="1491" w:type="pct"/>
                  <w:shd w:val="clear" w:color="auto" w:fill="auto"/>
                  <w:vAlign w:val="center"/>
                </w:tcPr>
                <w:p w14:paraId="122D06A4">
                  <w:pPr>
                    <w:pStyle w:val="96"/>
                    <w:ind w:firstLine="0" w:firstLineChars="0"/>
                    <w:rPr>
                      <w:rFonts w:hint="eastAsia" w:ascii="Times New Roman" w:hAnsi="Times New Roman" w:eastAsia="宋体" w:cs="宋体"/>
                      <w:color w:val="FF0000"/>
                      <w:kern w:val="2"/>
                      <w:sz w:val="21"/>
                      <w:szCs w:val="21"/>
                      <w:lang w:val="en-US" w:eastAsia="zh-CN" w:bidi="ar-SA"/>
                    </w:rPr>
                  </w:pPr>
                  <w:r>
                    <w:rPr>
                      <w:rFonts w:hint="eastAsia"/>
                      <w:color w:val="FF0000"/>
                      <w:lang w:val="en-US" w:eastAsia="zh-CN"/>
                    </w:rPr>
                    <w:t>少量</w:t>
                  </w:r>
                </w:p>
              </w:tc>
            </w:tr>
            <w:tr w14:paraId="37EF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continue"/>
                  <w:vAlign w:val="center"/>
                </w:tcPr>
                <w:p w14:paraId="5F554147">
                  <w:pPr>
                    <w:pStyle w:val="96"/>
                    <w:rPr>
                      <w:color w:val="000000" w:themeColor="text1"/>
                      <w:lang w:eastAsia="zh-CN"/>
                      <w14:textFill>
                        <w14:solidFill>
                          <w14:schemeClr w14:val="tx1"/>
                        </w14:solidFill>
                      </w14:textFill>
                    </w:rPr>
                  </w:pPr>
                </w:p>
              </w:tc>
              <w:tc>
                <w:tcPr>
                  <w:tcW w:w="1080" w:type="pct"/>
                  <w:vMerge w:val="restart"/>
                  <w:shd w:val="clear" w:color="auto" w:fill="auto"/>
                  <w:vAlign w:val="center"/>
                </w:tcPr>
                <w:p w14:paraId="677A9E98">
                  <w:pPr>
                    <w:keepNext/>
                    <w:keepLines w:val="0"/>
                    <w:pageBreakBefore w:val="0"/>
                    <w:widowControl w:val="0"/>
                    <w:kinsoku/>
                    <w:wordWrap/>
                    <w:overflowPunct/>
                    <w:topLinePunct w:val="0"/>
                    <w:autoSpaceDE/>
                    <w:autoSpaceDN/>
                    <w:bidi w:val="0"/>
                    <w:adjustRightInd/>
                    <w:snapToGrid/>
                    <w:jc w:val="center"/>
                    <w:rPr>
                      <w:rFonts w:hint="default"/>
                      <w:color w:val="000000" w:themeColor="text1"/>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废矿物油装卸区</w:t>
                  </w: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w:t>
                  </w:r>
                  <w:r>
                    <w:rPr>
                      <w:rFonts w:hint="eastAsia"/>
                      <w:color w:val="000000" w:themeColor="text1"/>
                      <w:szCs w:val="20"/>
                      <w:lang w:val="en-US" w:eastAsia="zh-CN"/>
                      <w14:textFill>
                        <w14:solidFill>
                          <w14:schemeClr w14:val="tx1"/>
                        </w14:solidFill>
                      </w14:textFill>
                    </w:rPr>
                    <w:t>其他危险废物（废镉镍电池、废铅蓄电池）贮存区</w:t>
                  </w:r>
                </w:p>
              </w:tc>
              <w:tc>
                <w:tcPr>
                  <w:tcW w:w="654" w:type="pct"/>
                  <w:vAlign w:val="center"/>
                </w:tcPr>
                <w:p w14:paraId="51C48BA8">
                  <w:pPr>
                    <w:pStyle w:val="96"/>
                    <w:rPr>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NMHC</w:t>
                  </w:r>
                </w:p>
              </w:tc>
              <w:tc>
                <w:tcPr>
                  <w:tcW w:w="1299" w:type="pct"/>
                  <w:vAlign w:val="center"/>
                </w:tcPr>
                <w:p w14:paraId="7C2E9766">
                  <w:pPr>
                    <w:pStyle w:val="96"/>
                    <w:rPr>
                      <w:color w:val="00B050"/>
                      <w:lang w:eastAsia="zh-CN"/>
                    </w:rPr>
                  </w:pPr>
                  <w:r>
                    <w:rPr>
                      <w:rFonts w:hint="eastAsia" w:cs="Times New Roman"/>
                      <w:color w:val="00B050"/>
                      <w:sz w:val="21"/>
                      <w:szCs w:val="21"/>
                      <w:lang w:val="en-US" w:eastAsia="zh-CN" w:bidi="ar-SA"/>
                    </w:rPr>
                    <w:t>0.295t</w:t>
                  </w:r>
                  <w:r>
                    <w:rPr>
                      <w:color w:val="00B050"/>
                      <w:lang w:val="en-US" w:eastAsia="zh-CN"/>
                    </w:rPr>
                    <w:t>/a</w:t>
                  </w:r>
                  <w:r>
                    <w:rPr>
                      <w:rFonts w:hint="eastAsia"/>
                      <w:color w:val="00B050"/>
                      <w:lang w:val="en-US" w:eastAsia="zh-CN"/>
                    </w:rPr>
                    <w:t>、</w:t>
                  </w:r>
                  <w:r>
                    <w:rPr>
                      <w:rFonts w:hint="eastAsia" w:cs="Times New Roman"/>
                      <w:color w:val="00B050"/>
                      <w:sz w:val="21"/>
                      <w:szCs w:val="21"/>
                      <w:lang w:val="en-US" w:eastAsia="zh-CN" w:bidi="ar-SA"/>
                    </w:rPr>
                    <w:t>0.369</w:t>
                  </w:r>
                  <w:r>
                    <w:rPr>
                      <w:rFonts w:hint="eastAsia" w:cs="Times New Roman"/>
                      <w:color w:val="00B050"/>
                      <w:sz w:val="21"/>
                      <w:szCs w:val="21"/>
                      <w:vertAlign w:val="baseline"/>
                      <w:lang w:val="en-US" w:eastAsia="zh-CN" w:bidi="ar-SA"/>
                    </w:rPr>
                    <w:t>kg</w:t>
                  </w:r>
                  <w:r>
                    <w:rPr>
                      <w:rFonts w:hint="eastAsia" w:ascii="Times New Roman" w:hAnsi="Times New Roman" w:cs="Times New Roman"/>
                      <w:color w:val="00B050"/>
                      <w:sz w:val="21"/>
                      <w:szCs w:val="21"/>
                      <w:vertAlign w:val="baseline"/>
                      <w:lang w:val="en-US" w:eastAsia="zh-CN" w:bidi="ar-SA"/>
                    </w:rPr>
                    <w:t>/</w:t>
                  </w:r>
                  <w:r>
                    <w:rPr>
                      <w:rFonts w:hint="eastAsia" w:cs="Times New Roman"/>
                      <w:color w:val="00B050"/>
                      <w:sz w:val="21"/>
                      <w:szCs w:val="21"/>
                      <w:vertAlign w:val="baseline"/>
                      <w:lang w:val="en-US" w:eastAsia="zh-CN" w:bidi="ar-SA"/>
                    </w:rPr>
                    <w:t>h</w:t>
                  </w:r>
                </w:p>
              </w:tc>
              <w:tc>
                <w:tcPr>
                  <w:tcW w:w="1491" w:type="pct"/>
                  <w:vAlign w:val="center"/>
                </w:tcPr>
                <w:p w14:paraId="22732F6C">
                  <w:pPr>
                    <w:pStyle w:val="96"/>
                    <w:rPr>
                      <w:color w:val="00B050"/>
                      <w:lang w:val="en-US"/>
                    </w:rPr>
                  </w:pPr>
                  <w:r>
                    <w:rPr>
                      <w:rFonts w:hint="eastAsia" w:cs="Times New Roman"/>
                      <w:color w:val="00B050"/>
                      <w:sz w:val="21"/>
                      <w:szCs w:val="21"/>
                      <w:lang w:val="en-US" w:eastAsia="zh-CN" w:bidi="ar-SA"/>
                    </w:rPr>
                    <w:t>0.295t</w:t>
                  </w:r>
                  <w:r>
                    <w:rPr>
                      <w:color w:val="00B050"/>
                      <w:lang w:val="en-US" w:eastAsia="zh-CN"/>
                    </w:rPr>
                    <w:t>/a</w:t>
                  </w:r>
                  <w:r>
                    <w:rPr>
                      <w:rFonts w:hint="eastAsia"/>
                      <w:color w:val="00B050"/>
                      <w:lang w:val="en-US" w:eastAsia="zh-CN"/>
                    </w:rPr>
                    <w:t>、</w:t>
                  </w:r>
                  <w:r>
                    <w:rPr>
                      <w:rFonts w:hint="eastAsia" w:cs="Times New Roman"/>
                      <w:color w:val="00B050"/>
                      <w:sz w:val="21"/>
                      <w:szCs w:val="21"/>
                      <w:lang w:val="en-US" w:eastAsia="zh-CN" w:bidi="ar-SA"/>
                    </w:rPr>
                    <w:t>0.369</w:t>
                  </w:r>
                  <w:r>
                    <w:rPr>
                      <w:rFonts w:hint="eastAsia" w:cs="Times New Roman"/>
                      <w:color w:val="00B050"/>
                      <w:sz w:val="21"/>
                      <w:szCs w:val="21"/>
                      <w:vertAlign w:val="baseline"/>
                      <w:lang w:val="en-US" w:eastAsia="zh-CN" w:bidi="ar-SA"/>
                    </w:rPr>
                    <w:t>kg</w:t>
                  </w:r>
                  <w:r>
                    <w:rPr>
                      <w:rFonts w:hint="eastAsia" w:ascii="Times New Roman" w:hAnsi="Times New Roman" w:cs="Times New Roman"/>
                      <w:color w:val="00B050"/>
                      <w:sz w:val="21"/>
                      <w:szCs w:val="21"/>
                      <w:vertAlign w:val="baseline"/>
                      <w:lang w:val="en-US" w:eastAsia="zh-CN" w:bidi="ar-SA"/>
                    </w:rPr>
                    <w:t>/</w:t>
                  </w:r>
                  <w:r>
                    <w:rPr>
                      <w:rFonts w:hint="eastAsia" w:cs="Times New Roman"/>
                      <w:color w:val="00B050"/>
                      <w:sz w:val="21"/>
                      <w:szCs w:val="21"/>
                      <w:vertAlign w:val="baseline"/>
                      <w:lang w:val="en-US" w:eastAsia="zh-CN" w:bidi="ar-SA"/>
                    </w:rPr>
                    <w:t>h</w:t>
                  </w:r>
                </w:p>
              </w:tc>
            </w:tr>
            <w:tr w14:paraId="7D9F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continue"/>
                  <w:vAlign w:val="center"/>
                </w:tcPr>
                <w:p w14:paraId="53D2049A">
                  <w:pPr>
                    <w:pStyle w:val="96"/>
                    <w:rPr>
                      <w:color w:val="000000" w:themeColor="text1"/>
                      <w:lang w:eastAsia="zh-CN"/>
                      <w14:textFill>
                        <w14:solidFill>
                          <w14:schemeClr w14:val="tx1"/>
                        </w14:solidFill>
                      </w14:textFill>
                    </w:rPr>
                  </w:pPr>
                </w:p>
              </w:tc>
              <w:tc>
                <w:tcPr>
                  <w:tcW w:w="1080" w:type="pct"/>
                  <w:vMerge w:val="continue"/>
                  <w:shd w:val="clear" w:color="auto" w:fill="auto"/>
                  <w:vAlign w:val="center"/>
                </w:tcPr>
                <w:p w14:paraId="3B077C89">
                  <w:pPr>
                    <w:keepNext/>
                    <w:keepLines w:val="0"/>
                    <w:pageBreakBefore w:val="0"/>
                    <w:widowControl w:val="0"/>
                    <w:kinsoku/>
                    <w:wordWrap/>
                    <w:overflowPunct/>
                    <w:topLinePunct w:val="0"/>
                    <w:autoSpaceDE/>
                    <w:autoSpaceDN/>
                    <w:bidi w:val="0"/>
                    <w:adjustRightInd/>
                    <w:snapToGrid/>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p>
              </w:tc>
              <w:tc>
                <w:tcPr>
                  <w:tcW w:w="654" w:type="pct"/>
                  <w:vAlign w:val="center"/>
                </w:tcPr>
                <w:p w14:paraId="29415F86">
                  <w:pPr>
                    <w:pStyle w:val="96"/>
                    <w:rPr>
                      <w:color w:val="000000" w:themeColor="text1"/>
                      <w14:textFill>
                        <w14:solidFill>
                          <w14:schemeClr w14:val="tx1"/>
                        </w14:solidFill>
                      </w14:textFill>
                    </w:rPr>
                  </w:pPr>
                  <w:r>
                    <w:rPr>
                      <w:rFonts w:hint="eastAsia" w:cs="Times New Roman"/>
                      <w:color w:val="000000" w:themeColor="text1"/>
                      <w:sz w:val="21"/>
                      <w:szCs w:val="21"/>
                      <w:lang w:val="en-US" w:eastAsia="zh-CN" w:bidi="ar-SA"/>
                      <w14:textFill>
                        <w14:solidFill>
                          <w14:schemeClr w14:val="tx1"/>
                        </w14:solidFill>
                      </w14:textFill>
                    </w:rPr>
                    <w:t>酸性废气</w:t>
                  </w:r>
                </w:p>
              </w:tc>
              <w:tc>
                <w:tcPr>
                  <w:tcW w:w="1299" w:type="pct"/>
                  <w:vAlign w:val="center"/>
                </w:tcPr>
                <w:p w14:paraId="4BFA63A8">
                  <w:pPr>
                    <w:pStyle w:val="96"/>
                    <w:ind w:firstLine="0" w:firstLineChars="0"/>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少量</w:t>
                  </w:r>
                </w:p>
              </w:tc>
              <w:tc>
                <w:tcPr>
                  <w:tcW w:w="1491" w:type="pct"/>
                  <w:vAlign w:val="center"/>
                </w:tcPr>
                <w:p w14:paraId="5FCE04E9">
                  <w:pPr>
                    <w:pStyle w:val="96"/>
                    <w:ind w:firstLine="0" w:firstLineChars="0"/>
                    <w:rPr>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少量</w:t>
                  </w:r>
                </w:p>
              </w:tc>
            </w:tr>
            <w:tr w14:paraId="31AD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4" w:type="pct"/>
                  <w:vMerge w:val="continue"/>
                  <w:vAlign w:val="center"/>
                </w:tcPr>
                <w:p w14:paraId="2092793F">
                  <w:pPr>
                    <w:pStyle w:val="96"/>
                    <w:rPr>
                      <w:color w:val="000000" w:themeColor="text1"/>
                      <w:lang w:eastAsia="zh-CN"/>
                      <w14:textFill>
                        <w14:solidFill>
                          <w14:schemeClr w14:val="tx1"/>
                        </w14:solidFill>
                      </w14:textFill>
                    </w:rPr>
                  </w:pPr>
                </w:p>
              </w:tc>
              <w:tc>
                <w:tcPr>
                  <w:tcW w:w="1080" w:type="pct"/>
                  <w:vMerge w:val="continue"/>
                  <w:vAlign w:val="center"/>
                </w:tcPr>
                <w:p w14:paraId="2E42310B">
                  <w:pPr>
                    <w:pStyle w:val="96"/>
                    <w:rPr>
                      <w:color w:val="000000" w:themeColor="text1"/>
                      <w:lang w:eastAsia="zh-CN"/>
                      <w14:textFill>
                        <w14:solidFill>
                          <w14:schemeClr w14:val="tx1"/>
                        </w14:solidFill>
                      </w14:textFill>
                    </w:rPr>
                  </w:pPr>
                </w:p>
              </w:tc>
              <w:tc>
                <w:tcPr>
                  <w:tcW w:w="654" w:type="pct"/>
                  <w:vAlign w:val="center"/>
                </w:tcPr>
                <w:p w14:paraId="3C604498">
                  <w:pPr>
                    <w:pStyle w:val="9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臭气浓度</w:t>
                  </w:r>
                </w:p>
              </w:tc>
              <w:tc>
                <w:tcPr>
                  <w:tcW w:w="1299" w:type="pct"/>
                  <w:vAlign w:val="center"/>
                </w:tcPr>
                <w:p w14:paraId="54344DA4">
                  <w:pPr>
                    <w:pStyle w:val="96"/>
                    <w:ind w:firstLine="0" w:firstLineChars="0"/>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少量</w:t>
                  </w:r>
                </w:p>
              </w:tc>
              <w:tc>
                <w:tcPr>
                  <w:tcW w:w="1491" w:type="pct"/>
                  <w:vAlign w:val="center"/>
                </w:tcPr>
                <w:p w14:paraId="75935EEC">
                  <w:pPr>
                    <w:pStyle w:val="96"/>
                    <w:ind w:firstLine="0" w:firstLineChars="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少量</w:t>
                  </w:r>
                </w:p>
              </w:tc>
            </w:tr>
            <w:tr w14:paraId="5F1D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4" w:type="pct"/>
                  <w:vMerge w:val="restart"/>
                  <w:vAlign w:val="center"/>
                </w:tcPr>
                <w:p w14:paraId="3E7815D7">
                  <w:pPr>
                    <w:pStyle w:val="96"/>
                    <w:rPr>
                      <w:color w:val="0000FF"/>
                      <w:sz w:val="21"/>
                      <w:szCs w:val="21"/>
                    </w:rPr>
                  </w:pPr>
                  <w:r>
                    <w:rPr>
                      <w:rFonts w:hint="eastAsia"/>
                      <w:color w:val="0000FF"/>
                      <w:sz w:val="21"/>
                      <w:szCs w:val="21"/>
                    </w:rPr>
                    <w:t>废水</w:t>
                  </w:r>
                </w:p>
              </w:tc>
              <w:tc>
                <w:tcPr>
                  <w:tcW w:w="1080" w:type="pct"/>
                  <w:vAlign w:val="center"/>
                </w:tcPr>
                <w:p w14:paraId="0A4FDA8C">
                  <w:pPr>
                    <w:pStyle w:val="96"/>
                    <w:rPr>
                      <w:rFonts w:hint="default"/>
                      <w:bCs/>
                      <w:color w:val="0000FF"/>
                      <w:sz w:val="21"/>
                      <w:szCs w:val="21"/>
                      <w:lang w:val="en-US"/>
                    </w:rPr>
                  </w:pPr>
                  <w:r>
                    <w:rPr>
                      <w:rFonts w:hint="eastAsia"/>
                      <w:bCs/>
                      <w:color w:val="0000FF"/>
                      <w:sz w:val="21"/>
                      <w:szCs w:val="21"/>
                      <w:lang w:val="en-US" w:eastAsia="zh-CN"/>
                    </w:rPr>
                    <w:t>员工生活</w:t>
                  </w:r>
                </w:p>
              </w:tc>
              <w:tc>
                <w:tcPr>
                  <w:tcW w:w="654" w:type="pct"/>
                  <w:vAlign w:val="center"/>
                </w:tcPr>
                <w:p w14:paraId="347FD89E">
                  <w:pPr>
                    <w:pStyle w:val="96"/>
                    <w:rPr>
                      <w:rFonts w:hint="default" w:eastAsia="宋体"/>
                      <w:color w:val="0000FF"/>
                      <w:sz w:val="21"/>
                      <w:szCs w:val="21"/>
                      <w:lang w:val="en-US" w:eastAsia="zh-CN"/>
                    </w:rPr>
                  </w:pPr>
                  <w:r>
                    <w:rPr>
                      <w:rFonts w:hint="eastAsia"/>
                      <w:color w:val="0000FF"/>
                      <w:sz w:val="21"/>
                      <w:szCs w:val="21"/>
                      <w:lang w:val="en-US" w:eastAsia="zh-CN"/>
                    </w:rPr>
                    <w:t>生活污水</w:t>
                  </w:r>
                </w:p>
              </w:tc>
              <w:tc>
                <w:tcPr>
                  <w:tcW w:w="1299" w:type="pct"/>
                  <w:vAlign w:val="center"/>
                </w:tcPr>
                <w:p w14:paraId="27A6023D">
                  <w:pPr>
                    <w:pStyle w:val="96"/>
                    <w:rPr>
                      <w:color w:val="0000FF"/>
                      <w:sz w:val="21"/>
                      <w:szCs w:val="21"/>
                    </w:rPr>
                  </w:pPr>
                  <w:r>
                    <w:rPr>
                      <w:rFonts w:hint="eastAsia"/>
                      <w:color w:val="0000FF"/>
                      <w:sz w:val="21"/>
                      <w:szCs w:val="21"/>
                      <w:lang w:val="en-US" w:eastAsia="zh-CN"/>
                    </w:rPr>
                    <w:t>71</w:t>
                  </w:r>
                  <w:r>
                    <w:rPr>
                      <w:color w:val="0000FF"/>
                      <w:sz w:val="21"/>
                      <w:szCs w:val="21"/>
                      <w:lang w:eastAsia="zh-CN"/>
                    </w:rPr>
                    <w:t>m</w:t>
                  </w:r>
                  <w:r>
                    <w:rPr>
                      <w:rFonts w:hint="eastAsia"/>
                      <w:color w:val="0000FF"/>
                      <w:sz w:val="21"/>
                      <w:szCs w:val="21"/>
                      <w:lang w:eastAsia="zh-CN"/>
                    </w:rPr>
                    <w:t>³</w:t>
                  </w:r>
                  <w:r>
                    <w:rPr>
                      <w:color w:val="0000FF"/>
                      <w:sz w:val="21"/>
                      <w:szCs w:val="21"/>
                    </w:rPr>
                    <w:t>/a</w:t>
                  </w:r>
                </w:p>
              </w:tc>
              <w:tc>
                <w:tcPr>
                  <w:tcW w:w="1491" w:type="pct"/>
                  <w:vAlign w:val="center"/>
                </w:tcPr>
                <w:p w14:paraId="26B093A9">
                  <w:pPr>
                    <w:pStyle w:val="96"/>
                    <w:rPr>
                      <w:rFonts w:hint="eastAsia" w:eastAsia="宋体"/>
                      <w:color w:val="0000FF"/>
                      <w:sz w:val="21"/>
                      <w:szCs w:val="21"/>
                      <w:lang w:eastAsia="zh-CN"/>
                    </w:rPr>
                  </w:pPr>
                  <w:r>
                    <w:rPr>
                      <w:rFonts w:hint="eastAsia"/>
                      <w:color w:val="0000FF"/>
                      <w:sz w:val="21"/>
                      <w:szCs w:val="21"/>
                      <w:lang w:val="en-US" w:eastAsia="zh-CN"/>
                    </w:rPr>
                    <w:t>71</w:t>
                  </w:r>
                  <w:r>
                    <w:rPr>
                      <w:color w:val="0000FF"/>
                      <w:sz w:val="21"/>
                      <w:szCs w:val="21"/>
                      <w:lang w:eastAsia="zh-CN"/>
                    </w:rPr>
                    <w:t>m</w:t>
                  </w:r>
                  <w:r>
                    <w:rPr>
                      <w:rFonts w:hint="eastAsia"/>
                      <w:color w:val="0000FF"/>
                      <w:sz w:val="21"/>
                      <w:szCs w:val="21"/>
                      <w:lang w:eastAsia="zh-CN"/>
                    </w:rPr>
                    <w:t>³</w:t>
                  </w:r>
                  <w:r>
                    <w:rPr>
                      <w:color w:val="0000FF"/>
                      <w:sz w:val="21"/>
                      <w:szCs w:val="21"/>
                    </w:rPr>
                    <w:t>/a</w:t>
                  </w:r>
                  <w:r>
                    <w:rPr>
                      <w:rFonts w:hint="eastAsia"/>
                      <w:color w:val="0000FF"/>
                      <w:sz w:val="21"/>
                      <w:szCs w:val="21"/>
                      <w:lang w:eastAsia="zh-CN"/>
                    </w:rPr>
                    <w:t>（依托曲靖市东五六供应链管理有限公司已建化粪池（容积：10m</w:t>
                  </w:r>
                  <w:r>
                    <w:rPr>
                      <w:rFonts w:hint="eastAsia"/>
                      <w:color w:val="0000FF"/>
                      <w:sz w:val="21"/>
                      <w:szCs w:val="21"/>
                      <w:vertAlign w:val="superscript"/>
                      <w:lang w:eastAsia="zh-CN"/>
                    </w:rPr>
                    <w:t>3</w:t>
                  </w:r>
                  <w:r>
                    <w:rPr>
                      <w:rFonts w:hint="eastAsia"/>
                      <w:color w:val="0000FF"/>
                      <w:sz w:val="21"/>
                      <w:szCs w:val="21"/>
                      <w:lang w:eastAsia="zh-CN"/>
                    </w:rPr>
                    <w:t>）收集后委托麒麟区环卫部门清掏处理）</w:t>
                  </w:r>
                </w:p>
              </w:tc>
            </w:tr>
            <w:tr w14:paraId="4834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4" w:type="pct"/>
                  <w:vMerge w:val="continue"/>
                  <w:vAlign w:val="center"/>
                </w:tcPr>
                <w:p w14:paraId="57C0B2BA">
                  <w:pPr>
                    <w:pStyle w:val="96"/>
                    <w:rPr>
                      <w:rFonts w:hint="eastAsia"/>
                      <w:color w:val="0000FF"/>
                      <w:sz w:val="21"/>
                      <w:szCs w:val="21"/>
                    </w:rPr>
                  </w:pPr>
                </w:p>
              </w:tc>
              <w:tc>
                <w:tcPr>
                  <w:tcW w:w="1080" w:type="pct"/>
                  <w:vAlign w:val="center"/>
                </w:tcPr>
                <w:p w14:paraId="0B80979C">
                  <w:pPr>
                    <w:pStyle w:val="96"/>
                    <w:rPr>
                      <w:rFonts w:hint="default"/>
                      <w:bCs/>
                      <w:color w:val="0000FF"/>
                      <w:sz w:val="21"/>
                      <w:szCs w:val="21"/>
                      <w:lang w:val="en-US" w:eastAsia="zh-CN"/>
                    </w:rPr>
                  </w:pPr>
                  <w:r>
                    <w:rPr>
                      <w:rFonts w:hint="eastAsia"/>
                      <w:bCs/>
                      <w:color w:val="0000FF"/>
                      <w:sz w:val="21"/>
                      <w:szCs w:val="21"/>
                      <w:lang w:val="en-US" w:eastAsia="zh-CN"/>
                    </w:rPr>
                    <w:t>碱洗塔</w:t>
                  </w:r>
                </w:p>
              </w:tc>
              <w:tc>
                <w:tcPr>
                  <w:tcW w:w="654" w:type="pct"/>
                  <w:vAlign w:val="center"/>
                </w:tcPr>
                <w:p w14:paraId="049C15FB">
                  <w:pPr>
                    <w:pStyle w:val="96"/>
                    <w:rPr>
                      <w:rFonts w:hint="eastAsia"/>
                      <w:color w:val="0000FF"/>
                      <w:sz w:val="21"/>
                      <w:szCs w:val="21"/>
                      <w:lang w:val="en-US" w:eastAsia="zh-CN"/>
                    </w:rPr>
                  </w:pPr>
                  <w:r>
                    <w:rPr>
                      <w:rFonts w:hint="eastAsia"/>
                      <w:color w:val="0000FF"/>
                      <w:sz w:val="21"/>
                      <w:szCs w:val="21"/>
                      <w:lang w:val="en-US" w:eastAsia="zh-CN"/>
                    </w:rPr>
                    <w:t>碱洗废水</w:t>
                  </w:r>
                </w:p>
              </w:tc>
              <w:tc>
                <w:tcPr>
                  <w:tcW w:w="1299" w:type="pct"/>
                  <w:vAlign w:val="center"/>
                </w:tcPr>
                <w:p w14:paraId="7A87029A">
                  <w:pPr>
                    <w:pStyle w:val="96"/>
                    <w:rPr>
                      <w:rFonts w:hint="default"/>
                      <w:color w:val="0000FF"/>
                      <w:sz w:val="21"/>
                      <w:szCs w:val="21"/>
                      <w:lang w:val="en-US" w:eastAsia="zh-CN"/>
                    </w:rPr>
                  </w:pPr>
                  <w:r>
                    <w:rPr>
                      <w:rFonts w:hint="eastAsia"/>
                      <w:color w:val="0000FF"/>
                      <w:sz w:val="21"/>
                      <w:szCs w:val="21"/>
                      <w:lang w:val="en-US" w:eastAsia="zh-CN"/>
                    </w:rPr>
                    <w:t>0.3m</w:t>
                  </w:r>
                  <w:r>
                    <w:rPr>
                      <w:rFonts w:hint="eastAsia"/>
                      <w:color w:val="0000FF"/>
                      <w:sz w:val="21"/>
                      <w:szCs w:val="21"/>
                      <w:vertAlign w:val="superscript"/>
                      <w:lang w:val="en-US" w:eastAsia="zh-CN"/>
                    </w:rPr>
                    <w:t>3</w:t>
                  </w:r>
                  <w:r>
                    <w:rPr>
                      <w:rFonts w:hint="eastAsia"/>
                      <w:color w:val="0000FF"/>
                      <w:sz w:val="21"/>
                      <w:szCs w:val="21"/>
                      <w:vertAlign w:val="baseline"/>
                      <w:lang w:val="en-US" w:eastAsia="zh-CN"/>
                    </w:rPr>
                    <w:t>/3年</w:t>
                  </w:r>
                </w:p>
              </w:tc>
              <w:tc>
                <w:tcPr>
                  <w:tcW w:w="1491" w:type="pct"/>
                  <w:vAlign w:val="center"/>
                </w:tcPr>
                <w:p w14:paraId="47E43EA6">
                  <w:pPr>
                    <w:pStyle w:val="96"/>
                    <w:rPr>
                      <w:rFonts w:hint="eastAsia"/>
                      <w:color w:val="0000FF"/>
                      <w:sz w:val="21"/>
                      <w:szCs w:val="21"/>
                      <w:lang w:val="en-US" w:eastAsia="zh-CN"/>
                    </w:rPr>
                  </w:pPr>
                  <w:r>
                    <w:rPr>
                      <w:rFonts w:hint="eastAsia" w:ascii="Times New Roman" w:hAnsi="Times New Roman" w:cs="Times New Roman"/>
                      <w:b w:val="0"/>
                      <w:bCs w:val="0"/>
                      <w:color w:val="00B050"/>
                      <w:kern w:val="2"/>
                      <w:sz w:val="21"/>
                      <w:szCs w:val="21"/>
                      <w:vertAlign w:val="baseline"/>
                      <w:lang w:val="en-US" w:eastAsia="zh-CN" w:bidi="ar-SA"/>
                    </w:rPr>
                    <w:t>项目产生</w:t>
                  </w:r>
                  <w:r>
                    <w:rPr>
                      <w:rFonts w:hint="eastAsia" w:cs="Times New Roman"/>
                      <w:b w:val="0"/>
                      <w:bCs w:val="0"/>
                      <w:color w:val="00B050"/>
                      <w:kern w:val="2"/>
                      <w:sz w:val="21"/>
                      <w:szCs w:val="21"/>
                      <w:lang w:val="en-US" w:eastAsia="zh-CN" w:bidi="ar-SA"/>
                    </w:rPr>
                    <w:t>碱洗废水经0.5m</w:t>
                  </w:r>
                  <w:r>
                    <w:rPr>
                      <w:rFonts w:hint="eastAsia" w:cs="Times New Roman"/>
                      <w:b w:val="0"/>
                      <w:bCs w:val="0"/>
                      <w:color w:val="00B050"/>
                      <w:kern w:val="2"/>
                      <w:sz w:val="21"/>
                      <w:szCs w:val="21"/>
                      <w:vertAlign w:val="superscript"/>
                      <w:lang w:val="en-US" w:eastAsia="zh-CN" w:bidi="ar-SA"/>
                    </w:rPr>
                    <w:t>3</w:t>
                  </w:r>
                  <w:r>
                    <w:rPr>
                      <w:rFonts w:hint="eastAsia" w:cs="Times New Roman"/>
                      <w:b w:val="0"/>
                      <w:bCs w:val="0"/>
                      <w:color w:val="00B050"/>
                      <w:kern w:val="2"/>
                      <w:sz w:val="21"/>
                      <w:szCs w:val="21"/>
                      <w:vertAlign w:val="baseline"/>
                      <w:lang w:val="en-US" w:eastAsia="zh-CN" w:bidi="ar-SA"/>
                    </w:rPr>
                    <w:t>收集桶收集后委托</w:t>
                  </w:r>
                  <w:r>
                    <w:rPr>
                      <w:rFonts w:hint="eastAsia" w:cs="Times New Roman"/>
                      <w:b w:val="0"/>
                      <w:bCs w:val="0"/>
                      <w:color w:val="00B050"/>
                      <w:kern w:val="2"/>
                      <w:sz w:val="21"/>
                      <w:szCs w:val="21"/>
                      <w:lang w:val="en-US" w:eastAsia="zh-CN" w:bidi="ar-SA"/>
                    </w:rPr>
                    <w:t>碱洗废水处置单位进行清运处置</w:t>
                  </w:r>
                </w:p>
              </w:tc>
            </w:tr>
            <w:tr w14:paraId="45F5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restart"/>
                  <w:vAlign w:val="center"/>
                </w:tcPr>
                <w:p w14:paraId="79722758">
                  <w:pPr>
                    <w:pStyle w:val="9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固废</w:t>
                  </w:r>
                </w:p>
              </w:tc>
              <w:tc>
                <w:tcPr>
                  <w:tcW w:w="1080" w:type="pct"/>
                  <w:vAlign w:val="center"/>
                </w:tcPr>
                <w:p w14:paraId="2B5C60DE">
                  <w:pPr>
                    <w:pStyle w:val="9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设备维护</w:t>
                  </w:r>
                </w:p>
              </w:tc>
              <w:tc>
                <w:tcPr>
                  <w:tcW w:w="654" w:type="pct"/>
                  <w:shd w:val="clear" w:color="auto" w:fill="auto"/>
                  <w:vAlign w:val="center"/>
                </w:tcPr>
                <w:p w14:paraId="11FCEEE8">
                  <w:pPr>
                    <w:spacing w:line="240" w:lineRule="auto"/>
                    <w:ind w:firstLine="0" w:firstLineChars="0"/>
                    <w:jc w:val="center"/>
                    <w:rPr>
                      <w:rFonts w:hint="eastAsia" w:ascii="Times New Roman" w:hAnsi="Times New Roman" w:eastAsia="宋体" w:cs="Times New Roman"/>
                      <w:snapToGrid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lang w:eastAsia="zh-CN"/>
                      <w14:textFill>
                        <w14:solidFill>
                          <w14:schemeClr w14:val="tx1"/>
                        </w14:solidFill>
                      </w14:textFill>
                    </w:rPr>
                    <w:t>含油废抹布及废手套</w:t>
                  </w:r>
                </w:p>
              </w:tc>
              <w:tc>
                <w:tcPr>
                  <w:tcW w:w="1299" w:type="pct"/>
                  <w:vAlign w:val="center"/>
                </w:tcPr>
                <w:p w14:paraId="2F65EDFC">
                  <w:pPr>
                    <w:spacing w:line="240" w:lineRule="auto"/>
                    <w:ind w:firstLine="0" w:firstLineChars="0"/>
                    <w:jc w:val="center"/>
                    <w:rPr>
                      <w:color w:val="000000" w:themeColor="text1"/>
                      <w14:textFill>
                        <w14:solidFill>
                          <w14:schemeClr w14:val="tx1"/>
                        </w14:solidFill>
                      </w14:textFill>
                    </w:rPr>
                  </w:pPr>
                  <w:r>
                    <w:rPr>
                      <w:rFonts w:hint="eastAsia" w:ascii="Times New Roman" w:hAnsi="Times New Roman" w:cs="Times New Roman"/>
                      <w:snapToGrid w:val="0"/>
                      <w:color w:val="000000" w:themeColor="text1"/>
                      <w:sz w:val="21"/>
                      <w:lang w:val="en-US" w:eastAsia="zh-CN"/>
                      <w14:textFill>
                        <w14:solidFill>
                          <w14:schemeClr w14:val="tx1"/>
                        </w14:solidFill>
                      </w14:textFill>
                    </w:rPr>
                    <w:t>0.0</w:t>
                  </w:r>
                  <w:r>
                    <w:rPr>
                      <w:rFonts w:hint="eastAsia" w:cs="Times New Roman"/>
                      <w:snapToGrid w:val="0"/>
                      <w:color w:val="000000" w:themeColor="text1"/>
                      <w:sz w:val="21"/>
                      <w:lang w:val="en-US" w:eastAsia="zh-CN"/>
                      <w14:textFill>
                        <w14:solidFill>
                          <w14:schemeClr w14:val="tx1"/>
                        </w14:solidFill>
                      </w14:textFill>
                    </w:rPr>
                    <w:t>2</w:t>
                  </w:r>
                </w:p>
              </w:tc>
              <w:tc>
                <w:tcPr>
                  <w:tcW w:w="1491" w:type="pct"/>
                  <w:vAlign w:val="center"/>
                </w:tcPr>
                <w:p w14:paraId="74679CC2">
                  <w:pPr>
                    <w:pStyle w:val="96"/>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ascii="宋体" w:hAnsi="宋体" w:eastAsia="宋体" w:cs="Times New Roman"/>
                      <w:snapToGrid w:val="0"/>
                      <w:color w:val="000000" w:themeColor="text1"/>
                      <w:sz w:val="21"/>
                      <w14:textFill>
                        <w14:solidFill>
                          <w14:schemeClr w14:val="tx1"/>
                        </w14:solidFill>
                      </w14:textFill>
                    </w:rPr>
                    <w:t>经贮存库收集后随同类</w:t>
                  </w:r>
                  <w:r>
                    <w:rPr>
                      <w:rFonts w:hint="eastAsia" w:ascii="宋体" w:hAnsi="宋体" w:cs="Times New Roman"/>
                      <w:snapToGrid w:val="0"/>
                      <w:color w:val="000000" w:themeColor="text1"/>
                      <w:sz w:val="21"/>
                      <w:lang w:eastAsia="zh-CN"/>
                      <w14:textFill>
                        <w14:solidFill>
                          <w14:schemeClr w14:val="tx1"/>
                        </w14:solidFill>
                      </w14:textFill>
                    </w:rPr>
                    <w:t>危险废物</w:t>
                  </w:r>
                  <w:r>
                    <w:rPr>
                      <w:rFonts w:hint="eastAsia" w:ascii="宋体" w:hAnsi="宋体" w:eastAsia="宋体" w:cs="Times New Roman"/>
                      <w:snapToGrid w:val="0"/>
                      <w:color w:val="000000" w:themeColor="text1"/>
                      <w:sz w:val="21"/>
                      <w14:textFill>
                        <w14:solidFill>
                          <w14:schemeClr w14:val="tx1"/>
                        </w14:solidFill>
                      </w14:textFill>
                    </w:rPr>
                    <w:t>转移至资质单位处置</w:t>
                  </w:r>
                  <w:r>
                    <w:rPr>
                      <w:color w:val="000000" w:themeColor="text1"/>
                      <w14:textFill>
                        <w14:solidFill>
                          <w14:schemeClr w14:val="tx1"/>
                        </w14:solidFill>
                      </w14:textFill>
                    </w:rPr>
                    <w:t>）</w:t>
                  </w:r>
                </w:p>
              </w:tc>
            </w:tr>
            <w:tr w14:paraId="5943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continue"/>
                  <w:vAlign w:val="center"/>
                </w:tcPr>
                <w:p w14:paraId="3B8AB47A">
                  <w:pPr>
                    <w:pStyle w:val="96"/>
                    <w:rPr>
                      <w:color w:val="000000" w:themeColor="text1"/>
                      <w:lang w:eastAsia="zh-CN"/>
                      <w14:textFill>
                        <w14:solidFill>
                          <w14:schemeClr w14:val="tx1"/>
                        </w14:solidFill>
                      </w14:textFill>
                    </w:rPr>
                  </w:pPr>
                </w:p>
              </w:tc>
              <w:tc>
                <w:tcPr>
                  <w:tcW w:w="1080" w:type="pct"/>
                  <w:vAlign w:val="center"/>
                </w:tcPr>
                <w:p w14:paraId="533A6DA8">
                  <w:pPr>
                    <w:pStyle w:val="9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员工生活</w:t>
                  </w:r>
                </w:p>
              </w:tc>
              <w:tc>
                <w:tcPr>
                  <w:tcW w:w="654" w:type="pct"/>
                  <w:shd w:val="clear" w:color="auto" w:fill="auto"/>
                  <w:vAlign w:val="center"/>
                </w:tcPr>
                <w:p w14:paraId="038DAEDC">
                  <w:pPr>
                    <w:spacing w:line="240" w:lineRule="auto"/>
                    <w:ind w:firstLine="0" w:firstLineChars="0"/>
                    <w:jc w:val="center"/>
                    <w:rPr>
                      <w:rFonts w:hint="default" w:ascii="Times New Roman" w:hAnsi="Times New Roman" w:eastAsia="宋体" w:cs="Times New Roman"/>
                      <w:snapToGrid w:val="0"/>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snapToGrid w:val="0"/>
                      <w:color w:val="000000" w:themeColor="text1"/>
                      <w:sz w:val="21"/>
                      <w:lang w:val="en-US" w:eastAsia="zh-CN"/>
                      <w14:textFill>
                        <w14:solidFill>
                          <w14:schemeClr w14:val="tx1"/>
                        </w14:solidFill>
                      </w14:textFill>
                    </w:rPr>
                    <w:t>生活垃圾</w:t>
                  </w:r>
                </w:p>
              </w:tc>
              <w:tc>
                <w:tcPr>
                  <w:tcW w:w="1299" w:type="pct"/>
                  <w:vAlign w:val="center"/>
                </w:tcPr>
                <w:p w14:paraId="6D79E5D1">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s="Times New Roman"/>
                      <w:snapToGrid w:val="0"/>
                      <w:color w:val="000000" w:themeColor="text1"/>
                      <w:sz w:val="21"/>
                      <w:lang w:val="en-US" w:eastAsia="zh-CN"/>
                      <w14:textFill>
                        <w14:solidFill>
                          <w14:schemeClr w14:val="tx1"/>
                        </w14:solidFill>
                      </w14:textFill>
                    </w:rPr>
                    <w:t>1.825</w:t>
                  </w:r>
                </w:p>
              </w:tc>
              <w:tc>
                <w:tcPr>
                  <w:tcW w:w="1491" w:type="pct"/>
                  <w:vAlign w:val="center"/>
                </w:tcPr>
                <w:p w14:paraId="78727018">
                  <w:pPr>
                    <w:pStyle w:val="96"/>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lang w:eastAsia="zh-CN"/>
                      <w14:textFill>
                        <w14:solidFill>
                          <w14:schemeClr w14:val="tx1"/>
                        </w14:solidFill>
                      </w14:textFill>
                    </w:rPr>
                    <w:t>经垃圾桶收集后送至珠街社区垃圾堆放点，委托麒麟区环卫部门清运处置</w:t>
                  </w:r>
                  <w:r>
                    <w:rPr>
                      <w:color w:val="000000" w:themeColor="text1"/>
                      <w14:textFill>
                        <w14:solidFill>
                          <w14:schemeClr w14:val="tx1"/>
                        </w14:solidFill>
                      </w14:textFill>
                    </w:rPr>
                    <w:t>）</w:t>
                  </w:r>
                </w:p>
              </w:tc>
            </w:tr>
            <w:tr w14:paraId="0378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continue"/>
                  <w:vAlign w:val="center"/>
                </w:tcPr>
                <w:p w14:paraId="73AD6B02">
                  <w:pPr>
                    <w:pStyle w:val="96"/>
                    <w:rPr>
                      <w:color w:val="000000" w:themeColor="text1"/>
                      <w:lang w:eastAsia="zh-CN"/>
                      <w14:textFill>
                        <w14:solidFill>
                          <w14:schemeClr w14:val="tx1"/>
                        </w14:solidFill>
                      </w14:textFill>
                    </w:rPr>
                  </w:pPr>
                </w:p>
              </w:tc>
              <w:tc>
                <w:tcPr>
                  <w:tcW w:w="1080" w:type="pct"/>
                  <w:vAlign w:val="center"/>
                </w:tcPr>
                <w:p w14:paraId="5EEF18BF">
                  <w:pPr>
                    <w:pStyle w:val="9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活性炭吸附装置</w:t>
                  </w:r>
                </w:p>
              </w:tc>
              <w:tc>
                <w:tcPr>
                  <w:tcW w:w="654" w:type="pct"/>
                  <w:shd w:val="clear" w:color="auto" w:fill="auto"/>
                  <w:vAlign w:val="center"/>
                </w:tcPr>
                <w:p w14:paraId="15953C51">
                  <w:pPr>
                    <w:spacing w:line="240" w:lineRule="auto"/>
                    <w:ind w:firstLine="0" w:firstLineChars="0"/>
                    <w:jc w:val="center"/>
                    <w:rPr>
                      <w:rFonts w:hint="eastAsia" w:ascii="Times New Roman" w:hAnsi="Times New Roman" w:eastAsia="宋体" w:cs="Times New Roman"/>
                      <w:snapToGrid w:val="0"/>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snapToGrid w:val="0"/>
                      <w:color w:val="000000" w:themeColor="text1"/>
                      <w:sz w:val="21"/>
                      <w:lang w:val="en-US" w:eastAsia="zh-CN"/>
                      <w14:textFill>
                        <w14:solidFill>
                          <w14:schemeClr w14:val="tx1"/>
                        </w14:solidFill>
                      </w14:textFill>
                    </w:rPr>
                    <w:t>废活性炭</w:t>
                  </w:r>
                </w:p>
              </w:tc>
              <w:tc>
                <w:tcPr>
                  <w:tcW w:w="1299" w:type="pct"/>
                  <w:vAlign w:val="center"/>
                </w:tcPr>
                <w:p w14:paraId="1937BC9B">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s="Times New Roman"/>
                      <w:snapToGrid w:val="0"/>
                      <w:color w:val="000000" w:themeColor="text1"/>
                      <w:sz w:val="21"/>
                      <w:lang w:val="en-US" w:eastAsia="zh-CN"/>
                      <w14:textFill>
                        <w14:solidFill>
                          <w14:schemeClr w14:val="tx1"/>
                        </w14:solidFill>
                      </w14:textFill>
                    </w:rPr>
                    <w:t>0.25</w:t>
                  </w:r>
                </w:p>
              </w:tc>
              <w:tc>
                <w:tcPr>
                  <w:tcW w:w="1491" w:type="pct"/>
                  <w:vAlign w:val="center"/>
                </w:tcPr>
                <w:p w14:paraId="0A4B3D3C">
                  <w:pPr>
                    <w:pStyle w:val="96"/>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ascii="宋体" w:hAnsi="宋体" w:eastAsia="宋体" w:cs="Times New Roman"/>
                      <w:snapToGrid w:val="0"/>
                      <w:color w:val="000000" w:themeColor="text1"/>
                      <w:sz w:val="21"/>
                      <w14:textFill>
                        <w14:solidFill>
                          <w14:schemeClr w14:val="tx1"/>
                        </w14:solidFill>
                      </w14:textFill>
                    </w:rPr>
                    <w:t>经贮存库收集后随同类</w:t>
                  </w:r>
                  <w:r>
                    <w:rPr>
                      <w:rFonts w:hint="eastAsia" w:ascii="宋体" w:hAnsi="宋体" w:cs="Times New Roman"/>
                      <w:snapToGrid w:val="0"/>
                      <w:color w:val="000000" w:themeColor="text1"/>
                      <w:sz w:val="21"/>
                      <w:lang w:eastAsia="zh-CN"/>
                      <w14:textFill>
                        <w14:solidFill>
                          <w14:schemeClr w14:val="tx1"/>
                        </w14:solidFill>
                      </w14:textFill>
                    </w:rPr>
                    <w:t>危险废物</w:t>
                  </w:r>
                  <w:r>
                    <w:rPr>
                      <w:rFonts w:hint="eastAsia" w:ascii="宋体" w:hAnsi="宋体" w:eastAsia="宋体" w:cs="Times New Roman"/>
                      <w:snapToGrid w:val="0"/>
                      <w:color w:val="000000" w:themeColor="text1"/>
                      <w:sz w:val="21"/>
                      <w14:textFill>
                        <w14:solidFill>
                          <w14:schemeClr w14:val="tx1"/>
                        </w14:solidFill>
                      </w14:textFill>
                    </w:rPr>
                    <w:t>转移至资质单位处置</w:t>
                  </w:r>
                  <w:r>
                    <w:rPr>
                      <w:color w:val="000000" w:themeColor="text1"/>
                      <w14:textFill>
                        <w14:solidFill>
                          <w14:schemeClr w14:val="tx1"/>
                        </w14:solidFill>
                      </w14:textFill>
                    </w:rPr>
                    <w:t>）</w:t>
                  </w:r>
                </w:p>
              </w:tc>
            </w:tr>
            <w:tr w14:paraId="5AE2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continue"/>
                  <w:vAlign w:val="center"/>
                </w:tcPr>
                <w:p w14:paraId="07D76CAD">
                  <w:pPr>
                    <w:pStyle w:val="96"/>
                    <w:rPr>
                      <w:color w:val="000000" w:themeColor="text1"/>
                      <w:lang w:eastAsia="zh-CN"/>
                      <w14:textFill>
                        <w14:solidFill>
                          <w14:schemeClr w14:val="tx1"/>
                        </w14:solidFill>
                      </w14:textFill>
                    </w:rPr>
                  </w:pPr>
                </w:p>
              </w:tc>
              <w:tc>
                <w:tcPr>
                  <w:tcW w:w="1080" w:type="pct"/>
                  <w:vAlign w:val="center"/>
                </w:tcPr>
                <w:p w14:paraId="456020D8">
                  <w:pPr>
                    <w:pStyle w:val="9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泄露覆盖</w:t>
                  </w:r>
                </w:p>
              </w:tc>
              <w:tc>
                <w:tcPr>
                  <w:tcW w:w="654" w:type="pct"/>
                  <w:shd w:val="clear" w:color="auto" w:fill="auto"/>
                  <w:vAlign w:val="center"/>
                </w:tcPr>
                <w:p w14:paraId="1AB1A103">
                  <w:pPr>
                    <w:spacing w:line="240" w:lineRule="auto"/>
                    <w:ind w:firstLine="0" w:firstLineChars="0"/>
                    <w:jc w:val="center"/>
                    <w:rPr>
                      <w:rFonts w:hint="eastAsia" w:ascii="Times New Roman" w:hAnsi="Times New Roman" w:eastAsia="宋体" w:cs="Times New Roman"/>
                      <w:snapToGrid w:val="0"/>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snapToGrid w:val="0"/>
                      <w:color w:val="000000" w:themeColor="text1"/>
                      <w:sz w:val="21"/>
                      <w:lang w:val="en-US" w:eastAsia="zh-CN"/>
                      <w14:textFill>
                        <w14:solidFill>
                          <w14:schemeClr w14:val="tx1"/>
                        </w14:solidFill>
                      </w14:textFill>
                    </w:rPr>
                    <w:t>废沙土</w:t>
                  </w:r>
                </w:p>
              </w:tc>
              <w:tc>
                <w:tcPr>
                  <w:tcW w:w="1299" w:type="pct"/>
                  <w:vAlign w:val="center"/>
                </w:tcPr>
                <w:p w14:paraId="67F8975F">
                  <w:pPr>
                    <w:spacing w:line="240" w:lineRule="auto"/>
                    <w:ind w:firstLine="0" w:firstLineChars="0"/>
                    <w:jc w:val="center"/>
                    <w:rPr>
                      <w:rFonts w:hint="default"/>
                      <w:color w:val="000000" w:themeColor="text1"/>
                      <w:lang w:val="en-US" w:eastAsia="zh-CN"/>
                      <w14:textFill>
                        <w14:solidFill>
                          <w14:schemeClr w14:val="tx1"/>
                        </w14:solidFill>
                      </w14:textFill>
                    </w:rPr>
                  </w:pPr>
                  <w:r>
                    <w:rPr>
                      <w:rFonts w:hint="eastAsia" w:ascii="Times New Roman" w:hAnsi="Times New Roman" w:cs="Times New Roman"/>
                      <w:snapToGrid w:val="0"/>
                      <w:color w:val="000000" w:themeColor="text1"/>
                      <w:sz w:val="21"/>
                      <w:lang w:val="en-US" w:eastAsia="zh-CN"/>
                      <w14:textFill>
                        <w14:solidFill>
                          <w14:schemeClr w14:val="tx1"/>
                        </w14:solidFill>
                      </w14:textFill>
                    </w:rPr>
                    <w:t>0.0</w:t>
                  </w:r>
                  <w:r>
                    <w:rPr>
                      <w:rFonts w:hint="eastAsia" w:cs="Times New Roman"/>
                      <w:snapToGrid w:val="0"/>
                      <w:color w:val="000000" w:themeColor="text1"/>
                      <w:sz w:val="21"/>
                      <w:lang w:val="en-US" w:eastAsia="zh-CN"/>
                      <w14:textFill>
                        <w14:solidFill>
                          <w14:schemeClr w14:val="tx1"/>
                        </w14:solidFill>
                      </w14:textFill>
                    </w:rPr>
                    <w:t>8</w:t>
                  </w:r>
                </w:p>
              </w:tc>
              <w:tc>
                <w:tcPr>
                  <w:tcW w:w="1491" w:type="pct"/>
                  <w:vAlign w:val="center"/>
                </w:tcPr>
                <w:p w14:paraId="67563A61">
                  <w:pPr>
                    <w:pStyle w:val="96"/>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ascii="宋体" w:hAnsi="宋体" w:eastAsia="宋体" w:cs="Times New Roman"/>
                      <w:snapToGrid w:val="0"/>
                      <w:color w:val="000000" w:themeColor="text1"/>
                      <w:sz w:val="21"/>
                      <w14:textFill>
                        <w14:solidFill>
                          <w14:schemeClr w14:val="tx1"/>
                        </w14:solidFill>
                      </w14:textFill>
                    </w:rPr>
                    <w:t>经贮存库收集后随同类</w:t>
                  </w:r>
                  <w:r>
                    <w:rPr>
                      <w:rFonts w:hint="eastAsia" w:ascii="宋体" w:hAnsi="宋体" w:cs="Times New Roman"/>
                      <w:snapToGrid w:val="0"/>
                      <w:color w:val="000000" w:themeColor="text1"/>
                      <w:sz w:val="21"/>
                      <w:lang w:eastAsia="zh-CN"/>
                      <w14:textFill>
                        <w14:solidFill>
                          <w14:schemeClr w14:val="tx1"/>
                        </w14:solidFill>
                      </w14:textFill>
                    </w:rPr>
                    <w:t>危险废物</w:t>
                  </w:r>
                  <w:r>
                    <w:rPr>
                      <w:rFonts w:hint="eastAsia" w:ascii="宋体" w:hAnsi="宋体" w:eastAsia="宋体" w:cs="Times New Roman"/>
                      <w:snapToGrid w:val="0"/>
                      <w:color w:val="000000" w:themeColor="text1"/>
                      <w:sz w:val="21"/>
                      <w14:textFill>
                        <w14:solidFill>
                          <w14:schemeClr w14:val="tx1"/>
                        </w14:solidFill>
                      </w14:textFill>
                    </w:rPr>
                    <w:t>转移至资质单位处置</w:t>
                  </w:r>
                  <w:r>
                    <w:rPr>
                      <w:color w:val="000000" w:themeColor="text1"/>
                      <w14:textFill>
                        <w14:solidFill>
                          <w14:schemeClr w14:val="tx1"/>
                        </w14:solidFill>
                      </w14:textFill>
                    </w:rPr>
                    <w:t>）</w:t>
                  </w:r>
                </w:p>
              </w:tc>
            </w:tr>
            <w:tr w14:paraId="1333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Merge w:val="continue"/>
                  <w:vAlign w:val="center"/>
                </w:tcPr>
                <w:p w14:paraId="2EC9308B">
                  <w:pPr>
                    <w:pStyle w:val="96"/>
                    <w:rPr>
                      <w:color w:val="000000" w:themeColor="text1"/>
                      <w:lang w:eastAsia="zh-CN"/>
                      <w14:textFill>
                        <w14:solidFill>
                          <w14:schemeClr w14:val="tx1"/>
                        </w14:solidFill>
                      </w14:textFill>
                    </w:rPr>
                  </w:pPr>
                </w:p>
              </w:tc>
              <w:tc>
                <w:tcPr>
                  <w:tcW w:w="1080" w:type="pct"/>
                  <w:vAlign w:val="center"/>
                </w:tcPr>
                <w:p w14:paraId="21AFAE31">
                  <w:pPr>
                    <w:pStyle w:val="96"/>
                    <w:rPr>
                      <w:rFonts w:hint="default"/>
                      <w:color w:val="FF0000"/>
                      <w:lang w:val="en-US" w:eastAsia="zh-CN"/>
                    </w:rPr>
                  </w:pPr>
                  <w:r>
                    <w:rPr>
                      <w:rFonts w:hint="eastAsia"/>
                      <w:color w:val="FF0000"/>
                      <w:lang w:val="en-US" w:eastAsia="zh-CN"/>
                    </w:rPr>
                    <w:t>废旧电池</w:t>
                  </w:r>
                </w:p>
              </w:tc>
              <w:tc>
                <w:tcPr>
                  <w:tcW w:w="654" w:type="pct"/>
                  <w:shd w:val="clear" w:color="auto" w:fill="auto"/>
                  <w:vAlign w:val="center"/>
                </w:tcPr>
                <w:p w14:paraId="7D135089">
                  <w:pPr>
                    <w:spacing w:line="240" w:lineRule="auto"/>
                    <w:ind w:firstLine="0" w:firstLineChars="0"/>
                    <w:jc w:val="center"/>
                    <w:rPr>
                      <w:rFonts w:hint="eastAsia" w:ascii="Times New Roman" w:hAnsi="Times New Roman" w:cs="Times New Roman"/>
                      <w:snapToGrid w:val="0"/>
                      <w:color w:val="FF0000"/>
                      <w:sz w:val="21"/>
                      <w:lang w:val="en-US" w:eastAsia="zh-CN"/>
                    </w:rPr>
                  </w:pPr>
                  <w:r>
                    <w:rPr>
                      <w:rFonts w:hint="eastAsia" w:ascii="Times New Roman" w:hAnsi="Times New Roman" w:cs="Times New Roman"/>
                      <w:snapToGrid w:val="0"/>
                      <w:color w:val="FF0000"/>
                      <w:sz w:val="21"/>
                      <w:lang w:val="en-US" w:eastAsia="zh-CN"/>
                    </w:rPr>
                    <w:t>废积液</w:t>
                  </w:r>
                </w:p>
              </w:tc>
              <w:tc>
                <w:tcPr>
                  <w:tcW w:w="1299" w:type="pct"/>
                  <w:vAlign w:val="center"/>
                </w:tcPr>
                <w:p w14:paraId="5F631A24">
                  <w:pPr>
                    <w:spacing w:line="240" w:lineRule="auto"/>
                    <w:ind w:firstLine="0" w:firstLineChars="0"/>
                    <w:jc w:val="center"/>
                    <w:rPr>
                      <w:rFonts w:hint="default" w:ascii="Times New Roman" w:hAnsi="Times New Roman" w:cs="Times New Roman"/>
                      <w:snapToGrid w:val="0"/>
                      <w:color w:val="FF0000"/>
                      <w:sz w:val="21"/>
                      <w:lang w:val="en-US" w:eastAsia="zh-CN"/>
                    </w:rPr>
                  </w:pPr>
                  <w:r>
                    <w:rPr>
                      <w:rFonts w:hint="eastAsia" w:cs="Times New Roman"/>
                      <w:snapToGrid w:val="0"/>
                      <w:color w:val="FF0000"/>
                      <w:sz w:val="21"/>
                      <w:lang w:val="en-US" w:eastAsia="zh-CN"/>
                    </w:rPr>
                    <w:t>0.2</w:t>
                  </w:r>
                </w:p>
              </w:tc>
              <w:tc>
                <w:tcPr>
                  <w:tcW w:w="1491" w:type="pct"/>
                  <w:vAlign w:val="center"/>
                </w:tcPr>
                <w:p w14:paraId="4EEA2305">
                  <w:pPr>
                    <w:pStyle w:val="96"/>
                    <w:rPr>
                      <w:rFonts w:hint="eastAsia" w:eastAsia="宋体"/>
                      <w:color w:val="FF0000"/>
                      <w:lang w:val="en-US" w:eastAsia="zh-CN"/>
                    </w:rPr>
                  </w:pPr>
                  <w:r>
                    <w:rPr>
                      <w:rFonts w:hint="eastAsia"/>
                      <w:color w:val="FF0000"/>
                      <w:lang w:val="en-US" w:eastAsia="zh-CN"/>
                    </w:rPr>
                    <w:t>0</w:t>
                  </w:r>
                  <w:r>
                    <w:rPr>
                      <w:rFonts w:hint="eastAsia"/>
                      <w:color w:val="FF0000"/>
                      <w:sz w:val="21"/>
                      <w:szCs w:val="21"/>
                      <w:lang w:val="en-US" w:eastAsia="zh-CN"/>
                    </w:rPr>
                    <w:t>（</w:t>
                  </w:r>
                  <w:r>
                    <w:rPr>
                      <w:rFonts w:hint="eastAsia" w:cs="Times New Roman"/>
                      <w:b w:val="0"/>
                      <w:bCs w:val="0"/>
                      <w:color w:val="0000FF"/>
                      <w:kern w:val="0"/>
                      <w:sz w:val="21"/>
                      <w:szCs w:val="21"/>
                      <w:lang w:val="en-US" w:eastAsia="zh-CN" w:bidi="ar-SA"/>
                    </w:rPr>
                    <w:t>废积液经密闭积液管道收集后排入</w:t>
                  </w:r>
                  <w:r>
                    <w:rPr>
                      <w:rFonts w:hint="eastAsia" w:ascii="Times New Roman" w:hAnsi="Times New Roman" w:eastAsia="宋体" w:cs="Times New Roman"/>
                      <w:b w:val="0"/>
                      <w:bCs w:val="0"/>
                      <w:color w:val="0000FF"/>
                      <w:kern w:val="0"/>
                      <w:sz w:val="21"/>
                      <w:szCs w:val="21"/>
                      <w:lang w:val="en-US" w:eastAsia="zh-CN" w:bidi="ar-SA"/>
                    </w:rPr>
                    <w:t>废液收集池</w:t>
                  </w:r>
                  <w:r>
                    <w:rPr>
                      <w:rFonts w:hint="eastAsia" w:cs="Times New Roman"/>
                      <w:b w:val="0"/>
                      <w:bCs w:val="0"/>
                      <w:color w:val="0000FF"/>
                      <w:kern w:val="0"/>
                      <w:sz w:val="21"/>
                      <w:szCs w:val="21"/>
                      <w:lang w:val="en-US" w:eastAsia="zh-CN" w:bidi="ar-SA"/>
                    </w:rPr>
                    <w:t>，废液收集池进行盖板密封处理，废积液</w:t>
                  </w:r>
                  <w:r>
                    <w:rPr>
                      <w:rFonts w:hint="eastAsia" w:ascii="Times New Roman" w:hAnsi="Times New Roman" w:cs="Times New Roman"/>
                      <w:b w:val="0"/>
                      <w:bCs w:val="0"/>
                      <w:color w:val="0000FF"/>
                      <w:kern w:val="0"/>
                      <w:sz w:val="21"/>
                      <w:szCs w:val="21"/>
                      <w:lang w:val="en-US" w:eastAsia="zh-CN" w:bidi="ar-SA"/>
                    </w:rPr>
                    <w:t>收集后随同类</w:t>
                  </w:r>
                  <w:r>
                    <w:rPr>
                      <w:rFonts w:hint="eastAsia" w:cs="Times New Roman"/>
                      <w:b w:val="0"/>
                      <w:bCs w:val="0"/>
                      <w:color w:val="0000FF"/>
                      <w:kern w:val="0"/>
                      <w:sz w:val="21"/>
                      <w:szCs w:val="21"/>
                      <w:lang w:val="en-US" w:eastAsia="zh-CN" w:bidi="ar-SA"/>
                    </w:rPr>
                    <w:t>危险废物转移至资质单位处置</w:t>
                  </w:r>
                  <w:r>
                    <w:rPr>
                      <w:rFonts w:hint="eastAsia"/>
                      <w:color w:val="FF0000"/>
                      <w:sz w:val="21"/>
                      <w:szCs w:val="21"/>
                      <w:lang w:val="en-US" w:eastAsia="zh-CN"/>
                    </w:rPr>
                    <w:t>）</w:t>
                  </w:r>
                </w:p>
              </w:tc>
            </w:tr>
            <w:tr w14:paraId="14C7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4" w:type="pct"/>
                  <w:vAlign w:val="center"/>
                </w:tcPr>
                <w:p w14:paraId="72EBCE20">
                  <w:pPr>
                    <w:pStyle w:val="96"/>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4525" w:type="pct"/>
                  <w:gridSpan w:val="4"/>
                  <w:vAlign w:val="center"/>
                </w:tcPr>
                <w:p w14:paraId="5B4F85A7">
                  <w:pPr>
                    <w:pStyle w:val="96"/>
                    <w:rPr>
                      <w:color w:val="000000" w:themeColor="text1"/>
                      <w14:textFill>
                        <w14:solidFill>
                          <w14:schemeClr w14:val="tx1"/>
                        </w14:solidFill>
                      </w14:textFill>
                    </w:rPr>
                  </w:pPr>
                  <w:r>
                    <w:rPr>
                      <w:color w:val="000000" w:themeColor="text1"/>
                      <w14:textFill>
                        <w14:solidFill>
                          <w14:schemeClr w14:val="tx1"/>
                        </w14:solidFill>
                      </w14:textFill>
                    </w:rPr>
                    <w:t>设备噪声：</w:t>
                  </w:r>
                  <w:r>
                    <w:rPr>
                      <w:rFonts w:hint="eastAsia"/>
                      <w:color w:val="000000" w:themeColor="text1"/>
                      <w:lang w:val="en-US" w:eastAsia="zh-CN"/>
                      <w14:textFill>
                        <w14:solidFill>
                          <w14:schemeClr w14:val="tx1"/>
                        </w14:solidFill>
                      </w14:textFill>
                    </w:rPr>
                    <w:t>60</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75</w:t>
                  </w:r>
                  <w:r>
                    <w:rPr>
                      <w:color w:val="000000" w:themeColor="text1"/>
                      <w14:textFill>
                        <w14:solidFill>
                          <w14:schemeClr w14:val="tx1"/>
                        </w14:solidFill>
                      </w14:textFill>
                    </w:rPr>
                    <w:t>dB(A)</w:t>
                  </w:r>
                </w:p>
              </w:tc>
            </w:tr>
          </w:tbl>
          <w:p w14:paraId="3B3FE366">
            <w:pPr>
              <w:keepNext/>
              <w:keepLines w:val="0"/>
              <w:pageBreakBefore w:val="0"/>
              <w:widowControl w:val="0"/>
              <w:kinsoku/>
              <w:wordWrap/>
              <w:overflowPunct/>
              <w:topLinePunct w:val="0"/>
              <w:autoSpaceDE/>
              <w:autoSpaceDN/>
              <w:bidi w:val="0"/>
              <w:adjustRightInd/>
              <w:snapToGrid/>
              <w:rPr>
                <w:rFonts w:ascii="宋体" w:hAnsi="宋体" w:eastAsia="宋体" w:cs="宋体"/>
                <w:bCs/>
                <w:color w:val="000000" w:themeColor="text1"/>
                <w:spacing w:val="-10"/>
                <w:szCs w:val="21"/>
                <w14:textFill>
                  <w14:solidFill>
                    <w14:schemeClr w14:val="tx1"/>
                  </w14:solidFill>
                </w14:textFill>
              </w:rPr>
            </w:pPr>
          </w:p>
        </w:tc>
      </w:tr>
    </w:tbl>
    <w:p w14:paraId="37E70926">
      <w:pPr>
        <w:pageBreakBefore w:val="0"/>
        <w:kinsoku/>
        <w:wordWrap/>
        <w:overflowPunct/>
        <w:topLinePunct w:val="0"/>
        <w:bidi w:val="0"/>
        <w:rPr>
          <w:color w:val="000000" w:themeColor="text1"/>
          <w14:textFill>
            <w14:solidFill>
              <w14:schemeClr w14:val="tx1"/>
            </w14:solidFill>
          </w14:textFill>
        </w:rPr>
        <w:sectPr>
          <w:pgSz w:w="11906" w:h="16838"/>
          <w:pgMar w:top="1701" w:right="1417" w:bottom="1417" w:left="1417" w:header="737"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99BAB71">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right="0" w:rightChars="0" w:firstLine="0" w:firstLineChars="0"/>
        <w:jc w:val="both"/>
        <w:textAlignment w:val="auto"/>
        <w:outlineLvl w:val="0"/>
        <w:rPr>
          <w:rFonts w:hint="eastAsia" w:ascii="宋体" w:hAnsi="宋体" w:eastAsia="宋体" w:cs="宋体"/>
          <w:b/>
          <w:bCs/>
          <w:color w:val="000000" w:themeColor="text1"/>
          <w:kern w:val="2"/>
          <w:sz w:val="32"/>
          <w:szCs w:val="32"/>
          <w:lang w:val="en-US" w:eastAsia="zh-CN" w:bidi="ar-SA"/>
          <w14:textFill>
            <w14:solidFill>
              <w14:schemeClr w14:val="tx1"/>
            </w14:solidFill>
          </w14:textFill>
        </w:rPr>
      </w:pPr>
      <w:bookmarkStart w:id="28" w:name="_Toc19218"/>
      <w:r>
        <w:rPr>
          <w:rFonts w:hint="eastAsia" w:ascii="宋体" w:hAnsi="宋体" w:eastAsia="宋体" w:cs="宋体"/>
          <w:b/>
          <w:bCs/>
          <w:color w:val="000000" w:themeColor="text1"/>
          <w:kern w:val="2"/>
          <w:sz w:val="32"/>
          <w:szCs w:val="32"/>
          <w:lang w:val="en-US" w:eastAsia="zh-CN" w:bidi="ar-SA"/>
          <w14:textFill>
            <w14:solidFill>
              <w14:schemeClr w14:val="tx1"/>
            </w14:solidFill>
          </w14:textFill>
        </w:rPr>
        <w:t>五、</w:t>
      </w:r>
      <w:bookmarkStart w:id="29" w:name="_Hlk54167917"/>
      <w:r>
        <w:rPr>
          <w:rFonts w:hint="eastAsia" w:ascii="宋体" w:hAnsi="宋体" w:eastAsia="宋体" w:cs="宋体"/>
          <w:b/>
          <w:bCs/>
          <w:color w:val="000000" w:themeColor="text1"/>
          <w:kern w:val="2"/>
          <w:sz w:val="32"/>
          <w:szCs w:val="32"/>
          <w:lang w:val="en-US" w:eastAsia="zh-CN" w:bidi="ar-SA"/>
          <w14:textFill>
            <w14:solidFill>
              <w14:schemeClr w14:val="tx1"/>
            </w14:solidFill>
          </w14:textFill>
        </w:rPr>
        <w:t>环境保护措施监督检查清单</w:t>
      </w:r>
      <w:bookmarkEnd w:id="28"/>
      <w:bookmarkEnd w:id="29"/>
    </w:p>
    <w:tbl>
      <w:tblPr>
        <w:tblStyle w:val="26"/>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460"/>
        <w:gridCol w:w="1387"/>
        <w:gridCol w:w="2748"/>
        <w:gridCol w:w="2460"/>
      </w:tblGrid>
      <w:tr w14:paraId="37A64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tcBorders>
              <w:tl2br w:val="single" w:color="auto" w:sz="4" w:space="0"/>
            </w:tcBorders>
            <w:noWrap/>
            <w:vAlign w:val="center"/>
          </w:tcPr>
          <w:p w14:paraId="0E1DBE5F">
            <w:pPr>
              <w:keepNext w:val="0"/>
              <w:keepLines w:val="0"/>
              <w:pageBreakBefore w:val="0"/>
              <w:widowControl w:val="0"/>
              <w:kinsoku/>
              <w:wordWrap/>
              <w:overflowPunct/>
              <w:topLinePunct w:val="0"/>
              <w:autoSpaceDE/>
              <w:autoSpaceDN/>
              <w:bidi w:val="0"/>
              <w:adjustRightInd w:val="0"/>
              <w:snapToGrid w:val="0"/>
              <w:ind w:firstLine="422" w:firstLineChars="20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内容</w:t>
            </w:r>
          </w:p>
          <w:p w14:paraId="5C2B3817">
            <w:pPr>
              <w:keepNext w:val="0"/>
              <w:keepLines w:val="0"/>
              <w:pageBreakBefore w:val="0"/>
              <w:widowControl w:val="0"/>
              <w:kinsoku/>
              <w:wordWrap/>
              <w:overflowPunct/>
              <w:topLinePunct w:val="0"/>
              <w:autoSpaceDE/>
              <w:autoSpaceDN/>
              <w:bidi w:val="0"/>
              <w:adjustRightInd w:val="0"/>
              <w:snapToGrid w:val="0"/>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要素</w:t>
            </w:r>
          </w:p>
        </w:tc>
        <w:tc>
          <w:tcPr>
            <w:tcW w:w="1460" w:type="dxa"/>
            <w:noWrap/>
            <w:vAlign w:val="center"/>
          </w:tcPr>
          <w:p w14:paraId="73E755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w:t>
            </w: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编号、名称</w:t>
            </w: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/污染源</w:t>
            </w:r>
          </w:p>
        </w:tc>
        <w:tc>
          <w:tcPr>
            <w:tcW w:w="1387" w:type="dxa"/>
            <w:noWrap/>
            <w:vAlign w:val="center"/>
          </w:tcPr>
          <w:p w14:paraId="6448E9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污染物项目</w:t>
            </w:r>
          </w:p>
        </w:tc>
        <w:tc>
          <w:tcPr>
            <w:tcW w:w="2748" w:type="dxa"/>
            <w:noWrap/>
            <w:vAlign w:val="center"/>
          </w:tcPr>
          <w:p w14:paraId="2C74F3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环境保护措施</w:t>
            </w:r>
          </w:p>
        </w:tc>
        <w:tc>
          <w:tcPr>
            <w:tcW w:w="2460" w:type="dxa"/>
            <w:noWrap/>
            <w:vAlign w:val="center"/>
          </w:tcPr>
          <w:p w14:paraId="60F6E6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执行标准</w:t>
            </w:r>
          </w:p>
        </w:tc>
      </w:tr>
      <w:tr w14:paraId="43839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1234" w:type="dxa"/>
            <w:vMerge w:val="restart"/>
            <w:noWrap/>
            <w:vAlign w:val="center"/>
          </w:tcPr>
          <w:p w14:paraId="67958A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大气环境</w:t>
            </w:r>
          </w:p>
        </w:tc>
        <w:tc>
          <w:tcPr>
            <w:tcW w:w="1460" w:type="dxa"/>
            <w:vMerge w:val="restart"/>
            <w:noWrap/>
            <w:vAlign w:val="center"/>
          </w:tcPr>
          <w:p w14:paraId="0B64F3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DA001</w:t>
            </w:r>
            <w:r>
              <w:rPr>
                <w:color w:val="000000" w:themeColor="text1"/>
                <w:sz w:val="21"/>
                <w:szCs w:val="21"/>
                <w14:textFill>
                  <w14:solidFill>
                    <w14:schemeClr w14:val="tx1"/>
                  </w14:solidFill>
                </w14:textFill>
              </w:rPr>
              <w:t>排气筒</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储罐呼吸废气、废铅蓄电池贮区废气</w:t>
            </w:r>
          </w:p>
        </w:tc>
        <w:tc>
          <w:tcPr>
            <w:tcW w:w="1387" w:type="dxa"/>
            <w:noWrap/>
            <w:vAlign w:val="center"/>
          </w:tcPr>
          <w:p w14:paraId="29E9E2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olor w:val="000000" w:themeColor="text1"/>
                <w:sz w:val="21"/>
                <w:szCs w:val="21"/>
                <w:vertAlign w:val="subscript"/>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VOCs、酸性废气</w:t>
            </w:r>
          </w:p>
        </w:tc>
        <w:tc>
          <w:tcPr>
            <w:tcW w:w="2748" w:type="dxa"/>
            <w:vMerge w:val="restart"/>
            <w:noWrap/>
            <w:vAlign w:val="center"/>
          </w:tcPr>
          <w:p w14:paraId="562E1067">
            <w:pPr>
              <w:rPr>
                <w:rFonts w:hint="default"/>
                <w:color w:val="000000" w:themeColor="text1"/>
                <w:sz w:val="21"/>
                <w:szCs w:val="21"/>
                <w:lang w:val="en-US" w:eastAsia="zh-CN"/>
                <w14:textFill>
                  <w14:solidFill>
                    <w14:schemeClr w14:val="tx1"/>
                  </w14:solidFill>
                </w14:textFill>
              </w:rPr>
            </w:pP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呼吸废气经收集后</w:t>
            </w:r>
            <w:r>
              <w:rPr>
                <w:rFonts w:hint="eastAsia" w:cs="Times New Roman"/>
                <w:color w:val="FF0000"/>
                <w:sz w:val="21"/>
                <w:szCs w:val="21"/>
                <w:lang w:val="en-US" w:eastAsia="zh-CN" w:bidi="ar-SA"/>
              </w:rPr>
              <w:t>通过引风机</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color w:val="FF0000"/>
                <w:sz w:val="21"/>
                <w:szCs w:val="21"/>
                <w:lang w:val="en-US" w:eastAsia="zh-CN" w:bidi="ar-SA"/>
              </w:rPr>
              <w:t>引至</w:t>
            </w:r>
            <w:r>
              <w:rPr>
                <w:rFonts w:hint="eastAsia" w:cs="Times New Roman"/>
                <w:color w:val="FF0000"/>
                <w:sz w:val="21"/>
                <w:szCs w:val="21"/>
                <w:lang w:val="en-US" w:eastAsia="zh-CN" w:bidi="ar-SA"/>
              </w:rPr>
              <w:t>1套活性炭吸附装置</w:t>
            </w:r>
            <w:r>
              <w:rPr>
                <w:rFonts w:hint="eastAsia" w:ascii="Times New Roman" w:hAnsi="Times New Roman" w:eastAsia="宋体" w:cs="Times New Roman"/>
                <w:color w:val="FF0000"/>
                <w:sz w:val="21"/>
                <w:szCs w:val="21"/>
                <w:lang w:val="en-US" w:eastAsia="zh-CN" w:bidi="ar-SA"/>
              </w:rPr>
              <w:t>处理；</w:t>
            </w:r>
            <w:r>
              <w:rPr>
                <w:rFonts w:hint="eastAsia"/>
                <w:b w:val="0"/>
                <w:bCs w:val="0"/>
                <w:color w:val="FF0000"/>
                <w:sz w:val="21"/>
                <w:szCs w:val="21"/>
                <w:lang w:val="en-US" w:eastAsia="zh-CN"/>
              </w:rPr>
              <w:t>废铅蓄电池破损泄漏产生的酸性废气由集气罩收集后</w:t>
            </w:r>
            <w:r>
              <w:rPr>
                <w:rFonts w:hint="eastAsia" w:cs="Times New Roman"/>
                <w:b w:val="0"/>
                <w:bCs w:val="0"/>
                <w:color w:val="FF0000"/>
                <w:sz w:val="21"/>
                <w:szCs w:val="21"/>
                <w:lang w:val="en-US" w:eastAsia="zh-CN" w:bidi="ar-SA"/>
              </w:rPr>
              <w:t>通过引风机（</w:t>
            </w:r>
            <w:r>
              <w:rPr>
                <w:rFonts w:hint="eastAsia" w:ascii="Times New Roman" w:hAnsi="Times New Roman" w:eastAsia="宋体" w:cs="Times New Roman"/>
                <w:b w:val="0"/>
                <w:bCs w:val="0"/>
                <w:color w:val="FF0000"/>
                <w:sz w:val="21"/>
                <w:szCs w:val="21"/>
                <w:lang w:val="en-US" w:eastAsia="zh-CN" w:bidi="ar-SA"/>
              </w:rPr>
              <w:t>设计风量2</w:t>
            </w:r>
            <w:r>
              <w:rPr>
                <w:rFonts w:hint="eastAsia" w:cs="Times New Roman"/>
                <w:b w:val="0"/>
                <w:bCs w:val="0"/>
                <w:color w:val="FF0000"/>
                <w:sz w:val="21"/>
                <w:szCs w:val="21"/>
                <w:lang w:val="en-US" w:eastAsia="zh-CN" w:bidi="ar-SA"/>
              </w:rPr>
              <w:t>0</w:t>
            </w:r>
            <w:r>
              <w:rPr>
                <w:rFonts w:hint="eastAsia" w:ascii="Times New Roman" w:hAnsi="Times New Roman" w:eastAsia="宋体" w:cs="Times New Roman"/>
                <w:b w:val="0"/>
                <w:bCs w:val="0"/>
                <w:color w:val="FF0000"/>
                <w:sz w:val="21"/>
                <w:szCs w:val="21"/>
                <w:lang w:val="en-US" w:eastAsia="zh-CN" w:bidi="ar-SA"/>
              </w:rPr>
              <w:t>00m</w:t>
            </w:r>
            <w:r>
              <w:rPr>
                <w:rFonts w:hint="eastAsia" w:ascii="Times New Roman" w:hAnsi="Times New Roman" w:eastAsia="宋体" w:cs="Times New Roman"/>
                <w:b w:val="0"/>
                <w:bCs w:val="0"/>
                <w:color w:val="FF0000"/>
                <w:sz w:val="21"/>
                <w:szCs w:val="21"/>
                <w:vertAlign w:val="superscript"/>
                <w:lang w:val="en-US" w:eastAsia="zh-CN" w:bidi="ar-SA"/>
              </w:rPr>
              <w:t>3</w:t>
            </w:r>
            <w:r>
              <w:rPr>
                <w:rFonts w:hint="eastAsia" w:ascii="Times New Roman" w:hAnsi="Times New Roman" w:eastAsia="宋体" w:cs="Times New Roman"/>
                <w:b w:val="0"/>
                <w:bCs w:val="0"/>
                <w:color w:val="FF0000"/>
                <w:sz w:val="21"/>
                <w:szCs w:val="21"/>
                <w:lang w:val="en-US" w:eastAsia="zh-CN" w:bidi="ar-SA"/>
              </w:rPr>
              <w:t>/h</w:t>
            </w:r>
            <w:r>
              <w:rPr>
                <w:rFonts w:hint="eastAsia" w:cs="Times New Roman"/>
                <w:b w:val="0"/>
                <w:bCs w:val="0"/>
                <w:color w:val="FF0000"/>
                <w:sz w:val="21"/>
                <w:szCs w:val="21"/>
                <w:lang w:val="en-US" w:eastAsia="zh-CN" w:bidi="ar-SA"/>
              </w:rPr>
              <w:t>）</w:t>
            </w:r>
            <w:r>
              <w:rPr>
                <w:rFonts w:hint="eastAsia" w:ascii="Times New Roman" w:hAnsi="Times New Roman" w:eastAsia="宋体" w:cs="Times New Roman"/>
                <w:b w:val="0"/>
                <w:bCs w:val="0"/>
                <w:color w:val="FF0000"/>
                <w:sz w:val="21"/>
                <w:szCs w:val="21"/>
                <w:lang w:val="en-US" w:eastAsia="zh-CN" w:bidi="ar-SA"/>
              </w:rPr>
              <w:t>引至</w:t>
            </w:r>
            <w:r>
              <w:rPr>
                <w:rFonts w:hint="eastAsia"/>
                <w:b w:val="0"/>
                <w:bCs w:val="0"/>
                <w:color w:val="FF0000"/>
                <w:sz w:val="21"/>
                <w:szCs w:val="21"/>
                <w:lang w:val="en-US" w:eastAsia="zh-CN"/>
              </w:rPr>
              <w:t>1座碱洗塔处理；</w:t>
            </w:r>
            <w:r>
              <w:rPr>
                <w:rFonts w:hint="eastAsia" w:cs="Times New Roman"/>
                <w:color w:val="FF0000"/>
                <w:sz w:val="21"/>
                <w:szCs w:val="21"/>
                <w:lang w:val="en-US" w:eastAsia="zh-CN" w:bidi="ar-SA"/>
              </w:rPr>
              <w:t>储罐</w:t>
            </w:r>
            <w:r>
              <w:rPr>
                <w:rFonts w:hint="eastAsia" w:ascii="Times New Roman" w:hAnsi="Times New Roman" w:eastAsia="宋体" w:cs="Times New Roman"/>
                <w:color w:val="FF0000"/>
                <w:sz w:val="21"/>
                <w:szCs w:val="21"/>
                <w:lang w:val="en-US" w:eastAsia="zh-CN" w:bidi="ar-SA"/>
              </w:rPr>
              <w:t>呼吸废气</w:t>
            </w:r>
            <w:r>
              <w:rPr>
                <w:rFonts w:hint="eastAsia"/>
                <w:b w:val="0"/>
                <w:bCs w:val="0"/>
                <w:color w:val="FF0000"/>
                <w:sz w:val="21"/>
                <w:szCs w:val="21"/>
                <w:lang w:val="en-US" w:eastAsia="zh-CN"/>
              </w:rPr>
              <w:t>和酸性废气经处理后合并通过一根15m高排气筒（编号：DA001）排放。</w:t>
            </w:r>
          </w:p>
        </w:tc>
        <w:tc>
          <w:tcPr>
            <w:tcW w:w="2460" w:type="dxa"/>
            <w:noWrap/>
            <w:vAlign w:val="center"/>
          </w:tcPr>
          <w:p w14:paraId="1E007B1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《大气污染物综合排放标准》（GB16297-1996）</w:t>
            </w:r>
          </w:p>
        </w:tc>
      </w:tr>
      <w:tr w14:paraId="477CC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vMerge w:val="continue"/>
            <w:noWrap/>
            <w:vAlign w:val="center"/>
          </w:tcPr>
          <w:p w14:paraId="7C9265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p>
        </w:tc>
        <w:tc>
          <w:tcPr>
            <w:tcW w:w="1460" w:type="dxa"/>
            <w:vMerge w:val="continue"/>
            <w:noWrap/>
            <w:vAlign w:val="center"/>
          </w:tcPr>
          <w:p w14:paraId="75E48A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000000" w:themeColor="text1"/>
                <w:sz w:val="21"/>
                <w:szCs w:val="21"/>
                <w14:textFill>
                  <w14:solidFill>
                    <w14:schemeClr w14:val="tx1"/>
                  </w14:solidFill>
                </w14:textFill>
              </w:rPr>
            </w:pPr>
          </w:p>
        </w:tc>
        <w:tc>
          <w:tcPr>
            <w:tcW w:w="1387" w:type="dxa"/>
            <w:noWrap/>
            <w:vAlign w:val="center"/>
          </w:tcPr>
          <w:p w14:paraId="74CC23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臭气浓度（无量纲）</w:t>
            </w:r>
          </w:p>
        </w:tc>
        <w:tc>
          <w:tcPr>
            <w:tcW w:w="2748" w:type="dxa"/>
            <w:vMerge w:val="continue"/>
            <w:noWrap/>
            <w:vAlign w:val="center"/>
          </w:tcPr>
          <w:p w14:paraId="3580283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both"/>
              <w:textAlignment w:val="auto"/>
              <w:rPr>
                <w:rFonts w:hint="eastAsia"/>
                <w:color w:val="000000" w:themeColor="text1"/>
                <w:sz w:val="21"/>
                <w:szCs w:val="21"/>
                <w:lang w:val="en-US" w:eastAsia="zh-CN"/>
                <w14:textFill>
                  <w14:solidFill>
                    <w14:schemeClr w14:val="tx1"/>
                  </w14:solidFill>
                </w14:textFill>
              </w:rPr>
            </w:pPr>
          </w:p>
        </w:tc>
        <w:tc>
          <w:tcPr>
            <w:tcW w:w="2460" w:type="dxa"/>
            <w:noWrap/>
            <w:vAlign w:val="center"/>
          </w:tcPr>
          <w:p w14:paraId="5B82473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《恶臭污染物排放标准》（GB14554-93）</w:t>
            </w:r>
          </w:p>
        </w:tc>
      </w:tr>
      <w:tr w14:paraId="74788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34" w:type="dxa"/>
            <w:vMerge w:val="continue"/>
            <w:noWrap/>
            <w:vAlign w:val="center"/>
          </w:tcPr>
          <w:p w14:paraId="241047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p>
        </w:tc>
        <w:tc>
          <w:tcPr>
            <w:tcW w:w="1460" w:type="dxa"/>
            <w:vMerge w:val="restart"/>
            <w:noWrap/>
            <w:vAlign w:val="center"/>
          </w:tcPr>
          <w:p w14:paraId="28E437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FF0000"/>
                <w:sz w:val="21"/>
                <w:szCs w:val="21"/>
                <w:lang w:eastAsia="zh-CN"/>
              </w:rPr>
            </w:pPr>
            <w:r>
              <w:rPr>
                <w:rFonts w:hint="eastAsia"/>
                <w:color w:val="FF0000"/>
                <w:sz w:val="21"/>
                <w:szCs w:val="21"/>
              </w:rPr>
              <w:t>面源/</w:t>
            </w:r>
            <w:r>
              <w:rPr>
                <w:rFonts w:hint="eastAsia"/>
                <w:color w:val="FF0000"/>
                <w:sz w:val="21"/>
                <w:szCs w:val="21"/>
                <w:lang w:val="en-US" w:eastAsia="zh-CN"/>
              </w:rPr>
              <w:t>贮存库</w:t>
            </w:r>
          </w:p>
        </w:tc>
        <w:tc>
          <w:tcPr>
            <w:tcW w:w="1387" w:type="dxa"/>
            <w:noWrap/>
            <w:vAlign w:val="center"/>
          </w:tcPr>
          <w:p w14:paraId="3FBF27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FF0000"/>
                <w:sz w:val="21"/>
                <w:szCs w:val="21"/>
                <w:lang w:val="en-US" w:eastAsia="zh-CN"/>
              </w:rPr>
            </w:pPr>
            <w:r>
              <w:rPr>
                <w:rFonts w:hint="eastAsia"/>
                <w:color w:val="FF0000"/>
                <w:sz w:val="21"/>
                <w:szCs w:val="21"/>
                <w:lang w:val="en-US" w:eastAsia="zh-CN"/>
              </w:rPr>
              <w:t>厂界</w:t>
            </w:r>
            <w:r>
              <w:rPr>
                <w:rFonts w:hint="eastAsia"/>
                <w:color w:val="FF0000"/>
                <w:kern w:val="0"/>
                <w:sz w:val="21"/>
                <w:szCs w:val="21"/>
                <w:lang w:val="en-US" w:eastAsia="zh-CN"/>
              </w:rPr>
              <w:t>有机废气（以NMHC表征）、酸性废气（以硫酸雾计）</w:t>
            </w:r>
          </w:p>
        </w:tc>
        <w:tc>
          <w:tcPr>
            <w:tcW w:w="2748" w:type="dxa"/>
            <w:vMerge w:val="restart"/>
            <w:noWrap/>
            <w:vAlign w:val="center"/>
          </w:tcPr>
          <w:p w14:paraId="2364005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olor w:val="FF0000"/>
                <w:sz w:val="21"/>
                <w:szCs w:val="21"/>
                <w:lang w:val="en-US" w:eastAsia="zh-CN"/>
              </w:rPr>
            </w:pPr>
            <w:r>
              <w:rPr>
                <w:rFonts w:hint="eastAsia" w:cs="Times New Roman"/>
                <w:color w:val="FF0000"/>
                <w:sz w:val="21"/>
                <w:szCs w:val="21"/>
                <w:lang w:val="en-US" w:eastAsia="zh-CN"/>
              </w:rPr>
              <w:t>危险废物采取密闭包装、闭口包装</w:t>
            </w:r>
          </w:p>
        </w:tc>
        <w:tc>
          <w:tcPr>
            <w:tcW w:w="2460" w:type="dxa"/>
            <w:noWrap/>
            <w:vAlign w:val="center"/>
          </w:tcPr>
          <w:p w14:paraId="4E330868">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color w:val="FF0000"/>
                <w:sz w:val="21"/>
                <w:szCs w:val="21"/>
              </w:rPr>
            </w:pPr>
            <w:r>
              <w:rPr>
                <w:rFonts w:hint="eastAsia"/>
                <w:color w:val="FF0000"/>
                <w:sz w:val="21"/>
                <w:szCs w:val="21"/>
              </w:rPr>
              <w:t>《大气污染物综合排放标准》（GB16297-1996）</w:t>
            </w:r>
          </w:p>
        </w:tc>
      </w:tr>
      <w:tr w14:paraId="10A12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vMerge w:val="continue"/>
            <w:noWrap/>
            <w:vAlign w:val="center"/>
          </w:tcPr>
          <w:p w14:paraId="763966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p>
        </w:tc>
        <w:tc>
          <w:tcPr>
            <w:tcW w:w="1460" w:type="dxa"/>
            <w:vMerge w:val="continue"/>
            <w:noWrap/>
            <w:vAlign w:val="center"/>
          </w:tcPr>
          <w:p w14:paraId="236012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FF0000"/>
                <w:sz w:val="21"/>
                <w:szCs w:val="21"/>
              </w:rPr>
            </w:pPr>
          </w:p>
        </w:tc>
        <w:tc>
          <w:tcPr>
            <w:tcW w:w="1387" w:type="dxa"/>
            <w:noWrap/>
            <w:vAlign w:val="center"/>
          </w:tcPr>
          <w:p w14:paraId="7B98B1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FF0000"/>
                <w:sz w:val="21"/>
                <w:szCs w:val="21"/>
                <w:lang w:val="en-US" w:eastAsia="zh-CN"/>
              </w:rPr>
            </w:pPr>
            <w:r>
              <w:rPr>
                <w:rFonts w:hint="eastAsia"/>
                <w:color w:val="FF0000"/>
                <w:sz w:val="21"/>
                <w:szCs w:val="21"/>
                <w:lang w:val="en-US" w:eastAsia="zh-CN"/>
              </w:rPr>
              <w:t>厂界臭气浓度</w:t>
            </w:r>
            <w:r>
              <w:rPr>
                <w:rFonts w:hint="eastAsia"/>
                <w:color w:val="FF0000"/>
                <w:sz w:val="21"/>
                <w:szCs w:val="21"/>
                <w:vertAlign w:val="baseline"/>
                <w:lang w:val="en-US" w:eastAsia="zh-CN"/>
              </w:rPr>
              <w:t>、氨、硫化氢</w:t>
            </w:r>
          </w:p>
        </w:tc>
        <w:tc>
          <w:tcPr>
            <w:tcW w:w="2748" w:type="dxa"/>
            <w:vMerge w:val="continue"/>
            <w:noWrap/>
            <w:vAlign w:val="center"/>
          </w:tcPr>
          <w:p w14:paraId="5304F8E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s="Times New Roman"/>
                <w:color w:val="FF0000"/>
                <w:sz w:val="21"/>
                <w:szCs w:val="21"/>
                <w:lang w:val="en-US" w:eastAsia="zh-CN"/>
              </w:rPr>
            </w:pPr>
          </w:p>
        </w:tc>
        <w:tc>
          <w:tcPr>
            <w:tcW w:w="2460" w:type="dxa"/>
            <w:noWrap/>
            <w:vAlign w:val="center"/>
          </w:tcPr>
          <w:p w14:paraId="6989621D">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eastAsia"/>
                <w:color w:val="FF0000"/>
                <w:sz w:val="21"/>
                <w:szCs w:val="21"/>
              </w:rPr>
            </w:pPr>
            <w:r>
              <w:rPr>
                <w:rFonts w:hint="eastAsia"/>
                <w:color w:val="FF0000"/>
                <w:sz w:val="21"/>
                <w:szCs w:val="21"/>
              </w:rPr>
              <w:t>《恶臭污染物排放标准》（GB14554-93）</w:t>
            </w:r>
          </w:p>
        </w:tc>
      </w:tr>
      <w:tr w14:paraId="5769A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vMerge w:val="continue"/>
            <w:noWrap/>
            <w:vAlign w:val="center"/>
          </w:tcPr>
          <w:p w14:paraId="08F93A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p>
        </w:tc>
        <w:tc>
          <w:tcPr>
            <w:tcW w:w="1460" w:type="dxa"/>
            <w:vMerge w:val="continue"/>
            <w:noWrap/>
            <w:vAlign w:val="center"/>
          </w:tcPr>
          <w:p w14:paraId="2F57A9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FF0000"/>
                <w:sz w:val="21"/>
                <w:szCs w:val="21"/>
              </w:rPr>
            </w:pPr>
          </w:p>
        </w:tc>
        <w:tc>
          <w:tcPr>
            <w:tcW w:w="1387" w:type="dxa"/>
            <w:noWrap/>
            <w:vAlign w:val="center"/>
          </w:tcPr>
          <w:p w14:paraId="497709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FF0000"/>
                <w:sz w:val="21"/>
                <w:szCs w:val="21"/>
                <w:lang w:val="en-US" w:eastAsia="zh-CN"/>
              </w:rPr>
            </w:pPr>
            <w:r>
              <w:rPr>
                <w:rFonts w:hint="eastAsia"/>
                <w:color w:val="FF0000"/>
                <w:sz w:val="21"/>
                <w:szCs w:val="21"/>
                <w:lang w:eastAsia="zh-CN"/>
              </w:rPr>
              <w:t>厂区内挥发性有机物</w:t>
            </w:r>
            <w:r>
              <w:rPr>
                <w:rFonts w:hint="eastAsia"/>
                <w:color w:val="FF0000"/>
                <w:kern w:val="0"/>
                <w:sz w:val="21"/>
                <w:szCs w:val="21"/>
                <w:lang w:val="en-US" w:eastAsia="zh-CN"/>
              </w:rPr>
              <w:t>（以NMHC表征）</w:t>
            </w:r>
          </w:p>
        </w:tc>
        <w:tc>
          <w:tcPr>
            <w:tcW w:w="2748" w:type="dxa"/>
            <w:vMerge w:val="continue"/>
            <w:noWrap/>
            <w:vAlign w:val="center"/>
          </w:tcPr>
          <w:p w14:paraId="5B40A65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s="Times New Roman"/>
                <w:color w:val="FF0000"/>
                <w:sz w:val="21"/>
                <w:szCs w:val="21"/>
                <w:lang w:val="en-US" w:eastAsia="zh-CN"/>
              </w:rPr>
            </w:pPr>
          </w:p>
        </w:tc>
        <w:tc>
          <w:tcPr>
            <w:tcW w:w="2460" w:type="dxa"/>
            <w:noWrap/>
            <w:vAlign w:val="center"/>
          </w:tcPr>
          <w:p w14:paraId="762B281E">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color w:val="FF0000"/>
                <w:sz w:val="21"/>
                <w:szCs w:val="21"/>
                <w:lang w:val="en-US"/>
              </w:rPr>
            </w:pPr>
            <w:r>
              <w:rPr>
                <w:rFonts w:hint="eastAsia"/>
                <w:color w:val="FF0000"/>
                <w:sz w:val="21"/>
                <w:szCs w:val="21"/>
                <w:lang w:eastAsia="zh-CN"/>
              </w:rPr>
              <w:t>《挥发性有机物无组织排放控制标准》（GB37822-2019）</w:t>
            </w:r>
            <w:r>
              <w:rPr>
                <w:rFonts w:hint="eastAsia"/>
                <w:color w:val="FF0000"/>
                <w:sz w:val="21"/>
                <w:szCs w:val="21"/>
                <w:lang w:val="en-US" w:eastAsia="zh-CN"/>
              </w:rPr>
              <w:t>排放标准</w:t>
            </w:r>
          </w:p>
        </w:tc>
      </w:tr>
      <w:tr w14:paraId="3AF20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vMerge w:val="restart"/>
            <w:noWrap/>
            <w:vAlign w:val="center"/>
          </w:tcPr>
          <w:p w14:paraId="12918D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w:t>
            </w:r>
          </w:p>
        </w:tc>
        <w:tc>
          <w:tcPr>
            <w:tcW w:w="1460" w:type="dxa"/>
            <w:noWrap/>
            <w:vAlign w:val="center"/>
          </w:tcPr>
          <w:p w14:paraId="6441D5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生活污水</w:t>
            </w:r>
          </w:p>
        </w:tc>
        <w:tc>
          <w:tcPr>
            <w:tcW w:w="1387" w:type="dxa"/>
            <w:noWrap/>
            <w:vAlign w:val="center"/>
          </w:tcPr>
          <w:p w14:paraId="2509FF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bCs/>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COD、BOD</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、SS、氨氮、</w:t>
            </w:r>
            <w:r>
              <w:rPr>
                <w:rFonts w:hint="eastAsia"/>
                <w:color w:val="000000" w:themeColor="text1"/>
                <w:sz w:val="21"/>
                <w:szCs w:val="21"/>
                <w:lang w:val="en-US" w:eastAsia="zh-CN"/>
                <w14:textFill>
                  <w14:solidFill>
                    <w14:schemeClr w14:val="tx1"/>
                  </w14:solidFill>
                </w14:textFill>
              </w:rPr>
              <w:t>总磷</w:t>
            </w:r>
          </w:p>
        </w:tc>
        <w:tc>
          <w:tcPr>
            <w:tcW w:w="2748" w:type="dxa"/>
            <w:noWrap/>
            <w:vAlign w:val="center"/>
          </w:tcPr>
          <w:p w14:paraId="4815DA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000000" w:themeColor="text1"/>
                <w:sz w:val="21"/>
                <w:szCs w:val="21"/>
                <w:vertAlign w:val="baseline"/>
                <w:lang w:val="en-US"/>
                <w14:textFill>
                  <w14:solidFill>
                    <w14:schemeClr w14:val="tx1"/>
                  </w14:solidFill>
                </w14:textFill>
              </w:rPr>
            </w:pPr>
            <w:r>
              <w:rPr>
                <w:rFonts w:hint="eastAsia"/>
                <w:color w:val="000000" w:themeColor="text1"/>
                <w:kern w:val="21"/>
                <w:sz w:val="21"/>
                <w:szCs w:val="21"/>
                <w:lang w:val="en-US" w:eastAsia="zh-CN"/>
                <w14:textFill>
                  <w14:solidFill>
                    <w14:schemeClr w14:val="tx1"/>
                  </w14:solidFill>
                </w14:textFill>
              </w:rPr>
              <w:t>依托</w:t>
            </w:r>
            <w:r>
              <w:rPr>
                <w:rFonts w:hint="eastAsia"/>
                <w:color w:val="000000" w:themeColor="text1"/>
                <w:sz w:val="21"/>
                <w:szCs w:val="21"/>
                <w:lang w:val="en-US" w:eastAsia="zh-CN"/>
                <w14:textFill>
                  <w14:solidFill>
                    <w14:schemeClr w14:val="tx1"/>
                  </w14:solidFill>
                </w14:textFill>
              </w:rPr>
              <w:t>曲靖市东五六供应链管理有限公司</w:t>
            </w:r>
            <w:r>
              <w:rPr>
                <w:rFonts w:hint="eastAsia"/>
                <w:color w:val="000000" w:themeColor="text1"/>
                <w:kern w:val="21"/>
                <w:sz w:val="21"/>
                <w:szCs w:val="21"/>
                <w:lang w:val="en-US" w:eastAsia="zh-CN"/>
                <w14:textFill>
                  <w14:solidFill>
                    <w14:schemeClr w14:val="tx1"/>
                  </w14:solidFill>
                </w14:textFill>
              </w:rPr>
              <w:t>已建化粪池（容积：10m</w:t>
            </w:r>
            <w:r>
              <w:rPr>
                <w:rFonts w:hint="eastAsia"/>
                <w:color w:val="000000" w:themeColor="text1"/>
                <w:kern w:val="21"/>
                <w:sz w:val="21"/>
                <w:szCs w:val="21"/>
                <w:vertAlign w:val="superscript"/>
                <w:lang w:val="en-US" w:eastAsia="zh-CN"/>
                <w14:textFill>
                  <w14:solidFill>
                    <w14:schemeClr w14:val="tx1"/>
                  </w14:solidFill>
                </w14:textFill>
              </w:rPr>
              <w:t>3</w:t>
            </w:r>
            <w:r>
              <w:rPr>
                <w:rFonts w:hint="eastAsia"/>
                <w:color w:val="000000" w:themeColor="text1"/>
                <w:kern w:val="21"/>
                <w:sz w:val="21"/>
                <w:szCs w:val="21"/>
                <w:lang w:val="en-US" w:eastAsia="zh-CN"/>
                <w14:textFill>
                  <w14:solidFill>
                    <w14:schemeClr w14:val="tx1"/>
                  </w14:solidFill>
                </w14:textFill>
              </w:rPr>
              <w:t>）收集</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后委托</w:t>
            </w:r>
            <w:r>
              <w:rPr>
                <w:rFonts w:hint="eastAsia" w:ascii="Times New Roman" w:hAnsi="Times New Roman" w:eastAsia="宋体" w:cs="Times New Roman"/>
                <w:bCs/>
                <w:color w:val="000000" w:themeColor="text1"/>
                <w:spacing w:val="-10"/>
                <w:sz w:val="21"/>
                <w:szCs w:val="21"/>
                <w:highlight w:val="none"/>
                <w:lang w:val="en-US" w:eastAsia="zh-CN"/>
                <w14:textFill>
                  <w14:solidFill>
                    <w14:schemeClr w14:val="tx1"/>
                  </w14:solidFill>
                </w14:textFill>
              </w:rPr>
              <w:t>麒麟区</w:t>
            </w:r>
            <w:r>
              <w:rPr>
                <w:rFonts w:hint="default" w:ascii="Times New Roman" w:hAnsi="Times New Roman" w:eastAsia="宋体" w:cs="Times New Roman"/>
                <w:bCs/>
                <w:color w:val="000000" w:themeColor="text1"/>
                <w:spacing w:val="-10"/>
                <w:sz w:val="21"/>
                <w:szCs w:val="21"/>
                <w:highlight w:val="none"/>
                <w14:textFill>
                  <w14:solidFill>
                    <w14:schemeClr w14:val="tx1"/>
                  </w14:solidFill>
                </w14:textFill>
              </w:rPr>
              <w:t>环卫部门</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清掏处理</w:t>
            </w:r>
            <w:r>
              <w:rPr>
                <w:rFonts w:hint="eastAsia"/>
                <w:color w:val="000000" w:themeColor="text1"/>
                <w:kern w:val="21"/>
                <w:sz w:val="21"/>
                <w:szCs w:val="21"/>
                <w:lang w:val="en-US" w:eastAsia="zh-CN"/>
                <w14:textFill>
                  <w14:solidFill>
                    <w14:schemeClr w14:val="tx1"/>
                  </w14:solidFill>
                </w14:textFill>
              </w:rPr>
              <w:t>，不外排</w:t>
            </w:r>
          </w:p>
        </w:tc>
        <w:tc>
          <w:tcPr>
            <w:tcW w:w="2460" w:type="dxa"/>
            <w:noWrap/>
            <w:vAlign w:val="center"/>
          </w:tcPr>
          <w:p w14:paraId="2702E29A">
            <w:pPr>
              <w:keepNext w:val="0"/>
              <w:keepLines w:val="0"/>
              <w:pageBreakBefore w:val="0"/>
              <w:widowControl w:val="0"/>
              <w:kinsoku/>
              <w:wordWrap/>
              <w:overflowPunct/>
              <w:topLinePunct w:val="0"/>
              <w:autoSpaceDE/>
              <w:autoSpaceDN/>
              <w:bidi w:val="0"/>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不外排</w:t>
            </w:r>
          </w:p>
        </w:tc>
      </w:tr>
      <w:tr w14:paraId="71370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vMerge w:val="continue"/>
            <w:noWrap/>
            <w:vAlign w:val="center"/>
          </w:tcPr>
          <w:p w14:paraId="627F7A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p>
        </w:tc>
        <w:tc>
          <w:tcPr>
            <w:tcW w:w="1460" w:type="dxa"/>
            <w:noWrap/>
            <w:vAlign w:val="center"/>
          </w:tcPr>
          <w:p w14:paraId="3E4567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000000" w:themeColor="text1"/>
                <w:sz w:val="21"/>
                <w:szCs w:val="21"/>
                <w14:textFill>
                  <w14:solidFill>
                    <w14:schemeClr w14:val="tx1"/>
                  </w14:solidFill>
                </w14:textFill>
              </w:rPr>
            </w:pPr>
            <w:r>
              <w:rPr>
                <w:rFonts w:hint="eastAsia" w:cs="Times New Roman"/>
                <w:b w:val="0"/>
                <w:bCs w:val="0"/>
                <w:color w:val="00B050"/>
                <w:kern w:val="2"/>
                <w:sz w:val="21"/>
                <w:szCs w:val="21"/>
                <w:lang w:val="en-US" w:eastAsia="zh-CN" w:bidi="ar-SA"/>
              </w:rPr>
              <w:t>碱洗废水</w:t>
            </w:r>
          </w:p>
        </w:tc>
        <w:tc>
          <w:tcPr>
            <w:tcW w:w="1387" w:type="dxa"/>
            <w:noWrap/>
            <w:vAlign w:val="center"/>
          </w:tcPr>
          <w:p w14:paraId="743443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748" w:type="dxa"/>
            <w:noWrap/>
            <w:vAlign w:val="center"/>
          </w:tcPr>
          <w:p w14:paraId="77FCCCC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kern w:val="21"/>
                <w:sz w:val="21"/>
                <w:szCs w:val="21"/>
                <w:lang w:val="en-US" w:eastAsia="zh-CN"/>
                <w14:textFill>
                  <w14:solidFill>
                    <w14:schemeClr w14:val="tx1"/>
                  </w14:solidFill>
                </w14:textFill>
              </w:rPr>
            </w:pPr>
            <w:r>
              <w:rPr>
                <w:rFonts w:hint="eastAsia" w:ascii="Times New Roman" w:hAnsi="Times New Roman" w:cs="Times New Roman"/>
                <w:b w:val="0"/>
                <w:bCs w:val="0"/>
                <w:color w:val="00B050"/>
                <w:kern w:val="2"/>
                <w:sz w:val="21"/>
                <w:szCs w:val="21"/>
                <w:vertAlign w:val="baseline"/>
                <w:lang w:val="en-US" w:eastAsia="zh-CN" w:bidi="ar-SA"/>
              </w:rPr>
              <w:t>项目产生</w:t>
            </w:r>
            <w:r>
              <w:rPr>
                <w:rFonts w:hint="eastAsia" w:cs="Times New Roman"/>
                <w:b w:val="0"/>
                <w:bCs w:val="0"/>
                <w:color w:val="00B050"/>
                <w:kern w:val="2"/>
                <w:sz w:val="21"/>
                <w:szCs w:val="21"/>
                <w:lang w:val="en-US" w:eastAsia="zh-CN" w:bidi="ar-SA"/>
              </w:rPr>
              <w:t>碱洗废水经0.5m</w:t>
            </w:r>
            <w:r>
              <w:rPr>
                <w:rFonts w:hint="eastAsia" w:cs="Times New Roman"/>
                <w:b w:val="0"/>
                <w:bCs w:val="0"/>
                <w:color w:val="00B050"/>
                <w:kern w:val="2"/>
                <w:sz w:val="21"/>
                <w:szCs w:val="21"/>
                <w:vertAlign w:val="superscript"/>
                <w:lang w:val="en-US" w:eastAsia="zh-CN" w:bidi="ar-SA"/>
              </w:rPr>
              <w:t>3</w:t>
            </w:r>
            <w:r>
              <w:rPr>
                <w:rFonts w:hint="eastAsia" w:cs="Times New Roman"/>
                <w:b w:val="0"/>
                <w:bCs w:val="0"/>
                <w:color w:val="00B050"/>
                <w:kern w:val="2"/>
                <w:sz w:val="21"/>
                <w:szCs w:val="21"/>
                <w:vertAlign w:val="baseline"/>
                <w:lang w:val="en-US" w:eastAsia="zh-CN" w:bidi="ar-SA"/>
              </w:rPr>
              <w:t>收集桶收集后委托</w:t>
            </w:r>
            <w:r>
              <w:rPr>
                <w:rFonts w:hint="eastAsia" w:cs="Times New Roman"/>
                <w:b w:val="0"/>
                <w:bCs w:val="0"/>
                <w:color w:val="00B050"/>
                <w:kern w:val="2"/>
                <w:sz w:val="21"/>
                <w:szCs w:val="21"/>
                <w:lang w:val="en-US" w:eastAsia="zh-CN" w:bidi="ar-SA"/>
              </w:rPr>
              <w:t>碱洗废水处置单位进行清运处置</w:t>
            </w:r>
          </w:p>
        </w:tc>
        <w:tc>
          <w:tcPr>
            <w:tcW w:w="2460" w:type="dxa"/>
            <w:noWrap/>
            <w:vAlign w:val="center"/>
          </w:tcPr>
          <w:p w14:paraId="480FF002">
            <w:pPr>
              <w:keepNext w:val="0"/>
              <w:keepLines w:val="0"/>
              <w:pageBreakBefore w:val="0"/>
              <w:widowControl w:val="0"/>
              <w:kinsoku/>
              <w:wordWrap/>
              <w:overflowPunct/>
              <w:topLinePunct w:val="0"/>
              <w:autoSpaceDE/>
              <w:autoSpaceDN/>
              <w:bidi w:val="0"/>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不外排</w:t>
            </w:r>
          </w:p>
        </w:tc>
      </w:tr>
      <w:tr w14:paraId="2CAF8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noWrap/>
            <w:vAlign w:val="center"/>
          </w:tcPr>
          <w:p w14:paraId="79B226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1460" w:type="dxa"/>
            <w:noWrap/>
            <w:vAlign w:val="center"/>
          </w:tcPr>
          <w:p w14:paraId="614785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生产设备</w:t>
            </w:r>
          </w:p>
        </w:tc>
        <w:tc>
          <w:tcPr>
            <w:tcW w:w="1387" w:type="dxa"/>
            <w:noWrap/>
            <w:vAlign w:val="center"/>
          </w:tcPr>
          <w:p w14:paraId="3EBA7B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2748" w:type="dxa"/>
            <w:noWrap/>
            <w:vAlign w:val="center"/>
          </w:tcPr>
          <w:p w14:paraId="0887EA1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①产噪设备采取底部减震；</w:t>
            </w:r>
          </w:p>
          <w:p w14:paraId="6240812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②设备置于室内，采取建筑物隔声；</w:t>
            </w:r>
          </w:p>
          <w:p w14:paraId="12BE641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③定期维修保养。</w:t>
            </w:r>
          </w:p>
        </w:tc>
        <w:tc>
          <w:tcPr>
            <w:tcW w:w="2460" w:type="dxa"/>
            <w:noWrap/>
            <w:vAlign w:val="center"/>
          </w:tcPr>
          <w:p w14:paraId="3FDCDA81">
            <w:pPr>
              <w:keepNext w:val="0"/>
              <w:keepLines w:val="0"/>
              <w:pageBreakBefore w:val="0"/>
              <w:widowControl w:val="0"/>
              <w:kinsoku/>
              <w:wordWrap/>
              <w:overflowPunct/>
              <w:topLinePunct w:val="0"/>
              <w:autoSpaceDE/>
              <w:autoSpaceDN/>
              <w:bidi w:val="0"/>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达到《工业企业厂界环境噪声排放标准》（GB12348-2008）</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类标准</w:t>
            </w:r>
          </w:p>
        </w:tc>
      </w:tr>
      <w:tr w14:paraId="00A1A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noWrap/>
            <w:vAlign w:val="center"/>
          </w:tcPr>
          <w:p w14:paraId="2CD97E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电磁辐射</w:t>
            </w:r>
          </w:p>
        </w:tc>
        <w:tc>
          <w:tcPr>
            <w:tcW w:w="1460" w:type="dxa"/>
            <w:noWrap/>
            <w:vAlign w:val="center"/>
          </w:tcPr>
          <w:p w14:paraId="486BAF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387" w:type="dxa"/>
            <w:noWrap/>
            <w:vAlign w:val="center"/>
          </w:tcPr>
          <w:p w14:paraId="67BA5E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748" w:type="dxa"/>
            <w:noWrap/>
            <w:vAlign w:val="center"/>
          </w:tcPr>
          <w:p w14:paraId="74B97E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460" w:type="dxa"/>
            <w:noWrap/>
            <w:vAlign w:val="center"/>
          </w:tcPr>
          <w:p w14:paraId="78506E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12F6B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noWrap/>
            <w:vAlign w:val="center"/>
          </w:tcPr>
          <w:p w14:paraId="60EB8E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8055" w:type="dxa"/>
            <w:gridSpan w:val="4"/>
            <w:noWrap/>
            <w:vAlign w:val="center"/>
          </w:tcPr>
          <w:p w14:paraId="3AA851BC">
            <w:pPr>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val="0"/>
                <w:bCs w:val="0"/>
                <w:color w:val="0000FF"/>
                <w:sz w:val="21"/>
                <w:szCs w:val="21"/>
                <w:lang w:val="en-US" w:eastAsia="zh-CN"/>
              </w:rPr>
            </w:pPr>
            <w:r>
              <w:rPr>
                <w:rFonts w:hint="default" w:ascii="Times New Roman" w:hAnsi="Times New Roman" w:cs="Times New Roman"/>
                <w:b w:val="0"/>
                <w:bCs w:val="0"/>
                <w:color w:val="0000FF"/>
                <w:sz w:val="21"/>
                <w:szCs w:val="21"/>
                <w:lang w:val="en-US" w:eastAsia="zh-CN"/>
              </w:rPr>
              <w:t>①生活垃圾</w:t>
            </w:r>
            <w:r>
              <w:rPr>
                <w:rFonts w:hint="default" w:ascii="Times New Roman" w:hAnsi="Times New Roman" w:cs="Times New Roman"/>
                <w:b w:val="0"/>
                <w:bCs w:val="0"/>
                <w:color w:val="0000FF"/>
                <w:sz w:val="21"/>
                <w:szCs w:val="21"/>
              </w:rPr>
              <w:t>进行简单分类，可以回收的回收利用，不可回收的装袋</w:t>
            </w:r>
            <w:r>
              <w:rPr>
                <w:rFonts w:hint="default" w:ascii="Times New Roman" w:hAnsi="Times New Roman" w:eastAsia="宋体" w:cs="Times New Roman"/>
                <w:b w:val="0"/>
                <w:bCs w:val="0"/>
                <w:color w:val="0000FF"/>
                <w:spacing w:val="-10"/>
                <w:sz w:val="21"/>
                <w:szCs w:val="21"/>
                <w:highlight w:val="none"/>
              </w:rPr>
              <w:t>送至</w:t>
            </w:r>
            <w:r>
              <w:rPr>
                <w:rFonts w:hint="default" w:ascii="Times New Roman" w:hAnsi="Times New Roman" w:eastAsia="宋体" w:cs="Times New Roman"/>
                <w:b w:val="0"/>
                <w:bCs w:val="0"/>
                <w:color w:val="0000FF"/>
                <w:spacing w:val="-10"/>
                <w:sz w:val="21"/>
                <w:szCs w:val="21"/>
                <w:highlight w:val="none"/>
                <w:lang w:val="en-US" w:eastAsia="zh-CN"/>
              </w:rPr>
              <w:t>珠街社区珠街村</w:t>
            </w:r>
            <w:r>
              <w:rPr>
                <w:rFonts w:hint="default" w:ascii="Times New Roman" w:hAnsi="Times New Roman" w:eastAsia="宋体" w:cs="Times New Roman"/>
                <w:b w:val="0"/>
                <w:bCs w:val="0"/>
                <w:color w:val="0000FF"/>
                <w:spacing w:val="-10"/>
                <w:sz w:val="21"/>
                <w:szCs w:val="21"/>
                <w:highlight w:val="none"/>
              </w:rPr>
              <w:t>垃圾堆放点，委托</w:t>
            </w:r>
            <w:r>
              <w:rPr>
                <w:rFonts w:hint="default" w:ascii="Times New Roman" w:hAnsi="Times New Roman" w:eastAsia="宋体" w:cs="Times New Roman"/>
                <w:b w:val="0"/>
                <w:bCs w:val="0"/>
                <w:color w:val="0000FF"/>
                <w:spacing w:val="-10"/>
                <w:sz w:val="21"/>
                <w:szCs w:val="21"/>
                <w:highlight w:val="none"/>
                <w:lang w:val="en-US" w:eastAsia="zh-CN"/>
              </w:rPr>
              <w:t>麒麟区</w:t>
            </w:r>
            <w:r>
              <w:rPr>
                <w:rFonts w:hint="default" w:ascii="Times New Roman" w:hAnsi="Times New Roman" w:eastAsia="宋体" w:cs="Times New Roman"/>
                <w:b w:val="0"/>
                <w:bCs w:val="0"/>
                <w:color w:val="0000FF"/>
                <w:spacing w:val="-10"/>
                <w:sz w:val="21"/>
                <w:szCs w:val="21"/>
                <w:highlight w:val="none"/>
              </w:rPr>
              <w:t>环卫部门清运处置</w:t>
            </w:r>
            <w:r>
              <w:rPr>
                <w:rFonts w:hint="default" w:ascii="Times New Roman" w:hAnsi="Times New Roman" w:cs="Times New Roman"/>
                <w:b w:val="0"/>
                <w:bCs w:val="0"/>
                <w:color w:val="0000FF"/>
                <w:sz w:val="21"/>
                <w:szCs w:val="21"/>
                <w:lang w:val="en-US" w:eastAsia="zh-CN"/>
              </w:rPr>
              <w:t>；</w:t>
            </w:r>
          </w:p>
          <w:p w14:paraId="28C6C4C4">
            <w:pPr>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val="0"/>
                <w:bCs w:val="0"/>
                <w:color w:val="0000FF"/>
                <w:sz w:val="21"/>
                <w:szCs w:val="21"/>
                <w:lang w:val="en-US" w:eastAsia="zh-CN"/>
              </w:rPr>
            </w:pPr>
            <w:r>
              <w:rPr>
                <w:rFonts w:hint="default" w:ascii="Times New Roman" w:hAnsi="Times New Roman" w:cs="Times New Roman"/>
                <w:b w:val="0"/>
                <w:bCs w:val="0"/>
                <w:color w:val="0000FF"/>
                <w:sz w:val="21"/>
                <w:szCs w:val="21"/>
                <w:lang w:val="en-US" w:eastAsia="zh-CN"/>
              </w:rPr>
              <w:t>②</w:t>
            </w:r>
            <w:r>
              <w:rPr>
                <w:rFonts w:hint="default" w:ascii="Times New Roman" w:hAnsi="Times New Roman" w:eastAsia="宋体" w:cs="Times New Roman"/>
                <w:b w:val="0"/>
                <w:bCs w:val="0"/>
                <w:color w:val="0000FF"/>
                <w:sz w:val="21"/>
                <w:szCs w:val="21"/>
                <w:highlight w:val="none"/>
                <w:lang w:val="en-US" w:eastAsia="zh-CN"/>
              </w:rPr>
              <w:t>含油废抹布、手套</w:t>
            </w:r>
            <w:r>
              <w:rPr>
                <w:rFonts w:hint="default" w:ascii="Times New Roman" w:hAnsi="Times New Roman" w:cs="Times New Roman"/>
                <w:b w:val="0"/>
                <w:bCs w:val="0"/>
                <w:color w:val="0000FF"/>
                <w:sz w:val="21"/>
                <w:szCs w:val="21"/>
                <w:lang w:val="en-US" w:eastAsia="zh-CN"/>
              </w:rPr>
              <w:t>使用密闭容器统一收集后暂存于危险废物暂存区域，交有资质单位定期清运处置；</w:t>
            </w:r>
          </w:p>
          <w:p w14:paraId="589C5135">
            <w:pPr>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val="0"/>
                <w:bCs w:val="0"/>
                <w:color w:val="0000FF"/>
                <w:sz w:val="21"/>
                <w:szCs w:val="21"/>
                <w:lang w:val="en-US" w:eastAsia="zh-CN"/>
              </w:rPr>
            </w:pPr>
            <w:r>
              <w:rPr>
                <w:rFonts w:hint="default" w:ascii="Times New Roman" w:hAnsi="Times New Roman" w:cs="Times New Roman"/>
                <w:b w:val="0"/>
                <w:bCs w:val="0"/>
                <w:color w:val="0000FF"/>
                <w:sz w:val="21"/>
                <w:szCs w:val="21"/>
                <w:lang w:val="en-US" w:eastAsia="zh-CN"/>
              </w:rPr>
              <w:t>③废活性炭更换后暂存于危险废物暂存区域，废活性炭交由有资质的单位处置，建设单位应根据生产情况，及时更换活性炭，并做好活性炭更换记录，留档备查；</w:t>
            </w:r>
          </w:p>
          <w:p w14:paraId="5E7A6F08">
            <w:pPr>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val="0"/>
                <w:bCs w:val="0"/>
                <w:color w:val="0000FF"/>
                <w:kern w:val="0"/>
                <w:sz w:val="21"/>
                <w:szCs w:val="21"/>
                <w:lang w:val="en-US" w:eastAsia="zh-CN" w:bidi="ar-SA"/>
              </w:rPr>
            </w:pPr>
            <w:r>
              <w:rPr>
                <w:rFonts w:hint="default" w:ascii="Times New Roman" w:hAnsi="Times New Roman" w:eastAsia="微软雅黑" w:cs="Times New Roman"/>
                <w:b w:val="0"/>
                <w:bCs w:val="0"/>
                <w:color w:val="0000FF"/>
                <w:kern w:val="0"/>
                <w:sz w:val="21"/>
                <w:szCs w:val="21"/>
                <w:lang w:val="en-US" w:eastAsia="zh-CN" w:bidi="ar-SA"/>
              </w:rPr>
              <w:t>④</w:t>
            </w:r>
            <w:r>
              <w:rPr>
                <w:rFonts w:hint="default" w:ascii="Times New Roman" w:hAnsi="Times New Roman" w:eastAsia="宋体" w:cs="Times New Roman"/>
                <w:b w:val="0"/>
                <w:bCs w:val="0"/>
                <w:color w:val="0000FF"/>
                <w:kern w:val="0"/>
                <w:sz w:val="21"/>
                <w:szCs w:val="21"/>
                <w:lang w:val="en-US" w:eastAsia="zh-CN" w:bidi="ar-SA"/>
              </w:rPr>
              <w:t>废矿物油滴漏处理的废沙土</w:t>
            </w:r>
            <w:r>
              <w:rPr>
                <w:rFonts w:hint="default" w:ascii="Times New Roman" w:hAnsi="Times New Roman" w:cs="Times New Roman"/>
                <w:b w:val="0"/>
                <w:bCs w:val="0"/>
                <w:color w:val="0000FF"/>
                <w:kern w:val="0"/>
                <w:sz w:val="21"/>
                <w:szCs w:val="21"/>
                <w:lang w:val="en-US" w:eastAsia="zh-CN" w:bidi="ar-SA"/>
              </w:rPr>
              <w:t>：经贮存库收集后随同类危险废物转移至资质单位处置；</w:t>
            </w:r>
          </w:p>
          <w:p w14:paraId="5894B69A">
            <w:pPr>
              <w:keepNext w:val="0"/>
              <w:keepLines w:val="0"/>
              <w:pageBreakBefore w:val="0"/>
              <w:widowControl w:val="0"/>
              <w:kinsoku/>
              <w:wordWrap/>
              <w:overflowPunct/>
              <w:topLinePunct w:val="0"/>
              <w:autoSpaceDE/>
              <w:autoSpaceDN/>
              <w:bidi w:val="0"/>
              <w:ind w:firstLine="0" w:firstLineChars="0"/>
              <w:textAlignment w:val="auto"/>
              <w:rPr>
                <w:rFonts w:hint="default" w:cs="Times New Roman"/>
                <w:color w:val="00B050"/>
                <w:kern w:val="0"/>
                <w:sz w:val="24"/>
                <w:szCs w:val="52"/>
                <w:lang w:val="en-US" w:eastAsia="zh-CN" w:bidi="ar-SA"/>
              </w:rPr>
            </w:pPr>
            <w:r>
              <w:rPr>
                <w:rFonts w:hint="default" w:ascii="Times New Roman" w:hAnsi="Times New Roman" w:eastAsia="微软雅黑" w:cs="Times New Roman"/>
                <w:b w:val="0"/>
                <w:bCs w:val="0"/>
                <w:color w:val="0000FF"/>
                <w:kern w:val="0"/>
                <w:sz w:val="21"/>
                <w:szCs w:val="21"/>
                <w:lang w:val="en-US" w:eastAsia="zh-CN" w:bidi="ar-SA"/>
              </w:rPr>
              <w:t>⑤</w:t>
            </w:r>
            <w:r>
              <w:rPr>
                <w:rFonts w:hint="default" w:ascii="Times New Roman" w:hAnsi="Times New Roman" w:cs="Times New Roman"/>
                <w:b w:val="0"/>
                <w:bCs w:val="0"/>
                <w:color w:val="0000FF"/>
                <w:kern w:val="0"/>
                <w:sz w:val="21"/>
                <w:szCs w:val="21"/>
                <w:lang w:val="en-US" w:eastAsia="zh-CN" w:bidi="ar-SA"/>
              </w:rPr>
              <w:t>废积液经密闭积液管道收集后排入</w:t>
            </w:r>
            <w:r>
              <w:rPr>
                <w:rFonts w:hint="default" w:ascii="Times New Roman" w:hAnsi="Times New Roman" w:eastAsia="宋体" w:cs="Times New Roman"/>
                <w:b w:val="0"/>
                <w:bCs w:val="0"/>
                <w:color w:val="0000FF"/>
                <w:kern w:val="0"/>
                <w:sz w:val="21"/>
                <w:szCs w:val="21"/>
                <w:lang w:val="en-US" w:eastAsia="zh-CN" w:bidi="ar-SA"/>
              </w:rPr>
              <w:t>废液收集池</w:t>
            </w:r>
            <w:r>
              <w:rPr>
                <w:rFonts w:hint="default" w:ascii="Times New Roman" w:hAnsi="Times New Roman" w:cs="Times New Roman"/>
                <w:b w:val="0"/>
                <w:bCs w:val="0"/>
                <w:color w:val="0000FF"/>
                <w:kern w:val="0"/>
                <w:sz w:val="21"/>
                <w:szCs w:val="21"/>
                <w:lang w:val="en-US" w:eastAsia="zh-CN" w:bidi="ar-SA"/>
              </w:rPr>
              <w:t>，废液收集池进行盖板密封处理，废积液收集后随同类危险废物转移至资质单位处置。</w:t>
            </w:r>
          </w:p>
        </w:tc>
      </w:tr>
      <w:tr w14:paraId="2B5A9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noWrap/>
            <w:vAlign w:val="center"/>
          </w:tcPr>
          <w:p w14:paraId="741875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生态保护措施</w:t>
            </w:r>
          </w:p>
        </w:tc>
        <w:tc>
          <w:tcPr>
            <w:tcW w:w="8055" w:type="dxa"/>
            <w:gridSpan w:val="4"/>
            <w:noWrap/>
            <w:vAlign w:val="center"/>
          </w:tcPr>
          <w:p w14:paraId="062004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3F3B8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noWrap/>
            <w:vAlign w:val="center"/>
          </w:tcPr>
          <w:p w14:paraId="14B5B3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土壤、地下水</w:t>
            </w:r>
          </w:p>
        </w:tc>
        <w:tc>
          <w:tcPr>
            <w:tcW w:w="8055" w:type="dxa"/>
            <w:gridSpan w:val="4"/>
            <w:noWrap/>
            <w:vAlign w:val="center"/>
          </w:tcPr>
          <w:p w14:paraId="1241A9B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w:t>
            </w:r>
            <w:r>
              <w:rPr>
                <w:rFonts w:hint="eastAsia"/>
                <w:b/>
                <w:bCs/>
                <w:color w:val="000000" w:themeColor="text1"/>
                <w:sz w:val="21"/>
                <w:szCs w:val="21"/>
                <w14:textFill>
                  <w14:solidFill>
                    <w14:schemeClr w14:val="tx1"/>
                  </w14:solidFill>
                </w14:textFill>
              </w:rPr>
              <w:t>源头控制</w:t>
            </w:r>
          </w:p>
          <w:p w14:paraId="19ED0710">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①盛装危险废物的包装材料选用合格品，且根据不同</w:t>
            </w:r>
            <w:r>
              <w:rPr>
                <w:rFonts w:hint="eastAsia"/>
                <w:color w:val="000000" w:themeColor="text1"/>
                <w:sz w:val="21"/>
                <w:szCs w:val="21"/>
                <w:lang w:eastAsia="zh-CN"/>
                <w14:textFill>
                  <w14:solidFill>
                    <w14:schemeClr w14:val="tx1"/>
                  </w14:solidFill>
                </w14:textFill>
              </w:rPr>
              <w:t>危险废物</w:t>
            </w:r>
            <w:r>
              <w:rPr>
                <w:rFonts w:hint="eastAsia"/>
                <w:color w:val="000000" w:themeColor="text1"/>
                <w:sz w:val="21"/>
                <w:szCs w:val="21"/>
                <w14:textFill>
                  <w14:solidFill>
                    <w14:schemeClr w14:val="tx1"/>
                  </w14:solidFill>
                </w14:textFill>
              </w:rPr>
              <w:t>类别选取不同材料的包装物，确保危险废物与包装材料相容。</w:t>
            </w:r>
          </w:p>
          <w:p w14:paraId="0A680C49">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②日常贮存期间应确保废物保持密闭，包装袋等盛装物应闭口包装。</w:t>
            </w:r>
          </w:p>
          <w:p w14:paraId="3653FDF9">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w:t>
            </w:r>
            <w:r>
              <w:rPr>
                <w:rFonts w:hint="eastAsia"/>
                <w:color w:val="000000" w:themeColor="text1"/>
                <w:sz w:val="21"/>
                <w:szCs w:val="21"/>
                <w:lang w:eastAsia="zh-CN"/>
                <w14:textFill>
                  <w14:solidFill>
                    <w14:schemeClr w14:val="tx1"/>
                  </w14:solidFill>
                </w14:textFill>
              </w:rPr>
              <w:t>危险废物</w:t>
            </w:r>
            <w:r>
              <w:rPr>
                <w:rFonts w:hint="eastAsia"/>
                <w:color w:val="000000" w:themeColor="text1"/>
                <w:sz w:val="21"/>
                <w:szCs w:val="21"/>
                <w14:textFill>
                  <w14:solidFill>
                    <w14:schemeClr w14:val="tx1"/>
                  </w14:solidFill>
                </w14:textFill>
              </w:rPr>
              <w:t>转移过程中应按要求进行搬运，禁止倾倒、野蛮装运等情况。</w:t>
            </w:r>
          </w:p>
          <w:p w14:paraId="753BB31B">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④选择优质材料建设贮存库区、储罐、管线，严格按设计要求进行安装。</w:t>
            </w:r>
          </w:p>
          <w:p w14:paraId="3E53945C">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⑤加强对</w:t>
            </w:r>
            <w:r>
              <w:rPr>
                <w:rFonts w:hint="eastAsia"/>
                <w:color w:val="000000" w:themeColor="text1"/>
                <w:sz w:val="21"/>
                <w:szCs w:val="21"/>
                <w:lang w:eastAsia="zh-CN"/>
                <w14:textFill>
                  <w14:solidFill>
                    <w14:schemeClr w14:val="tx1"/>
                  </w14:solidFill>
                </w14:textFill>
              </w:rPr>
              <w:t>危险废物</w:t>
            </w:r>
            <w:r>
              <w:rPr>
                <w:rFonts w:hint="eastAsia"/>
                <w:color w:val="000000" w:themeColor="text1"/>
                <w:sz w:val="21"/>
                <w:szCs w:val="21"/>
                <w14:textFill>
                  <w14:solidFill>
                    <w14:schemeClr w14:val="tx1"/>
                  </w14:solidFill>
                </w14:textFill>
              </w:rPr>
              <w:t>贮存的日常管理，建立定期巡查制度，做到早发现、早处理，以减少由于跑、冒、滴、漏而可能造成地下水污染。</w:t>
            </w:r>
          </w:p>
          <w:p w14:paraId="0A6D85F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分区防渗</w:t>
            </w:r>
          </w:p>
          <w:p w14:paraId="770B8E6E">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①</w:t>
            </w:r>
            <w:r>
              <w:rPr>
                <w:rFonts w:hint="eastAsia"/>
                <w:color w:val="000000" w:themeColor="text1"/>
                <w:sz w:val="21"/>
                <w:szCs w:val="21"/>
                <w14:textFill>
                  <w14:solidFill>
                    <w14:schemeClr w14:val="tx1"/>
                  </w14:solidFill>
                </w14:textFill>
              </w:rPr>
              <w:t>重点防渗区为</w:t>
            </w:r>
            <w:r>
              <w:rPr>
                <w:rFonts w:hint="eastAsia"/>
                <w:color w:val="FF0000"/>
                <w:sz w:val="21"/>
                <w:szCs w:val="21"/>
                <w:lang w:val="en-US" w:eastAsia="zh-CN"/>
              </w:rPr>
              <w:t>废矿物油罐区</w:t>
            </w:r>
            <w:r>
              <w:rPr>
                <w:rFonts w:hint="eastAsia" w:eastAsiaTheme="majorEastAsia"/>
                <w:color w:val="FF0000"/>
                <w:sz w:val="21"/>
                <w:szCs w:val="21"/>
                <w:lang w:val="en-US" w:eastAsia="zh-CN"/>
              </w:rPr>
              <w:t>、</w:t>
            </w:r>
            <w:r>
              <w:rPr>
                <w:rFonts w:hint="eastAsia"/>
                <w:color w:val="FF0000"/>
                <w:sz w:val="21"/>
                <w:szCs w:val="21"/>
                <w:lang w:val="en-US" w:eastAsia="zh-CN"/>
              </w:rPr>
              <w:t>废矿物油装卸区、</w:t>
            </w:r>
            <w:r>
              <w:rPr>
                <w:rFonts w:hint="eastAsia"/>
                <w:color w:val="FF0000"/>
                <w:sz w:val="21"/>
                <w:szCs w:val="21"/>
                <w:vertAlign w:val="baseline"/>
                <w:lang w:val="en-US" w:eastAsia="zh-CN"/>
              </w:rPr>
              <w:t>废旧电池贮存区</w:t>
            </w:r>
            <w:r>
              <w:rPr>
                <w:rFonts w:hint="eastAsia" w:eastAsiaTheme="majorEastAsia"/>
                <w:color w:val="FF0000"/>
                <w:sz w:val="21"/>
                <w:szCs w:val="21"/>
                <w:lang w:val="en-US" w:eastAsia="zh-CN"/>
              </w:rPr>
              <w:t>（包括库内废液收集池）、</w:t>
            </w:r>
            <w:r>
              <w:rPr>
                <w:rFonts w:hint="eastAsia"/>
                <w:color w:val="FF0000"/>
                <w:sz w:val="21"/>
                <w:szCs w:val="21"/>
                <w:lang w:val="en-US" w:eastAsia="zh-CN"/>
              </w:rPr>
              <w:t>废旧电池装卸区、</w:t>
            </w:r>
            <w:r>
              <w:rPr>
                <w:rFonts w:hint="eastAsia" w:eastAsiaTheme="majorEastAsia"/>
                <w:color w:val="FF0000"/>
                <w:sz w:val="21"/>
                <w:szCs w:val="21"/>
                <w:lang w:val="en-US" w:eastAsia="zh-CN"/>
              </w:rPr>
              <w:t>消防事故池等</w:t>
            </w:r>
            <w:r>
              <w:rPr>
                <w:rFonts w:hint="eastAsia"/>
                <w:color w:val="000000" w:themeColor="text1"/>
                <w:sz w:val="21"/>
                <w:szCs w:val="21"/>
                <w14:textFill>
                  <w14:solidFill>
                    <w14:schemeClr w14:val="tx1"/>
                  </w14:solidFill>
                </w14:textFill>
              </w:rPr>
              <w:t>，防渗要求按照《危险废物贮存污染控制标准》（GB18597-2023）执行；</w:t>
            </w:r>
          </w:p>
          <w:p w14:paraId="17E86D37">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②</w:t>
            </w:r>
            <w:r>
              <w:rPr>
                <w:rFonts w:hint="eastAsia"/>
                <w:color w:val="000000" w:themeColor="text1"/>
                <w:sz w:val="21"/>
                <w:szCs w:val="21"/>
                <w14:textFill>
                  <w14:solidFill>
                    <w14:schemeClr w14:val="tx1"/>
                  </w14:solidFill>
                </w14:textFill>
              </w:rPr>
              <w:t>简单防渗</w:t>
            </w:r>
            <w:r>
              <w:rPr>
                <w:rFonts w:hint="eastAsia"/>
                <w:color w:val="000000" w:themeColor="text1"/>
                <w:sz w:val="21"/>
                <w:szCs w:val="21"/>
                <w:lang w:eastAsia="zh-CN"/>
                <w14:textFill>
                  <w14:solidFill>
                    <w14:schemeClr w14:val="tx1"/>
                  </w14:solidFill>
                </w14:textFill>
              </w:rPr>
              <w:t>区位</w:t>
            </w:r>
            <w:r>
              <w:rPr>
                <w:rFonts w:hint="eastAsia"/>
                <w:color w:val="000000" w:themeColor="text1"/>
                <w:sz w:val="21"/>
                <w:szCs w:val="21"/>
                <w14:textFill>
                  <w14:solidFill>
                    <w14:schemeClr w14:val="tx1"/>
                  </w14:solidFill>
                </w14:textFill>
              </w:rPr>
              <w:t>处重点防渗区以外的区域，采取普通地面硬化。</w:t>
            </w:r>
          </w:p>
          <w:p w14:paraId="5B8A92F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3、</w:t>
            </w:r>
            <w:r>
              <w:rPr>
                <w:rFonts w:hint="eastAsia"/>
                <w:b/>
                <w:bCs/>
                <w:color w:val="000000" w:themeColor="text1"/>
                <w:sz w:val="21"/>
                <w:szCs w:val="21"/>
                <w14:textFill>
                  <w14:solidFill>
                    <w14:schemeClr w14:val="tx1"/>
                  </w14:solidFill>
                </w14:textFill>
              </w:rPr>
              <w:t>过程控制</w:t>
            </w:r>
          </w:p>
          <w:p w14:paraId="747F331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eastAsia="宋体" w:cs="Times New Roman"/>
                <w:color w:val="000000" w:themeColor="text1"/>
                <w:kern w:val="0"/>
                <w:sz w:val="21"/>
                <w:szCs w:val="21"/>
                <w:highlight w:val="gree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①</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罐区设置</w:t>
            </w:r>
            <w:r>
              <w:rPr>
                <w:rFonts w:hint="eastAsia" w:cs="Times New Roman"/>
                <w:color w:val="000000" w:themeColor="text1"/>
                <w:kern w:val="0"/>
                <w:sz w:val="21"/>
                <w:szCs w:val="21"/>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m的围堰</w:t>
            </w:r>
            <w:r>
              <w:rPr>
                <w:rFonts w:hint="eastAsia" w:cs="Times New Roman"/>
                <w:color w:val="000000" w:themeColor="text1"/>
                <w:kern w:val="0"/>
                <w:sz w:val="21"/>
                <w:szCs w:val="21"/>
                <w:highlight w:val="none"/>
                <w:lang w:val="en-US" w:eastAsia="zh-CN"/>
                <w14:textFill>
                  <w14:solidFill>
                    <w14:schemeClr w14:val="tx1"/>
                  </w14:solidFill>
                </w14:textFill>
              </w:rPr>
              <w:t>1座，</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有效容积</w:t>
            </w:r>
            <w:r>
              <w:rPr>
                <w:rFonts w:hint="eastAsia" w:cs="Times New Roman"/>
                <w:color w:val="000000" w:themeColor="text1"/>
                <w:kern w:val="0"/>
                <w:sz w:val="21"/>
                <w:szCs w:val="21"/>
                <w:highlight w:val="none"/>
                <w:lang w:val="en-US" w:eastAsia="zh-CN"/>
                <w14:textFill>
                  <w14:solidFill>
                    <w14:schemeClr w14:val="tx1"/>
                  </w14:solidFill>
                </w14:textFill>
              </w:rPr>
              <w:t>108</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color w:val="000000" w:themeColor="text1"/>
                <w:kern w:val="0"/>
                <w:sz w:val="21"/>
                <w:szCs w:val="21"/>
                <w:highlight w:val="none"/>
                <w:vertAlign w:val="baseline"/>
                <w:lang w:val="en-US"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设置1座应急储罐用于倒罐。废矿物油装卸区设置11.67</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r>
              <w:rPr>
                <w:rFonts w:hint="eastAsia" w:cs="Times New Roman"/>
                <w:color w:val="000000" w:themeColor="text1"/>
                <w:kern w:val="0"/>
                <w:sz w:val="2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m×0.15m围堰1座，有效容积</w:t>
            </w:r>
            <w:r>
              <w:rPr>
                <w:rFonts w:hint="eastAsia" w:cs="Times New Roman"/>
                <w:color w:val="000000" w:themeColor="text1"/>
                <w:kern w:val="0"/>
                <w:sz w:val="21"/>
                <w:szCs w:val="21"/>
                <w:highlight w:val="none"/>
                <w:lang w:val="en-US" w:eastAsia="zh-CN"/>
                <w14:textFill>
                  <w14:solidFill>
                    <w14:schemeClr w14:val="tx1"/>
                  </w14:solidFill>
                </w14:textFill>
              </w:rPr>
              <w:t>10.5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color w:val="000000" w:themeColor="text1"/>
                <w:kern w:val="0"/>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围堰内</w:t>
            </w:r>
            <w:r>
              <w:rPr>
                <w:rFonts w:ascii="Times New Roman" w:hAnsi="Times New Roman" w:eastAsia="宋体" w:cs="Times New Roman"/>
                <w:color w:val="000000" w:themeColor="text1"/>
                <w:kern w:val="0"/>
                <w:sz w:val="21"/>
                <w:szCs w:val="21"/>
                <w:highlight w:val="none"/>
                <w14:textFill>
                  <w14:solidFill>
                    <w14:schemeClr w14:val="tx1"/>
                  </w14:solidFill>
                </w14:textFill>
              </w:rPr>
              <w:t>不能存放废水或其他</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废液</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日常保持空置。</w:t>
            </w:r>
          </w:p>
          <w:p w14:paraId="41A8002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其他</w:t>
            </w:r>
            <w:r>
              <w:rPr>
                <w:rFonts w:hint="eastAsia" w:cs="Times New Roman"/>
                <w:color w:val="000000" w:themeColor="text1"/>
                <w:kern w:val="0"/>
                <w:sz w:val="21"/>
                <w:szCs w:val="21"/>
                <w:lang w:val="en-US" w:eastAsia="zh-CN"/>
                <w14:textFill>
                  <w14:solidFill>
                    <w14:schemeClr w14:val="tx1"/>
                  </w14:solidFill>
                </w14:textFill>
              </w:rPr>
              <w:t>危险废物</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贮存区内，各贮存分区分别建设1座0.1m</w:t>
            </w:r>
            <w:r>
              <w:rPr>
                <w:rFonts w:hint="eastAsia"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的</w:t>
            </w:r>
            <w:r>
              <w:rPr>
                <w:rFonts w:hint="eastAsia" w:cs="Times New Roman"/>
                <w:color w:val="000000" w:themeColor="text1"/>
                <w:kern w:val="0"/>
                <w:sz w:val="21"/>
                <w:szCs w:val="21"/>
                <w:vertAlign w:val="baseline"/>
                <w:lang w:val="en-US" w:eastAsia="zh-CN"/>
                <w14:textFill>
                  <w14:solidFill>
                    <w14:schemeClr w14:val="tx1"/>
                  </w14:solidFill>
                </w14:textFill>
              </w:rPr>
              <w:t>废液收集池</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，分区内地面建设环状导流沟</w:t>
            </w:r>
            <w:r>
              <w:rPr>
                <w:rFonts w:hint="eastAsia" w:cs="Times New Roman"/>
                <w:color w:val="000000" w:themeColor="text1"/>
                <w:kern w:val="0"/>
                <w:sz w:val="21"/>
                <w:szCs w:val="21"/>
                <w:vertAlign w:val="baseline"/>
                <w:lang w:val="en-US" w:eastAsia="zh-CN"/>
                <w14:textFill>
                  <w14:solidFill>
                    <w14:schemeClr w14:val="tx1"/>
                  </w14:solidFill>
                </w14:textFill>
              </w:rPr>
              <w:t>，末端</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与</w:t>
            </w:r>
            <w:r>
              <w:rPr>
                <w:rFonts w:hint="eastAsia" w:cs="Times New Roman"/>
                <w:color w:val="000000" w:themeColor="text1"/>
                <w:kern w:val="0"/>
                <w:sz w:val="21"/>
                <w:szCs w:val="21"/>
                <w:vertAlign w:val="baseline"/>
                <w:lang w:val="en-US" w:eastAsia="zh-CN"/>
                <w14:textFill>
                  <w14:solidFill>
                    <w14:schemeClr w14:val="tx1"/>
                  </w14:solidFill>
                </w14:textFill>
              </w:rPr>
              <w:t>废液收集池</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相连接</w:t>
            </w:r>
            <w:r>
              <w:rPr>
                <w:rFonts w:hint="eastAsia" w:ascii="Times New Roman" w:hAnsi="Times New Roman" w:eastAsia="宋体" w:cs="Times New Roman"/>
                <w:color w:val="000000" w:themeColor="text1"/>
                <w:kern w:val="0"/>
                <w:sz w:val="21"/>
                <w:szCs w:val="21"/>
                <w14:textFill>
                  <w14:solidFill>
                    <w14:schemeClr w14:val="tx1"/>
                  </w14:solidFill>
                </w14:textFill>
              </w:rPr>
              <w:t>。</w:t>
            </w:r>
          </w:p>
          <w:p w14:paraId="7FAF183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③贮存库区内合理布置应急收集设施，包括吸附、吸收材料、备用包装材料、可移动式泵机等，确保发生泄漏时可对危险废物进行有效收集，及时消除污染源。</w:t>
            </w:r>
          </w:p>
          <w:p w14:paraId="46ECF93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b/>
                <w:bCs/>
                <w:color w:val="00B050"/>
                <w:sz w:val="21"/>
                <w:szCs w:val="21"/>
              </w:rPr>
            </w:pPr>
            <w:r>
              <w:rPr>
                <w:rFonts w:hint="eastAsia"/>
                <w:b/>
                <w:bCs/>
                <w:color w:val="00B050"/>
                <w:sz w:val="21"/>
                <w:szCs w:val="21"/>
                <w:lang w:val="en-US" w:eastAsia="zh-CN"/>
              </w:rPr>
              <w:t>4、</w:t>
            </w:r>
            <w:r>
              <w:rPr>
                <w:rFonts w:hint="eastAsia"/>
                <w:b/>
                <w:bCs/>
                <w:color w:val="00B050"/>
                <w:sz w:val="21"/>
                <w:szCs w:val="21"/>
              </w:rPr>
              <w:t>跟踪监测</w:t>
            </w:r>
          </w:p>
          <w:p w14:paraId="4D40FBD8">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color w:val="000000" w:themeColor="text1"/>
                <w:sz w:val="21"/>
                <w:szCs w:val="21"/>
                <w14:textFill>
                  <w14:solidFill>
                    <w14:schemeClr w14:val="tx1"/>
                  </w14:solidFill>
                </w14:textFill>
              </w:rPr>
            </w:pPr>
            <w:r>
              <w:rPr>
                <w:rFonts w:hint="eastAsia" w:cs="Times New Roman"/>
                <w:color w:val="00B050"/>
                <w:kern w:val="0"/>
                <w:sz w:val="21"/>
                <w:szCs w:val="21"/>
                <w:lang w:val="en-US" w:eastAsia="zh-CN" w:bidi="ar-SA"/>
              </w:rPr>
              <w:t>项目于贮存库西侧建设1口地下水跟踪监测井</w:t>
            </w:r>
            <w:r>
              <w:rPr>
                <w:rFonts w:hint="eastAsia"/>
                <w:color w:val="00B050"/>
                <w:sz w:val="21"/>
                <w:szCs w:val="21"/>
              </w:rPr>
              <w:t>。</w:t>
            </w:r>
            <w:r>
              <w:rPr>
                <w:rFonts w:hint="eastAsia"/>
                <w:color w:val="00B050"/>
                <w:sz w:val="21"/>
                <w:szCs w:val="21"/>
                <w:lang w:val="en-US" w:eastAsia="zh-CN"/>
              </w:rPr>
              <w:t>并根据本环评制定的监测方案开展自行监测。</w:t>
            </w:r>
          </w:p>
        </w:tc>
      </w:tr>
      <w:tr w14:paraId="1B455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noWrap/>
            <w:vAlign w:val="center"/>
          </w:tcPr>
          <w:p w14:paraId="231BB8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环境风险防范措施</w:t>
            </w:r>
          </w:p>
        </w:tc>
        <w:tc>
          <w:tcPr>
            <w:tcW w:w="8055" w:type="dxa"/>
            <w:gridSpan w:val="4"/>
            <w:noWrap/>
            <w:vAlign w:val="center"/>
          </w:tcPr>
          <w:p w14:paraId="74DE8C98">
            <w:pPr>
              <w:keepNext w:val="0"/>
              <w:keepLines w:val="0"/>
              <w:pageBreakBefore w:val="0"/>
              <w:widowControl w:val="0"/>
              <w:kinsoku/>
              <w:wordWrap/>
              <w:overflowPunct/>
              <w:topLinePunct w:val="0"/>
              <w:autoSpaceDE/>
              <w:autoSpaceDN/>
              <w:bidi w:val="0"/>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w:t>
            </w:r>
            <w:r>
              <w:rPr>
                <w:rFonts w:hint="eastAsia"/>
                <w:b/>
                <w:bCs/>
                <w:color w:val="000000" w:themeColor="text1"/>
                <w:sz w:val="21"/>
                <w:szCs w:val="21"/>
                <w14:textFill>
                  <w14:solidFill>
                    <w14:schemeClr w14:val="tx1"/>
                  </w14:solidFill>
                </w14:textFill>
              </w:rPr>
              <w:t>大气环境风险防范措施</w:t>
            </w:r>
          </w:p>
          <w:p w14:paraId="23BE4006">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①落实入场贮存检查，确保包装物完好无破损；</w:t>
            </w:r>
          </w:p>
          <w:p w14:paraId="279AC63D">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②定期巡查，对储罐、管道设施重点检查等，杜绝跑、冒、滴、漏情况。</w:t>
            </w:r>
          </w:p>
          <w:p w14:paraId="7CBC40D6">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③做好备品设施，发生泄漏事故时可在短时间内进行包装物更换工作。各储罐之间设置连通的管线</w:t>
            </w:r>
            <w:r>
              <w:rPr>
                <w:rFonts w:hint="eastAsia"/>
                <w:color w:val="000000" w:themeColor="text1"/>
                <w:sz w:val="21"/>
                <w:szCs w:val="21"/>
                <w:lang w:eastAsia="zh-CN"/>
                <w14:textFill>
                  <w14:solidFill>
                    <w14:schemeClr w14:val="tx1"/>
                  </w14:solidFill>
                </w14:textFill>
              </w:rPr>
              <w:t>和</w:t>
            </w:r>
            <w:r>
              <w:rPr>
                <w:rFonts w:hint="eastAsia"/>
                <w:color w:val="000000" w:themeColor="text1"/>
                <w:sz w:val="21"/>
                <w:szCs w:val="21"/>
                <w14:textFill>
                  <w14:solidFill>
                    <w14:schemeClr w14:val="tx1"/>
                  </w14:solidFill>
                </w14:textFill>
              </w:rPr>
              <w:t>阀门，用于发生泄漏时采取倒罐措施。</w:t>
            </w:r>
          </w:p>
          <w:p w14:paraId="58405EB0">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④配置砂土、蛭石或</w:t>
            </w:r>
            <w:r>
              <w:rPr>
                <w:rFonts w:hint="eastAsia"/>
                <w:color w:val="000000" w:themeColor="text1"/>
                <w:sz w:val="21"/>
                <w:szCs w:val="21"/>
                <w:lang w:eastAsia="zh-CN"/>
                <w14:textFill>
                  <w14:solidFill>
                    <w14:schemeClr w14:val="tx1"/>
                  </w14:solidFill>
                </w14:textFill>
              </w:rPr>
              <w:t>其他</w:t>
            </w:r>
            <w:r>
              <w:rPr>
                <w:rFonts w:hint="eastAsia"/>
                <w:color w:val="000000" w:themeColor="text1"/>
                <w:sz w:val="21"/>
                <w:szCs w:val="21"/>
                <w14:textFill>
                  <w14:solidFill>
                    <w14:schemeClr w14:val="tx1"/>
                  </w14:solidFill>
                </w14:textFill>
              </w:rPr>
              <w:t>吸附材料用于吸附或吸收少量</w:t>
            </w:r>
            <w:r>
              <w:rPr>
                <w:rFonts w:hint="eastAsia"/>
                <w:color w:val="000000" w:themeColor="text1"/>
                <w:sz w:val="21"/>
                <w:szCs w:val="21"/>
                <w:lang w:eastAsia="zh-CN"/>
                <w14:textFill>
                  <w14:solidFill>
                    <w14:schemeClr w14:val="tx1"/>
                  </w14:solidFill>
                </w14:textFill>
              </w:rPr>
              <w:t>泄漏</w:t>
            </w:r>
            <w:r>
              <w:rPr>
                <w:rFonts w:hint="eastAsia"/>
                <w:color w:val="000000" w:themeColor="text1"/>
                <w:sz w:val="21"/>
                <w:szCs w:val="21"/>
                <w14:textFill>
                  <w14:solidFill>
                    <w14:schemeClr w14:val="tx1"/>
                  </w14:solidFill>
                </w14:textFill>
              </w:rPr>
              <w:t>的危险物质。</w:t>
            </w:r>
          </w:p>
          <w:p w14:paraId="0F571810">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⑤提高危险物质转移频次，减少危险物质场内贮存量。</w:t>
            </w:r>
          </w:p>
          <w:p w14:paraId="560F7167">
            <w:pPr>
              <w:keepNext w:val="0"/>
              <w:keepLines w:val="0"/>
              <w:pageBreakBefore w:val="0"/>
              <w:widowControl w:val="0"/>
              <w:kinsoku/>
              <w:wordWrap/>
              <w:overflowPunct/>
              <w:topLinePunct w:val="0"/>
              <w:autoSpaceDE/>
              <w:autoSpaceDN/>
              <w:bidi w:val="0"/>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地表水环境风险防范措施</w:t>
            </w:r>
          </w:p>
          <w:p w14:paraId="00789014">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①</w:t>
            </w:r>
            <w:r>
              <w:rPr>
                <w:rFonts w:hint="eastAsia"/>
                <w:color w:val="000000" w:themeColor="text1"/>
                <w:sz w:val="21"/>
                <w:szCs w:val="21"/>
                <w14:textFill>
                  <w14:solidFill>
                    <w14:schemeClr w14:val="tx1"/>
                  </w14:solidFill>
                </w14:textFill>
              </w:rPr>
              <w:t>罐区</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废矿物油装卸区分别设置</w:t>
            </w:r>
            <w:r>
              <w:rPr>
                <w:rFonts w:hint="eastAsia"/>
                <w:color w:val="000000" w:themeColor="text1"/>
                <w:sz w:val="21"/>
                <w:szCs w:val="21"/>
                <w14:textFill>
                  <w14:solidFill>
                    <w14:schemeClr w14:val="tx1"/>
                  </w14:solidFill>
                </w14:textFill>
              </w:rPr>
              <w:t>围堰。其他废物贮存区内各贮存分区内地面建设导流沟、</w:t>
            </w:r>
            <w:r>
              <w:rPr>
                <w:rFonts w:hint="eastAsia"/>
                <w:color w:val="000000" w:themeColor="text1"/>
                <w:sz w:val="21"/>
                <w:szCs w:val="21"/>
                <w:lang w:eastAsia="zh-CN"/>
                <w14:textFill>
                  <w14:solidFill>
                    <w14:schemeClr w14:val="tx1"/>
                  </w14:solidFill>
                </w14:textFill>
              </w:rPr>
              <w:t>废液收集池</w:t>
            </w:r>
            <w:r>
              <w:rPr>
                <w:rFonts w:hint="eastAsia"/>
                <w:color w:val="000000" w:themeColor="text1"/>
                <w:sz w:val="21"/>
                <w:szCs w:val="21"/>
                <w14:textFill>
                  <w14:solidFill>
                    <w14:schemeClr w14:val="tx1"/>
                  </w14:solidFill>
                </w14:textFill>
              </w:rPr>
              <w:t>。</w:t>
            </w:r>
          </w:p>
          <w:p w14:paraId="34701130">
            <w:pPr>
              <w:keepNext w:val="0"/>
              <w:keepLines w:val="0"/>
              <w:pageBreakBefore w:val="0"/>
              <w:widowControl w:val="0"/>
              <w:kinsoku/>
              <w:wordWrap/>
              <w:overflowPunct/>
              <w:topLinePunct w:val="0"/>
              <w:autoSpaceDE/>
              <w:autoSpaceDN/>
              <w:bidi w:val="0"/>
              <w:ind w:firstLine="0" w:firstLineChars="0"/>
              <w:textAlignment w:val="auto"/>
              <w:rPr>
                <w:rFonts w:hint="eastAsia"/>
                <w:color w:val="00B050"/>
                <w:sz w:val="21"/>
                <w:szCs w:val="21"/>
                <w:vertAlign w:val="baseline"/>
                <w:lang w:val="en-US" w:eastAsia="zh-CN"/>
              </w:rPr>
            </w:pPr>
            <w:r>
              <w:rPr>
                <w:rFonts w:hint="eastAsia"/>
                <w:color w:val="000000" w:themeColor="text1"/>
                <w:sz w:val="21"/>
                <w:szCs w:val="21"/>
                <w:lang w:val="en-US" w:eastAsia="zh-CN"/>
                <w14:textFill>
                  <w14:solidFill>
                    <w14:schemeClr w14:val="tx1"/>
                  </w14:solidFill>
                </w14:textFill>
              </w:rPr>
              <w:t>②</w:t>
            </w:r>
            <w:r>
              <w:rPr>
                <w:rFonts w:hint="eastAsia"/>
                <w:color w:val="00B050"/>
                <w:sz w:val="21"/>
                <w:szCs w:val="21"/>
                <w:lang w:val="en-US" w:eastAsia="zh-CN"/>
              </w:rPr>
              <w:t>项目区北侧建设4座总容积不小于30m</w:t>
            </w:r>
            <w:r>
              <w:rPr>
                <w:rFonts w:hint="eastAsia"/>
                <w:color w:val="00B050"/>
                <w:sz w:val="21"/>
                <w:szCs w:val="21"/>
                <w:vertAlign w:val="superscript"/>
                <w:lang w:val="en-US" w:eastAsia="zh-CN"/>
              </w:rPr>
              <w:t>3</w:t>
            </w:r>
            <w:r>
              <w:rPr>
                <w:rFonts w:hint="eastAsia"/>
                <w:color w:val="00B050"/>
                <w:sz w:val="21"/>
                <w:szCs w:val="21"/>
                <w:vertAlign w:val="baseline"/>
                <w:lang w:val="en-US" w:eastAsia="zh-CN"/>
              </w:rPr>
              <w:t>消防事故池用于收集消防废水。</w:t>
            </w:r>
          </w:p>
          <w:p w14:paraId="3E4A5391">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③</w:t>
            </w:r>
            <w:r>
              <w:rPr>
                <w:rFonts w:hint="eastAsia"/>
                <w:color w:val="000000" w:themeColor="text1"/>
                <w:sz w:val="21"/>
                <w:szCs w:val="21"/>
                <w14:textFill>
                  <w14:solidFill>
                    <w14:schemeClr w14:val="tx1"/>
                  </w14:solidFill>
                </w14:textFill>
              </w:rPr>
              <w:t>对于收集的事故废水，建设单位应寻求外部资源对废水进行处理，严格按照管理部门要求进行处置。</w:t>
            </w:r>
          </w:p>
          <w:p w14:paraId="09D9C3DE">
            <w:pPr>
              <w:keepNext w:val="0"/>
              <w:keepLines w:val="0"/>
              <w:pageBreakBefore w:val="0"/>
              <w:widowControl w:val="0"/>
              <w:kinsoku/>
              <w:wordWrap/>
              <w:overflowPunct/>
              <w:topLinePunct w:val="0"/>
              <w:autoSpaceDE/>
              <w:autoSpaceDN/>
              <w:bidi w:val="0"/>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3、</w:t>
            </w:r>
            <w:r>
              <w:rPr>
                <w:rFonts w:hint="eastAsia"/>
                <w:b/>
                <w:bCs/>
                <w:color w:val="000000" w:themeColor="text1"/>
                <w:sz w:val="21"/>
                <w:szCs w:val="21"/>
                <w14:textFill>
                  <w14:solidFill>
                    <w14:schemeClr w14:val="tx1"/>
                  </w14:solidFill>
                </w14:textFill>
              </w:rPr>
              <w:t>地下水环境风险防范措施</w:t>
            </w:r>
          </w:p>
          <w:p w14:paraId="68F97005">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①</w:t>
            </w:r>
            <w:r>
              <w:rPr>
                <w:rFonts w:hint="eastAsia"/>
                <w:color w:val="000000" w:themeColor="text1"/>
                <w:sz w:val="21"/>
                <w:szCs w:val="21"/>
                <w14:textFill>
                  <w14:solidFill>
                    <w14:schemeClr w14:val="tx1"/>
                  </w14:solidFill>
                </w14:textFill>
              </w:rPr>
              <w:t>对项目进行分区防渗，</w:t>
            </w:r>
            <w:r>
              <w:rPr>
                <w:rFonts w:hint="eastAsia"/>
                <w:color w:val="FF0000"/>
                <w:sz w:val="21"/>
                <w:szCs w:val="21"/>
                <w:lang w:val="en-US" w:eastAsia="zh-CN"/>
              </w:rPr>
              <w:t>废矿物油罐区</w:t>
            </w:r>
            <w:r>
              <w:rPr>
                <w:rFonts w:hint="eastAsia" w:eastAsiaTheme="majorEastAsia"/>
                <w:color w:val="FF0000"/>
                <w:sz w:val="21"/>
                <w:szCs w:val="21"/>
                <w:lang w:val="en-US" w:eastAsia="zh-CN"/>
              </w:rPr>
              <w:t>、</w:t>
            </w:r>
            <w:r>
              <w:rPr>
                <w:rFonts w:hint="eastAsia"/>
                <w:color w:val="FF0000"/>
                <w:sz w:val="21"/>
                <w:szCs w:val="21"/>
                <w:lang w:val="en-US" w:eastAsia="zh-CN"/>
              </w:rPr>
              <w:t>废矿物油装卸区、</w:t>
            </w:r>
            <w:r>
              <w:rPr>
                <w:rFonts w:hint="eastAsia"/>
                <w:color w:val="FF0000"/>
                <w:sz w:val="21"/>
                <w:szCs w:val="21"/>
                <w:vertAlign w:val="baseline"/>
                <w:lang w:val="en-US" w:eastAsia="zh-CN"/>
              </w:rPr>
              <w:t>废旧电池贮存区</w:t>
            </w:r>
            <w:r>
              <w:rPr>
                <w:rFonts w:hint="eastAsia" w:eastAsiaTheme="majorEastAsia"/>
                <w:color w:val="FF0000"/>
                <w:sz w:val="21"/>
                <w:szCs w:val="21"/>
                <w:lang w:val="en-US" w:eastAsia="zh-CN"/>
              </w:rPr>
              <w:t>（包括库内废液收集池）、</w:t>
            </w:r>
            <w:r>
              <w:rPr>
                <w:rFonts w:hint="eastAsia"/>
                <w:color w:val="FF0000"/>
                <w:sz w:val="21"/>
                <w:szCs w:val="21"/>
                <w:lang w:val="en-US" w:eastAsia="zh-CN"/>
              </w:rPr>
              <w:t>废旧电池装卸区、</w:t>
            </w:r>
            <w:r>
              <w:rPr>
                <w:rFonts w:hint="eastAsia" w:eastAsiaTheme="majorEastAsia"/>
                <w:color w:val="FF0000"/>
                <w:sz w:val="21"/>
                <w:szCs w:val="21"/>
                <w:lang w:val="en-US" w:eastAsia="zh-CN"/>
              </w:rPr>
              <w:t>消防事故池等</w:t>
            </w:r>
            <w:r>
              <w:rPr>
                <w:rFonts w:hint="eastAsia"/>
                <w:color w:val="000000" w:themeColor="text1"/>
                <w:sz w:val="21"/>
                <w:szCs w:val="21"/>
                <w14:textFill>
                  <w14:solidFill>
                    <w14:schemeClr w14:val="tx1"/>
                  </w14:solidFill>
                </w14:textFill>
              </w:rPr>
              <w:t>划分为重点防渗区。</w:t>
            </w:r>
          </w:p>
          <w:p w14:paraId="206F11BC">
            <w:pPr>
              <w:keepNext w:val="0"/>
              <w:keepLines w:val="0"/>
              <w:pageBreakBefore w:val="0"/>
              <w:widowControl w:val="0"/>
              <w:kinsoku/>
              <w:wordWrap/>
              <w:overflowPunct/>
              <w:topLinePunct w:val="0"/>
              <w:autoSpaceDE/>
              <w:autoSpaceDN/>
              <w:bidi w:val="0"/>
              <w:ind w:firstLine="0" w:firstLineChars="0"/>
              <w:textAlignment w:val="auto"/>
              <w:rPr>
                <w:rFonts w:hint="eastAsia"/>
                <w:color w:val="00B050"/>
                <w:sz w:val="21"/>
                <w:szCs w:val="21"/>
              </w:rPr>
            </w:pPr>
            <w:r>
              <w:rPr>
                <w:rFonts w:hint="eastAsia"/>
                <w:color w:val="00B050"/>
                <w:sz w:val="21"/>
                <w:szCs w:val="21"/>
                <w:lang w:val="en-US" w:eastAsia="zh-CN"/>
              </w:rPr>
              <w:t>②</w:t>
            </w:r>
            <w:r>
              <w:rPr>
                <w:rFonts w:hint="eastAsia" w:cs="Times New Roman"/>
                <w:color w:val="00B050"/>
                <w:kern w:val="0"/>
                <w:sz w:val="21"/>
                <w:szCs w:val="21"/>
                <w:lang w:val="en-US" w:eastAsia="zh-CN" w:bidi="ar-SA"/>
              </w:rPr>
              <w:t>项目于贮存库西侧建设1口地下水跟踪监测井</w:t>
            </w:r>
            <w:r>
              <w:rPr>
                <w:rFonts w:hint="eastAsia"/>
                <w:color w:val="00B050"/>
                <w:sz w:val="21"/>
                <w:szCs w:val="21"/>
              </w:rPr>
              <w:t>。</w:t>
            </w:r>
          </w:p>
          <w:p w14:paraId="211BCFCD">
            <w:pPr>
              <w:keepNext w:val="0"/>
              <w:keepLines w:val="0"/>
              <w:pageBreakBefore w:val="0"/>
              <w:widowControl w:val="0"/>
              <w:kinsoku/>
              <w:wordWrap/>
              <w:overflowPunct/>
              <w:topLinePunct w:val="0"/>
              <w:autoSpaceDE/>
              <w:autoSpaceDN/>
              <w:bidi w:val="0"/>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4、</w:t>
            </w:r>
            <w:r>
              <w:rPr>
                <w:rFonts w:hint="eastAsia"/>
                <w:b/>
                <w:bCs/>
                <w:color w:val="000000" w:themeColor="text1"/>
                <w:sz w:val="21"/>
                <w:szCs w:val="21"/>
                <w14:textFill>
                  <w14:solidFill>
                    <w14:schemeClr w14:val="tx1"/>
                  </w14:solidFill>
                </w14:textFill>
              </w:rPr>
              <w:t>火灾风险防范措施</w:t>
            </w:r>
          </w:p>
          <w:p w14:paraId="59B3EFA1">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①</w:t>
            </w:r>
            <w:r>
              <w:rPr>
                <w:rFonts w:hint="eastAsia"/>
                <w:color w:val="000000" w:themeColor="text1"/>
                <w:sz w:val="21"/>
                <w:szCs w:val="21"/>
                <w14:textFill>
                  <w14:solidFill>
                    <w14:schemeClr w14:val="tx1"/>
                  </w14:solidFill>
                </w14:textFill>
              </w:rPr>
              <w:t>建立安全生产岗位责任制，制定完善的安全生产规章制度、安全操作流程、安全生产检查制度、事故管理制度等，必须切实加强安全管理，提高事故防范能力。</w:t>
            </w:r>
          </w:p>
          <w:p w14:paraId="000F2D48">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②</w:t>
            </w:r>
            <w:r>
              <w:rPr>
                <w:rFonts w:hint="eastAsia"/>
                <w:color w:val="000000" w:themeColor="text1"/>
                <w:sz w:val="21"/>
                <w:szCs w:val="21"/>
                <w14:textFill>
                  <w14:solidFill>
                    <w14:schemeClr w14:val="tx1"/>
                  </w14:solidFill>
                </w14:textFill>
              </w:rPr>
              <w:t>项目区设置</w:t>
            </w:r>
            <w:r>
              <w:rPr>
                <w:rFonts w:hint="eastAsia"/>
                <w:color w:val="000000" w:themeColor="text1"/>
                <w:sz w:val="21"/>
                <w:szCs w:val="21"/>
                <w:lang w:eastAsia="zh-CN"/>
                <w14:textFill>
                  <w14:solidFill>
                    <w14:schemeClr w14:val="tx1"/>
                  </w14:solidFill>
                </w14:textFill>
              </w:rPr>
              <w:t>消防水罐</w:t>
            </w:r>
            <w:r>
              <w:rPr>
                <w:rFonts w:hint="eastAsia"/>
                <w:color w:val="000000" w:themeColor="text1"/>
                <w:sz w:val="21"/>
                <w:szCs w:val="21"/>
                <w14:textFill>
                  <w14:solidFill>
                    <w14:schemeClr w14:val="tx1"/>
                  </w14:solidFill>
                </w14:textFill>
              </w:rPr>
              <w:t>，配置消防栓；车间内根据生产类别设置合适的灭火剂、灭火器材和足够的水源。</w:t>
            </w:r>
          </w:p>
          <w:p w14:paraId="7D96580F">
            <w:pPr>
              <w:keepNext w:val="0"/>
              <w:keepLines w:val="0"/>
              <w:pageBreakBefore w:val="0"/>
              <w:widowControl w:val="0"/>
              <w:kinsoku/>
              <w:wordWrap/>
              <w:overflowPunct/>
              <w:topLinePunct w:val="0"/>
              <w:autoSpaceDE/>
              <w:autoSpaceDN/>
              <w:bidi w:val="0"/>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③</w:t>
            </w:r>
            <w:r>
              <w:rPr>
                <w:rFonts w:hint="eastAsia"/>
                <w:color w:val="000000" w:themeColor="text1"/>
                <w:sz w:val="21"/>
                <w:szCs w:val="21"/>
                <w14:textFill>
                  <w14:solidFill>
                    <w14:schemeClr w14:val="tx1"/>
                  </w14:solidFill>
                </w14:textFill>
              </w:rPr>
              <w:t>项目内严禁吸烟、用火，禁止燃放烟花、爆竹等。</w:t>
            </w:r>
          </w:p>
          <w:p w14:paraId="6096D456">
            <w:pPr>
              <w:keepNext w:val="0"/>
              <w:keepLines w:val="0"/>
              <w:pageBreakBefore w:val="0"/>
              <w:widowControl w:val="0"/>
              <w:kinsoku/>
              <w:wordWrap/>
              <w:overflowPunct/>
              <w:topLinePunct w:val="0"/>
              <w:autoSpaceDE/>
              <w:autoSpaceDN/>
              <w:bidi w:val="0"/>
              <w:ind w:firstLine="0" w:firstLineChars="0"/>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5、应急预案</w:t>
            </w:r>
          </w:p>
          <w:p w14:paraId="6D0BC7C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企业应综合实际情况，针对可能发生的突发事故，编制新一版的突发环境事件应急预案并报备主管部门。</w:t>
            </w:r>
          </w:p>
        </w:tc>
      </w:tr>
      <w:tr w14:paraId="547DE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noWrap/>
            <w:vAlign w:val="center"/>
          </w:tcPr>
          <w:p w14:paraId="76D39B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其他环境管理要求</w:t>
            </w:r>
          </w:p>
        </w:tc>
        <w:tc>
          <w:tcPr>
            <w:tcW w:w="8055" w:type="dxa"/>
            <w:gridSpan w:val="4"/>
            <w:noWrap/>
            <w:vAlign w:val="center"/>
          </w:tcPr>
          <w:p w14:paraId="588384C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1.认真执行“三同时”原则，确保各项污染防治措施的实施；</w:t>
            </w:r>
          </w:p>
          <w:p w14:paraId="488AD24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2.项目取得环评批复后，根据《固定污染源排污许可分类管理名录（2019年版）》</w:t>
            </w:r>
            <w:r>
              <w:rPr>
                <w:rFonts w:hint="eastAsia"/>
                <w:b w:val="0"/>
                <w:bCs w:val="0"/>
                <w:color w:val="000000" w:themeColor="text1"/>
                <w:sz w:val="21"/>
                <w:szCs w:val="21"/>
                <w:lang w:eastAsia="zh-CN"/>
                <w14:textFill>
                  <w14:solidFill>
                    <w14:schemeClr w14:val="tx1"/>
                  </w14:solidFill>
                </w14:textFill>
              </w:rPr>
              <w:t>－第</w:t>
            </w:r>
            <w:r>
              <w:rPr>
                <w:rFonts w:hint="eastAsia"/>
                <w:b w:val="0"/>
                <w:bCs w:val="0"/>
                <w:color w:val="000000" w:themeColor="text1"/>
                <w:sz w:val="21"/>
                <w:szCs w:val="21"/>
                <w14:textFill>
                  <w14:solidFill>
                    <w14:schemeClr w14:val="tx1"/>
                  </w14:solidFill>
                </w14:textFill>
              </w:rPr>
              <w:t>四十五、生态保护和环境治理业77</w:t>
            </w:r>
            <w:r>
              <w:rPr>
                <w:rFonts w:hint="eastAsia"/>
                <w:b w:val="0"/>
                <w:bCs w:val="0"/>
                <w:color w:val="000000" w:themeColor="text1"/>
                <w:sz w:val="21"/>
                <w:szCs w:val="21"/>
                <w:lang w:eastAsia="zh-CN"/>
                <w14:textFill>
                  <w14:solidFill>
                    <w14:schemeClr w14:val="tx1"/>
                  </w14:solidFill>
                </w14:textFill>
              </w:rPr>
              <w:t>－</w:t>
            </w:r>
            <w:r>
              <w:rPr>
                <w:rFonts w:hint="eastAsia"/>
                <w:b w:val="0"/>
                <w:bCs w:val="0"/>
                <w:color w:val="000000" w:themeColor="text1"/>
                <w:sz w:val="21"/>
                <w:szCs w:val="21"/>
                <w14:textFill>
                  <w14:solidFill>
                    <w14:schemeClr w14:val="tx1"/>
                  </w14:solidFill>
                </w14:textFill>
              </w:rPr>
              <w:t>环境治理业 772</w:t>
            </w:r>
            <w:r>
              <w:rPr>
                <w:rFonts w:hint="eastAsia"/>
                <w:b w:val="0"/>
                <w:bCs w:val="0"/>
                <w:color w:val="000000" w:themeColor="text1"/>
                <w:sz w:val="21"/>
                <w:szCs w:val="21"/>
                <w:lang w:eastAsia="zh-CN"/>
                <w14:textFill>
                  <w14:solidFill>
                    <w14:schemeClr w14:val="tx1"/>
                  </w14:solidFill>
                </w14:textFill>
              </w:rPr>
              <w:t>－</w:t>
            </w:r>
            <w:r>
              <w:rPr>
                <w:rFonts w:hint="eastAsia"/>
                <w:b w:val="0"/>
                <w:bCs w:val="0"/>
                <w:color w:val="000000" w:themeColor="text1"/>
                <w:sz w:val="21"/>
                <w:szCs w:val="21"/>
                <w14:textFill>
                  <w14:solidFill>
                    <w14:schemeClr w14:val="tx1"/>
                  </w14:solidFill>
                </w14:textFill>
              </w:rPr>
              <w:t>专业从事危险废物贮存、利用、处理、处置（含焚烧发电）的，专业从事一般工业固体废物贮存、处置（含焚烧发电）的，本项目应该按照</w:t>
            </w:r>
            <w:r>
              <w:rPr>
                <w:rFonts w:hint="eastAsia"/>
                <w:b w:val="0"/>
                <w:bCs w:val="0"/>
                <w:color w:val="000000" w:themeColor="text1"/>
                <w:sz w:val="21"/>
                <w:szCs w:val="21"/>
                <w:lang w:val="en-US" w:eastAsia="zh-CN"/>
                <w14:textFill>
                  <w14:solidFill>
                    <w14:schemeClr w14:val="tx1"/>
                  </w14:solidFill>
                </w14:textFill>
              </w:rPr>
              <w:t>重点</w:t>
            </w:r>
            <w:r>
              <w:rPr>
                <w:rFonts w:hint="eastAsia"/>
                <w:b w:val="0"/>
                <w:bCs w:val="0"/>
                <w:color w:val="000000" w:themeColor="text1"/>
                <w:sz w:val="21"/>
                <w:szCs w:val="21"/>
                <w14:textFill>
                  <w14:solidFill>
                    <w14:schemeClr w14:val="tx1"/>
                  </w14:solidFill>
                </w14:textFill>
              </w:rPr>
              <w:t>管理级别申请排污许可证，建设单位</w:t>
            </w:r>
            <w:r>
              <w:rPr>
                <w:rFonts w:hint="eastAsia"/>
                <w:b w:val="0"/>
                <w:bCs w:val="0"/>
                <w:color w:val="000000" w:themeColor="text1"/>
                <w:sz w:val="21"/>
                <w:szCs w:val="21"/>
                <w:lang w:eastAsia="zh-CN"/>
                <w14:textFill>
                  <w14:solidFill>
                    <w14:schemeClr w14:val="tx1"/>
                  </w14:solidFill>
                </w14:textFill>
              </w:rPr>
              <w:t>按照</w:t>
            </w:r>
            <w:r>
              <w:rPr>
                <w:rFonts w:hint="eastAsia"/>
                <w:b w:val="0"/>
                <w:bCs w:val="0"/>
                <w:color w:val="000000" w:themeColor="text1"/>
                <w:sz w:val="21"/>
                <w:szCs w:val="21"/>
                <w14:textFill>
                  <w14:solidFill>
                    <w14:schemeClr w14:val="tx1"/>
                  </w14:solidFill>
                </w14:textFill>
              </w:rPr>
              <w:t>排污许可证管理要求向曲靖市生态环境局申请排污许可证；</w:t>
            </w:r>
          </w:p>
          <w:p w14:paraId="10B2399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3.做好突发环境事件应急工作，制定突发环境事件应急预案，完善落实应急物资及设备，定期进行环境事故应急演练；</w:t>
            </w:r>
          </w:p>
          <w:p w14:paraId="0F353E7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要求企业加强环境管理，建立环境管理体系，完善相关原料台账、设施运行台账</w:t>
            </w:r>
            <w:r>
              <w:rPr>
                <w:rFonts w:hint="eastAsia"/>
                <w:color w:val="000000" w:themeColor="text1"/>
                <w:sz w:val="21"/>
                <w:szCs w:val="21"/>
                <w14:textFill>
                  <w14:solidFill>
                    <w14:schemeClr w14:val="tx1"/>
                  </w14:solidFill>
                </w14:textFill>
              </w:rPr>
              <w:t>、危险废物台账</w:t>
            </w:r>
            <w:r>
              <w:rPr>
                <w:color w:val="000000" w:themeColor="text1"/>
                <w:sz w:val="21"/>
                <w:szCs w:val="21"/>
                <w14:textFill>
                  <w14:solidFill>
                    <w14:schemeClr w14:val="tx1"/>
                  </w14:solidFill>
                </w14:textFill>
              </w:rPr>
              <w:t>等，</w:t>
            </w:r>
            <w:r>
              <w:rPr>
                <w:rFonts w:hint="eastAsia"/>
                <w:color w:val="000000" w:themeColor="text1"/>
                <w:sz w:val="21"/>
                <w:szCs w:val="21"/>
                <w14:textFill>
                  <w14:solidFill>
                    <w14:schemeClr w14:val="tx1"/>
                  </w14:solidFill>
                </w14:textFill>
              </w:rPr>
              <w:t>相关</w:t>
            </w:r>
            <w:r>
              <w:rPr>
                <w:color w:val="000000" w:themeColor="text1"/>
                <w:sz w:val="21"/>
                <w:szCs w:val="21"/>
                <w14:textFill>
                  <w14:solidFill>
                    <w14:schemeClr w14:val="tx1"/>
                  </w14:solidFill>
                </w14:textFill>
              </w:rPr>
              <w:t>管理信息制度需上墙</w:t>
            </w:r>
            <w:r>
              <w:rPr>
                <w:rFonts w:hint="eastAsia"/>
                <w:color w:val="000000" w:themeColor="text1"/>
                <w:sz w:val="21"/>
                <w:szCs w:val="21"/>
                <w14:textFill>
                  <w14:solidFill>
                    <w14:schemeClr w14:val="tx1"/>
                  </w14:solidFill>
                </w14:textFill>
              </w:rPr>
              <w:t>；</w:t>
            </w:r>
          </w:p>
          <w:p w14:paraId="225C85F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项目建成后，按照《建设项目竣工环境保护验收技术指南 污染影响类》等要求开展项目自主验收工作。</w:t>
            </w:r>
          </w:p>
          <w:p w14:paraId="2470F270">
            <w:pPr>
              <w:pStyle w:val="37"/>
              <w:keepNext w:val="0"/>
              <w:keepLines w:val="0"/>
              <w:pageBreakBefore w:val="0"/>
              <w:widowControl w:val="0"/>
              <w:kinsoku/>
              <w:wordWrap/>
              <w:overflowPunct/>
              <w:topLinePunct w:val="0"/>
              <w:autoSpaceDE/>
              <w:autoSpaceDN/>
              <w:bidi w:val="0"/>
              <w:adjustRightInd/>
              <w:snapToGrid/>
              <w:spacing w:line="240" w:lineRule="auto"/>
              <w:ind w:firstLine="436" w:firstLineChars="200"/>
              <w:jc w:val="both"/>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项目运营后按照</w:t>
            </w:r>
            <w:r>
              <w:rPr>
                <w:rFonts w:hint="eastAsia" w:ascii="Times New Roman" w:hAnsi="Times New Roman" w:eastAsia="宋体" w:cs="Times New Roman"/>
                <w:bCs/>
                <w:color w:val="000000" w:themeColor="text1"/>
                <w:kern w:val="0"/>
                <w:sz w:val="21"/>
                <w:szCs w:val="21"/>
                <w14:textFill>
                  <w14:solidFill>
                    <w14:schemeClr w14:val="tx1"/>
                  </w14:solidFill>
                </w14:textFill>
              </w:rPr>
              <w:t>《排污许可证申请与核发技术规范工业固体废物与危险废物治理》（HJ1033-2019）</w:t>
            </w:r>
            <w:r>
              <w:rPr>
                <w:rFonts w:hint="eastAsia"/>
                <w:color w:val="000000" w:themeColor="text1"/>
                <w:sz w:val="21"/>
                <w:szCs w:val="21"/>
                <w14:textFill>
                  <w14:solidFill>
                    <w14:schemeClr w14:val="tx1"/>
                  </w14:solidFill>
                </w14:textFill>
              </w:rPr>
              <w:t>、《排污许可证申请与核发技术规范 工业噪声》（HJ1301-2023）</w:t>
            </w:r>
            <w:r>
              <w:rPr>
                <w:rFonts w:hint="eastAsia"/>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《工业企业土壤和地下水自行监测技术指南（试行）》（HJ1209-2021）</w:t>
            </w:r>
            <w:r>
              <w:rPr>
                <w:rFonts w:hint="eastAsia"/>
                <w:color w:val="000000" w:themeColor="text1"/>
                <w:sz w:val="21"/>
                <w:szCs w:val="21"/>
                <w14:textFill>
                  <w14:solidFill>
                    <w14:schemeClr w14:val="tx1"/>
                  </w14:solidFill>
                </w14:textFill>
              </w:rPr>
              <w:t>要求开展自行监测。</w:t>
            </w:r>
          </w:p>
        </w:tc>
      </w:tr>
    </w:tbl>
    <w:p w14:paraId="6857DFD4">
      <w:pPr>
        <w:pStyle w:val="22"/>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both"/>
        <w:textAlignment w:val="auto"/>
        <w:outlineLvl w:val="0"/>
        <w:rPr>
          <w:rFonts w:hint="eastAsia" w:ascii="黑体" w:hAnsi="黑体" w:eastAsia="黑体" w:cs="黑体"/>
          <w:color w:val="000000" w:themeColor="text1"/>
          <w:sz w:val="28"/>
          <w:szCs w:val="21"/>
          <w:lang w:val="en-US" w:eastAsia="zh-CN"/>
          <w14:textFill>
            <w14:solidFill>
              <w14:schemeClr w14:val="tx1"/>
            </w14:solidFill>
          </w14:textFill>
        </w:rPr>
      </w:pPr>
      <w:r>
        <w:rPr>
          <w:snapToGrid w:val="0"/>
          <w:color w:val="000000" w:themeColor="text1"/>
          <w14:textFill>
            <w14:solidFill>
              <w14:schemeClr w14:val="tx1"/>
            </w14:solidFill>
          </w14:textFill>
        </w:rPr>
        <w:br w:type="page"/>
      </w:r>
      <w:bookmarkStart w:id="30" w:name="_Toc3488"/>
      <w:r>
        <w:rPr>
          <w:rFonts w:hint="eastAsia" w:ascii="宋体" w:hAnsi="宋体" w:eastAsia="宋体" w:cs="宋体"/>
          <w:b/>
          <w:bCs/>
          <w:color w:val="000000" w:themeColor="text1"/>
          <w:kern w:val="2"/>
          <w:sz w:val="32"/>
          <w:szCs w:val="32"/>
          <w:lang w:val="en-US" w:eastAsia="zh-CN" w:bidi="ar-SA"/>
          <w14:textFill>
            <w14:solidFill>
              <w14:schemeClr w14:val="tx1"/>
            </w14:solidFill>
          </w14:textFill>
        </w:rPr>
        <w:t>六、结论</w:t>
      </w:r>
      <w:bookmarkEnd w:id="30"/>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168CD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731" w:hRule="atLeast"/>
          <w:jc w:val="center"/>
        </w:trPr>
        <w:tc>
          <w:tcPr>
            <w:tcW w:w="8865" w:type="dxa"/>
            <w:vAlign w:val="top"/>
          </w:tcPr>
          <w:p w14:paraId="332E97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为危险废物收集、贮存项目，项目选址符合《危险废物贮存污染控制标准》要求，建设内容符合</w:t>
            </w:r>
            <w:r>
              <w:rPr>
                <w:color w:val="000000" w:themeColor="text1"/>
                <w:sz w:val="24"/>
                <w14:textFill>
                  <w14:solidFill>
                    <w14:schemeClr w14:val="tx1"/>
                  </w14:solidFill>
                </w14:textFill>
              </w:rPr>
              <w:t>产业政策</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在落实环评提出的各项环保措施后，废水、废气、噪声可以实现达标排放，固体废物处置率100%</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项目在严格落实本环评提出的各项环境风险防范措施的前提下，项目</w:t>
            </w:r>
            <w:r>
              <w:rPr>
                <w:color w:val="000000" w:themeColor="text1"/>
                <w:sz w:val="24"/>
                <w14:textFill>
                  <w14:solidFill>
                    <w14:schemeClr w14:val="tx1"/>
                  </w14:solidFill>
                </w14:textFill>
              </w:rPr>
              <w:t>环境风险可控。</w:t>
            </w:r>
          </w:p>
          <w:p w14:paraId="66EDC4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根据本次环评分析，从环境保护的角度而言，</w:t>
            </w:r>
            <w:r>
              <w:rPr>
                <w:color w:val="000000" w:themeColor="text1"/>
                <w:sz w:val="24"/>
                <w14:textFill>
                  <w14:solidFill>
                    <w14:schemeClr w14:val="tx1"/>
                  </w14:solidFill>
                </w14:textFill>
              </w:rPr>
              <w:t>项目建设可行。</w:t>
            </w:r>
          </w:p>
          <w:p w14:paraId="38B05F9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1747931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30B1D51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67600C0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23446AE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0249DE8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4920D62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6162259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0857337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798CF46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208FD9F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5B2C5F2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3112553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3D94886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2DE1471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61E5419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2B817F2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4B34F39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159990A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2208E56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11E8023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19621B7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3EC7F63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705B430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4975F41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5AEB5BE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4CAEA9E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403DC66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0BE0880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00B903C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0A38F08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3280119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cs="宋体"/>
                <w:color w:val="000000" w:themeColor="text1"/>
                <w:sz w:val="24"/>
                <w14:textFill>
                  <w14:solidFill>
                    <w14:schemeClr w14:val="tx1"/>
                  </w14:solidFill>
                </w14:textFill>
              </w:rPr>
            </w:pPr>
          </w:p>
          <w:p w14:paraId="081EBF23">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cs="宋体"/>
                <w:color w:val="000000" w:themeColor="text1"/>
                <w:sz w:val="24"/>
                <w14:textFill>
                  <w14:solidFill>
                    <w14:schemeClr w14:val="tx1"/>
                  </w14:solidFill>
                </w14:textFill>
              </w:rPr>
            </w:pPr>
          </w:p>
        </w:tc>
      </w:tr>
    </w:tbl>
    <w:p w14:paraId="141311D2">
      <w:pPr>
        <w:pageBreakBefore w:val="0"/>
        <w:kinsoku/>
        <w:wordWrap/>
        <w:overflowPunct/>
        <w:topLinePunct w:val="0"/>
        <w:bidi w:val="0"/>
        <w:rPr>
          <w:rFonts w:ascii="宋体"/>
          <w:color w:val="000000" w:themeColor="text1"/>
          <w14:textFill>
            <w14:solidFill>
              <w14:schemeClr w14:val="tx1"/>
            </w14:solidFill>
          </w14:textFill>
        </w:rPr>
        <w:sectPr>
          <w:pgSz w:w="11906" w:h="16838"/>
          <w:pgMar w:top="1701" w:right="1417" w:bottom="1417" w:left="1417" w:header="794" w:footer="851" w:gutter="0"/>
          <w:pgBorders>
            <w:top w:val="none" w:sz="0" w:space="0"/>
            <w:left w:val="none" w:sz="0" w:space="0"/>
            <w:bottom w:val="none" w:sz="0" w:space="0"/>
            <w:right w:val="none" w:sz="0" w:space="0"/>
          </w:pgBorders>
          <w:pgNumType w:fmt="decimal"/>
          <w:cols w:space="720" w:num="1"/>
          <w:docGrid w:linePitch="312" w:charSpace="0"/>
        </w:sectPr>
      </w:pPr>
    </w:p>
    <w:p w14:paraId="4FB0BB00">
      <w:pPr>
        <w:pageBreakBefore w:val="0"/>
        <w:widowControl/>
        <w:kinsoku/>
        <w:wordWrap/>
        <w:overflowPunct/>
        <w:topLinePunct w:val="0"/>
        <w:bidi w:val="0"/>
        <w:jc w:val="left"/>
        <w:rPr>
          <w:rFonts w:ascii="黑体" w:hAnsi="黑体" w:eastAsia="黑体"/>
          <w:snapToGrid w:val="0"/>
          <w:color w:val="000000" w:themeColor="text1"/>
          <w:kern w:val="0"/>
          <w:sz w:val="28"/>
          <w:szCs w:val="28"/>
          <w14:textFill>
            <w14:solidFill>
              <w14:schemeClr w14:val="tx1"/>
            </w14:solidFill>
          </w14:textFill>
        </w:rPr>
      </w:pPr>
      <w:bookmarkStart w:id="31" w:name="_Toc22570"/>
      <w:r>
        <w:rPr>
          <w:rFonts w:hint="eastAsia" w:ascii="黑体" w:hAnsi="黑体" w:eastAsia="黑体"/>
          <w:snapToGrid w:val="0"/>
          <w:color w:val="000000" w:themeColor="text1"/>
          <w:kern w:val="0"/>
          <w:sz w:val="28"/>
          <w:szCs w:val="28"/>
          <w14:textFill>
            <w14:solidFill>
              <w14:schemeClr w14:val="tx1"/>
            </w14:solidFill>
          </w14:textFill>
        </w:rPr>
        <w:t>附表</w:t>
      </w:r>
      <w:bookmarkEnd w:id="31"/>
    </w:p>
    <w:p w14:paraId="0273ABB8">
      <w:pPr>
        <w:keepNext w:val="0"/>
        <w:keepLines w:val="0"/>
        <w:pageBreakBefore w:val="0"/>
        <w:widowControl/>
        <w:kinsoku/>
        <w:wordWrap/>
        <w:overflowPunct/>
        <w:topLinePunct w:val="0"/>
        <w:autoSpaceDE/>
        <w:autoSpaceDN/>
        <w:bidi w:val="0"/>
        <w:adjustRightInd/>
        <w:snapToGrid/>
        <w:spacing w:before="157" w:beforeLines="50" w:after="157" w:afterLines="50"/>
        <w:jc w:val="center"/>
        <w:textAlignment w:val="auto"/>
        <w:outlineLvl w:val="0"/>
        <w:rPr>
          <w:rFonts w:hint="eastAsia" w:ascii="黑体" w:hAnsi="黑体" w:eastAsia="黑体" w:cs="黑体"/>
          <w:color w:val="000000" w:themeColor="text1"/>
          <w:kern w:val="0"/>
          <w:sz w:val="28"/>
          <w:szCs w:val="21"/>
          <w:lang w:val="en-US" w:eastAsia="zh-CN" w:bidi="ar-SA"/>
          <w14:textFill>
            <w14:solidFill>
              <w14:schemeClr w14:val="tx1"/>
            </w14:solidFill>
          </w14:textFill>
        </w:rPr>
      </w:pPr>
      <w:bookmarkStart w:id="32" w:name="_Toc16401"/>
      <w:bookmarkStart w:id="33" w:name="_Toc31760"/>
      <w:r>
        <w:rPr>
          <w:rFonts w:hint="eastAsia" w:ascii="黑体" w:hAnsi="黑体" w:eastAsia="黑体" w:cs="黑体"/>
          <w:color w:val="000000" w:themeColor="text1"/>
          <w:kern w:val="0"/>
          <w:sz w:val="28"/>
          <w:szCs w:val="21"/>
          <w:lang w:val="en-US" w:eastAsia="zh-CN" w:bidi="ar-SA"/>
          <w14:textFill>
            <w14:solidFill>
              <w14:schemeClr w14:val="tx1"/>
            </w14:solidFill>
          </w14:textFill>
        </w:rPr>
        <w:t>建设项目污染物排放量汇总表</w:t>
      </w:r>
      <w:bookmarkEnd w:id="32"/>
      <w:bookmarkEnd w:id="33"/>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253"/>
        <w:gridCol w:w="1528"/>
        <w:gridCol w:w="1335"/>
        <w:gridCol w:w="1627"/>
        <w:gridCol w:w="1627"/>
        <w:gridCol w:w="1456"/>
        <w:gridCol w:w="1561"/>
        <w:gridCol w:w="1575"/>
      </w:tblGrid>
      <w:tr w14:paraId="70C45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95" w:type="pct"/>
            <w:tcBorders>
              <w:tl2br w:val="single" w:color="auto" w:sz="4" w:space="0"/>
            </w:tcBorders>
            <w:tcMar>
              <w:left w:w="28" w:type="dxa"/>
              <w:right w:w="28" w:type="dxa"/>
            </w:tcMar>
            <w:vAlign w:val="center"/>
          </w:tcPr>
          <w:p w14:paraId="57B8FA34">
            <w:pPr>
              <w:pStyle w:val="96"/>
              <w:jc w:val="right"/>
              <w:rPr>
                <w:rFonts w:hint="default" w:ascii="Times New Roman" w:hAnsi="Times New Roman" w:eastAsia="宋体" w:cs="Times New Roman"/>
                <w:b/>
                <w:bCs/>
                <w:snapToGrid w:val="0"/>
                <w:color w:val="000000" w:themeColor="text1"/>
                <w:sz w:val="24"/>
                <w:szCs w:val="24"/>
                <w14:textFill>
                  <w14:solidFill>
                    <w14:schemeClr w14:val="tx1"/>
                  </w14:solidFill>
                </w14:textFill>
              </w:rPr>
            </w:pPr>
            <w:bookmarkStart w:id="34" w:name="_Toc31070"/>
            <w:r>
              <w:rPr>
                <w:rFonts w:hint="default" w:ascii="Times New Roman" w:hAnsi="Times New Roman" w:eastAsia="宋体" w:cs="Times New Roman"/>
                <w:b/>
                <w:bCs/>
                <w:snapToGrid w:val="0"/>
                <w:color w:val="000000" w:themeColor="text1"/>
                <w:sz w:val="24"/>
                <w:szCs w:val="24"/>
                <w14:textFill>
                  <w14:solidFill>
                    <w14:schemeClr w14:val="tx1"/>
                  </w14:solidFill>
                </w14:textFill>
              </w:rPr>
              <w:t>项目</w:t>
            </w:r>
          </w:p>
          <w:p w14:paraId="6E637D2C">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p>
          <w:p w14:paraId="79C5EA7B">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p>
          <w:p w14:paraId="38C1674C">
            <w:pPr>
              <w:pStyle w:val="96"/>
              <w:jc w:val="left"/>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t>分类</w:t>
            </w:r>
          </w:p>
        </w:tc>
        <w:tc>
          <w:tcPr>
            <w:tcW w:w="817" w:type="pct"/>
            <w:tcMar>
              <w:left w:w="28" w:type="dxa"/>
              <w:right w:w="28" w:type="dxa"/>
            </w:tcMar>
            <w:vAlign w:val="center"/>
          </w:tcPr>
          <w:p w14:paraId="6EA496C3">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t>污染物名称</w:t>
            </w:r>
          </w:p>
        </w:tc>
        <w:tc>
          <w:tcPr>
            <w:tcW w:w="554" w:type="pct"/>
            <w:tcMar>
              <w:left w:w="28" w:type="dxa"/>
              <w:right w:w="28" w:type="dxa"/>
            </w:tcMar>
            <w:vAlign w:val="center"/>
          </w:tcPr>
          <w:p w14:paraId="3B38B3F9">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t>现有工程排放量（固体废物产生量）</w: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z w:val="24"/>
                <w:szCs w:val="24"/>
                <w14:textFill>
                  <w14:solidFill>
                    <w14:schemeClr w14:val="tx1"/>
                  </w14:solidFill>
                </w14:textFill>
              </w:rPr>
              <w:instrText xml:space="preserve"> = 1 \* GB3 \* MERGEFORMAT </w:instrTex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①</w: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end"/>
            </w:r>
          </w:p>
        </w:tc>
        <w:tc>
          <w:tcPr>
            <w:tcW w:w="484" w:type="pct"/>
            <w:tcMar>
              <w:left w:w="28" w:type="dxa"/>
              <w:right w:w="28" w:type="dxa"/>
            </w:tcMar>
            <w:vAlign w:val="center"/>
          </w:tcPr>
          <w:p w14:paraId="095D1820">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t>现有工程</w:t>
            </w:r>
          </w:p>
          <w:p w14:paraId="53732DBC">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t>许可排放量</w:t>
            </w:r>
          </w:p>
          <w:p w14:paraId="04AE6249">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z w:val="24"/>
                <w:szCs w:val="24"/>
                <w14:textFill>
                  <w14:solidFill>
                    <w14:schemeClr w14:val="tx1"/>
                  </w14:solidFill>
                </w14:textFill>
              </w:rPr>
              <w:instrText xml:space="preserve"> = 2 \* GB3 \* MERGEFORMAT </w:instrTex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 w:val="24"/>
                <w:szCs w:val="24"/>
                <w14:textFill>
                  <w14:solidFill>
                    <w14:schemeClr w14:val="tx1"/>
                  </w14:solidFill>
                </w14:textFill>
              </w:rPr>
              <w:t>②</w: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end"/>
            </w:r>
          </w:p>
        </w:tc>
        <w:tc>
          <w:tcPr>
            <w:tcW w:w="590" w:type="pct"/>
            <w:tcMar>
              <w:left w:w="28" w:type="dxa"/>
              <w:right w:w="28" w:type="dxa"/>
            </w:tcMar>
            <w:vAlign w:val="center"/>
          </w:tcPr>
          <w:p w14:paraId="30FD4DF5">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t>在建工程排放量（固体废物产生量）</w: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z w:val="24"/>
                <w:szCs w:val="24"/>
                <w14:textFill>
                  <w14:solidFill>
                    <w14:schemeClr w14:val="tx1"/>
                  </w14:solidFill>
                </w14:textFill>
              </w:rPr>
              <w:instrText xml:space="preserve"> = 3 \* GB3 \* MERGEFORMAT </w:instrTex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③</w: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end"/>
            </w:r>
          </w:p>
        </w:tc>
        <w:tc>
          <w:tcPr>
            <w:tcW w:w="590" w:type="pct"/>
            <w:tcMar>
              <w:left w:w="28" w:type="dxa"/>
              <w:right w:w="28" w:type="dxa"/>
            </w:tcMar>
            <w:vAlign w:val="center"/>
          </w:tcPr>
          <w:p w14:paraId="00A475C4">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t>本项目排放量（固体废物产生量）</w: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z w:val="24"/>
                <w:szCs w:val="24"/>
                <w14:textFill>
                  <w14:solidFill>
                    <w14:schemeClr w14:val="tx1"/>
                  </w14:solidFill>
                </w14:textFill>
              </w:rPr>
              <w:instrText xml:space="preserve"> = 4 \* GB3 \* MERGEFORMAT </w:instrTex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④</w: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end"/>
            </w:r>
          </w:p>
        </w:tc>
        <w:tc>
          <w:tcPr>
            <w:tcW w:w="528" w:type="pct"/>
            <w:tcMar>
              <w:left w:w="28" w:type="dxa"/>
              <w:right w:w="28" w:type="dxa"/>
            </w:tcMar>
            <w:vAlign w:val="center"/>
          </w:tcPr>
          <w:p w14:paraId="404697CD">
            <w:pPr>
              <w:pStyle w:val="96"/>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t>以新带老削减量</w:t>
            </w:r>
          </w:p>
          <w:p w14:paraId="6F3A64C5">
            <w:pPr>
              <w:pStyle w:val="96"/>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t>（新建项目不填）</w:t>
            </w: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instrText xml:space="preserve"> = 5 \* GB3 \* MERGEFORMAT </w:instrText>
            </w: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⑤</w:t>
            </w: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fldChar w:fldCharType="end"/>
            </w:r>
          </w:p>
        </w:tc>
        <w:tc>
          <w:tcPr>
            <w:tcW w:w="566" w:type="pct"/>
            <w:tcMar>
              <w:left w:w="28" w:type="dxa"/>
              <w:right w:w="28" w:type="dxa"/>
            </w:tcMar>
            <w:vAlign w:val="center"/>
          </w:tcPr>
          <w:p w14:paraId="2E38C1F1">
            <w:pPr>
              <w:pStyle w:val="96"/>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pP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t>本项目建成后全厂排放量（固体废物产生量）</w:t>
            </w: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instrText xml:space="preserve"> = 6 \* GB3 \* MERGEFORMAT </w:instrText>
            </w: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⑥</w:t>
            </w:r>
            <w:r>
              <w:rPr>
                <w:rFonts w:hint="default" w:ascii="Times New Roman" w:hAnsi="Times New Roman" w:eastAsia="宋体" w:cs="Times New Roman"/>
                <w:b/>
                <w:bCs/>
                <w:snapToGrid w:val="0"/>
                <w:color w:val="000000" w:themeColor="text1"/>
                <w:spacing w:val="-16"/>
                <w:sz w:val="24"/>
                <w:szCs w:val="24"/>
                <w14:textFill>
                  <w14:solidFill>
                    <w14:schemeClr w14:val="tx1"/>
                  </w14:solidFill>
                </w14:textFill>
              </w:rPr>
              <w:fldChar w:fldCharType="end"/>
            </w:r>
          </w:p>
        </w:tc>
        <w:tc>
          <w:tcPr>
            <w:tcW w:w="571" w:type="pct"/>
            <w:tcMar>
              <w:left w:w="28" w:type="dxa"/>
              <w:right w:w="28" w:type="dxa"/>
            </w:tcMar>
            <w:vAlign w:val="center"/>
          </w:tcPr>
          <w:p w14:paraId="52751570">
            <w:pPr>
              <w:pStyle w:val="96"/>
              <w:rPr>
                <w:rFonts w:hint="default" w:ascii="Times New Roman" w:hAnsi="Times New Roman" w:eastAsia="宋体" w:cs="Times New Roman"/>
                <w:b/>
                <w:bCs/>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t>变化量</w: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z w:val="24"/>
                <w:szCs w:val="24"/>
                <w14:textFill>
                  <w14:solidFill>
                    <w14:schemeClr w14:val="tx1"/>
                  </w14:solidFill>
                </w14:textFill>
              </w:rPr>
              <w:instrText xml:space="preserve"> = 7 \* GB3 \* MERGEFORMAT </w:instrTex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14:textFill>
                  <w14:solidFill>
                    <w14:schemeClr w14:val="tx1"/>
                  </w14:solidFill>
                </w14:textFill>
              </w:rPr>
              <w:t>⑦</w:t>
            </w:r>
            <w:r>
              <w:rPr>
                <w:rFonts w:hint="default" w:ascii="Times New Roman" w:hAnsi="Times New Roman" w:eastAsia="宋体" w:cs="Times New Roman"/>
                <w:b/>
                <w:bCs/>
                <w:snapToGrid w:val="0"/>
                <w:color w:val="000000" w:themeColor="text1"/>
                <w:sz w:val="24"/>
                <w:szCs w:val="24"/>
                <w14:textFill>
                  <w14:solidFill>
                    <w14:schemeClr w14:val="tx1"/>
                  </w14:solidFill>
                </w14:textFill>
              </w:rPr>
              <w:fldChar w:fldCharType="end"/>
            </w:r>
          </w:p>
        </w:tc>
      </w:tr>
      <w:tr w14:paraId="7BA6C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Align w:val="center"/>
          </w:tcPr>
          <w:p w14:paraId="36452DDC">
            <w:pPr>
              <w:pStyle w:val="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废气</w:t>
            </w:r>
          </w:p>
        </w:tc>
        <w:tc>
          <w:tcPr>
            <w:tcW w:w="817" w:type="pct"/>
            <w:vAlign w:val="center"/>
          </w:tcPr>
          <w:p w14:paraId="16FD2478">
            <w:pPr>
              <w:pStyle w:val="96"/>
              <w:rPr>
                <w:rFonts w:hint="default" w:ascii="Times New Roman" w:hAnsi="Times New Roman" w:eastAsia="宋体" w:cs="Times New Roman"/>
                <w:snapToGrid w:val="0"/>
                <w:color w:val="0000FF"/>
                <w:sz w:val="24"/>
                <w:szCs w:val="24"/>
              </w:rPr>
            </w:pPr>
            <w:r>
              <w:rPr>
                <w:rFonts w:hint="default" w:ascii="Times New Roman" w:hAnsi="Times New Roman" w:eastAsia="宋体" w:cs="Times New Roman"/>
                <w:bCs/>
                <w:color w:val="0000FF"/>
                <w:sz w:val="24"/>
                <w:szCs w:val="24"/>
                <w:lang w:val="en-US" w:eastAsia="zh-CN"/>
              </w:rPr>
              <w:t>NMHC</w:t>
            </w:r>
          </w:p>
        </w:tc>
        <w:tc>
          <w:tcPr>
            <w:tcW w:w="554" w:type="pct"/>
            <w:vAlign w:val="center"/>
          </w:tcPr>
          <w:p w14:paraId="086CD761">
            <w:pPr>
              <w:pStyle w:val="96"/>
              <w:rPr>
                <w:rFonts w:hint="default" w:ascii="Times New Roman" w:hAnsi="Times New Roman" w:eastAsia="宋体" w:cs="Times New Roman"/>
                <w:snapToGrid w:val="0"/>
                <w:color w:val="0000FF"/>
                <w:sz w:val="24"/>
                <w:szCs w:val="24"/>
                <w:lang w:val="en-US" w:eastAsia="zh-CN"/>
              </w:rPr>
            </w:pPr>
            <w:r>
              <w:rPr>
                <w:rFonts w:hint="default" w:ascii="Times New Roman" w:hAnsi="Times New Roman" w:eastAsia="宋体" w:cs="Times New Roman"/>
                <w:snapToGrid w:val="0"/>
                <w:color w:val="0000FF"/>
                <w:sz w:val="24"/>
                <w:szCs w:val="24"/>
                <w:lang w:val="en-US" w:eastAsia="zh-CN"/>
              </w:rPr>
              <w:t>0</w:t>
            </w:r>
          </w:p>
        </w:tc>
        <w:tc>
          <w:tcPr>
            <w:tcW w:w="484" w:type="pct"/>
            <w:vAlign w:val="center"/>
          </w:tcPr>
          <w:p w14:paraId="528F582A">
            <w:pPr>
              <w:pStyle w:val="96"/>
              <w:ind w:firstLine="0" w:firstLineChars="0"/>
              <w:rPr>
                <w:rFonts w:hint="default" w:ascii="Times New Roman" w:hAnsi="Times New Roman" w:eastAsia="宋体" w:cs="Times New Roman"/>
                <w:snapToGrid w:val="0"/>
                <w:color w:val="0000FF"/>
                <w:sz w:val="24"/>
                <w:szCs w:val="24"/>
              </w:rPr>
            </w:pPr>
            <w:r>
              <w:rPr>
                <w:rFonts w:hint="default" w:ascii="Times New Roman" w:hAnsi="Times New Roman" w:eastAsia="宋体" w:cs="Times New Roman"/>
                <w:snapToGrid w:val="0"/>
                <w:color w:val="0000FF"/>
                <w:sz w:val="24"/>
                <w:szCs w:val="24"/>
                <w:lang w:val="en-US" w:eastAsia="zh-CN"/>
              </w:rPr>
              <w:t>0</w:t>
            </w:r>
          </w:p>
        </w:tc>
        <w:tc>
          <w:tcPr>
            <w:tcW w:w="590" w:type="pct"/>
            <w:vAlign w:val="center"/>
          </w:tcPr>
          <w:p w14:paraId="60361860">
            <w:pPr>
              <w:pStyle w:val="96"/>
              <w:ind w:firstLine="0" w:firstLineChars="0"/>
              <w:rPr>
                <w:rFonts w:hint="default" w:ascii="Times New Roman" w:hAnsi="Times New Roman" w:eastAsia="宋体" w:cs="Times New Roman"/>
                <w:snapToGrid w:val="0"/>
                <w:color w:val="0000FF"/>
                <w:sz w:val="24"/>
                <w:szCs w:val="24"/>
              </w:rPr>
            </w:pPr>
            <w:r>
              <w:rPr>
                <w:rFonts w:hint="default" w:ascii="Times New Roman" w:hAnsi="Times New Roman" w:eastAsia="宋体" w:cs="Times New Roman"/>
                <w:snapToGrid w:val="0"/>
                <w:color w:val="0000FF"/>
                <w:sz w:val="24"/>
                <w:szCs w:val="24"/>
                <w:lang w:val="en-US" w:eastAsia="zh-CN"/>
              </w:rPr>
              <w:t>0</w:t>
            </w:r>
          </w:p>
        </w:tc>
        <w:tc>
          <w:tcPr>
            <w:tcW w:w="590" w:type="pct"/>
            <w:vAlign w:val="center"/>
          </w:tcPr>
          <w:p w14:paraId="165201E7">
            <w:pPr>
              <w:pStyle w:val="96"/>
              <w:rPr>
                <w:rFonts w:hint="default" w:ascii="Times New Roman" w:hAnsi="Times New Roman" w:eastAsia="宋体" w:cs="Times New Roman"/>
                <w:snapToGrid w:val="0"/>
                <w:color w:val="0000FF"/>
                <w:sz w:val="24"/>
                <w:szCs w:val="24"/>
                <w:lang w:val="en-US" w:eastAsia="zh-CN"/>
              </w:rPr>
            </w:pPr>
            <w:r>
              <w:rPr>
                <w:rFonts w:hint="eastAsia" w:ascii="Times New Roman" w:hAnsi="Times New Roman" w:eastAsia="宋体" w:cs="Times New Roman"/>
                <w:snapToGrid w:val="0"/>
                <w:color w:val="0000FF"/>
                <w:sz w:val="24"/>
                <w:szCs w:val="24"/>
                <w:lang w:val="en-US" w:eastAsia="zh-CN"/>
              </w:rPr>
              <w:t>0.</w:t>
            </w:r>
            <w:r>
              <w:rPr>
                <w:rFonts w:hint="default" w:ascii="Times New Roman" w:hAnsi="Times New Roman" w:eastAsia="宋体" w:cs="Times New Roman"/>
                <w:snapToGrid w:val="0"/>
                <w:color w:val="0000FF"/>
                <w:sz w:val="24"/>
                <w:szCs w:val="24"/>
                <w:lang w:val="en-US" w:eastAsia="zh-CN"/>
              </w:rPr>
              <w:t>420</w:t>
            </w:r>
          </w:p>
        </w:tc>
        <w:tc>
          <w:tcPr>
            <w:tcW w:w="528" w:type="pct"/>
            <w:vAlign w:val="center"/>
          </w:tcPr>
          <w:p w14:paraId="631FCB64">
            <w:pPr>
              <w:pStyle w:val="96"/>
              <w:ind w:firstLine="0" w:firstLineChars="0"/>
              <w:rPr>
                <w:rFonts w:hint="default" w:ascii="Times New Roman" w:hAnsi="Times New Roman" w:eastAsia="宋体" w:cs="Times New Roman"/>
                <w:snapToGrid w:val="0"/>
                <w:color w:val="0000FF"/>
                <w:sz w:val="24"/>
                <w:szCs w:val="24"/>
              </w:rPr>
            </w:pPr>
            <w:r>
              <w:rPr>
                <w:rFonts w:hint="default" w:ascii="Times New Roman" w:hAnsi="Times New Roman" w:eastAsia="宋体" w:cs="Times New Roman"/>
                <w:snapToGrid w:val="0"/>
                <w:color w:val="0000FF"/>
                <w:sz w:val="24"/>
                <w:szCs w:val="24"/>
                <w:lang w:val="en-US" w:eastAsia="zh-CN"/>
              </w:rPr>
              <w:t>0</w:t>
            </w:r>
          </w:p>
        </w:tc>
        <w:tc>
          <w:tcPr>
            <w:tcW w:w="566" w:type="pct"/>
            <w:vAlign w:val="center"/>
          </w:tcPr>
          <w:p w14:paraId="55CA9850">
            <w:pPr>
              <w:pStyle w:val="96"/>
              <w:ind w:firstLine="0" w:firstLineChars="0"/>
              <w:rPr>
                <w:rFonts w:hint="default" w:ascii="Times New Roman" w:hAnsi="Times New Roman" w:eastAsia="宋体" w:cs="Times New Roman"/>
                <w:snapToGrid w:val="0"/>
                <w:color w:val="0000FF"/>
                <w:sz w:val="24"/>
                <w:szCs w:val="24"/>
              </w:rPr>
            </w:pPr>
            <w:r>
              <w:rPr>
                <w:rFonts w:hint="eastAsia" w:ascii="Times New Roman" w:hAnsi="Times New Roman" w:eastAsia="宋体" w:cs="Times New Roman"/>
                <w:snapToGrid w:val="0"/>
                <w:color w:val="0000FF"/>
                <w:sz w:val="24"/>
                <w:szCs w:val="24"/>
                <w:lang w:val="en-US" w:eastAsia="zh-CN"/>
              </w:rPr>
              <w:t>0.</w:t>
            </w:r>
            <w:r>
              <w:rPr>
                <w:rFonts w:hint="default" w:ascii="Times New Roman" w:hAnsi="Times New Roman" w:eastAsia="宋体" w:cs="Times New Roman"/>
                <w:snapToGrid w:val="0"/>
                <w:color w:val="0000FF"/>
                <w:sz w:val="24"/>
                <w:szCs w:val="24"/>
                <w:lang w:val="en-US" w:eastAsia="zh-CN"/>
              </w:rPr>
              <w:t>420</w:t>
            </w:r>
          </w:p>
        </w:tc>
        <w:tc>
          <w:tcPr>
            <w:tcW w:w="571" w:type="pct"/>
            <w:shd w:val="clear" w:color="auto" w:fill="auto"/>
            <w:vAlign w:val="center"/>
          </w:tcPr>
          <w:p w14:paraId="58421EDC">
            <w:pPr>
              <w:pStyle w:val="96"/>
              <w:ind w:firstLine="0" w:firstLineChars="0"/>
              <w:rPr>
                <w:rFonts w:hint="default" w:ascii="Times New Roman" w:hAnsi="Times New Roman" w:eastAsia="宋体" w:cs="Times New Roman"/>
                <w:snapToGrid w:val="0"/>
                <w:color w:val="0000FF"/>
                <w:kern w:val="0"/>
                <w:sz w:val="24"/>
                <w:szCs w:val="24"/>
                <w:lang w:val="en-US" w:eastAsia="zh-CN" w:bidi="ar-SA"/>
              </w:rPr>
            </w:pPr>
            <w:r>
              <w:rPr>
                <w:rFonts w:hint="default" w:ascii="Times New Roman" w:hAnsi="Times New Roman" w:eastAsia="宋体" w:cs="Times New Roman"/>
                <w:snapToGrid w:val="0"/>
                <w:color w:val="0000FF"/>
                <w:sz w:val="24"/>
                <w:szCs w:val="24"/>
                <w:lang w:val="en-US" w:eastAsia="zh-CN"/>
              </w:rPr>
              <w:t>+</w:t>
            </w:r>
            <w:r>
              <w:rPr>
                <w:rFonts w:hint="eastAsia" w:ascii="Times New Roman" w:hAnsi="Times New Roman" w:eastAsia="宋体" w:cs="Times New Roman"/>
                <w:snapToGrid w:val="0"/>
                <w:color w:val="0000FF"/>
                <w:sz w:val="24"/>
                <w:szCs w:val="24"/>
                <w:lang w:val="en-US" w:eastAsia="zh-CN"/>
              </w:rPr>
              <w:t>0.</w:t>
            </w:r>
            <w:r>
              <w:rPr>
                <w:rFonts w:hint="default" w:ascii="Times New Roman" w:hAnsi="Times New Roman" w:eastAsia="宋体" w:cs="Times New Roman"/>
                <w:snapToGrid w:val="0"/>
                <w:color w:val="0000FF"/>
                <w:sz w:val="24"/>
                <w:szCs w:val="24"/>
                <w:lang w:val="en-US" w:eastAsia="zh-CN"/>
              </w:rPr>
              <w:t>420</w:t>
            </w:r>
          </w:p>
        </w:tc>
      </w:tr>
      <w:tr w14:paraId="2B3215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restart"/>
            <w:vAlign w:val="center"/>
          </w:tcPr>
          <w:p w14:paraId="1BCF6662">
            <w:pPr>
              <w:pStyle w:val="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废水</w:t>
            </w:r>
          </w:p>
        </w:tc>
        <w:tc>
          <w:tcPr>
            <w:tcW w:w="817" w:type="pct"/>
            <w:vAlign w:val="center"/>
          </w:tcPr>
          <w:p w14:paraId="7E977259">
            <w:pPr>
              <w:pStyle w:val="96"/>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14:textFill>
                  <w14:solidFill>
                    <w14:schemeClr w14:val="tx1"/>
                  </w14:solidFill>
                </w14:textFill>
              </w:rPr>
              <w:t>废水量</w:t>
            </w:r>
          </w:p>
        </w:tc>
        <w:tc>
          <w:tcPr>
            <w:tcW w:w="554" w:type="pct"/>
            <w:vAlign w:val="center"/>
          </w:tcPr>
          <w:p w14:paraId="130ABBBE">
            <w:pPr>
              <w:pStyle w:val="96"/>
              <w:ind w:firstLine="0" w:firstLineChars="0"/>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484" w:type="pct"/>
            <w:vAlign w:val="center"/>
          </w:tcPr>
          <w:p w14:paraId="1DD121CC">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7B0A444E">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53EB6330">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28" w:type="pct"/>
            <w:vAlign w:val="center"/>
          </w:tcPr>
          <w:p w14:paraId="08491636">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66" w:type="pct"/>
            <w:vAlign w:val="center"/>
          </w:tcPr>
          <w:p w14:paraId="76E5CD10">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71" w:type="pct"/>
            <w:shd w:val="clear" w:color="auto" w:fill="auto"/>
            <w:vAlign w:val="center"/>
          </w:tcPr>
          <w:p w14:paraId="68F8C889">
            <w:pPr>
              <w:pStyle w:val="96"/>
              <w:ind w:firstLine="0" w:firstLineChars="0"/>
              <w:rPr>
                <w:rFonts w:hint="default" w:ascii="Times New Roman" w:hAnsi="Times New Roman" w:eastAsia="宋体" w:cs="Times New Roman"/>
                <w:snapToGrid w:val="0"/>
                <w:color w:val="000000" w:themeColor="text1"/>
                <w:kern w:val="0"/>
                <w:sz w:val="24"/>
                <w:szCs w:val="24"/>
                <w:lang w:val="zh-CN"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tc>
      </w:tr>
      <w:tr w14:paraId="4911D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14:paraId="3B5C63B0">
            <w:pPr>
              <w:pStyle w:val="96"/>
              <w:rPr>
                <w:rFonts w:hint="default" w:ascii="Times New Roman" w:hAnsi="Times New Roman" w:eastAsia="宋体" w:cs="Times New Roman"/>
                <w:color w:val="000000" w:themeColor="text1"/>
                <w:sz w:val="24"/>
                <w:szCs w:val="24"/>
                <w14:textFill>
                  <w14:solidFill>
                    <w14:schemeClr w14:val="tx1"/>
                  </w14:solidFill>
                </w14:textFill>
              </w:rPr>
            </w:pPr>
          </w:p>
        </w:tc>
        <w:tc>
          <w:tcPr>
            <w:tcW w:w="817" w:type="pct"/>
            <w:vAlign w:val="center"/>
          </w:tcPr>
          <w:p w14:paraId="626923BD">
            <w:pPr>
              <w:pStyle w:val="96"/>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14:textFill>
                  <w14:solidFill>
                    <w14:schemeClr w14:val="tx1"/>
                  </w14:solidFill>
                </w14:textFill>
              </w:rPr>
              <w:t>COD</w:t>
            </w:r>
            <w:r>
              <w:rPr>
                <w:rFonts w:hint="default" w:ascii="Times New Roman" w:hAnsi="Times New Roman" w:eastAsia="宋体" w:cs="Times New Roman"/>
                <w:snapToGrid w:val="0"/>
                <w:color w:val="000000" w:themeColor="text1"/>
                <w:sz w:val="24"/>
                <w:szCs w:val="24"/>
                <w:vertAlign w:val="subscript"/>
                <w14:textFill>
                  <w14:solidFill>
                    <w14:schemeClr w14:val="tx1"/>
                  </w14:solidFill>
                </w14:textFill>
              </w:rPr>
              <w:t>Cr</w:t>
            </w:r>
          </w:p>
        </w:tc>
        <w:tc>
          <w:tcPr>
            <w:tcW w:w="554" w:type="pct"/>
            <w:vAlign w:val="center"/>
          </w:tcPr>
          <w:p w14:paraId="768CEA77">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484" w:type="pct"/>
            <w:vAlign w:val="center"/>
          </w:tcPr>
          <w:p w14:paraId="170BCB26">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3A7D2448">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6DE5AFD3">
            <w:pPr>
              <w:pStyle w:val="96"/>
              <w:ind w:firstLine="0" w:firstLineChars="0"/>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28" w:type="pct"/>
            <w:vAlign w:val="center"/>
          </w:tcPr>
          <w:p w14:paraId="1F973168">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66" w:type="pct"/>
            <w:vAlign w:val="center"/>
          </w:tcPr>
          <w:p w14:paraId="064F3116">
            <w:pPr>
              <w:pStyle w:val="96"/>
              <w:ind w:firstLine="0" w:firstLineChars="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71" w:type="pct"/>
            <w:shd w:val="clear" w:color="auto" w:fill="auto"/>
            <w:vAlign w:val="center"/>
          </w:tcPr>
          <w:p w14:paraId="271AC55A">
            <w:pPr>
              <w:pStyle w:val="96"/>
              <w:ind w:firstLine="0" w:firstLineChars="0"/>
              <w:rPr>
                <w:rFonts w:hint="default" w:ascii="Times New Roman" w:hAnsi="Times New Roman" w:eastAsia="宋体" w:cs="Times New Roman"/>
                <w:snapToGrid w:val="0"/>
                <w:color w:val="000000" w:themeColor="text1"/>
                <w:kern w:val="0"/>
                <w:sz w:val="24"/>
                <w:szCs w:val="24"/>
                <w:lang w:val="zh-CN"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tc>
      </w:tr>
      <w:tr w14:paraId="393C2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14:paraId="4C3A637B">
            <w:pPr>
              <w:pStyle w:val="96"/>
              <w:rPr>
                <w:rFonts w:hint="default" w:ascii="Times New Roman" w:hAnsi="Times New Roman" w:eastAsia="宋体" w:cs="Times New Roman"/>
                <w:color w:val="000000" w:themeColor="text1"/>
                <w:sz w:val="24"/>
                <w:szCs w:val="24"/>
                <w14:textFill>
                  <w14:solidFill>
                    <w14:schemeClr w14:val="tx1"/>
                  </w14:solidFill>
                </w14:textFill>
              </w:rPr>
            </w:pPr>
          </w:p>
        </w:tc>
        <w:tc>
          <w:tcPr>
            <w:tcW w:w="817" w:type="pct"/>
            <w:vAlign w:val="center"/>
          </w:tcPr>
          <w:p w14:paraId="770736AE">
            <w:pPr>
              <w:pStyle w:val="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氨氮</w:t>
            </w:r>
          </w:p>
        </w:tc>
        <w:tc>
          <w:tcPr>
            <w:tcW w:w="554" w:type="pct"/>
            <w:vAlign w:val="center"/>
          </w:tcPr>
          <w:p w14:paraId="6AC9989C">
            <w:pPr>
              <w:pStyle w:val="96"/>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484" w:type="pct"/>
            <w:vAlign w:val="center"/>
          </w:tcPr>
          <w:p w14:paraId="52F08BFC">
            <w:pPr>
              <w:pStyle w:val="96"/>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7137315D">
            <w:pPr>
              <w:pStyle w:val="96"/>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6D6DAF6C">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28" w:type="pct"/>
            <w:vAlign w:val="center"/>
          </w:tcPr>
          <w:p w14:paraId="23EFBF24">
            <w:pPr>
              <w:pStyle w:val="96"/>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66" w:type="pct"/>
            <w:vAlign w:val="center"/>
          </w:tcPr>
          <w:p w14:paraId="3F849A20">
            <w:pPr>
              <w:pStyle w:val="96"/>
              <w:ind w:firstLine="0" w:firstLineChars="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71" w:type="pct"/>
            <w:shd w:val="clear" w:color="auto" w:fill="auto"/>
            <w:vAlign w:val="center"/>
          </w:tcPr>
          <w:p w14:paraId="5D19937E">
            <w:pPr>
              <w:pStyle w:val="96"/>
              <w:ind w:firstLine="0" w:firstLineChars="0"/>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tc>
      </w:tr>
      <w:tr w14:paraId="735A1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95" w:type="pct"/>
            <w:vMerge w:val="restart"/>
            <w:vAlign w:val="center"/>
          </w:tcPr>
          <w:p w14:paraId="07631E4F">
            <w:pPr>
              <w:pStyle w:val="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一般工业固体废物</w:t>
            </w:r>
          </w:p>
        </w:tc>
        <w:tc>
          <w:tcPr>
            <w:tcW w:w="817" w:type="pct"/>
            <w:vAlign w:val="center"/>
          </w:tcPr>
          <w:p w14:paraId="008E6098">
            <w:pPr>
              <w:pStyle w:val="96"/>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54" w:type="pct"/>
            <w:vAlign w:val="center"/>
          </w:tcPr>
          <w:p w14:paraId="711C5AEB">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484" w:type="pct"/>
            <w:vAlign w:val="center"/>
          </w:tcPr>
          <w:p w14:paraId="67D8CFF2">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03AE75EC">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56EE8DA3">
            <w:pPr>
              <w:pStyle w:val="96"/>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28" w:type="pct"/>
            <w:vAlign w:val="center"/>
          </w:tcPr>
          <w:p w14:paraId="18BC9B2E">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66" w:type="pct"/>
            <w:vAlign w:val="center"/>
          </w:tcPr>
          <w:p w14:paraId="1699FBF2">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71" w:type="pct"/>
            <w:shd w:val="clear" w:color="auto" w:fill="auto"/>
            <w:vAlign w:val="center"/>
          </w:tcPr>
          <w:p w14:paraId="2C632A4A">
            <w:pPr>
              <w:pStyle w:val="96"/>
              <w:ind w:firstLine="0" w:firstLineChars="0"/>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tc>
      </w:tr>
      <w:tr w14:paraId="6E54F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5" w:type="pct"/>
            <w:vMerge w:val="continue"/>
            <w:vAlign w:val="center"/>
          </w:tcPr>
          <w:p w14:paraId="3E0DAEE1">
            <w:pPr>
              <w:pStyle w:val="96"/>
              <w:rPr>
                <w:rFonts w:hint="default" w:ascii="Times New Roman" w:hAnsi="Times New Roman" w:eastAsia="宋体" w:cs="Times New Roman"/>
                <w:color w:val="000000" w:themeColor="text1"/>
                <w:sz w:val="24"/>
                <w:szCs w:val="24"/>
                <w14:textFill>
                  <w14:solidFill>
                    <w14:schemeClr w14:val="tx1"/>
                  </w14:solidFill>
                </w14:textFill>
              </w:rPr>
            </w:pPr>
          </w:p>
        </w:tc>
        <w:tc>
          <w:tcPr>
            <w:tcW w:w="817" w:type="pct"/>
            <w:vAlign w:val="center"/>
          </w:tcPr>
          <w:p w14:paraId="2DFAB6CB">
            <w:pPr>
              <w:pStyle w:val="96"/>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54" w:type="pct"/>
            <w:vAlign w:val="center"/>
          </w:tcPr>
          <w:p w14:paraId="06436769">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484" w:type="pct"/>
            <w:vAlign w:val="center"/>
          </w:tcPr>
          <w:p w14:paraId="62E2DC91">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34349412">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90" w:type="pct"/>
            <w:vAlign w:val="center"/>
          </w:tcPr>
          <w:p w14:paraId="602157DF">
            <w:pPr>
              <w:pStyle w:val="96"/>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28" w:type="pct"/>
            <w:vAlign w:val="center"/>
          </w:tcPr>
          <w:p w14:paraId="7A34DDF9">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66" w:type="pct"/>
            <w:vAlign w:val="center"/>
          </w:tcPr>
          <w:p w14:paraId="5934A319">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571" w:type="pct"/>
            <w:shd w:val="clear" w:color="auto" w:fill="auto"/>
            <w:vAlign w:val="center"/>
          </w:tcPr>
          <w:p w14:paraId="5361E9D8">
            <w:pPr>
              <w:pStyle w:val="96"/>
              <w:ind w:firstLine="0" w:firstLineChars="0"/>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tc>
      </w:tr>
      <w:tr w14:paraId="3125C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restart"/>
            <w:vAlign w:val="center"/>
          </w:tcPr>
          <w:p w14:paraId="3BEA940D">
            <w:pPr>
              <w:pStyle w:val="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w:t>
            </w:r>
          </w:p>
        </w:tc>
        <w:tc>
          <w:tcPr>
            <w:tcW w:w="817" w:type="pct"/>
            <w:vAlign w:val="center"/>
          </w:tcPr>
          <w:p w14:paraId="313E98E1">
            <w:pPr>
              <w:pStyle w:val="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lang w:eastAsia="zh-CN"/>
                <w14:textFill>
                  <w14:solidFill>
                    <w14:schemeClr w14:val="tx1"/>
                  </w14:solidFill>
                </w14:textFill>
              </w:rPr>
              <w:t>含油废抹布及废手套</w:t>
            </w:r>
          </w:p>
        </w:tc>
        <w:tc>
          <w:tcPr>
            <w:tcW w:w="554" w:type="pct"/>
            <w:vAlign w:val="center"/>
          </w:tcPr>
          <w:p w14:paraId="497BC7A1">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p>
        </w:tc>
        <w:tc>
          <w:tcPr>
            <w:tcW w:w="484" w:type="pct"/>
            <w:vAlign w:val="center"/>
          </w:tcPr>
          <w:p w14:paraId="2CA647CD">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p>
        </w:tc>
        <w:tc>
          <w:tcPr>
            <w:tcW w:w="590" w:type="pct"/>
            <w:vAlign w:val="center"/>
          </w:tcPr>
          <w:p w14:paraId="021D54EC">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p>
        </w:tc>
        <w:tc>
          <w:tcPr>
            <w:tcW w:w="590" w:type="pct"/>
            <w:vAlign w:val="center"/>
          </w:tcPr>
          <w:p w14:paraId="3A4FA638">
            <w:pPr>
              <w:pStyle w:val="96"/>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0.02</w:t>
            </w:r>
          </w:p>
        </w:tc>
        <w:tc>
          <w:tcPr>
            <w:tcW w:w="528" w:type="pct"/>
            <w:vAlign w:val="center"/>
          </w:tcPr>
          <w:p w14:paraId="1CA88CF0">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p>
        </w:tc>
        <w:tc>
          <w:tcPr>
            <w:tcW w:w="566" w:type="pct"/>
            <w:vAlign w:val="center"/>
          </w:tcPr>
          <w:p w14:paraId="09338E76">
            <w:pPr>
              <w:pStyle w:val="96"/>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0.02</w:t>
            </w:r>
          </w:p>
        </w:tc>
        <w:tc>
          <w:tcPr>
            <w:tcW w:w="571" w:type="pct"/>
            <w:shd w:val="clear" w:color="auto" w:fill="auto"/>
            <w:vAlign w:val="center"/>
          </w:tcPr>
          <w:p w14:paraId="19ECEBFB">
            <w:pPr>
              <w:pStyle w:val="96"/>
              <w:ind w:firstLine="0" w:firstLineChars="0"/>
              <w:rPr>
                <w:rFonts w:hint="default" w:ascii="Times New Roman" w:hAnsi="Times New Roman" w:eastAsia="宋体" w:cs="Times New Roman"/>
                <w:color w:val="000000" w:themeColor="text1"/>
                <w:kern w:val="0"/>
                <w:sz w:val="24"/>
                <w:szCs w:val="24"/>
                <w:lang w:val="zh-CN"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+0.02</w:t>
            </w:r>
          </w:p>
        </w:tc>
      </w:tr>
      <w:tr w14:paraId="2D5F3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14:paraId="34408B35">
            <w:pPr>
              <w:pStyle w:val="96"/>
              <w:rPr>
                <w:rFonts w:hint="default" w:ascii="Times New Roman" w:hAnsi="Times New Roman" w:eastAsia="宋体" w:cs="Times New Roman"/>
                <w:color w:val="000000" w:themeColor="text1"/>
                <w:sz w:val="24"/>
                <w:szCs w:val="24"/>
                <w14:textFill>
                  <w14:solidFill>
                    <w14:schemeClr w14:val="tx1"/>
                  </w14:solidFill>
                </w14:textFill>
              </w:rPr>
            </w:pPr>
          </w:p>
        </w:tc>
        <w:tc>
          <w:tcPr>
            <w:tcW w:w="817" w:type="pct"/>
            <w:vAlign w:val="center"/>
          </w:tcPr>
          <w:p w14:paraId="00A3009E">
            <w:pPr>
              <w:pStyle w:val="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废活性炭</w:t>
            </w:r>
          </w:p>
        </w:tc>
        <w:tc>
          <w:tcPr>
            <w:tcW w:w="554" w:type="pct"/>
            <w:vAlign w:val="center"/>
          </w:tcPr>
          <w:p w14:paraId="6CA619C5">
            <w:pPr>
              <w:pStyle w:val="96"/>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0</w:t>
            </w:r>
          </w:p>
        </w:tc>
        <w:tc>
          <w:tcPr>
            <w:tcW w:w="484" w:type="pct"/>
            <w:vAlign w:val="center"/>
          </w:tcPr>
          <w:p w14:paraId="305B344E">
            <w:pPr>
              <w:pStyle w:val="96"/>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0</w:t>
            </w:r>
          </w:p>
        </w:tc>
        <w:tc>
          <w:tcPr>
            <w:tcW w:w="590" w:type="pct"/>
            <w:vAlign w:val="center"/>
          </w:tcPr>
          <w:p w14:paraId="422A191D">
            <w:pPr>
              <w:pStyle w:val="96"/>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0</w:t>
            </w:r>
          </w:p>
        </w:tc>
        <w:tc>
          <w:tcPr>
            <w:tcW w:w="590" w:type="pct"/>
            <w:vAlign w:val="center"/>
          </w:tcPr>
          <w:p w14:paraId="057C2462">
            <w:pPr>
              <w:pStyle w:val="96"/>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0.25</w:t>
            </w:r>
          </w:p>
        </w:tc>
        <w:tc>
          <w:tcPr>
            <w:tcW w:w="528" w:type="pct"/>
            <w:vAlign w:val="center"/>
          </w:tcPr>
          <w:p w14:paraId="39FF13F6">
            <w:pPr>
              <w:pStyle w:val="96"/>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0</w:t>
            </w:r>
          </w:p>
        </w:tc>
        <w:tc>
          <w:tcPr>
            <w:tcW w:w="566" w:type="pct"/>
            <w:vAlign w:val="center"/>
          </w:tcPr>
          <w:p w14:paraId="58305D0A">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0.25</w:t>
            </w:r>
          </w:p>
        </w:tc>
        <w:tc>
          <w:tcPr>
            <w:tcW w:w="571" w:type="pct"/>
            <w:shd w:val="clear" w:color="auto" w:fill="auto"/>
            <w:vAlign w:val="center"/>
          </w:tcPr>
          <w:p w14:paraId="7F053564">
            <w:pPr>
              <w:pStyle w:val="96"/>
              <w:ind w:firstLine="0" w:firstLineChars="0"/>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+0.25</w:t>
            </w:r>
          </w:p>
        </w:tc>
      </w:tr>
      <w:tr w14:paraId="2A349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14:paraId="6D74E689">
            <w:pPr>
              <w:pStyle w:val="96"/>
              <w:rPr>
                <w:rFonts w:hint="default" w:ascii="Times New Roman" w:hAnsi="Times New Roman" w:eastAsia="宋体" w:cs="Times New Roman"/>
                <w:color w:val="000000" w:themeColor="text1"/>
                <w:sz w:val="24"/>
                <w:szCs w:val="24"/>
                <w14:textFill>
                  <w14:solidFill>
                    <w14:schemeClr w14:val="tx1"/>
                  </w14:solidFill>
                </w14:textFill>
              </w:rPr>
            </w:pPr>
          </w:p>
        </w:tc>
        <w:tc>
          <w:tcPr>
            <w:tcW w:w="817" w:type="pct"/>
            <w:vAlign w:val="center"/>
          </w:tcPr>
          <w:p w14:paraId="73793FAF">
            <w:pPr>
              <w:pStyle w:val="96"/>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废沙土</w:t>
            </w:r>
          </w:p>
        </w:tc>
        <w:tc>
          <w:tcPr>
            <w:tcW w:w="554" w:type="pct"/>
            <w:vAlign w:val="center"/>
          </w:tcPr>
          <w:p w14:paraId="111F7341">
            <w:pPr>
              <w:pStyle w:val="96"/>
              <w:ind w:firstLine="0" w:firstLineChars="0"/>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0</w:t>
            </w:r>
          </w:p>
        </w:tc>
        <w:tc>
          <w:tcPr>
            <w:tcW w:w="484" w:type="pct"/>
            <w:vAlign w:val="center"/>
          </w:tcPr>
          <w:p w14:paraId="0DE33ACA">
            <w:pPr>
              <w:pStyle w:val="96"/>
              <w:ind w:firstLine="0" w:firstLineChars="0"/>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0</w:t>
            </w:r>
          </w:p>
        </w:tc>
        <w:tc>
          <w:tcPr>
            <w:tcW w:w="590" w:type="pct"/>
            <w:vAlign w:val="center"/>
          </w:tcPr>
          <w:p w14:paraId="072F80A5">
            <w:pPr>
              <w:pStyle w:val="96"/>
              <w:ind w:firstLine="0" w:firstLineChars="0"/>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0</w:t>
            </w:r>
          </w:p>
        </w:tc>
        <w:tc>
          <w:tcPr>
            <w:tcW w:w="590" w:type="pct"/>
            <w:vAlign w:val="center"/>
          </w:tcPr>
          <w:p w14:paraId="2CCDD31A">
            <w:pPr>
              <w:pStyle w:val="96"/>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0.08</w:t>
            </w:r>
          </w:p>
        </w:tc>
        <w:tc>
          <w:tcPr>
            <w:tcW w:w="528" w:type="pct"/>
            <w:vAlign w:val="center"/>
          </w:tcPr>
          <w:p w14:paraId="071A2885">
            <w:pPr>
              <w:pStyle w:val="96"/>
              <w:ind w:firstLine="0" w:firstLineChars="0"/>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0</w:t>
            </w:r>
          </w:p>
        </w:tc>
        <w:tc>
          <w:tcPr>
            <w:tcW w:w="566" w:type="pct"/>
            <w:vAlign w:val="center"/>
          </w:tcPr>
          <w:p w14:paraId="55FF3AC2">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0.08</w:t>
            </w:r>
          </w:p>
        </w:tc>
        <w:tc>
          <w:tcPr>
            <w:tcW w:w="571" w:type="pct"/>
            <w:shd w:val="clear" w:color="auto" w:fill="auto"/>
            <w:vAlign w:val="center"/>
          </w:tcPr>
          <w:p w14:paraId="1D6CA399">
            <w:pPr>
              <w:pStyle w:val="96"/>
              <w:ind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+0.08</w:t>
            </w:r>
          </w:p>
        </w:tc>
      </w:tr>
      <w:tr w14:paraId="507E9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14:paraId="6759107D">
            <w:pPr>
              <w:pStyle w:val="96"/>
              <w:rPr>
                <w:rFonts w:hint="default" w:ascii="Times New Roman" w:hAnsi="Times New Roman" w:eastAsia="宋体" w:cs="Times New Roman"/>
                <w:color w:val="000000" w:themeColor="text1"/>
                <w:sz w:val="24"/>
                <w:szCs w:val="24"/>
                <w14:textFill>
                  <w14:solidFill>
                    <w14:schemeClr w14:val="tx1"/>
                  </w14:solidFill>
                </w14:textFill>
              </w:rPr>
            </w:pPr>
          </w:p>
        </w:tc>
        <w:tc>
          <w:tcPr>
            <w:tcW w:w="817" w:type="pct"/>
            <w:vAlign w:val="center"/>
          </w:tcPr>
          <w:p w14:paraId="2CC21579">
            <w:pPr>
              <w:pStyle w:val="96"/>
              <w:rPr>
                <w:rFonts w:hint="default" w:ascii="Times New Roman" w:hAnsi="Times New Roman" w:eastAsia="宋体" w:cs="Times New Roman"/>
                <w:snapToGrid w:val="0"/>
                <w:color w:val="FF0000"/>
                <w:sz w:val="24"/>
                <w:szCs w:val="24"/>
                <w:lang w:val="en-US" w:eastAsia="zh-CN"/>
              </w:rPr>
            </w:pPr>
            <w:r>
              <w:rPr>
                <w:rFonts w:hint="default" w:ascii="Times New Roman" w:hAnsi="Times New Roman" w:eastAsia="宋体" w:cs="Times New Roman"/>
                <w:snapToGrid w:val="0"/>
                <w:color w:val="FF0000"/>
                <w:sz w:val="24"/>
                <w:szCs w:val="24"/>
                <w:lang w:val="en-US" w:eastAsia="zh-CN"/>
              </w:rPr>
              <w:t>废积液</w:t>
            </w:r>
          </w:p>
        </w:tc>
        <w:tc>
          <w:tcPr>
            <w:tcW w:w="554" w:type="pct"/>
            <w:vAlign w:val="center"/>
          </w:tcPr>
          <w:p w14:paraId="6B4362E8">
            <w:pPr>
              <w:pStyle w:val="96"/>
              <w:ind w:firstLine="0" w:firstLineChars="0"/>
              <w:rPr>
                <w:rFonts w:hint="default" w:ascii="Times New Roman" w:hAnsi="Times New Roman" w:eastAsia="宋体" w:cs="Times New Roman"/>
                <w:snapToGrid w:val="0"/>
                <w:color w:val="FF0000"/>
                <w:sz w:val="24"/>
                <w:szCs w:val="24"/>
                <w:lang w:val="en-US" w:eastAsia="zh-CN"/>
              </w:rPr>
            </w:pPr>
            <w:r>
              <w:rPr>
                <w:rFonts w:hint="eastAsia" w:cs="Times New Roman"/>
                <w:snapToGrid w:val="0"/>
                <w:color w:val="FF0000"/>
                <w:sz w:val="24"/>
                <w:szCs w:val="24"/>
                <w:lang w:val="en-US" w:eastAsia="zh-CN"/>
              </w:rPr>
              <w:t>0</w:t>
            </w:r>
          </w:p>
        </w:tc>
        <w:tc>
          <w:tcPr>
            <w:tcW w:w="484" w:type="pct"/>
            <w:vAlign w:val="center"/>
          </w:tcPr>
          <w:p w14:paraId="2B1359D3">
            <w:pPr>
              <w:pStyle w:val="96"/>
              <w:ind w:firstLine="0" w:firstLineChars="0"/>
              <w:rPr>
                <w:rFonts w:hint="default" w:ascii="Times New Roman" w:hAnsi="Times New Roman" w:eastAsia="宋体" w:cs="Times New Roman"/>
                <w:snapToGrid w:val="0"/>
                <w:color w:val="FF0000"/>
                <w:sz w:val="24"/>
                <w:szCs w:val="24"/>
                <w:lang w:val="en-US" w:eastAsia="zh-CN"/>
              </w:rPr>
            </w:pPr>
            <w:r>
              <w:rPr>
                <w:rFonts w:hint="eastAsia" w:cs="Times New Roman"/>
                <w:snapToGrid w:val="0"/>
                <w:color w:val="FF0000"/>
                <w:sz w:val="24"/>
                <w:szCs w:val="24"/>
                <w:lang w:val="en-US" w:eastAsia="zh-CN"/>
              </w:rPr>
              <w:t>0</w:t>
            </w:r>
          </w:p>
        </w:tc>
        <w:tc>
          <w:tcPr>
            <w:tcW w:w="590" w:type="pct"/>
            <w:vAlign w:val="center"/>
          </w:tcPr>
          <w:p w14:paraId="4C8669CC">
            <w:pPr>
              <w:pStyle w:val="96"/>
              <w:ind w:firstLine="0" w:firstLineChars="0"/>
              <w:rPr>
                <w:rFonts w:hint="default" w:ascii="Times New Roman" w:hAnsi="Times New Roman" w:eastAsia="宋体" w:cs="Times New Roman"/>
                <w:snapToGrid w:val="0"/>
                <w:color w:val="FF0000"/>
                <w:sz w:val="24"/>
                <w:szCs w:val="24"/>
                <w:lang w:val="en-US" w:eastAsia="zh-CN"/>
              </w:rPr>
            </w:pPr>
            <w:r>
              <w:rPr>
                <w:rFonts w:hint="eastAsia" w:cs="Times New Roman"/>
                <w:snapToGrid w:val="0"/>
                <w:color w:val="FF0000"/>
                <w:sz w:val="24"/>
                <w:szCs w:val="24"/>
                <w:lang w:val="en-US" w:eastAsia="zh-CN"/>
              </w:rPr>
              <w:t>0</w:t>
            </w:r>
          </w:p>
        </w:tc>
        <w:tc>
          <w:tcPr>
            <w:tcW w:w="590" w:type="pct"/>
            <w:vAlign w:val="center"/>
          </w:tcPr>
          <w:p w14:paraId="1BC66049">
            <w:pPr>
              <w:pStyle w:val="96"/>
              <w:rPr>
                <w:rFonts w:hint="default" w:ascii="Times New Roman" w:hAnsi="Times New Roman" w:eastAsia="宋体" w:cs="Times New Roman"/>
                <w:color w:val="FF0000"/>
                <w:sz w:val="24"/>
                <w:szCs w:val="24"/>
                <w:lang w:val="en-US" w:eastAsia="zh-CN"/>
              </w:rPr>
            </w:pPr>
            <w:r>
              <w:rPr>
                <w:rFonts w:hint="eastAsia" w:cs="Times New Roman"/>
                <w:color w:val="FF0000"/>
                <w:sz w:val="24"/>
                <w:szCs w:val="24"/>
                <w:lang w:val="en-US" w:eastAsia="zh-CN"/>
              </w:rPr>
              <w:t>0.2</w:t>
            </w:r>
          </w:p>
        </w:tc>
        <w:tc>
          <w:tcPr>
            <w:tcW w:w="528" w:type="pct"/>
            <w:vAlign w:val="center"/>
          </w:tcPr>
          <w:p w14:paraId="74A2E38B">
            <w:pPr>
              <w:pStyle w:val="96"/>
              <w:ind w:firstLine="0" w:firstLineChars="0"/>
              <w:rPr>
                <w:rFonts w:hint="default" w:ascii="Times New Roman" w:hAnsi="Times New Roman" w:eastAsia="宋体" w:cs="Times New Roman"/>
                <w:snapToGrid w:val="0"/>
                <w:color w:val="FF0000"/>
                <w:sz w:val="24"/>
                <w:szCs w:val="24"/>
                <w:lang w:val="en-US" w:eastAsia="zh-CN"/>
              </w:rPr>
            </w:pPr>
            <w:r>
              <w:rPr>
                <w:rFonts w:hint="eastAsia" w:cs="Times New Roman"/>
                <w:snapToGrid w:val="0"/>
                <w:color w:val="FF0000"/>
                <w:sz w:val="24"/>
                <w:szCs w:val="24"/>
                <w:lang w:val="en-US" w:eastAsia="zh-CN"/>
              </w:rPr>
              <w:t>0</w:t>
            </w:r>
          </w:p>
        </w:tc>
        <w:tc>
          <w:tcPr>
            <w:tcW w:w="566" w:type="pct"/>
            <w:vAlign w:val="center"/>
          </w:tcPr>
          <w:p w14:paraId="2650EB3B">
            <w:pPr>
              <w:pStyle w:val="96"/>
              <w:ind w:firstLine="0" w:firstLineChars="0"/>
              <w:rPr>
                <w:rFonts w:hint="default" w:ascii="Times New Roman" w:hAnsi="Times New Roman" w:eastAsia="宋体" w:cs="Times New Roman"/>
                <w:color w:val="FF0000"/>
                <w:sz w:val="24"/>
                <w:szCs w:val="24"/>
                <w:lang w:val="en-US" w:eastAsia="zh-CN"/>
              </w:rPr>
            </w:pPr>
            <w:r>
              <w:rPr>
                <w:rFonts w:hint="eastAsia" w:cs="Times New Roman"/>
                <w:color w:val="FF0000"/>
                <w:sz w:val="24"/>
                <w:szCs w:val="24"/>
                <w:lang w:val="en-US" w:eastAsia="zh-CN"/>
              </w:rPr>
              <w:t>0.2</w:t>
            </w:r>
          </w:p>
        </w:tc>
        <w:tc>
          <w:tcPr>
            <w:tcW w:w="571" w:type="pct"/>
            <w:shd w:val="clear" w:color="auto" w:fill="auto"/>
            <w:vAlign w:val="center"/>
          </w:tcPr>
          <w:p w14:paraId="3B41EC81">
            <w:pPr>
              <w:pStyle w:val="96"/>
              <w:ind w:firstLine="0" w:firstLineChars="0"/>
              <w:rPr>
                <w:rFonts w:hint="default" w:ascii="Times New Roman" w:hAnsi="Times New Roman" w:eastAsia="宋体" w:cs="Times New Roman"/>
                <w:color w:val="FF0000"/>
                <w:sz w:val="24"/>
                <w:szCs w:val="24"/>
                <w:lang w:val="en-US" w:eastAsia="zh-CN"/>
              </w:rPr>
            </w:pPr>
            <w:r>
              <w:rPr>
                <w:rFonts w:hint="eastAsia" w:cs="Times New Roman"/>
                <w:color w:val="FF0000"/>
                <w:sz w:val="24"/>
                <w:szCs w:val="24"/>
                <w:lang w:val="en-US" w:eastAsia="zh-CN"/>
              </w:rPr>
              <w:t>+0.2</w:t>
            </w:r>
          </w:p>
        </w:tc>
      </w:tr>
      <w:tr w14:paraId="48853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14:paraId="24D2F3B5">
            <w:pPr>
              <w:pStyle w:val="96"/>
              <w:rPr>
                <w:rFonts w:hint="default" w:ascii="Times New Roman" w:hAnsi="Times New Roman" w:eastAsia="宋体" w:cs="Times New Roman"/>
                <w:color w:val="000000" w:themeColor="text1"/>
                <w:sz w:val="24"/>
                <w:szCs w:val="24"/>
                <w14:textFill>
                  <w14:solidFill>
                    <w14:schemeClr w14:val="tx1"/>
                  </w14:solidFill>
                </w14:textFill>
              </w:rPr>
            </w:pPr>
          </w:p>
        </w:tc>
        <w:tc>
          <w:tcPr>
            <w:tcW w:w="817" w:type="pct"/>
            <w:vAlign w:val="center"/>
          </w:tcPr>
          <w:p w14:paraId="28C1F905">
            <w:pPr>
              <w:pStyle w:val="96"/>
              <w:rPr>
                <w:rFonts w:hint="default" w:ascii="Times New Roman" w:hAnsi="Times New Roman" w:eastAsia="宋体" w:cs="Times New Roman"/>
                <w:snapToGrid w:val="0"/>
                <w:color w:val="0000FF"/>
                <w:sz w:val="24"/>
                <w:szCs w:val="24"/>
                <w:lang w:val="en-US" w:eastAsia="zh-CN"/>
              </w:rPr>
            </w:pPr>
            <w:r>
              <w:rPr>
                <w:rFonts w:hint="eastAsia" w:ascii="Times New Roman" w:hAnsi="Times New Roman" w:eastAsia="宋体" w:cs="Times New Roman"/>
                <w:snapToGrid w:val="0"/>
                <w:color w:val="0000FF"/>
                <w:sz w:val="24"/>
                <w:szCs w:val="24"/>
                <w:lang w:val="en-US" w:eastAsia="zh-CN"/>
              </w:rPr>
              <w:t>碱洗废水</w:t>
            </w:r>
          </w:p>
        </w:tc>
        <w:tc>
          <w:tcPr>
            <w:tcW w:w="554" w:type="pct"/>
            <w:vAlign w:val="center"/>
          </w:tcPr>
          <w:p w14:paraId="5F98123E">
            <w:pPr>
              <w:pStyle w:val="96"/>
              <w:ind w:firstLine="0" w:firstLineChars="0"/>
              <w:rPr>
                <w:rFonts w:hint="default" w:cs="Times New Roman"/>
                <w:snapToGrid w:val="0"/>
                <w:color w:val="0000FF"/>
                <w:sz w:val="24"/>
                <w:szCs w:val="24"/>
                <w:lang w:val="en-US" w:eastAsia="zh-CN"/>
              </w:rPr>
            </w:pPr>
            <w:r>
              <w:rPr>
                <w:rFonts w:hint="eastAsia" w:cs="Times New Roman"/>
                <w:snapToGrid w:val="0"/>
                <w:color w:val="0000FF"/>
                <w:sz w:val="24"/>
                <w:szCs w:val="24"/>
                <w:lang w:val="en-US" w:eastAsia="zh-CN"/>
              </w:rPr>
              <w:t>0</w:t>
            </w:r>
          </w:p>
        </w:tc>
        <w:tc>
          <w:tcPr>
            <w:tcW w:w="484" w:type="pct"/>
            <w:vAlign w:val="center"/>
          </w:tcPr>
          <w:p w14:paraId="4AF1F0A7">
            <w:pPr>
              <w:pStyle w:val="96"/>
              <w:ind w:firstLine="0" w:firstLineChars="0"/>
              <w:rPr>
                <w:rFonts w:hint="default" w:cs="Times New Roman"/>
                <w:snapToGrid w:val="0"/>
                <w:color w:val="0000FF"/>
                <w:sz w:val="24"/>
                <w:szCs w:val="24"/>
                <w:lang w:val="en-US" w:eastAsia="zh-CN"/>
              </w:rPr>
            </w:pPr>
            <w:r>
              <w:rPr>
                <w:rFonts w:hint="eastAsia" w:cs="Times New Roman"/>
                <w:snapToGrid w:val="0"/>
                <w:color w:val="0000FF"/>
                <w:sz w:val="24"/>
                <w:szCs w:val="24"/>
                <w:lang w:val="en-US" w:eastAsia="zh-CN"/>
              </w:rPr>
              <w:t>0</w:t>
            </w:r>
          </w:p>
        </w:tc>
        <w:tc>
          <w:tcPr>
            <w:tcW w:w="590" w:type="pct"/>
            <w:vAlign w:val="center"/>
          </w:tcPr>
          <w:p w14:paraId="24AF6946">
            <w:pPr>
              <w:pStyle w:val="96"/>
              <w:ind w:firstLine="0" w:firstLineChars="0"/>
              <w:rPr>
                <w:rFonts w:hint="default" w:cs="Times New Roman"/>
                <w:snapToGrid w:val="0"/>
                <w:color w:val="0000FF"/>
                <w:sz w:val="24"/>
                <w:szCs w:val="24"/>
                <w:lang w:val="en-US" w:eastAsia="zh-CN"/>
              </w:rPr>
            </w:pPr>
            <w:r>
              <w:rPr>
                <w:rFonts w:hint="eastAsia" w:cs="Times New Roman"/>
                <w:snapToGrid w:val="0"/>
                <w:color w:val="0000FF"/>
                <w:sz w:val="24"/>
                <w:szCs w:val="24"/>
                <w:lang w:val="en-US" w:eastAsia="zh-CN"/>
              </w:rPr>
              <w:t>0</w:t>
            </w:r>
          </w:p>
        </w:tc>
        <w:tc>
          <w:tcPr>
            <w:tcW w:w="590" w:type="pct"/>
            <w:vAlign w:val="center"/>
          </w:tcPr>
          <w:p w14:paraId="08DBCFD8">
            <w:pPr>
              <w:pStyle w:val="96"/>
              <w:rPr>
                <w:rFonts w:hint="default" w:cs="Times New Roman"/>
                <w:color w:val="0000FF"/>
                <w:sz w:val="24"/>
                <w:szCs w:val="24"/>
                <w:lang w:val="en-US" w:eastAsia="zh-CN"/>
              </w:rPr>
            </w:pPr>
            <w:r>
              <w:rPr>
                <w:rFonts w:hint="eastAsia" w:cs="Times New Roman"/>
                <w:color w:val="0000FF"/>
                <w:sz w:val="24"/>
                <w:szCs w:val="24"/>
                <w:lang w:val="en-US" w:eastAsia="zh-CN"/>
              </w:rPr>
              <w:t>0.1</w:t>
            </w:r>
          </w:p>
        </w:tc>
        <w:tc>
          <w:tcPr>
            <w:tcW w:w="528" w:type="pct"/>
            <w:vAlign w:val="center"/>
          </w:tcPr>
          <w:p w14:paraId="60DD84AE">
            <w:pPr>
              <w:pStyle w:val="96"/>
              <w:ind w:firstLine="0" w:firstLineChars="0"/>
              <w:rPr>
                <w:rFonts w:hint="default" w:cs="Times New Roman"/>
                <w:snapToGrid w:val="0"/>
                <w:color w:val="0000FF"/>
                <w:sz w:val="24"/>
                <w:szCs w:val="24"/>
                <w:lang w:val="en-US" w:eastAsia="zh-CN"/>
              </w:rPr>
            </w:pPr>
            <w:r>
              <w:rPr>
                <w:rFonts w:hint="eastAsia" w:cs="Times New Roman"/>
                <w:snapToGrid w:val="0"/>
                <w:color w:val="0000FF"/>
                <w:sz w:val="24"/>
                <w:szCs w:val="24"/>
                <w:lang w:val="en-US" w:eastAsia="zh-CN"/>
              </w:rPr>
              <w:t>0</w:t>
            </w:r>
          </w:p>
        </w:tc>
        <w:tc>
          <w:tcPr>
            <w:tcW w:w="566" w:type="pct"/>
            <w:vAlign w:val="center"/>
          </w:tcPr>
          <w:p w14:paraId="7C0DAFA9">
            <w:pPr>
              <w:pStyle w:val="96"/>
              <w:ind w:firstLine="0" w:firstLineChars="0"/>
              <w:rPr>
                <w:rFonts w:hint="default" w:cs="Times New Roman"/>
                <w:color w:val="0000FF"/>
                <w:sz w:val="24"/>
                <w:szCs w:val="24"/>
                <w:lang w:val="en-US" w:eastAsia="zh-CN"/>
              </w:rPr>
            </w:pPr>
            <w:r>
              <w:rPr>
                <w:rFonts w:hint="eastAsia" w:cs="Times New Roman"/>
                <w:color w:val="0000FF"/>
                <w:sz w:val="24"/>
                <w:szCs w:val="24"/>
                <w:lang w:val="en-US" w:eastAsia="zh-CN"/>
              </w:rPr>
              <w:t>0.1</w:t>
            </w:r>
          </w:p>
        </w:tc>
        <w:tc>
          <w:tcPr>
            <w:tcW w:w="571" w:type="pct"/>
            <w:shd w:val="clear" w:color="auto" w:fill="auto"/>
            <w:vAlign w:val="center"/>
          </w:tcPr>
          <w:p w14:paraId="21CE4722">
            <w:pPr>
              <w:pStyle w:val="96"/>
              <w:ind w:firstLine="0" w:firstLineChars="0"/>
              <w:rPr>
                <w:rFonts w:hint="default" w:cs="Times New Roman"/>
                <w:color w:val="0000FF"/>
                <w:sz w:val="24"/>
                <w:szCs w:val="24"/>
                <w:lang w:val="en-US" w:eastAsia="zh-CN"/>
              </w:rPr>
            </w:pPr>
            <w:r>
              <w:rPr>
                <w:rFonts w:hint="eastAsia" w:cs="Times New Roman"/>
                <w:color w:val="0000FF"/>
                <w:sz w:val="24"/>
                <w:szCs w:val="24"/>
                <w:lang w:val="en-US" w:eastAsia="zh-CN"/>
              </w:rPr>
              <w:t>+0.1</w:t>
            </w:r>
          </w:p>
        </w:tc>
      </w:tr>
    </w:tbl>
    <w:p w14:paraId="08C94A66">
      <w:pPr>
        <w:pageBreakBefore w:val="0"/>
        <w:kinsoku/>
        <w:wordWrap/>
        <w:overflowPunct/>
        <w:topLinePunct w:val="0"/>
        <w:bidi w:val="0"/>
        <w:adjustRightInd w:val="0"/>
        <w:snapToGrid w:val="0"/>
        <w:spacing w:beforeLines="80" w:afterLines="10" w:line="260" w:lineRule="auto"/>
        <w:jc w:val="left"/>
        <w:rPr>
          <w:rFonts w:hAnsi="宋体"/>
          <w:snapToGrid w:val="0"/>
          <w:color w:val="000000" w:themeColor="text1"/>
          <w:spacing w:val="-6"/>
          <w:kern w:val="21"/>
          <w:szCs w:val="21"/>
          <w14:textFill>
            <w14:solidFill>
              <w14:schemeClr w14:val="tx1"/>
            </w14:solidFill>
          </w14:textFill>
        </w:rPr>
      </w:pPr>
      <w:r>
        <w:rPr>
          <w:rFonts w:ascii="宋体" w:hAnsi="宋体"/>
          <w:snapToGrid w:val="0"/>
          <w:color w:val="000000" w:themeColor="text1"/>
          <w:kern w:val="21"/>
          <w:szCs w:val="21"/>
          <w14:textFill>
            <w14:solidFill>
              <w14:schemeClr w14:val="tx1"/>
            </w14:solidFill>
          </w14:textFill>
        </w:rPr>
        <w:t>注：</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⑥</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①</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3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③</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4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④</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5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⑤</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7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⑦</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⑥</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①</w:t>
      </w:r>
      <w:r>
        <w:rPr>
          <w:rFonts w:ascii="宋体" w:hAnsi="宋体"/>
          <w:snapToGrid w:val="0"/>
          <w:color w:val="000000" w:themeColor="text1"/>
          <w:spacing w:val="-6"/>
          <w:kern w:val="21"/>
          <w:szCs w:val="21"/>
          <w14:textFill>
            <w14:solidFill>
              <w14:schemeClr w14:val="tx1"/>
            </w14:solidFill>
          </w14:textFill>
        </w:rPr>
        <w:fldChar w:fldCharType="end"/>
      </w:r>
      <w:bookmarkEnd w:id="34"/>
    </w:p>
    <w:sectPr>
      <w:footerReference r:id="rId6" w:type="default"/>
      <w:pgSz w:w="16838" w:h="11906" w:orient="landscape"/>
      <w:pgMar w:top="1417" w:right="1701" w:bottom="1417" w:left="1417"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18030">
    <w:altName w:val="Courier New"/>
    <w:panose1 w:val="00000000000000000000"/>
    <w:charset w:val="00"/>
    <w:family w:val="auto"/>
    <w:pitch w:val="default"/>
    <w:sig w:usb0="00000000" w:usb1="00000000" w:usb2="00000000" w:usb3="00000000" w:csb0="00000001" w:csb1="00000000"/>
  </w:font>
  <w:font w:name="FzBookMaker1DlFont10536875940">
    <w:altName w:val="Calibri"/>
    <w:panose1 w:val="00000000000000000000"/>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0A267">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FF74C">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34E73">
                          <w:pPr>
                            <w:pStyle w:val="17"/>
                            <w:rPr>
                              <w:rStyle w:val="29"/>
                              <w:rFonts w:ascii="宋体" w:hAnsi="宋体"/>
                              <w:sz w:val="28"/>
                              <w:szCs w:val="28"/>
                            </w:rPr>
                          </w:pPr>
                          <w:r>
                            <w:rPr>
                              <w:rStyle w:val="29"/>
                              <w:rFonts w:hint="eastAsia" w:ascii="宋体" w:hAnsi="宋体"/>
                              <w:b/>
                              <w:bCs/>
                              <w:sz w:val="21"/>
                              <w:szCs w:val="21"/>
                            </w:rPr>
                            <w:t xml:space="preserve">—  </w:t>
                          </w:r>
                          <w:r>
                            <w:rPr>
                              <w:rStyle w:val="29"/>
                              <w:b/>
                              <w:bCs/>
                              <w:sz w:val="21"/>
                              <w:szCs w:val="21"/>
                            </w:rPr>
                            <w:fldChar w:fldCharType="begin"/>
                          </w:r>
                          <w:r>
                            <w:rPr>
                              <w:rStyle w:val="29"/>
                              <w:b/>
                              <w:bCs/>
                              <w:sz w:val="21"/>
                              <w:szCs w:val="21"/>
                            </w:rPr>
                            <w:instrText xml:space="preserve">PAGE  </w:instrText>
                          </w:r>
                          <w:r>
                            <w:rPr>
                              <w:rStyle w:val="29"/>
                              <w:b/>
                              <w:bCs/>
                              <w:sz w:val="21"/>
                              <w:szCs w:val="21"/>
                            </w:rPr>
                            <w:fldChar w:fldCharType="separate"/>
                          </w:r>
                          <w:r>
                            <w:rPr>
                              <w:rStyle w:val="29"/>
                              <w:b/>
                              <w:bCs/>
                              <w:sz w:val="21"/>
                              <w:szCs w:val="21"/>
                            </w:rPr>
                            <w:t>28</w:t>
                          </w:r>
                          <w:r>
                            <w:rPr>
                              <w:rStyle w:val="29"/>
                              <w:b/>
                              <w:bCs/>
                              <w:sz w:val="21"/>
                              <w:szCs w:val="21"/>
                            </w:rPr>
                            <w:fldChar w:fldCharType="end"/>
                          </w:r>
                          <w:r>
                            <w:rPr>
                              <w:rStyle w:val="29"/>
                              <w:rFonts w:hint="eastAsia" w:ascii="宋体" w:hAnsi="宋体"/>
                              <w:b/>
                              <w:bCs/>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1034E73">
                    <w:pPr>
                      <w:pStyle w:val="17"/>
                      <w:rPr>
                        <w:rStyle w:val="29"/>
                        <w:rFonts w:ascii="宋体" w:hAnsi="宋体"/>
                        <w:sz w:val="28"/>
                        <w:szCs w:val="28"/>
                      </w:rPr>
                    </w:pPr>
                    <w:r>
                      <w:rPr>
                        <w:rStyle w:val="29"/>
                        <w:rFonts w:hint="eastAsia" w:ascii="宋体" w:hAnsi="宋体"/>
                        <w:b/>
                        <w:bCs/>
                        <w:sz w:val="21"/>
                        <w:szCs w:val="21"/>
                      </w:rPr>
                      <w:t xml:space="preserve">—  </w:t>
                    </w:r>
                    <w:r>
                      <w:rPr>
                        <w:rStyle w:val="29"/>
                        <w:b/>
                        <w:bCs/>
                        <w:sz w:val="21"/>
                        <w:szCs w:val="21"/>
                      </w:rPr>
                      <w:fldChar w:fldCharType="begin"/>
                    </w:r>
                    <w:r>
                      <w:rPr>
                        <w:rStyle w:val="29"/>
                        <w:b/>
                        <w:bCs/>
                        <w:sz w:val="21"/>
                        <w:szCs w:val="21"/>
                      </w:rPr>
                      <w:instrText xml:space="preserve">PAGE  </w:instrText>
                    </w:r>
                    <w:r>
                      <w:rPr>
                        <w:rStyle w:val="29"/>
                        <w:b/>
                        <w:bCs/>
                        <w:sz w:val="21"/>
                        <w:szCs w:val="21"/>
                      </w:rPr>
                      <w:fldChar w:fldCharType="separate"/>
                    </w:r>
                    <w:r>
                      <w:rPr>
                        <w:rStyle w:val="29"/>
                        <w:b/>
                        <w:bCs/>
                        <w:sz w:val="21"/>
                        <w:szCs w:val="21"/>
                      </w:rPr>
                      <w:t>28</w:t>
                    </w:r>
                    <w:r>
                      <w:rPr>
                        <w:rStyle w:val="29"/>
                        <w:b/>
                        <w:bCs/>
                        <w:sz w:val="21"/>
                        <w:szCs w:val="21"/>
                      </w:rPr>
                      <w:fldChar w:fldCharType="end"/>
                    </w:r>
                    <w:r>
                      <w:rPr>
                        <w:rStyle w:val="29"/>
                        <w:rFonts w:hint="eastAsia" w:ascii="宋体" w:hAnsi="宋体"/>
                        <w:b/>
                        <w:bCs/>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DAD2A">
    <w:pPr>
      <w:snapToGrid w:val="0"/>
      <w:ind w:right="360" w:firstLine="360"/>
      <w:jc w:val="center"/>
      <w:rPr>
        <w:kern w:val="0"/>
        <w:sz w:val="18"/>
        <w:szCs w:val="20"/>
      </w:rPr>
    </w:pPr>
    <w:r>
      <w:rPr>
        <w:kern w:val="0"/>
        <w:sz w:val="18"/>
        <w:szCs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8B938BE">
                          <w:pPr>
                            <w:snapToGrid w:val="0"/>
                            <w:jc w:val="left"/>
                            <w:rPr>
                              <w:rStyle w:val="29"/>
                              <w:rFonts w:ascii="宋体" w:hAnsi="宋体"/>
                              <w:kern w:val="0"/>
                              <w:sz w:val="24"/>
                              <w:szCs w:val="24"/>
                            </w:rPr>
                          </w:pPr>
                          <w:r>
                            <w:rPr>
                              <w:rStyle w:val="29"/>
                              <w:rFonts w:ascii="宋体" w:hAnsi="宋体"/>
                              <w:kern w:val="0"/>
                              <w:sz w:val="24"/>
                              <w:szCs w:val="24"/>
                            </w:rPr>
                            <w:fldChar w:fldCharType="begin"/>
                          </w:r>
                          <w:r>
                            <w:rPr>
                              <w:rStyle w:val="29"/>
                              <w:rFonts w:ascii="宋体" w:hAnsi="宋体"/>
                              <w:kern w:val="0"/>
                              <w:sz w:val="24"/>
                              <w:szCs w:val="24"/>
                            </w:rPr>
                            <w:instrText xml:space="preserve"> PAGE  \* MERGEFORMAT </w:instrText>
                          </w:r>
                          <w:r>
                            <w:rPr>
                              <w:rStyle w:val="29"/>
                              <w:rFonts w:ascii="宋体" w:hAnsi="宋体"/>
                              <w:kern w:val="0"/>
                              <w:sz w:val="24"/>
                              <w:szCs w:val="24"/>
                            </w:rPr>
                            <w:fldChar w:fldCharType="separate"/>
                          </w:r>
                          <w:r>
                            <w:rPr>
                              <w:rStyle w:val="29"/>
                              <w:rFonts w:ascii="宋体" w:hAnsi="宋体"/>
                              <w:kern w:val="0"/>
                              <w:sz w:val="24"/>
                              <w:szCs w:val="24"/>
                            </w:rPr>
                            <w:t>- 60 -</w:t>
                          </w:r>
                          <w:r>
                            <w:rPr>
                              <w:rStyle w:val="29"/>
                              <w:rFonts w:ascii="宋体" w:hAnsi="宋体"/>
                              <w:kern w:val="0"/>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18B938BE">
                    <w:pPr>
                      <w:snapToGrid w:val="0"/>
                      <w:jc w:val="left"/>
                      <w:rPr>
                        <w:rStyle w:val="29"/>
                        <w:rFonts w:ascii="宋体" w:hAnsi="宋体"/>
                        <w:kern w:val="0"/>
                        <w:sz w:val="24"/>
                        <w:szCs w:val="24"/>
                      </w:rPr>
                    </w:pPr>
                    <w:r>
                      <w:rPr>
                        <w:rStyle w:val="29"/>
                        <w:rFonts w:ascii="宋体" w:hAnsi="宋体"/>
                        <w:kern w:val="0"/>
                        <w:sz w:val="24"/>
                        <w:szCs w:val="24"/>
                      </w:rPr>
                      <w:fldChar w:fldCharType="begin"/>
                    </w:r>
                    <w:r>
                      <w:rPr>
                        <w:rStyle w:val="29"/>
                        <w:rFonts w:ascii="宋体" w:hAnsi="宋体"/>
                        <w:kern w:val="0"/>
                        <w:sz w:val="24"/>
                        <w:szCs w:val="24"/>
                      </w:rPr>
                      <w:instrText xml:space="preserve"> PAGE  \* MERGEFORMAT </w:instrText>
                    </w:r>
                    <w:r>
                      <w:rPr>
                        <w:rStyle w:val="29"/>
                        <w:rFonts w:ascii="宋体" w:hAnsi="宋体"/>
                        <w:kern w:val="0"/>
                        <w:sz w:val="24"/>
                        <w:szCs w:val="24"/>
                      </w:rPr>
                      <w:fldChar w:fldCharType="separate"/>
                    </w:r>
                    <w:r>
                      <w:rPr>
                        <w:rStyle w:val="29"/>
                        <w:rFonts w:ascii="宋体" w:hAnsi="宋体"/>
                        <w:kern w:val="0"/>
                        <w:sz w:val="24"/>
                        <w:szCs w:val="24"/>
                      </w:rPr>
                      <w:t>- 60 -</w:t>
                    </w:r>
                    <w:r>
                      <w:rPr>
                        <w:rStyle w:val="29"/>
                        <w:rFonts w:ascii="宋体" w:hAnsi="宋体"/>
                        <w:kern w:val="0"/>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54C77">
    <w:pPr>
      <w:keepNext w:val="0"/>
      <w:keepLines w:val="0"/>
      <w:widowControl/>
      <w:suppressLineNumbers w:val="0"/>
      <w:pBdr>
        <w:bottom w:val="none" w:color="auto" w:sz="0" w:space="0"/>
      </w:pBdr>
      <w:jc w:val="left"/>
      <w:rPr>
        <w:b/>
        <w:bCs/>
        <w:sz w:val="21"/>
        <w:szCs w:val="21"/>
      </w:rPr>
    </w:pPr>
    <w:r>
      <w:rPr>
        <w:rFonts w:hint="eastAsia" w:ascii="宋体" w:hAnsi="宋体" w:eastAsia="宋体" w:cs="宋体"/>
        <w:b/>
        <w:bCs/>
        <w:color w:val="000000"/>
        <w:kern w:val="0"/>
        <w:sz w:val="21"/>
        <w:szCs w:val="21"/>
        <w:lang w:val="en-US" w:eastAsia="zh-CN" w:bidi="ar"/>
      </w:rPr>
      <w:t>6000吨/年废旧电池及废矿物油集中收集、中转项目</w:t>
    </w:r>
  </w:p>
  <w:p w14:paraId="582E5AD6">
    <w:pPr>
      <w:pStyle w:val="18"/>
      <w:pBdr>
        <w:bottom w:val="thickThinSmallGap" w:color="auto" w:sz="12" w:space="1"/>
      </w:pBdr>
      <w:jc w:val="right"/>
      <w:rPr>
        <w:rFonts w:hint="default" w:eastAsia="宋体"/>
        <w:b/>
        <w:bCs/>
        <w:sz w:val="21"/>
        <w:szCs w:val="21"/>
        <w:lang w:val="en-US" w:eastAsia="zh-CN"/>
      </w:rPr>
    </w:pPr>
    <w:r>
      <w:rPr>
        <w:rFonts w:hint="eastAsia"/>
        <w:b/>
        <w:bCs/>
        <w:sz w:val="21"/>
        <w:szCs w:val="21"/>
        <w:lang w:val="en-US" w:eastAsia="zh-CN"/>
      </w:rPr>
      <w:t>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C4A238"/>
    <w:multiLevelType w:val="singleLevel"/>
    <w:tmpl w:val="B3C4A238"/>
    <w:lvl w:ilvl="0" w:tentative="0">
      <w:start w:val="1"/>
      <w:numFmt w:val="decimal"/>
      <w:suff w:val="nothing"/>
      <w:lvlText w:val="（%1）"/>
      <w:lvlJc w:val="left"/>
      <w:rPr>
        <w:rFonts w:hint="default"/>
        <w:b/>
        <w:bCs/>
      </w:rPr>
    </w:lvl>
  </w:abstractNum>
  <w:abstractNum w:abstractNumId="1">
    <w:nsid w:val="1715C621"/>
    <w:multiLevelType w:val="singleLevel"/>
    <w:tmpl w:val="1715C621"/>
    <w:lvl w:ilvl="0" w:tentative="0">
      <w:start w:val="1"/>
      <w:numFmt w:val="decimal"/>
      <w:suff w:val="nothing"/>
      <w:lvlText w:val="%1）"/>
      <w:lvlJc w:val="left"/>
    </w:lvl>
  </w:abstractNum>
  <w:abstractNum w:abstractNumId="2">
    <w:nsid w:val="193A0BD4"/>
    <w:multiLevelType w:val="multilevel"/>
    <w:tmpl w:val="193A0BD4"/>
    <w:lvl w:ilvl="0" w:tentative="0">
      <w:start w:val="1"/>
      <w:numFmt w:val="none"/>
      <w:suff w:val="nothing"/>
      <w:lvlText w:val="第一章"/>
      <w:lvlJc w:val="left"/>
      <w:pPr>
        <w:ind w:left="0" w:firstLine="397"/>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3">
    <w:nsid w:val="37E5799F"/>
    <w:multiLevelType w:val="singleLevel"/>
    <w:tmpl w:val="37E5799F"/>
    <w:lvl w:ilvl="0" w:tentative="0">
      <w:start w:val="1"/>
      <w:numFmt w:val="decimal"/>
      <w:lvlText w:val="%1."/>
      <w:lvlJc w:val="left"/>
      <w:pPr>
        <w:tabs>
          <w:tab w:val="left" w:pos="312"/>
        </w:tabs>
      </w:pPr>
    </w:lvl>
  </w:abstractNum>
  <w:abstractNum w:abstractNumId="4">
    <w:nsid w:val="46B437B5"/>
    <w:multiLevelType w:val="multilevel"/>
    <w:tmpl w:val="46B437B5"/>
    <w:lvl w:ilvl="0" w:tentative="0">
      <w:start w:val="1"/>
      <w:numFmt w:val="decimal"/>
      <w:pStyle w:val="85"/>
      <w:lvlText w:val="表%1 "/>
      <w:lvlJc w:val="left"/>
      <w:pPr>
        <w:ind w:left="420" w:hanging="420"/>
      </w:pPr>
      <w:rPr>
        <w:b w:val="0"/>
        <w:bCs w:val="0"/>
        <w:i w:val="0"/>
        <w:iCs w:val="0"/>
        <w:caps w:val="0"/>
        <w:smallCaps w:val="0"/>
        <w:strike w:val="0"/>
        <w:dstrike w:val="0"/>
        <w:vanish w:val="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742013C"/>
    <w:multiLevelType w:val="singleLevel"/>
    <w:tmpl w:val="4742013C"/>
    <w:lvl w:ilvl="0" w:tentative="0">
      <w:start w:val="1"/>
      <w:numFmt w:val="decimal"/>
      <w:pStyle w:val="88"/>
      <w:suff w:val="nothing"/>
      <w:lvlText w:val="图%1 "/>
      <w:lvlJc w:val="center"/>
      <w:pPr>
        <w:tabs>
          <w:tab w:val="left" w:pos="0"/>
        </w:tabs>
        <w:ind w:left="210"/>
      </w:pPr>
      <w:rPr>
        <w:rFonts w:hint="default" w:ascii="Times New Roman" w:hAnsi="Times New Roman" w:eastAsia="宋体" w:cs="宋体"/>
        <w:color w:val="auto"/>
      </w:rPr>
    </w:lvl>
  </w:abstractNum>
  <w:abstractNum w:abstractNumId="6">
    <w:nsid w:val="642C44D3"/>
    <w:multiLevelType w:val="singleLevel"/>
    <w:tmpl w:val="642C44D3"/>
    <w:lvl w:ilvl="0" w:tentative="0">
      <w:start w:val="1"/>
      <w:numFmt w:val="decimal"/>
      <w:suff w:val="nothing"/>
      <w:lvlText w:val="（%1）"/>
      <w:lvlJc w:val="left"/>
    </w:lvl>
  </w:abstractNum>
  <w:num w:numId="1">
    <w:abstractNumId w:val="4"/>
  </w:num>
  <w:num w:numId="2">
    <w:abstractNumId w:val="5"/>
  </w:num>
  <w:num w:numId="3">
    <w:abstractNumId w:val="3"/>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MGRiMWUwYjA3MzY5NTdhNzY5OThmYmY4MjlhYjgifQ=="/>
  </w:docVars>
  <w:rsids>
    <w:rsidRoot w:val="00172A27"/>
    <w:rsid w:val="0006390C"/>
    <w:rsid w:val="00101AE9"/>
    <w:rsid w:val="00172A27"/>
    <w:rsid w:val="0018274C"/>
    <w:rsid w:val="001D5FB4"/>
    <w:rsid w:val="002235CA"/>
    <w:rsid w:val="002B383C"/>
    <w:rsid w:val="002B6923"/>
    <w:rsid w:val="003577A2"/>
    <w:rsid w:val="0072167E"/>
    <w:rsid w:val="00775EB8"/>
    <w:rsid w:val="007C0F2D"/>
    <w:rsid w:val="007E4CA5"/>
    <w:rsid w:val="0081274F"/>
    <w:rsid w:val="008C3E74"/>
    <w:rsid w:val="00A11987"/>
    <w:rsid w:val="00A55EA4"/>
    <w:rsid w:val="00A566D5"/>
    <w:rsid w:val="00AD6396"/>
    <w:rsid w:val="00B80A98"/>
    <w:rsid w:val="00BA1A55"/>
    <w:rsid w:val="00DE1C00"/>
    <w:rsid w:val="00ED5986"/>
    <w:rsid w:val="00FD1347"/>
    <w:rsid w:val="00FE7B94"/>
    <w:rsid w:val="010D7DD7"/>
    <w:rsid w:val="011078C7"/>
    <w:rsid w:val="01336A52"/>
    <w:rsid w:val="014175AB"/>
    <w:rsid w:val="01445029"/>
    <w:rsid w:val="014761B5"/>
    <w:rsid w:val="014F03EF"/>
    <w:rsid w:val="016D740E"/>
    <w:rsid w:val="0192652E"/>
    <w:rsid w:val="01957768"/>
    <w:rsid w:val="019822BC"/>
    <w:rsid w:val="019E4753"/>
    <w:rsid w:val="01A60D31"/>
    <w:rsid w:val="01AE15BA"/>
    <w:rsid w:val="01CC1A40"/>
    <w:rsid w:val="01D01FEC"/>
    <w:rsid w:val="01D75144"/>
    <w:rsid w:val="01D82832"/>
    <w:rsid w:val="01DB544E"/>
    <w:rsid w:val="01DE66C9"/>
    <w:rsid w:val="01E07299"/>
    <w:rsid w:val="01E274B5"/>
    <w:rsid w:val="01EA0118"/>
    <w:rsid w:val="01F176F8"/>
    <w:rsid w:val="0204742C"/>
    <w:rsid w:val="020D21BB"/>
    <w:rsid w:val="020F6402"/>
    <w:rsid w:val="022E6486"/>
    <w:rsid w:val="023E521C"/>
    <w:rsid w:val="02447584"/>
    <w:rsid w:val="02581525"/>
    <w:rsid w:val="025E4755"/>
    <w:rsid w:val="026003DA"/>
    <w:rsid w:val="026223A4"/>
    <w:rsid w:val="02671768"/>
    <w:rsid w:val="026E2AF7"/>
    <w:rsid w:val="0273010D"/>
    <w:rsid w:val="027D668A"/>
    <w:rsid w:val="027F6AB2"/>
    <w:rsid w:val="02807299"/>
    <w:rsid w:val="02820350"/>
    <w:rsid w:val="0284056C"/>
    <w:rsid w:val="02866093"/>
    <w:rsid w:val="029C0D07"/>
    <w:rsid w:val="029C58B6"/>
    <w:rsid w:val="029D518A"/>
    <w:rsid w:val="02A256DD"/>
    <w:rsid w:val="02A97FD3"/>
    <w:rsid w:val="02AB3D4B"/>
    <w:rsid w:val="02C14C7E"/>
    <w:rsid w:val="02C153D0"/>
    <w:rsid w:val="02C62757"/>
    <w:rsid w:val="02CB3070"/>
    <w:rsid w:val="02E132C9"/>
    <w:rsid w:val="02E41A57"/>
    <w:rsid w:val="02E80AFB"/>
    <w:rsid w:val="02FB7AA4"/>
    <w:rsid w:val="030626AF"/>
    <w:rsid w:val="031624B4"/>
    <w:rsid w:val="03164E41"/>
    <w:rsid w:val="03191672"/>
    <w:rsid w:val="031E276F"/>
    <w:rsid w:val="034026E5"/>
    <w:rsid w:val="034B35FF"/>
    <w:rsid w:val="03561F09"/>
    <w:rsid w:val="035972EC"/>
    <w:rsid w:val="036543A8"/>
    <w:rsid w:val="03667C72"/>
    <w:rsid w:val="03743311"/>
    <w:rsid w:val="03870314"/>
    <w:rsid w:val="03942F47"/>
    <w:rsid w:val="039644D6"/>
    <w:rsid w:val="03A762C0"/>
    <w:rsid w:val="03B331EE"/>
    <w:rsid w:val="03B46C2F"/>
    <w:rsid w:val="03B60BF9"/>
    <w:rsid w:val="03C22618"/>
    <w:rsid w:val="03C31A28"/>
    <w:rsid w:val="03CE2653"/>
    <w:rsid w:val="03EB582A"/>
    <w:rsid w:val="03EC1520"/>
    <w:rsid w:val="03F237CF"/>
    <w:rsid w:val="040A3BF3"/>
    <w:rsid w:val="040C0819"/>
    <w:rsid w:val="041B14BC"/>
    <w:rsid w:val="04236F80"/>
    <w:rsid w:val="04310280"/>
    <w:rsid w:val="044C1CA4"/>
    <w:rsid w:val="045A1DC6"/>
    <w:rsid w:val="045B52FD"/>
    <w:rsid w:val="04606CE3"/>
    <w:rsid w:val="046077CF"/>
    <w:rsid w:val="04746018"/>
    <w:rsid w:val="04784101"/>
    <w:rsid w:val="048263FC"/>
    <w:rsid w:val="04891341"/>
    <w:rsid w:val="04893C18"/>
    <w:rsid w:val="048E122E"/>
    <w:rsid w:val="04914257"/>
    <w:rsid w:val="04943DDB"/>
    <w:rsid w:val="04A86794"/>
    <w:rsid w:val="04AB3B8E"/>
    <w:rsid w:val="04B213C1"/>
    <w:rsid w:val="04C86418"/>
    <w:rsid w:val="04D47B3B"/>
    <w:rsid w:val="04E2157A"/>
    <w:rsid w:val="04E52EB2"/>
    <w:rsid w:val="04F574FF"/>
    <w:rsid w:val="05010F7E"/>
    <w:rsid w:val="050520CD"/>
    <w:rsid w:val="050634BB"/>
    <w:rsid w:val="05131209"/>
    <w:rsid w:val="05140A30"/>
    <w:rsid w:val="05393890"/>
    <w:rsid w:val="055F6511"/>
    <w:rsid w:val="05671A39"/>
    <w:rsid w:val="057E173F"/>
    <w:rsid w:val="057F6DC9"/>
    <w:rsid w:val="058A7C48"/>
    <w:rsid w:val="059279E7"/>
    <w:rsid w:val="05A607FA"/>
    <w:rsid w:val="05A61A15"/>
    <w:rsid w:val="05A86320"/>
    <w:rsid w:val="05B24A98"/>
    <w:rsid w:val="05B922DB"/>
    <w:rsid w:val="05CD4281"/>
    <w:rsid w:val="05D610DF"/>
    <w:rsid w:val="05DB2EFB"/>
    <w:rsid w:val="05DD203A"/>
    <w:rsid w:val="05E25CD6"/>
    <w:rsid w:val="05E929D4"/>
    <w:rsid w:val="05EB7917"/>
    <w:rsid w:val="05F23A3F"/>
    <w:rsid w:val="05F73C73"/>
    <w:rsid w:val="06007F0A"/>
    <w:rsid w:val="060466E2"/>
    <w:rsid w:val="0616772D"/>
    <w:rsid w:val="06384302"/>
    <w:rsid w:val="06540256"/>
    <w:rsid w:val="06614D64"/>
    <w:rsid w:val="067F1777"/>
    <w:rsid w:val="0680729D"/>
    <w:rsid w:val="06862B05"/>
    <w:rsid w:val="068846CE"/>
    <w:rsid w:val="06916F35"/>
    <w:rsid w:val="06AE0835"/>
    <w:rsid w:val="06BA66A0"/>
    <w:rsid w:val="06C17F78"/>
    <w:rsid w:val="06C85632"/>
    <w:rsid w:val="06CB5AA1"/>
    <w:rsid w:val="06CC603E"/>
    <w:rsid w:val="07181283"/>
    <w:rsid w:val="071D591B"/>
    <w:rsid w:val="0721469A"/>
    <w:rsid w:val="072C3F61"/>
    <w:rsid w:val="072C7659"/>
    <w:rsid w:val="072F32DA"/>
    <w:rsid w:val="074F1C4A"/>
    <w:rsid w:val="0759369F"/>
    <w:rsid w:val="075D584A"/>
    <w:rsid w:val="07603E3B"/>
    <w:rsid w:val="076446B8"/>
    <w:rsid w:val="07686F25"/>
    <w:rsid w:val="077E797D"/>
    <w:rsid w:val="079459C3"/>
    <w:rsid w:val="07A174CB"/>
    <w:rsid w:val="07A5520D"/>
    <w:rsid w:val="07A94F1F"/>
    <w:rsid w:val="07B00995"/>
    <w:rsid w:val="07D93108"/>
    <w:rsid w:val="07E21FBD"/>
    <w:rsid w:val="07F1509C"/>
    <w:rsid w:val="0819229C"/>
    <w:rsid w:val="08232813"/>
    <w:rsid w:val="08332819"/>
    <w:rsid w:val="0837398B"/>
    <w:rsid w:val="083E2F6B"/>
    <w:rsid w:val="0842480A"/>
    <w:rsid w:val="084D0D93"/>
    <w:rsid w:val="085336EA"/>
    <w:rsid w:val="0859148C"/>
    <w:rsid w:val="085B07E2"/>
    <w:rsid w:val="085C6A43"/>
    <w:rsid w:val="085D716E"/>
    <w:rsid w:val="085E04B3"/>
    <w:rsid w:val="08674270"/>
    <w:rsid w:val="08707998"/>
    <w:rsid w:val="08793FA4"/>
    <w:rsid w:val="087962EA"/>
    <w:rsid w:val="088E5CA1"/>
    <w:rsid w:val="088F37C7"/>
    <w:rsid w:val="08AC4379"/>
    <w:rsid w:val="08BF46D8"/>
    <w:rsid w:val="08C416C3"/>
    <w:rsid w:val="08C43471"/>
    <w:rsid w:val="08CC0F5A"/>
    <w:rsid w:val="08F21DA9"/>
    <w:rsid w:val="08F97C48"/>
    <w:rsid w:val="090054B2"/>
    <w:rsid w:val="09037B99"/>
    <w:rsid w:val="09187C60"/>
    <w:rsid w:val="09336848"/>
    <w:rsid w:val="093C74AB"/>
    <w:rsid w:val="093D1475"/>
    <w:rsid w:val="094D2A25"/>
    <w:rsid w:val="09804A1C"/>
    <w:rsid w:val="099D79FE"/>
    <w:rsid w:val="09BA6819"/>
    <w:rsid w:val="09C53944"/>
    <w:rsid w:val="09D84080"/>
    <w:rsid w:val="09F21F68"/>
    <w:rsid w:val="0A00497C"/>
    <w:rsid w:val="0A0A75A9"/>
    <w:rsid w:val="0A0C2B55"/>
    <w:rsid w:val="0A114804"/>
    <w:rsid w:val="0A157F63"/>
    <w:rsid w:val="0A4D634E"/>
    <w:rsid w:val="0A4D7496"/>
    <w:rsid w:val="0A5627EE"/>
    <w:rsid w:val="0A6767AA"/>
    <w:rsid w:val="0A6A44EC"/>
    <w:rsid w:val="0A6D4927"/>
    <w:rsid w:val="0A79472F"/>
    <w:rsid w:val="0A7D1BC1"/>
    <w:rsid w:val="0A834524"/>
    <w:rsid w:val="0A8530D4"/>
    <w:rsid w:val="0A880399"/>
    <w:rsid w:val="0A915F9D"/>
    <w:rsid w:val="0A93759F"/>
    <w:rsid w:val="0A943485"/>
    <w:rsid w:val="0A9D6BEA"/>
    <w:rsid w:val="0AA3355A"/>
    <w:rsid w:val="0AA66257"/>
    <w:rsid w:val="0AA942AD"/>
    <w:rsid w:val="0AB64775"/>
    <w:rsid w:val="0ABB59AE"/>
    <w:rsid w:val="0ABE4143"/>
    <w:rsid w:val="0ACA6D38"/>
    <w:rsid w:val="0ADC41D0"/>
    <w:rsid w:val="0AE514AE"/>
    <w:rsid w:val="0AED6311"/>
    <w:rsid w:val="0AFD0EBC"/>
    <w:rsid w:val="0B0E131B"/>
    <w:rsid w:val="0B150FA7"/>
    <w:rsid w:val="0B1B5932"/>
    <w:rsid w:val="0B1B7594"/>
    <w:rsid w:val="0B1D4780"/>
    <w:rsid w:val="0B2645C4"/>
    <w:rsid w:val="0B3222C4"/>
    <w:rsid w:val="0B372620"/>
    <w:rsid w:val="0B410D97"/>
    <w:rsid w:val="0B41349E"/>
    <w:rsid w:val="0B470389"/>
    <w:rsid w:val="0B4C2274"/>
    <w:rsid w:val="0B5313BD"/>
    <w:rsid w:val="0B59096E"/>
    <w:rsid w:val="0B5C57AB"/>
    <w:rsid w:val="0B6741AF"/>
    <w:rsid w:val="0B860EAA"/>
    <w:rsid w:val="0B864C65"/>
    <w:rsid w:val="0B892750"/>
    <w:rsid w:val="0B974E6D"/>
    <w:rsid w:val="0BAD4690"/>
    <w:rsid w:val="0BC656D6"/>
    <w:rsid w:val="0BE04A65"/>
    <w:rsid w:val="0BFC5617"/>
    <w:rsid w:val="0BFE1363"/>
    <w:rsid w:val="0C0D1FC9"/>
    <w:rsid w:val="0C0F70F9"/>
    <w:rsid w:val="0C126BE9"/>
    <w:rsid w:val="0C1E10EA"/>
    <w:rsid w:val="0C22507E"/>
    <w:rsid w:val="0C2C3B8E"/>
    <w:rsid w:val="0C4D2535"/>
    <w:rsid w:val="0C507477"/>
    <w:rsid w:val="0C590374"/>
    <w:rsid w:val="0C6311F3"/>
    <w:rsid w:val="0C6C0F24"/>
    <w:rsid w:val="0C7B29E0"/>
    <w:rsid w:val="0C7E602C"/>
    <w:rsid w:val="0C927E57"/>
    <w:rsid w:val="0C937D2A"/>
    <w:rsid w:val="0C9B2094"/>
    <w:rsid w:val="0CB90E13"/>
    <w:rsid w:val="0CC671CF"/>
    <w:rsid w:val="0CCD1E41"/>
    <w:rsid w:val="0CEC568C"/>
    <w:rsid w:val="0CF87B8D"/>
    <w:rsid w:val="0CFD51A3"/>
    <w:rsid w:val="0D0A4B90"/>
    <w:rsid w:val="0D0D57A7"/>
    <w:rsid w:val="0D1B2483"/>
    <w:rsid w:val="0D3352F0"/>
    <w:rsid w:val="0D38628A"/>
    <w:rsid w:val="0D48753F"/>
    <w:rsid w:val="0D4A5F0F"/>
    <w:rsid w:val="0D4C1C87"/>
    <w:rsid w:val="0D4C7ED9"/>
    <w:rsid w:val="0D51198F"/>
    <w:rsid w:val="0D521DD9"/>
    <w:rsid w:val="0D692126"/>
    <w:rsid w:val="0D6B4803"/>
    <w:rsid w:val="0D814E9C"/>
    <w:rsid w:val="0D815DCD"/>
    <w:rsid w:val="0D844E95"/>
    <w:rsid w:val="0D964FE6"/>
    <w:rsid w:val="0DB3105C"/>
    <w:rsid w:val="0DD93233"/>
    <w:rsid w:val="0DE87C01"/>
    <w:rsid w:val="0DF066E5"/>
    <w:rsid w:val="0E0F25DE"/>
    <w:rsid w:val="0E1F1160"/>
    <w:rsid w:val="0E1F4751"/>
    <w:rsid w:val="0E224A0A"/>
    <w:rsid w:val="0E2A021A"/>
    <w:rsid w:val="0E2B3F92"/>
    <w:rsid w:val="0E3709CB"/>
    <w:rsid w:val="0E4137B5"/>
    <w:rsid w:val="0E4218A1"/>
    <w:rsid w:val="0E456E02"/>
    <w:rsid w:val="0E4E1E2B"/>
    <w:rsid w:val="0E547045"/>
    <w:rsid w:val="0E565AB2"/>
    <w:rsid w:val="0E6179B4"/>
    <w:rsid w:val="0E8D2F5C"/>
    <w:rsid w:val="0E945A90"/>
    <w:rsid w:val="0EA0228A"/>
    <w:rsid w:val="0EAA4EB7"/>
    <w:rsid w:val="0EAA5947"/>
    <w:rsid w:val="0EBD6501"/>
    <w:rsid w:val="0ED2559A"/>
    <w:rsid w:val="0ED725B9"/>
    <w:rsid w:val="0EDA20A5"/>
    <w:rsid w:val="0EDD57F4"/>
    <w:rsid w:val="0EDF444C"/>
    <w:rsid w:val="0EE859DF"/>
    <w:rsid w:val="0EF279EF"/>
    <w:rsid w:val="0EF673FC"/>
    <w:rsid w:val="0EF97BEC"/>
    <w:rsid w:val="0EF97DA6"/>
    <w:rsid w:val="0EFA4090"/>
    <w:rsid w:val="0EFF305C"/>
    <w:rsid w:val="0F1C29F1"/>
    <w:rsid w:val="0F261562"/>
    <w:rsid w:val="0F337BAC"/>
    <w:rsid w:val="0F423341"/>
    <w:rsid w:val="0F641F28"/>
    <w:rsid w:val="0F6B0AEA"/>
    <w:rsid w:val="0F7503E1"/>
    <w:rsid w:val="0F752D21"/>
    <w:rsid w:val="0F770D4A"/>
    <w:rsid w:val="0F78188D"/>
    <w:rsid w:val="0F786D63"/>
    <w:rsid w:val="0F7A6F7F"/>
    <w:rsid w:val="0F864C61"/>
    <w:rsid w:val="0F955B67"/>
    <w:rsid w:val="0FA30BE3"/>
    <w:rsid w:val="0FA64D04"/>
    <w:rsid w:val="0FAA3F7B"/>
    <w:rsid w:val="0FB00B75"/>
    <w:rsid w:val="0FB12275"/>
    <w:rsid w:val="0FB544CE"/>
    <w:rsid w:val="0FB85035"/>
    <w:rsid w:val="0FD0094D"/>
    <w:rsid w:val="0FD97E75"/>
    <w:rsid w:val="0FDB3293"/>
    <w:rsid w:val="0FDF6DE2"/>
    <w:rsid w:val="0FE81676"/>
    <w:rsid w:val="0FF7412C"/>
    <w:rsid w:val="10073784"/>
    <w:rsid w:val="1008458B"/>
    <w:rsid w:val="101F4EB9"/>
    <w:rsid w:val="10357107"/>
    <w:rsid w:val="10563548"/>
    <w:rsid w:val="105B0B5E"/>
    <w:rsid w:val="106D43EE"/>
    <w:rsid w:val="10877F16"/>
    <w:rsid w:val="10882B58"/>
    <w:rsid w:val="108D2CE2"/>
    <w:rsid w:val="10A047C3"/>
    <w:rsid w:val="10A32505"/>
    <w:rsid w:val="10A5660D"/>
    <w:rsid w:val="10BE7AED"/>
    <w:rsid w:val="10D46BEA"/>
    <w:rsid w:val="10DB1C9F"/>
    <w:rsid w:val="10EB3B00"/>
    <w:rsid w:val="10F52B46"/>
    <w:rsid w:val="10FB40F0"/>
    <w:rsid w:val="110411F6"/>
    <w:rsid w:val="110B4426"/>
    <w:rsid w:val="11160F29"/>
    <w:rsid w:val="1116513D"/>
    <w:rsid w:val="111807FE"/>
    <w:rsid w:val="112C1239"/>
    <w:rsid w:val="112E2450"/>
    <w:rsid w:val="113028E2"/>
    <w:rsid w:val="11306A42"/>
    <w:rsid w:val="11360C2E"/>
    <w:rsid w:val="11382DBC"/>
    <w:rsid w:val="113F5AE1"/>
    <w:rsid w:val="11420077"/>
    <w:rsid w:val="114D4313"/>
    <w:rsid w:val="11551580"/>
    <w:rsid w:val="115560EE"/>
    <w:rsid w:val="115F467E"/>
    <w:rsid w:val="116C6D9B"/>
    <w:rsid w:val="11703A77"/>
    <w:rsid w:val="117874EE"/>
    <w:rsid w:val="118E6D12"/>
    <w:rsid w:val="11913C19"/>
    <w:rsid w:val="11A02C31"/>
    <w:rsid w:val="11A72C36"/>
    <w:rsid w:val="11BF336F"/>
    <w:rsid w:val="11C34E28"/>
    <w:rsid w:val="11CF193F"/>
    <w:rsid w:val="11E15E20"/>
    <w:rsid w:val="11E953E2"/>
    <w:rsid w:val="11EF77CD"/>
    <w:rsid w:val="120C7C36"/>
    <w:rsid w:val="122A4C8C"/>
    <w:rsid w:val="122F0A2C"/>
    <w:rsid w:val="122F22A3"/>
    <w:rsid w:val="124A3296"/>
    <w:rsid w:val="124A70DD"/>
    <w:rsid w:val="12585000"/>
    <w:rsid w:val="12591D12"/>
    <w:rsid w:val="12665599"/>
    <w:rsid w:val="126F1736"/>
    <w:rsid w:val="12730920"/>
    <w:rsid w:val="12763E42"/>
    <w:rsid w:val="127A1044"/>
    <w:rsid w:val="12833AFC"/>
    <w:rsid w:val="12863E8D"/>
    <w:rsid w:val="128F16FB"/>
    <w:rsid w:val="129C4880"/>
    <w:rsid w:val="12A90E52"/>
    <w:rsid w:val="12B70391"/>
    <w:rsid w:val="12CD73C6"/>
    <w:rsid w:val="12D544CC"/>
    <w:rsid w:val="12D746E8"/>
    <w:rsid w:val="12E116D5"/>
    <w:rsid w:val="12E33545"/>
    <w:rsid w:val="12EF13A6"/>
    <w:rsid w:val="12EF37E0"/>
    <w:rsid w:val="130152C1"/>
    <w:rsid w:val="13023513"/>
    <w:rsid w:val="13182D37"/>
    <w:rsid w:val="131B6383"/>
    <w:rsid w:val="13313E49"/>
    <w:rsid w:val="134358DA"/>
    <w:rsid w:val="13441D7E"/>
    <w:rsid w:val="13462525"/>
    <w:rsid w:val="13473A20"/>
    <w:rsid w:val="135427C6"/>
    <w:rsid w:val="136B08EA"/>
    <w:rsid w:val="13737F6D"/>
    <w:rsid w:val="13774A6B"/>
    <w:rsid w:val="13781E0C"/>
    <w:rsid w:val="138008DC"/>
    <w:rsid w:val="139418A7"/>
    <w:rsid w:val="139558BC"/>
    <w:rsid w:val="139A55D8"/>
    <w:rsid w:val="139B418C"/>
    <w:rsid w:val="139B74C4"/>
    <w:rsid w:val="139C49D8"/>
    <w:rsid w:val="13A7230D"/>
    <w:rsid w:val="13AB657A"/>
    <w:rsid w:val="13B80076"/>
    <w:rsid w:val="13C359BB"/>
    <w:rsid w:val="13CC1D73"/>
    <w:rsid w:val="13D1738A"/>
    <w:rsid w:val="13E1581F"/>
    <w:rsid w:val="13E20A87"/>
    <w:rsid w:val="13E50081"/>
    <w:rsid w:val="13E702B9"/>
    <w:rsid w:val="13ED749E"/>
    <w:rsid w:val="13F600B9"/>
    <w:rsid w:val="140E7C96"/>
    <w:rsid w:val="142A5552"/>
    <w:rsid w:val="142D2812"/>
    <w:rsid w:val="14377CCC"/>
    <w:rsid w:val="14383816"/>
    <w:rsid w:val="14411E19"/>
    <w:rsid w:val="14465537"/>
    <w:rsid w:val="14475D9D"/>
    <w:rsid w:val="144A7F24"/>
    <w:rsid w:val="146D70B2"/>
    <w:rsid w:val="14750C80"/>
    <w:rsid w:val="147751C9"/>
    <w:rsid w:val="147D7B20"/>
    <w:rsid w:val="14902DA1"/>
    <w:rsid w:val="14C04A03"/>
    <w:rsid w:val="14E45028"/>
    <w:rsid w:val="14EA425F"/>
    <w:rsid w:val="14F937FE"/>
    <w:rsid w:val="150127FB"/>
    <w:rsid w:val="15041208"/>
    <w:rsid w:val="15087E6F"/>
    <w:rsid w:val="151B4D60"/>
    <w:rsid w:val="153659E9"/>
    <w:rsid w:val="1537321C"/>
    <w:rsid w:val="153E0A4F"/>
    <w:rsid w:val="15470A8E"/>
    <w:rsid w:val="15571EA7"/>
    <w:rsid w:val="15594758"/>
    <w:rsid w:val="155A0E1A"/>
    <w:rsid w:val="1568787A"/>
    <w:rsid w:val="15697042"/>
    <w:rsid w:val="1576765F"/>
    <w:rsid w:val="1578334E"/>
    <w:rsid w:val="15870008"/>
    <w:rsid w:val="15897F1C"/>
    <w:rsid w:val="158A3C94"/>
    <w:rsid w:val="158C2113"/>
    <w:rsid w:val="159F4C91"/>
    <w:rsid w:val="15A05265"/>
    <w:rsid w:val="15A56EC8"/>
    <w:rsid w:val="15AC3C0A"/>
    <w:rsid w:val="15AF54A9"/>
    <w:rsid w:val="15B00B15"/>
    <w:rsid w:val="15B074C6"/>
    <w:rsid w:val="15B114A8"/>
    <w:rsid w:val="15C3290C"/>
    <w:rsid w:val="15C50828"/>
    <w:rsid w:val="15D05B4B"/>
    <w:rsid w:val="15E05662"/>
    <w:rsid w:val="15E64C4B"/>
    <w:rsid w:val="15F36DA1"/>
    <w:rsid w:val="15FC6940"/>
    <w:rsid w:val="160C23E8"/>
    <w:rsid w:val="1625281A"/>
    <w:rsid w:val="162E4F13"/>
    <w:rsid w:val="16445BF1"/>
    <w:rsid w:val="164478A7"/>
    <w:rsid w:val="165A5C09"/>
    <w:rsid w:val="1665664C"/>
    <w:rsid w:val="166778DC"/>
    <w:rsid w:val="167037FD"/>
    <w:rsid w:val="168406E3"/>
    <w:rsid w:val="168D6D26"/>
    <w:rsid w:val="16921052"/>
    <w:rsid w:val="16AD19E8"/>
    <w:rsid w:val="16C17241"/>
    <w:rsid w:val="16C17CE3"/>
    <w:rsid w:val="16C25988"/>
    <w:rsid w:val="16C3120C"/>
    <w:rsid w:val="16C46D32"/>
    <w:rsid w:val="16C71F2E"/>
    <w:rsid w:val="16DE4297"/>
    <w:rsid w:val="16E24F0F"/>
    <w:rsid w:val="16EA1297"/>
    <w:rsid w:val="16FF505D"/>
    <w:rsid w:val="17001571"/>
    <w:rsid w:val="170C3B3A"/>
    <w:rsid w:val="17111548"/>
    <w:rsid w:val="17112260"/>
    <w:rsid w:val="1723553F"/>
    <w:rsid w:val="17355AB5"/>
    <w:rsid w:val="17487D10"/>
    <w:rsid w:val="174A4869"/>
    <w:rsid w:val="174F484D"/>
    <w:rsid w:val="174F6496"/>
    <w:rsid w:val="1752258F"/>
    <w:rsid w:val="17550559"/>
    <w:rsid w:val="175D158B"/>
    <w:rsid w:val="175F1F04"/>
    <w:rsid w:val="17611E4F"/>
    <w:rsid w:val="17654071"/>
    <w:rsid w:val="17791F0D"/>
    <w:rsid w:val="177E3384"/>
    <w:rsid w:val="178B24C8"/>
    <w:rsid w:val="17941B50"/>
    <w:rsid w:val="17A70B2D"/>
    <w:rsid w:val="17C70888"/>
    <w:rsid w:val="17C93A03"/>
    <w:rsid w:val="17D00C54"/>
    <w:rsid w:val="17D825B2"/>
    <w:rsid w:val="17D91DCC"/>
    <w:rsid w:val="17EC425D"/>
    <w:rsid w:val="18021CA1"/>
    <w:rsid w:val="18113601"/>
    <w:rsid w:val="18264F85"/>
    <w:rsid w:val="18265D6D"/>
    <w:rsid w:val="183425B0"/>
    <w:rsid w:val="18375E06"/>
    <w:rsid w:val="18570CAF"/>
    <w:rsid w:val="185760AF"/>
    <w:rsid w:val="18594A1B"/>
    <w:rsid w:val="185A7C04"/>
    <w:rsid w:val="185C1918"/>
    <w:rsid w:val="186054E2"/>
    <w:rsid w:val="18722EE9"/>
    <w:rsid w:val="18784E74"/>
    <w:rsid w:val="18825ECC"/>
    <w:rsid w:val="188723C6"/>
    <w:rsid w:val="188C7C5E"/>
    <w:rsid w:val="18A23342"/>
    <w:rsid w:val="18AB1F57"/>
    <w:rsid w:val="18AC2B85"/>
    <w:rsid w:val="18AE1A47"/>
    <w:rsid w:val="18B42791"/>
    <w:rsid w:val="18BB3F98"/>
    <w:rsid w:val="18BF4675"/>
    <w:rsid w:val="18BF77E6"/>
    <w:rsid w:val="18C66D91"/>
    <w:rsid w:val="18D07C10"/>
    <w:rsid w:val="18F51424"/>
    <w:rsid w:val="18F953B8"/>
    <w:rsid w:val="190A1374"/>
    <w:rsid w:val="19292980"/>
    <w:rsid w:val="19353F17"/>
    <w:rsid w:val="193E2DCB"/>
    <w:rsid w:val="19520625"/>
    <w:rsid w:val="19670574"/>
    <w:rsid w:val="197460E0"/>
    <w:rsid w:val="197B5DCD"/>
    <w:rsid w:val="199B021E"/>
    <w:rsid w:val="199D3F96"/>
    <w:rsid w:val="19A76BC3"/>
    <w:rsid w:val="19AD18A4"/>
    <w:rsid w:val="19AF3CC9"/>
    <w:rsid w:val="19BE215E"/>
    <w:rsid w:val="19D464F7"/>
    <w:rsid w:val="19E9386A"/>
    <w:rsid w:val="19F40C75"/>
    <w:rsid w:val="19F95A52"/>
    <w:rsid w:val="1A016E22"/>
    <w:rsid w:val="1A044015"/>
    <w:rsid w:val="1A0D0267"/>
    <w:rsid w:val="1A0D092F"/>
    <w:rsid w:val="1A1837DB"/>
    <w:rsid w:val="1A2068AB"/>
    <w:rsid w:val="1A2A443D"/>
    <w:rsid w:val="1A2F5DBD"/>
    <w:rsid w:val="1A3845D0"/>
    <w:rsid w:val="1A433AC9"/>
    <w:rsid w:val="1A4A29CD"/>
    <w:rsid w:val="1A512FD2"/>
    <w:rsid w:val="1A56634B"/>
    <w:rsid w:val="1A5A1F82"/>
    <w:rsid w:val="1A5E31F5"/>
    <w:rsid w:val="1A7C004F"/>
    <w:rsid w:val="1A844F8B"/>
    <w:rsid w:val="1AA50119"/>
    <w:rsid w:val="1AB25B1C"/>
    <w:rsid w:val="1AC042D8"/>
    <w:rsid w:val="1ACE62BE"/>
    <w:rsid w:val="1AD90160"/>
    <w:rsid w:val="1ADC289C"/>
    <w:rsid w:val="1AE02959"/>
    <w:rsid w:val="1AE94FB9"/>
    <w:rsid w:val="1AF5395E"/>
    <w:rsid w:val="1AFE6CB6"/>
    <w:rsid w:val="1B0F2FA1"/>
    <w:rsid w:val="1B37228B"/>
    <w:rsid w:val="1B3C158C"/>
    <w:rsid w:val="1B432B2D"/>
    <w:rsid w:val="1B593EEC"/>
    <w:rsid w:val="1B625069"/>
    <w:rsid w:val="1B6A4A9D"/>
    <w:rsid w:val="1B6A6DA1"/>
    <w:rsid w:val="1B6C00C4"/>
    <w:rsid w:val="1B93725A"/>
    <w:rsid w:val="1BAD4BD1"/>
    <w:rsid w:val="1BB71274"/>
    <w:rsid w:val="1BB92BDD"/>
    <w:rsid w:val="1BBE57A9"/>
    <w:rsid w:val="1BCA303C"/>
    <w:rsid w:val="1BE2389B"/>
    <w:rsid w:val="1BE266BC"/>
    <w:rsid w:val="1BE646ED"/>
    <w:rsid w:val="1BFF59B1"/>
    <w:rsid w:val="1C0605E3"/>
    <w:rsid w:val="1C076408"/>
    <w:rsid w:val="1C0A168B"/>
    <w:rsid w:val="1C0E117B"/>
    <w:rsid w:val="1C1F595C"/>
    <w:rsid w:val="1C250273"/>
    <w:rsid w:val="1C2C3527"/>
    <w:rsid w:val="1C3B59F9"/>
    <w:rsid w:val="1C405D21"/>
    <w:rsid w:val="1C541BA5"/>
    <w:rsid w:val="1C5B5A42"/>
    <w:rsid w:val="1C5C2071"/>
    <w:rsid w:val="1C5E54A5"/>
    <w:rsid w:val="1C623275"/>
    <w:rsid w:val="1C911DFF"/>
    <w:rsid w:val="1C962F1E"/>
    <w:rsid w:val="1C976324"/>
    <w:rsid w:val="1C997BE2"/>
    <w:rsid w:val="1C9A47BD"/>
    <w:rsid w:val="1C9B5376"/>
    <w:rsid w:val="1C9C09E2"/>
    <w:rsid w:val="1CA00AE9"/>
    <w:rsid w:val="1CA4388D"/>
    <w:rsid w:val="1CAC41EE"/>
    <w:rsid w:val="1CAD40F1"/>
    <w:rsid w:val="1CC95B85"/>
    <w:rsid w:val="1CC96E50"/>
    <w:rsid w:val="1CCA1E80"/>
    <w:rsid w:val="1CD31A7D"/>
    <w:rsid w:val="1CEE4B08"/>
    <w:rsid w:val="1CFD7459"/>
    <w:rsid w:val="1D0C785F"/>
    <w:rsid w:val="1D0E51AB"/>
    <w:rsid w:val="1D170544"/>
    <w:rsid w:val="1D203C5E"/>
    <w:rsid w:val="1D230C56"/>
    <w:rsid w:val="1D2624F4"/>
    <w:rsid w:val="1D291FE4"/>
    <w:rsid w:val="1D2F75FB"/>
    <w:rsid w:val="1D4110DC"/>
    <w:rsid w:val="1D540E0F"/>
    <w:rsid w:val="1D5F1C7A"/>
    <w:rsid w:val="1D61352C"/>
    <w:rsid w:val="1D653086"/>
    <w:rsid w:val="1D6628F1"/>
    <w:rsid w:val="1D9C18F5"/>
    <w:rsid w:val="1D9E02DC"/>
    <w:rsid w:val="1D9E208B"/>
    <w:rsid w:val="1DAD49C3"/>
    <w:rsid w:val="1DBB0D37"/>
    <w:rsid w:val="1DC225AD"/>
    <w:rsid w:val="1DC6338F"/>
    <w:rsid w:val="1DC769B1"/>
    <w:rsid w:val="1DD42503"/>
    <w:rsid w:val="1DDF7A40"/>
    <w:rsid w:val="1DE25AEB"/>
    <w:rsid w:val="1DF554A1"/>
    <w:rsid w:val="1DF779ED"/>
    <w:rsid w:val="1E025220"/>
    <w:rsid w:val="1E0565AE"/>
    <w:rsid w:val="1E0F23C7"/>
    <w:rsid w:val="1E215C22"/>
    <w:rsid w:val="1E2307E2"/>
    <w:rsid w:val="1E500317"/>
    <w:rsid w:val="1E5E7A6C"/>
    <w:rsid w:val="1E6C38DB"/>
    <w:rsid w:val="1E7828DC"/>
    <w:rsid w:val="1E7A498F"/>
    <w:rsid w:val="1E7D4396"/>
    <w:rsid w:val="1E8A5FA4"/>
    <w:rsid w:val="1E92796F"/>
    <w:rsid w:val="1EA46497"/>
    <w:rsid w:val="1EAD5821"/>
    <w:rsid w:val="1EB53B30"/>
    <w:rsid w:val="1EBB4EBE"/>
    <w:rsid w:val="1EC271F2"/>
    <w:rsid w:val="1EC65D3D"/>
    <w:rsid w:val="1ECC2C27"/>
    <w:rsid w:val="1ED63AA6"/>
    <w:rsid w:val="1EEC517C"/>
    <w:rsid w:val="1EFB350D"/>
    <w:rsid w:val="1EFC175F"/>
    <w:rsid w:val="1F0625DD"/>
    <w:rsid w:val="1F2C538C"/>
    <w:rsid w:val="1F2E61DD"/>
    <w:rsid w:val="1F3477F0"/>
    <w:rsid w:val="1F38695C"/>
    <w:rsid w:val="1F394761"/>
    <w:rsid w:val="1F3E1D77"/>
    <w:rsid w:val="1F486752"/>
    <w:rsid w:val="1F5C2D2A"/>
    <w:rsid w:val="1F5D0DF2"/>
    <w:rsid w:val="1F746F2D"/>
    <w:rsid w:val="1F7C63FB"/>
    <w:rsid w:val="1F7F5BF1"/>
    <w:rsid w:val="1F923E71"/>
    <w:rsid w:val="1FB21E1D"/>
    <w:rsid w:val="1FBA3F7F"/>
    <w:rsid w:val="1FBC0EEE"/>
    <w:rsid w:val="1FBC4187"/>
    <w:rsid w:val="1FBC7140"/>
    <w:rsid w:val="1FC02DBE"/>
    <w:rsid w:val="1FC102B2"/>
    <w:rsid w:val="1FD61AD3"/>
    <w:rsid w:val="1FE04BDC"/>
    <w:rsid w:val="1FE21636"/>
    <w:rsid w:val="1FE2557B"/>
    <w:rsid w:val="1FED554B"/>
    <w:rsid w:val="1FF57F5C"/>
    <w:rsid w:val="20093226"/>
    <w:rsid w:val="20140D2A"/>
    <w:rsid w:val="20221AB5"/>
    <w:rsid w:val="202F30D8"/>
    <w:rsid w:val="20315438"/>
    <w:rsid w:val="203C24AE"/>
    <w:rsid w:val="204211CF"/>
    <w:rsid w:val="204652EC"/>
    <w:rsid w:val="204A4270"/>
    <w:rsid w:val="205B24B5"/>
    <w:rsid w:val="206C0910"/>
    <w:rsid w:val="20713A86"/>
    <w:rsid w:val="207417C9"/>
    <w:rsid w:val="207D68CF"/>
    <w:rsid w:val="20817D44"/>
    <w:rsid w:val="20831A0C"/>
    <w:rsid w:val="20852AE9"/>
    <w:rsid w:val="208A0FEC"/>
    <w:rsid w:val="208E4638"/>
    <w:rsid w:val="20906C25"/>
    <w:rsid w:val="20987265"/>
    <w:rsid w:val="209F7BF6"/>
    <w:rsid w:val="20A04C9E"/>
    <w:rsid w:val="20A2627F"/>
    <w:rsid w:val="20AC0F62"/>
    <w:rsid w:val="20B852EF"/>
    <w:rsid w:val="20BD3608"/>
    <w:rsid w:val="20C91761"/>
    <w:rsid w:val="20C9620E"/>
    <w:rsid w:val="20CC696E"/>
    <w:rsid w:val="20D34741"/>
    <w:rsid w:val="20D86B7A"/>
    <w:rsid w:val="20E02D7C"/>
    <w:rsid w:val="20E22BD6"/>
    <w:rsid w:val="20E50F38"/>
    <w:rsid w:val="20EF2BFD"/>
    <w:rsid w:val="20F070A1"/>
    <w:rsid w:val="20F700BE"/>
    <w:rsid w:val="210112AE"/>
    <w:rsid w:val="210466A8"/>
    <w:rsid w:val="2110329F"/>
    <w:rsid w:val="2112589E"/>
    <w:rsid w:val="211B655F"/>
    <w:rsid w:val="215B12F7"/>
    <w:rsid w:val="216655B5"/>
    <w:rsid w:val="21676C37"/>
    <w:rsid w:val="21695896"/>
    <w:rsid w:val="21794226"/>
    <w:rsid w:val="21937E43"/>
    <w:rsid w:val="219519F6"/>
    <w:rsid w:val="21A734D8"/>
    <w:rsid w:val="21B04A82"/>
    <w:rsid w:val="21D93F3E"/>
    <w:rsid w:val="21DC13D3"/>
    <w:rsid w:val="21E814F3"/>
    <w:rsid w:val="21F40C07"/>
    <w:rsid w:val="22025912"/>
    <w:rsid w:val="220628F4"/>
    <w:rsid w:val="220D175A"/>
    <w:rsid w:val="221729FA"/>
    <w:rsid w:val="221B63A0"/>
    <w:rsid w:val="221D3CD5"/>
    <w:rsid w:val="222039B6"/>
    <w:rsid w:val="222B5EB7"/>
    <w:rsid w:val="223A78F0"/>
    <w:rsid w:val="22456F79"/>
    <w:rsid w:val="22462CF1"/>
    <w:rsid w:val="224A458F"/>
    <w:rsid w:val="225809FB"/>
    <w:rsid w:val="22602004"/>
    <w:rsid w:val="2265586D"/>
    <w:rsid w:val="226C12D2"/>
    <w:rsid w:val="227C4964"/>
    <w:rsid w:val="22961F28"/>
    <w:rsid w:val="22A625F4"/>
    <w:rsid w:val="22C43E04"/>
    <w:rsid w:val="22D64075"/>
    <w:rsid w:val="22DB5B2F"/>
    <w:rsid w:val="22E04EF3"/>
    <w:rsid w:val="22EF3388"/>
    <w:rsid w:val="22F95FB5"/>
    <w:rsid w:val="22FF7A6F"/>
    <w:rsid w:val="23007343"/>
    <w:rsid w:val="232C638A"/>
    <w:rsid w:val="233D4FA3"/>
    <w:rsid w:val="23425BAE"/>
    <w:rsid w:val="2346125B"/>
    <w:rsid w:val="23476D20"/>
    <w:rsid w:val="236553F8"/>
    <w:rsid w:val="23706277"/>
    <w:rsid w:val="237679E4"/>
    <w:rsid w:val="23823C9E"/>
    <w:rsid w:val="23A918F8"/>
    <w:rsid w:val="23B773B6"/>
    <w:rsid w:val="23BE3486"/>
    <w:rsid w:val="23C453CE"/>
    <w:rsid w:val="23C87E61"/>
    <w:rsid w:val="23DE7685"/>
    <w:rsid w:val="23DF2646"/>
    <w:rsid w:val="23E65DAB"/>
    <w:rsid w:val="23F2161A"/>
    <w:rsid w:val="23F32A04"/>
    <w:rsid w:val="23FE1F40"/>
    <w:rsid w:val="24003A9F"/>
    <w:rsid w:val="24062738"/>
    <w:rsid w:val="24067FCB"/>
    <w:rsid w:val="243674C1"/>
    <w:rsid w:val="243E0123"/>
    <w:rsid w:val="24513E54"/>
    <w:rsid w:val="24790A40"/>
    <w:rsid w:val="24853FA4"/>
    <w:rsid w:val="24902F07"/>
    <w:rsid w:val="249441E7"/>
    <w:rsid w:val="24945F95"/>
    <w:rsid w:val="24973CD7"/>
    <w:rsid w:val="24C83E91"/>
    <w:rsid w:val="24CF0BD2"/>
    <w:rsid w:val="24E76A0D"/>
    <w:rsid w:val="24E862E1"/>
    <w:rsid w:val="24F37160"/>
    <w:rsid w:val="24F44C86"/>
    <w:rsid w:val="25050C41"/>
    <w:rsid w:val="25072990"/>
    <w:rsid w:val="253D03DB"/>
    <w:rsid w:val="253F23A5"/>
    <w:rsid w:val="2560231B"/>
    <w:rsid w:val="25781413"/>
    <w:rsid w:val="25803251"/>
    <w:rsid w:val="2580651A"/>
    <w:rsid w:val="258C1362"/>
    <w:rsid w:val="25C566A8"/>
    <w:rsid w:val="25C8634E"/>
    <w:rsid w:val="25D16D75"/>
    <w:rsid w:val="25ED1E01"/>
    <w:rsid w:val="25EF4B9D"/>
    <w:rsid w:val="25F844CE"/>
    <w:rsid w:val="26232FC9"/>
    <w:rsid w:val="26284BE7"/>
    <w:rsid w:val="263A0DBE"/>
    <w:rsid w:val="26412EDB"/>
    <w:rsid w:val="2643758D"/>
    <w:rsid w:val="26455E46"/>
    <w:rsid w:val="264D7F86"/>
    <w:rsid w:val="264E03C6"/>
    <w:rsid w:val="265517BF"/>
    <w:rsid w:val="26582678"/>
    <w:rsid w:val="266A16A4"/>
    <w:rsid w:val="266D15E6"/>
    <w:rsid w:val="26942EB5"/>
    <w:rsid w:val="269B3CCB"/>
    <w:rsid w:val="26A239EA"/>
    <w:rsid w:val="26C07516"/>
    <w:rsid w:val="26C708A4"/>
    <w:rsid w:val="26D1527F"/>
    <w:rsid w:val="26D703BB"/>
    <w:rsid w:val="26E03295"/>
    <w:rsid w:val="26E50D2A"/>
    <w:rsid w:val="26EF1BA9"/>
    <w:rsid w:val="26F15921"/>
    <w:rsid w:val="26F90473"/>
    <w:rsid w:val="26FD42C6"/>
    <w:rsid w:val="270236BF"/>
    <w:rsid w:val="270A43C4"/>
    <w:rsid w:val="27160EE4"/>
    <w:rsid w:val="27247D4B"/>
    <w:rsid w:val="2734308A"/>
    <w:rsid w:val="27413490"/>
    <w:rsid w:val="27563CBB"/>
    <w:rsid w:val="27653C19"/>
    <w:rsid w:val="27705C9F"/>
    <w:rsid w:val="2782764C"/>
    <w:rsid w:val="278A420E"/>
    <w:rsid w:val="278A6189"/>
    <w:rsid w:val="278D3C93"/>
    <w:rsid w:val="27914A0E"/>
    <w:rsid w:val="27992E98"/>
    <w:rsid w:val="279B763B"/>
    <w:rsid w:val="27A24E6D"/>
    <w:rsid w:val="27A44741"/>
    <w:rsid w:val="27BB7CDD"/>
    <w:rsid w:val="27BD3A55"/>
    <w:rsid w:val="27C941A8"/>
    <w:rsid w:val="27CA35A8"/>
    <w:rsid w:val="27CD3C89"/>
    <w:rsid w:val="27DA4607"/>
    <w:rsid w:val="27DA63B5"/>
    <w:rsid w:val="27DD65BE"/>
    <w:rsid w:val="27DF39CB"/>
    <w:rsid w:val="27E70AD2"/>
    <w:rsid w:val="28006B8F"/>
    <w:rsid w:val="28086ABF"/>
    <w:rsid w:val="281A0EA7"/>
    <w:rsid w:val="281A2C55"/>
    <w:rsid w:val="284D72C1"/>
    <w:rsid w:val="28530587"/>
    <w:rsid w:val="28533FFC"/>
    <w:rsid w:val="285B5B50"/>
    <w:rsid w:val="288C24E9"/>
    <w:rsid w:val="28A455C3"/>
    <w:rsid w:val="28B22E8E"/>
    <w:rsid w:val="28C171F0"/>
    <w:rsid w:val="28C87D32"/>
    <w:rsid w:val="28CC1CB7"/>
    <w:rsid w:val="28D15A0A"/>
    <w:rsid w:val="28D23530"/>
    <w:rsid w:val="28D86E71"/>
    <w:rsid w:val="28F52D4C"/>
    <w:rsid w:val="28FB2437"/>
    <w:rsid w:val="29076776"/>
    <w:rsid w:val="29084DD5"/>
    <w:rsid w:val="290C07F0"/>
    <w:rsid w:val="290F6532"/>
    <w:rsid w:val="29127DD1"/>
    <w:rsid w:val="291458F7"/>
    <w:rsid w:val="29211DC2"/>
    <w:rsid w:val="29287108"/>
    <w:rsid w:val="292F0982"/>
    <w:rsid w:val="29323FCF"/>
    <w:rsid w:val="29430EEC"/>
    <w:rsid w:val="294B076A"/>
    <w:rsid w:val="29542197"/>
    <w:rsid w:val="29654E52"/>
    <w:rsid w:val="29671ECA"/>
    <w:rsid w:val="29824F56"/>
    <w:rsid w:val="298769E6"/>
    <w:rsid w:val="299D3026"/>
    <w:rsid w:val="29A24CB1"/>
    <w:rsid w:val="29A31FE3"/>
    <w:rsid w:val="29B36EBE"/>
    <w:rsid w:val="29BF1D06"/>
    <w:rsid w:val="29D87774"/>
    <w:rsid w:val="29DA6B40"/>
    <w:rsid w:val="29E90B31"/>
    <w:rsid w:val="2A092F82"/>
    <w:rsid w:val="2A24600D"/>
    <w:rsid w:val="2A2B114A"/>
    <w:rsid w:val="2A2E6E04"/>
    <w:rsid w:val="2A3D4D1B"/>
    <w:rsid w:val="2A4C5E94"/>
    <w:rsid w:val="2A700EF8"/>
    <w:rsid w:val="2A701253"/>
    <w:rsid w:val="2A705C39"/>
    <w:rsid w:val="2A8B3997"/>
    <w:rsid w:val="2A9A7ECE"/>
    <w:rsid w:val="2AA8279A"/>
    <w:rsid w:val="2AAA71B0"/>
    <w:rsid w:val="2AB0164F"/>
    <w:rsid w:val="2ACC0AF9"/>
    <w:rsid w:val="2AE61B00"/>
    <w:rsid w:val="2AE83035"/>
    <w:rsid w:val="2AF36EA1"/>
    <w:rsid w:val="2AF76558"/>
    <w:rsid w:val="2B0B4AD7"/>
    <w:rsid w:val="2B261911"/>
    <w:rsid w:val="2B27276C"/>
    <w:rsid w:val="2B2831A3"/>
    <w:rsid w:val="2B3A56FA"/>
    <w:rsid w:val="2B41674B"/>
    <w:rsid w:val="2B450F14"/>
    <w:rsid w:val="2B481888"/>
    <w:rsid w:val="2B5D778C"/>
    <w:rsid w:val="2B634913"/>
    <w:rsid w:val="2B911634"/>
    <w:rsid w:val="2BB0401E"/>
    <w:rsid w:val="2BB67139"/>
    <w:rsid w:val="2BB807BB"/>
    <w:rsid w:val="2BD33847"/>
    <w:rsid w:val="2BD55811"/>
    <w:rsid w:val="2BD80E5D"/>
    <w:rsid w:val="2BF40587"/>
    <w:rsid w:val="2BF832AE"/>
    <w:rsid w:val="2BFB5A37"/>
    <w:rsid w:val="2BFF288E"/>
    <w:rsid w:val="2BFF63EA"/>
    <w:rsid w:val="2C0042E3"/>
    <w:rsid w:val="2C027C88"/>
    <w:rsid w:val="2C0601AC"/>
    <w:rsid w:val="2C1C3440"/>
    <w:rsid w:val="2C22675B"/>
    <w:rsid w:val="2C295B25"/>
    <w:rsid w:val="2C32125C"/>
    <w:rsid w:val="2C333FCA"/>
    <w:rsid w:val="2C3A47D0"/>
    <w:rsid w:val="2C424529"/>
    <w:rsid w:val="2C55425C"/>
    <w:rsid w:val="2C680D25"/>
    <w:rsid w:val="2C767087"/>
    <w:rsid w:val="2C7C1363"/>
    <w:rsid w:val="2C8E029E"/>
    <w:rsid w:val="2C98683F"/>
    <w:rsid w:val="2CBA0563"/>
    <w:rsid w:val="2CBC2470"/>
    <w:rsid w:val="2CBD459C"/>
    <w:rsid w:val="2CC33626"/>
    <w:rsid w:val="2CC413E2"/>
    <w:rsid w:val="2CE675AA"/>
    <w:rsid w:val="2CEB4BC0"/>
    <w:rsid w:val="2CF2772F"/>
    <w:rsid w:val="2CFC5020"/>
    <w:rsid w:val="2D060E18"/>
    <w:rsid w:val="2D083D1A"/>
    <w:rsid w:val="2D100229"/>
    <w:rsid w:val="2D216834"/>
    <w:rsid w:val="2D260D0C"/>
    <w:rsid w:val="2D4D453B"/>
    <w:rsid w:val="2D4F33A1"/>
    <w:rsid w:val="2D5568BE"/>
    <w:rsid w:val="2D5704A8"/>
    <w:rsid w:val="2D7448D5"/>
    <w:rsid w:val="2D754166"/>
    <w:rsid w:val="2D76699A"/>
    <w:rsid w:val="2D8C0FCC"/>
    <w:rsid w:val="2D8D21DF"/>
    <w:rsid w:val="2D962D7E"/>
    <w:rsid w:val="2D997E41"/>
    <w:rsid w:val="2D9E1C33"/>
    <w:rsid w:val="2DA07759"/>
    <w:rsid w:val="2DAD00C8"/>
    <w:rsid w:val="2DB21B1B"/>
    <w:rsid w:val="2DB31B82"/>
    <w:rsid w:val="2DB72CF5"/>
    <w:rsid w:val="2DB94CBF"/>
    <w:rsid w:val="2DC562A4"/>
    <w:rsid w:val="2DCB07B3"/>
    <w:rsid w:val="2DCF44E2"/>
    <w:rsid w:val="2DCF7166"/>
    <w:rsid w:val="2DE75388"/>
    <w:rsid w:val="2DEC3C25"/>
    <w:rsid w:val="2DF335A6"/>
    <w:rsid w:val="2DF47AA5"/>
    <w:rsid w:val="2E093550"/>
    <w:rsid w:val="2E107C6F"/>
    <w:rsid w:val="2E32483A"/>
    <w:rsid w:val="2E395498"/>
    <w:rsid w:val="2E4F1465"/>
    <w:rsid w:val="2E557A53"/>
    <w:rsid w:val="2E57163E"/>
    <w:rsid w:val="2E69270B"/>
    <w:rsid w:val="2E7535E9"/>
    <w:rsid w:val="2E786212"/>
    <w:rsid w:val="2E7F7CB6"/>
    <w:rsid w:val="2E9D638E"/>
    <w:rsid w:val="2EA109C3"/>
    <w:rsid w:val="2EAE40F8"/>
    <w:rsid w:val="2EB71BA6"/>
    <w:rsid w:val="2EBA57E2"/>
    <w:rsid w:val="2EC4391B"/>
    <w:rsid w:val="2ECF1849"/>
    <w:rsid w:val="2EE43FBD"/>
    <w:rsid w:val="2F0C7DDC"/>
    <w:rsid w:val="2F0E5EC8"/>
    <w:rsid w:val="2F0F2DE8"/>
    <w:rsid w:val="2F1A353B"/>
    <w:rsid w:val="2F220FBD"/>
    <w:rsid w:val="2F285C58"/>
    <w:rsid w:val="2F3222B8"/>
    <w:rsid w:val="2F414F6C"/>
    <w:rsid w:val="2F805A94"/>
    <w:rsid w:val="2F854E58"/>
    <w:rsid w:val="2F8A1AA1"/>
    <w:rsid w:val="2F9C03F4"/>
    <w:rsid w:val="2FB71881"/>
    <w:rsid w:val="2FBE03EA"/>
    <w:rsid w:val="2FE6701D"/>
    <w:rsid w:val="2FE8179D"/>
    <w:rsid w:val="2FEC3129"/>
    <w:rsid w:val="30030473"/>
    <w:rsid w:val="30032221"/>
    <w:rsid w:val="30040A11"/>
    <w:rsid w:val="300466C5"/>
    <w:rsid w:val="30093CDB"/>
    <w:rsid w:val="300C7328"/>
    <w:rsid w:val="300E1C76"/>
    <w:rsid w:val="30191A45"/>
    <w:rsid w:val="30265759"/>
    <w:rsid w:val="302A3486"/>
    <w:rsid w:val="3034687E"/>
    <w:rsid w:val="30395C43"/>
    <w:rsid w:val="30446AC1"/>
    <w:rsid w:val="3046134F"/>
    <w:rsid w:val="305A0AF3"/>
    <w:rsid w:val="306F78B6"/>
    <w:rsid w:val="309F7EA8"/>
    <w:rsid w:val="30A05CC2"/>
    <w:rsid w:val="30A27C8C"/>
    <w:rsid w:val="30A402E3"/>
    <w:rsid w:val="30A7411F"/>
    <w:rsid w:val="30B720D0"/>
    <w:rsid w:val="30BA2A3F"/>
    <w:rsid w:val="30CE282F"/>
    <w:rsid w:val="30D01035"/>
    <w:rsid w:val="30D81900"/>
    <w:rsid w:val="30D86C55"/>
    <w:rsid w:val="31093867"/>
    <w:rsid w:val="312A3342"/>
    <w:rsid w:val="312B228A"/>
    <w:rsid w:val="3133370C"/>
    <w:rsid w:val="31342FDA"/>
    <w:rsid w:val="313A09A4"/>
    <w:rsid w:val="313C4A71"/>
    <w:rsid w:val="313E1763"/>
    <w:rsid w:val="313F1BDB"/>
    <w:rsid w:val="313F372D"/>
    <w:rsid w:val="31460BFF"/>
    <w:rsid w:val="314B20D2"/>
    <w:rsid w:val="31501496"/>
    <w:rsid w:val="316118F5"/>
    <w:rsid w:val="316B4522"/>
    <w:rsid w:val="31701B38"/>
    <w:rsid w:val="31771119"/>
    <w:rsid w:val="3178368F"/>
    <w:rsid w:val="317D3686"/>
    <w:rsid w:val="318316AA"/>
    <w:rsid w:val="318F6462"/>
    <w:rsid w:val="31973569"/>
    <w:rsid w:val="319A0208"/>
    <w:rsid w:val="31A43590"/>
    <w:rsid w:val="31B41A25"/>
    <w:rsid w:val="31C53C32"/>
    <w:rsid w:val="31D726D9"/>
    <w:rsid w:val="31DD1250"/>
    <w:rsid w:val="31DE4CF4"/>
    <w:rsid w:val="31E82E64"/>
    <w:rsid w:val="31E83DC4"/>
    <w:rsid w:val="31F462C5"/>
    <w:rsid w:val="320504D2"/>
    <w:rsid w:val="320E54D7"/>
    <w:rsid w:val="32132BEF"/>
    <w:rsid w:val="32190854"/>
    <w:rsid w:val="321B5F48"/>
    <w:rsid w:val="322C5A5F"/>
    <w:rsid w:val="3239017C"/>
    <w:rsid w:val="323D6B00"/>
    <w:rsid w:val="32402E37"/>
    <w:rsid w:val="32454D73"/>
    <w:rsid w:val="324A4137"/>
    <w:rsid w:val="324F2EAF"/>
    <w:rsid w:val="324F5112"/>
    <w:rsid w:val="325913F9"/>
    <w:rsid w:val="325B2896"/>
    <w:rsid w:val="325D20BC"/>
    <w:rsid w:val="327C5BB1"/>
    <w:rsid w:val="32802C6E"/>
    <w:rsid w:val="328141EF"/>
    <w:rsid w:val="32877139"/>
    <w:rsid w:val="32A75EAC"/>
    <w:rsid w:val="32B072CE"/>
    <w:rsid w:val="32B3129D"/>
    <w:rsid w:val="32B82B1D"/>
    <w:rsid w:val="32BC5448"/>
    <w:rsid w:val="32C50C9F"/>
    <w:rsid w:val="32D63FB6"/>
    <w:rsid w:val="32D83E39"/>
    <w:rsid w:val="32DE4687"/>
    <w:rsid w:val="32E0684A"/>
    <w:rsid w:val="32EC3440"/>
    <w:rsid w:val="32F02C03"/>
    <w:rsid w:val="32F469A8"/>
    <w:rsid w:val="32F54809"/>
    <w:rsid w:val="33027C39"/>
    <w:rsid w:val="332E1244"/>
    <w:rsid w:val="333E3DEC"/>
    <w:rsid w:val="334868C9"/>
    <w:rsid w:val="334E3093"/>
    <w:rsid w:val="3353526D"/>
    <w:rsid w:val="33574D5E"/>
    <w:rsid w:val="336254B1"/>
    <w:rsid w:val="33751688"/>
    <w:rsid w:val="33753436"/>
    <w:rsid w:val="337D0D8A"/>
    <w:rsid w:val="3385466F"/>
    <w:rsid w:val="338D077F"/>
    <w:rsid w:val="33903E05"/>
    <w:rsid w:val="33A04957"/>
    <w:rsid w:val="33A56AB8"/>
    <w:rsid w:val="33AD2BD0"/>
    <w:rsid w:val="33BD5CFE"/>
    <w:rsid w:val="33C257A4"/>
    <w:rsid w:val="33D20888"/>
    <w:rsid w:val="33D20991"/>
    <w:rsid w:val="33E01E0E"/>
    <w:rsid w:val="33EB36F8"/>
    <w:rsid w:val="340C23A4"/>
    <w:rsid w:val="3428494C"/>
    <w:rsid w:val="343A2F96"/>
    <w:rsid w:val="343C4A44"/>
    <w:rsid w:val="34445073"/>
    <w:rsid w:val="34475D82"/>
    <w:rsid w:val="344771FB"/>
    <w:rsid w:val="345A5DAC"/>
    <w:rsid w:val="34756EDD"/>
    <w:rsid w:val="34780B0C"/>
    <w:rsid w:val="3482405C"/>
    <w:rsid w:val="348346A3"/>
    <w:rsid w:val="3493296C"/>
    <w:rsid w:val="349D0E96"/>
    <w:rsid w:val="349D2C44"/>
    <w:rsid w:val="34A57D4B"/>
    <w:rsid w:val="34A67DE5"/>
    <w:rsid w:val="34A843EE"/>
    <w:rsid w:val="34AA229A"/>
    <w:rsid w:val="34B85CD0"/>
    <w:rsid w:val="34BA1A48"/>
    <w:rsid w:val="34C04B85"/>
    <w:rsid w:val="34C74165"/>
    <w:rsid w:val="34C77792"/>
    <w:rsid w:val="34D348B8"/>
    <w:rsid w:val="34D55080"/>
    <w:rsid w:val="34D80120"/>
    <w:rsid w:val="34E15227"/>
    <w:rsid w:val="34EA53BC"/>
    <w:rsid w:val="34F14D3E"/>
    <w:rsid w:val="35087932"/>
    <w:rsid w:val="350A3BC0"/>
    <w:rsid w:val="350B4052"/>
    <w:rsid w:val="35103416"/>
    <w:rsid w:val="35301D0A"/>
    <w:rsid w:val="353508A6"/>
    <w:rsid w:val="35376DE2"/>
    <w:rsid w:val="353C420B"/>
    <w:rsid w:val="353D7F83"/>
    <w:rsid w:val="35403241"/>
    <w:rsid w:val="354237EC"/>
    <w:rsid w:val="35531555"/>
    <w:rsid w:val="356030DC"/>
    <w:rsid w:val="356854DC"/>
    <w:rsid w:val="357A2F85"/>
    <w:rsid w:val="358D0F0B"/>
    <w:rsid w:val="35A056D6"/>
    <w:rsid w:val="35A149B6"/>
    <w:rsid w:val="35A40002"/>
    <w:rsid w:val="35B65CFF"/>
    <w:rsid w:val="35C77D39"/>
    <w:rsid w:val="35CA7DC7"/>
    <w:rsid w:val="35E623C9"/>
    <w:rsid w:val="35F22CE3"/>
    <w:rsid w:val="35F66AB0"/>
    <w:rsid w:val="35F76384"/>
    <w:rsid w:val="3602377C"/>
    <w:rsid w:val="360C034D"/>
    <w:rsid w:val="3627310D"/>
    <w:rsid w:val="36315D3A"/>
    <w:rsid w:val="36364D1B"/>
    <w:rsid w:val="363864B1"/>
    <w:rsid w:val="363C023B"/>
    <w:rsid w:val="363C4985"/>
    <w:rsid w:val="363D46DF"/>
    <w:rsid w:val="364A6DFC"/>
    <w:rsid w:val="364E387B"/>
    <w:rsid w:val="36592B9B"/>
    <w:rsid w:val="36627138"/>
    <w:rsid w:val="3684230E"/>
    <w:rsid w:val="36854698"/>
    <w:rsid w:val="36883480"/>
    <w:rsid w:val="36982EB1"/>
    <w:rsid w:val="36A007CA"/>
    <w:rsid w:val="36AE2D80"/>
    <w:rsid w:val="36B40CCB"/>
    <w:rsid w:val="36B601BB"/>
    <w:rsid w:val="36BF0103"/>
    <w:rsid w:val="36C941C4"/>
    <w:rsid w:val="36C95F72"/>
    <w:rsid w:val="36D97312"/>
    <w:rsid w:val="36F57F97"/>
    <w:rsid w:val="36F87C76"/>
    <w:rsid w:val="36FD7444"/>
    <w:rsid w:val="371E028C"/>
    <w:rsid w:val="37250C2A"/>
    <w:rsid w:val="37256F21"/>
    <w:rsid w:val="3736177E"/>
    <w:rsid w:val="3756532C"/>
    <w:rsid w:val="37585548"/>
    <w:rsid w:val="37602ED6"/>
    <w:rsid w:val="376C4B93"/>
    <w:rsid w:val="37704640"/>
    <w:rsid w:val="377C3CA0"/>
    <w:rsid w:val="377E1241"/>
    <w:rsid w:val="37871BE0"/>
    <w:rsid w:val="378870BF"/>
    <w:rsid w:val="37920A5A"/>
    <w:rsid w:val="37A96FCE"/>
    <w:rsid w:val="37AC603F"/>
    <w:rsid w:val="37BE2D42"/>
    <w:rsid w:val="37DA41AF"/>
    <w:rsid w:val="38001E04"/>
    <w:rsid w:val="380D00E1"/>
    <w:rsid w:val="382417D2"/>
    <w:rsid w:val="382B3DB9"/>
    <w:rsid w:val="382D2531"/>
    <w:rsid w:val="38341421"/>
    <w:rsid w:val="38374182"/>
    <w:rsid w:val="384B29B7"/>
    <w:rsid w:val="385B0E4C"/>
    <w:rsid w:val="3866365A"/>
    <w:rsid w:val="386D5B4F"/>
    <w:rsid w:val="38715C55"/>
    <w:rsid w:val="3890189C"/>
    <w:rsid w:val="38997E4B"/>
    <w:rsid w:val="38A35545"/>
    <w:rsid w:val="38C806CB"/>
    <w:rsid w:val="38D54211"/>
    <w:rsid w:val="38DC10EA"/>
    <w:rsid w:val="38E21F79"/>
    <w:rsid w:val="38E27111"/>
    <w:rsid w:val="38E92BA8"/>
    <w:rsid w:val="38F6108F"/>
    <w:rsid w:val="390239BE"/>
    <w:rsid w:val="39077C38"/>
    <w:rsid w:val="39163B69"/>
    <w:rsid w:val="39200C06"/>
    <w:rsid w:val="39382F3B"/>
    <w:rsid w:val="396401D4"/>
    <w:rsid w:val="39747DBA"/>
    <w:rsid w:val="39777F08"/>
    <w:rsid w:val="397A79F8"/>
    <w:rsid w:val="398048E2"/>
    <w:rsid w:val="398D2FA5"/>
    <w:rsid w:val="3991089E"/>
    <w:rsid w:val="39A435E3"/>
    <w:rsid w:val="39A44E8B"/>
    <w:rsid w:val="39A71695"/>
    <w:rsid w:val="39A96CA5"/>
    <w:rsid w:val="39AD5CC0"/>
    <w:rsid w:val="39AF2DF3"/>
    <w:rsid w:val="39B457FD"/>
    <w:rsid w:val="39CC7DE7"/>
    <w:rsid w:val="39CE4E98"/>
    <w:rsid w:val="39CF4B18"/>
    <w:rsid w:val="39D04FF3"/>
    <w:rsid w:val="39D91453"/>
    <w:rsid w:val="39D92D58"/>
    <w:rsid w:val="39DF5AAD"/>
    <w:rsid w:val="39EE208F"/>
    <w:rsid w:val="39F23A32"/>
    <w:rsid w:val="39F50E2C"/>
    <w:rsid w:val="39FF3A59"/>
    <w:rsid w:val="3A13678D"/>
    <w:rsid w:val="3A136C7E"/>
    <w:rsid w:val="3A1514CF"/>
    <w:rsid w:val="3A1F5EA9"/>
    <w:rsid w:val="3A26548A"/>
    <w:rsid w:val="3A2A7201"/>
    <w:rsid w:val="3A2E106E"/>
    <w:rsid w:val="3A331955"/>
    <w:rsid w:val="3A3A78DB"/>
    <w:rsid w:val="3A40479E"/>
    <w:rsid w:val="3A412ACD"/>
    <w:rsid w:val="3A4376F5"/>
    <w:rsid w:val="3A542DF8"/>
    <w:rsid w:val="3A584D10"/>
    <w:rsid w:val="3A601248"/>
    <w:rsid w:val="3A6164C2"/>
    <w:rsid w:val="3A72498A"/>
    <w:rsid w:val="3A9028D6"/>
    <w:rsid w:val="3AAC3BE1"/>
    <w:rsid w:val="3AB27B84"/>
    <w:rsid w:val="3ABB2286"/>
    <w:rsid w:val="3ABD066D"/>
    <w:rsid w:val="3ABD0EFF"/>
    <w:rsid w:val="3AC10958"/>
    <w:rsid w:val="3AE113B1"/>
    <w:rsid w:val="3AE35129"/>
    <w:rsid w:val="3B07350D"/>
    <w:rsid w:val="3B082DE1"/>
    <w:rsid w:val="3B0C68DF"/>
    <w:rsid w:val="3B1A057A"/>
    <w:rsid w:val="3B20637D"/>
    <w:rsid w:val="3B345984"/>
    <w:rsid w:val="3B3D0CDD"/>
    <w:rsid w:val="3B400190"/>
    <w:rsid w:val="3B6224F2"/>
    <w:rsid w:val="3B7010B2"/>
    <w:rsid w:val="3B732620"/>
    <w:rsid w:val="3B9D5EF7"/>
    <w:rsid w:val="3BAC663C"/>
    <w:rsid w:val="3BB60CF6"/>
    <w:rsid w:val="3BB84816"/>
    <w:rsid w:val="3BBB41A1"/>
    <w:rsid w:val="3BC120E4"/>
    <w:rsid w:val="3BC34820"/>
    <w:rsid w:val="3BCE6C1F"/>
    <w:rsid w:val="3BCE7B87"/>
    <w:rsid w:val="3BD11425"/>
    <w:rsid w:val="3BE20D07"/>
    <w:rsid w:val="3BE21C72"/>
    <w:rsid w:val="3BED44B1"/>
    <w:rsid w:val="3BF70E8C"/>
    <w:rsid w:val="3BFA4401"/>
    <w:rsid w:val="3C0D6083"/>
    <w:rsid w:val="3C113C08"/>
    <w:rsid w:val="3C2123AD"/>
    <w:rsid w:val="3C2679C3"/>
    <w:rsid w:val="3C406CD7"/>
    <w:rsid w:val="3C5E0F0B"/>
    <w:rsid w:val="3C615929"/>
    <w:rsid w:val="3C68096B"/>
    <w:rsid w:val="3C6965BC"/>
    <w:rsid w:val="3C7310A8"/>
    <w:rsid w:val="3C926E07"/>
    <w:rsid w:val="3C931450"/>
    <w:rsid w:val="3C94492D"/>
    <w:rsid w:val="3C9E57AB"/>
    <w:rsid w:val="3CA52FDE"/>
    <w:rsid w:val="3CB02882"/>
    <w:rsid w:val="3CB52FC8"/>
    <w:rsid w:val="3CB6035F"/>
    <w:rsid w:val="3CBE1FF1"/>
    <w:rsid w:val="3CBF16C6"/>
    <w:rsid w:val="3CC17E21"/>
    <w:rsid w:val="3CC33275"/>
    <w:rsid w:val="3CCB1FE8"/>
    <w:rsid w:val="3CCE2028"/>
    <w:rsid w:val="3CD64F45"/>
    <w:rsid w:val="3CEA1900"/>
    <w:rsid w:val="3CF17FD1"/>
    <w:rsid w:val="3CFB2BFE"/>
    <w:rsid w:val="3D0F66A9"/>
    <w:rsid w:val="3D251A29"/>
    <w:rsid w:val="3D325ED8"/>
    <w:rsid w:val="3D42082D"/>
    <w:rsid w:val="3D451C2A"/>
    <w:rsid w:val="3D474680"/>
    <w:rsid w:val="3D4C3459"/>
    <w:rsid w:val="3D4E7172"/>
    <w:rsid w:val="3D57016E"/>
    <w:rsid w:val="3D5D5666"/>
    <w:rsid w:val="3D6373D3"/>
    <w:rsid w:val="3D6F7F64"/>
    <w:rsid w:val="3D7362E0"/>
    <w:rsid w:val="3D771C6F"/>
    <w:rsid w:val="3D7B4029"/>
    <w:rsid w:val="3D7E47BF"/>
    <w:rsid w:val="3D8250CD"/>
    <w:rsid w:val="3D85318C"/>
    <w:rsid w:val="3D8E5EB2"/>
    <w:rsid w:val="3D956033"/>
    <w:rsid w:val="3DAA02FC"/>
    <w:rsid w:val="3DAC1418"/>
    <w:rsid w:val="3DBA1B2D"/>
    <w:rsid w:val="3DBF7BA4"/>
    <w:rsid w:val="3DDA0A65"/>
    <w:rsid w:val="3DE23DBE"/>
    <w:rsid w:val="3DE506D1"/>
    <w:rsid w:val="3DE649E2"/>
    <w:rsid w:val="3DF5589F"/>
    <w:rsid w:val="3DF657DE"/>
    <w:rsid w:val="3E192656"/>
    <w:rsid w:val="3E214C7D"/>
    <w:rsid w:val="3E3418DA"/>
    <w:rsid w:val="3E42660A"/>
    <w:rsid w:val="3E674EF9"/>
    <w:rsid w:val="3E75078E"/>
    <w:rsid w:val="3E7802AA"/>
    <w:rsid w:val="3E782579"/>
    <w:rsid w:val="3E79027E"/>
    <w:rsid w:val="3E817133"/>
    <w:rsid w:val="3E952BDE"/>
    <w:rsid w:val="3EA4016B"/>
    <w:rsid w:val="3EAC62CE"/>
    <w:rsid w:val="3EB5679C"/>
    <w:rsid w:val="3ED454B4"/>
    <w:rsid w:val="3EEB6EB0"/>
    <w:rsid w:val="3EED5221"/>
    <w:rsid w:val="3EF52345"/>
    <w:rsid w:val="3EF71CDF"/>
    <w:rsid w:val="3F0E6D21"/>
    <w:rsid w:val="3F155D37"/>
    <w:rsid w:val="3F255D10"/>
    <w:rsid w:val="3F35283B"/>
    <w:rsid w:val="3F3B50EF"/>
    <w:rsid w:val="3F4C14EF"/>
    <w:rsid w:val="3F655F80"/>
    <w:rsid w:val="3F6E3B5B"/>
    <w:rsid w:val="3F842C07"/>
    <w:rsid w:val="3F854A01"/>
    <w:rsid w:val="3F8A7E08"/>
    <w:rsid w:val="3F970DAF"/>
    <w:rsid w:val="3FA70E1B"/>
    <w:rsid w:val="3FAA090B"/>
    <w:rsid w:val="3FAD7FFA"/>
    <w:rsid w:val="3FB75DE7"/>
    <w:rsid w:val="3FBD063E"/>
    <w:rsid w:val="3FC65745"/>
    <w:rsid w:val="3FD9409C"/>
    <w:rsid w:val="3FDC130C"/>
    <w:rsid w:val="3FF15E06"/>
    <w:rsid w:val="40012CF1"/>
    <w:rsid w:val="40041AB9"/>
    <w:rsid w:val="403A0B03"/>
    <w:rsid w:val="404971E0"/>
    <w:rsid w:val="404E573A"/>
    <w:rsid w:val="40503261"/>
    <w:rsid w:val="40520D87"/>
    <w:rsid w:val="4057639D"/>
    <w:rsid w:val="4062717F"/>
    <w:rsid w:val="406523F8"/>
    <w:rsid w:val="40664832"/>
    <w:rsid w:val="406E1939"/>
    <w:rsid w:val="406F2477"/>
    <w:rsid w:val="40721429"/>
    <w:rsid w:val="407A208B"/>
    <w:rsid w:val="408A49C4"/>
    <w:rsid w:val="40963C37"/>
    <w:rsid w:val="40B10D29"/>
    <w:rsid w:val="40BF3F42"/>
    <w:rsid w:val="40C15F0C"/>
    <w:rsid w:val="40CE6991"/>
    <w:rsid w:val="40D52D2E"/>
    <w:rsid w:val="40DE22BF"/>
    <w:rsid w:val="40E50C1E"/>
    <w:rsid w:val="40FF4D48"/>
    <w:rsid w:val="410302D3"/>
    <w:rsid w:val="41194293"/>
    <w:rsid w:val="412057CA"/>
    <w:rsid w:val="413C5593"/>
    <w:rsid w:val="41436921"/>
    <w:rsid w:val="414508EB"/>
    <w:rsid w:val="414F3518"/>
    <w:rsid w:val="415A776B"/>
    <w:rsid w:val="41601603"/>
    <w:rsid w:val="416074D3"/>
    <w:rsid w:val="416269F5"/>
    <w:rsid w:val="416E38EE"/>
    <w:rsid w:val="417E5BAB"/>
    <w:rsid w:val="417E7959"/>
    <w:rsid w:val="418827BC"/>
    <w:rsid w:val="418A27A2"/>
    <w:rsid w:val="418F7C72"/>
    <w:rsid w:val="419A4FFF"/>
    <w:rsid w:val="41A31919"/>
    <w:rsid w:val="41A63658"/>
    <w:rsid w:val="41AF3FB7"/>
    <w:rsid w:val="41B31CF9"/>
    <w:rsid w:val="41B43DA6"/>
    <w:rsid w:val="41B96821"/>
    <w:rsid w:val="41B97DDE"/>
    <w:rsid w:val="41C42C75"/>
    <w:rsid w:val="41CB669E"/>
    <w:rsid w:val="41F30347"/>
    <w:rsid w:val="42006E76"/>
    <w:rsid w:val="4210508C"/>
    <w:rsid w:val="421D3283"/>
    <w:rsid w:val="421F113C"/>
    <w:rsid w:val="421F44F3"/>
    <w:rsid w:val="422A118D"/>
    <w:rsid w:val="42494710"/>
    <w:rsid w:val="42536136"/>
    <w:rsid w:val="42565F1D"/>
    <w:rsid w:val="425828A0"/>
    <w:rsid w:val="425A0734"/>
    <w:rsid w:val="426923B8"/>
    <w:rsid w:val="428044C2"/>
    <w:rsid w:val="428870D5"/>
    <w:rsid w:val="428D0FA8"/>
    <w:rsid w:val="42942AA3"/>
    <w:rsid w:val="429513FF"/>
    <w:rsid w:val="429C09DF"/>
    <w:rsid w:val="429C278D"/>
    <w:rsid w:val="429C453B"/>
    <w:rsid w:val="429C6BCE"/>
    <w:rsid w:val="42BC4BDD"/>
    <w:rsid w:val="42C27D1A"/>
    <w:rsid w:val="42CA5F33"/>
    <w:rsid w:val="42CF5C44"/>
    <w:rsid w:val="42D75573"/>
    <w:rsid w:val="42D924E0"/>
    <w:rsid w:val="42DE72EC"/>
    <w:rsid w:val="42E82378"/>
    <w:rsid w:val="42FB581B"/>
    <w:rsid w:val="43056584"/>
    <w:rsid w:val="43144A19"/>
    <w:rsid w:val="43200681"/>
    <w:rsid w:val="432314EE"/>
    <w:rsid w:val="4328439C"/>
    <w:rsid w:val="433C5D1E"/>
    <w:rsid w:val="434047B9"/>
    <w:rsid w:val="435412BA"/>
    <w:rsid w:val="43566DE0"/>
    <w:rsid w:val="435C3CCA"/>
    <w:rsid w:val="43657023"/>
    <w:rsid w:val="43670FED"/>
    <w:rsid w:val="438374A9"/>
    <w:rsid w:val="4386664C"/>
    <w:rsid w:val="439335E4"/>
    <w:rsid w:val="43980E93"/>
    <w:rsid w:val="43B6386F"/>
    <w:rsid w:val="43BC1BAC"/>
    <w:rsid w:val="43C27C85"/>
    <w:rsid w:val="43C35A3E"/>
    <w:rsid w:val="43CD0FF0"/>
    <w:rsid w:val="43D941EB"/>
    <w:rsid w:val="440471CE"/>
    <w:rsid w:val="44230847"/>
    <w:rsid w:val="44250560"/>
    <w:rsid w:val="4433613F"/>
    <w:rsid w:val="44475404"/>
    <w:rsid w:val="444A7FC7"/>
    <w:rsid w:val="445350CD"/>
    <w:rsid w:val="445C6678"/>
    <w:rsid w:val="44652977"/>
    <w:rsid w:val="44753296"/>
    <w:rsid w:val="447B382C"/>
    <w:rsid w:val="4496320C"/>
    <w:rsid w:val="449A11C8"/>
    <w:rsid w:val="44A305E6"/>
    <w:rsid w:val="44A771C7"/>
    <w:rsid w:val="44C35434"/>
    <w:rsid w:val="44D46E2A"/>
    <w:rsid w:val="44D53D34"/>
    <w:rsid w:val="45080DD4"/>
    <w:rsid w:val="45120858"/>
    <w:rsid w:val="4515601E"/>
    <w:rsid w:val="451A5EF2"/>
    <w:rsid w:val="45244CBC"/>
    <w:rsid w:val="455B094B"/>
    <w:rsid w:val="45603F46"/>
    <w:rsid w:val="45800144"/>
    <w:rsid w:val="459040FF"/>
    <w:rsid w:val="45923CD5"/>
    <w:rsid w:val="45984C3A"/>
    <w:rsid w:val="45B85B30"/>
    <w:rsid w:val="45BC5569"/>
    <w:rsid w:val="45D1274E"/>
    <w:rsid w:val="45D37E1A"/>
    <w:rsid w:val="45EB6C5C"/>
    <w:rsid w:val="45F4468E"/>
    <w:rsid w:val="4605689B"/>
    <w:rsid w:val="462211FB"/>
    <w:rsid w:val="46222FA9"/>
    <w:rsid w:val="46244F73"/>
    <w:rsid w:val="46346A9E"/>
    <w:rsid w:val="46381B2A"/>
    <w:rsid w:val="46393522"/>
    <w:rsid w:val="463B09C0"/>
    <w:rsid w:val="463D2288"/>
    <w:rsid w:val="464259FF"/>
    <w:rsid w:val="46445615"/>
    <w:rsid w:val="4647701B"/>
    <w:rsid w:val="46535859"/>
    <w:rsid w:val="465F5FAB"/>
    <w:rsid w:val="466E7736"/>
    <w:rsid w:val="468530C6"/>
    <w:rsid w:val="468F6DA0"/>
    <w:rsid w:val="469849E9"/>
    <w:rsid w:val="469B3DD8"/>
    <w:rsid w:val="46A55988"/>
    <w:rsid w:val="46B87C5B"/>
    <w:rsid w:val="46BD76F8"/>
    <w:rsid w:val="46CA785D"/>
    <w:rsid w:val="470152B5"/>
    <w:rsid w:val="47030491"/>
    <w:rsid w:val="470A773F"/>
    <w:rsid w:val="471C5C4A"/>
    <w:rsid w:val="4722336F"/>
    <w:rsid w:val="472965B9"/>
    <w:rsid w:val="472F3139"/>
    <w:rsid w:val="473553CA"/>
    <w:rsid w:val="47360BCB"/>
    <w:rsid w:val="473F7B8B"/>
    <w:rsid w:val="474544FA"/>
    <w:rsid w:val="474A6C5C"/>
    <w:rsid w:val="475064D9"/>
    <w:rsid w:val="4753142D"/>
    <w:rsid w:val="475A2C17"/>
    <w:rsid w:val="475B3F4B"/>
    <w:rsid w:val="47694C08"/>
    <w:rsid w:val="476B5AAA"/>
    <w:rsid w:val="476C1DDD"/>
    <w:rsid w:val="477A756F"/>
    <w:rsid w:val="477E77FE"/>
    <w:rsid w:val="47906638"/>
    <w:rsid w:val="47954B4A"/>
    <w:rsid w:val="47B16CDB"/>
    <w:rsid w:val="47BE413B"/>
    <w:rsid w:val="47C166F9"/>
    <w:rsid w:val="47C27FE4"/>
    <w:rsid w:val="47CF7161"/>
    <w:rsid w:val="47DC4F0D"/>
    <w:rsid w:val="47F54AA9"/>
    <w:rsid w:val="47F6064A"/>
    <w:rsid w:val="47FC4082"/>
    <w:rsid w:val="48147269"/>
    <w:rsid w:val="48152C8E"/>
    <w:rsid w:val="481B05F8"/>
    <w:rsid w:val="482E0866"/>
    <w:rsid w:val="48335B07"/>
    <w:rsid w:val="484D243B"/>
    <w:rsid w:val="484F3DFE"/>
    <w:rsid w:val="486963E4"/>
    <w:rsid w:val="48740BB0"/>
    <w:rsid w:val="48827626"/>
    <w:rsid w:val="48913922"/>
    <w:rsid w:val="48967C7F"/>
    <w:rsid w:val="489A40DC"/>
    <w:rsid w:val="48A366E3"/>
    <w:rsid w:val="48C22EBA"/>
    <w:rsid w:val="48C93FD2"/>
    <w:rsid w:val="48EC2592"/>
    <w:rsid w:val="48FA0ABA"/>
    <w:rsid w:val="4900655A"/>
    <w:rsid w:val="490850C6"/>
    <w:rsid w:val="49111695"/>
    <w:rsid w:val="49113AC6"/>
    <w:rsid w:val="491312CF"/>
    <w:rsid w:val="49192F8E"/>
    <w:rsid w:val="491A440C"/>
    <w:rsid w:val="492E74DA"/>
    <w:rsid w:val="493A685C"/>
    <w:rsid w:val="493F21B9"/>
    <w:rsid w:val="49490A3B"/>
    <w:rsid w:val="49647D7D"/>
    <w:rsid w:val="496D7C44"/>
    <w:rsid w:val="497004D0"/>
    <w:rsid w:val="498B5309"/>
    <w:rsid w:val="49AB5A4A"/>
    <w:rsid w:val="49B304F0"/>
    <w:rsid w:val="49B94729"/>
    <w:rsid w:val="49C47F53"/>
    <w:rsid w:val="49CF51F6"/>
    <w:rsid w:val="4A15042C"/>
    <w:rsid w:val="4A1722B6"/>
    <w:rsid w:val="4A1A6048"/>
    <w:rsid w:val="4A1B043B"/>
    <w:rsid w:val="4A1C53BF"/>
    <w:rsid w:val="4A1E2CF0"/>
    <w:rsid w:val="4A286FFC"/>
    <w:rsid w:val="4A3E237C"/>
    <w:rsid w:val="4A49796A"/>
    <w:rsid w:val="4A4C6680"/>
    <w:rsid w:val="4A5A3051"/>
    <w:rsid w:val="4A7D7F14"/>
    <w:rsid w:val="4A804742"/>
    <w:rsid w:val="4A842484"/>
    <w:rsid w:val="4A8B5EA6"/>
    <w:rsid w:val="4A971668"/>
    <w:rsid w:val="4A9E0C83"/>
    <w:rsid w:val="4AA058F7"/>
    <w:rsid w:val="4AA9439E"/>
    <w:rsid w:val="4AB76BA9"/>
    <w:rsid w:val="4ABB577A"/>
    <w:rsid w:val="4AC7114E"/>
    <w:rsid w:val="4AD472AA"/>
    <w:rsid w:val="4AD827D0"/>
    <w:rsid w:val="4AE46247"/>
    <w:rsid w:val="4AF40152"/>
    <w:rsid w:val="4B007631"/>
    <w:rsid w:val="4B026D5C"/>
    <w:rsid w:val="4B0709C0"/>
    <w:rsid w:val="4B090BDC"/>
    <w:rsid w:val="4B0E54A9"/>
    <w:rsid w:val="4B0E61F2"/>
    <w:rsid w:val="4B1355B6"/>
    <w:rsid w:val="4B26353C"/>
    <w:rsid w:val="4B425402"/>
    <w:rsid w:val="4B5300A9"/>
    <w:rsid w:val="4B6D116B"/>
    <w:rsid w:val="4B6E3534"/>
    <w:rsid w:val="4B6E4EE3"/>
    <w:rsid w:val="4B734D87"/>
    <w:rsid w:val="4B746469"/>
    <w:rsid w:val="4B7B6450"/>
    <w:rsid w:val="4B92297F"/>
    <w:rsid w:val="4B9269A8"/>
    <w:rsid w:val="4B9304A5"/>
    <w:rsid w:val="4B971D85"/>
    <w:rsid w:val="4BA65A27"/>
    <w:rsid w:val="4BA76A28"/>
    <w:rsid w:val="4BB70638"/>
    <w:rsid w:val="4BC30D8B"/>
    <w:rsid w:val="4BC64AE5"/>
    <w:rsid w:val="4BC8720C"/>
    <w:rsid w:val="4BC92119"/>
    <w:rsid w:val="4BCD557C"/>
    <w:rsid w:val="4BD212A4"/>
    <w:rsid w:val="4BD47852"/>
    <w:rsid w:val="4BE85B56"/>
    <w:rsid w:val="4BE87E41"/>
    <w:rsid w:val="4BF52F0E"/>
    <w:rsid w:val="4C143394"/>
    <w:rsid w:val="4C1C0E75"/>
    <w:rsid w:val="4C2C779B"/>
    <w:rsid w:val="4C3634D3"/>
    <w:rsid w:val="4C3E6663"/>
    <w:rsid w:val="4C561BC7"/>
    <w:rsid w:val="4C602A7D"/>
    <w:rsid w:val="4C624F86"/>
    <w:rsid w:val="4C784EC6"/>
    <w:rsid w:val="4C7B1CE1"/>
    <w:rsid w:val="4C7F7AA0"/>
    <w:rsid w:val="4C8F6EBF"/>
    <w:rsid w:val="4C9442AE"/>
    <w:rsid w:val="4CA45D54"/>
    <w:rsid w:val="4CB46925"/>
    <w:rsid w:val="4CBC2E49"/>
    <w:rsid w:val="4CC36B68"/>
    <w:rsid w:val="4CCE0B6D"/>
    <w:rsid w:val="4CCE2A3B"/>
    <w:rsid w:val="4CD4593A"/>
    <w:rsid w:val="4CF136D5"/>
    <w:rsid w:val="4CF40329"/>
    <w:rsid w:val="4D0E24D9"/>
    <w:rsid w:val="4D18100A"/>
    <w:rsid w:val="4D1F46E6"/>
    <w:rsid w:val="4D242B57"/>
    <w:rsid w:val="4D254FCF"/>
    <w:rsid w:val="4D40640B"/>
    <w:rsid w:val="4D4277B3"/>
    <w:rsid w:val="4D491763"/>
    <w:rsid w:val="4D4976F7"/>
    <w:rsid w:val="4D4E28D6"/>
    <w:rsid w:val="4D6252C0"/>
    <w:rsid w:val="4D656449"/>
    <w:rsid w:val="4D956757"/>
    <w:rsid w:val="4D9F6FCD"/>
    <w:rsid w:val="4DAB40F0"/>
    <w:rsid w:val="4DAD425E"/>
    <w:rsid w:val="4DBE3EFF"/>
    <w:rsid w:val="4DC747EA"/>
    <w:rsid w:val="4DC80AE8"/>
    <w:rsid w:val="4DCC0E44"/>
    <w:rsid w:val="4DDF3AD6"/>
    <w:rsid w:val="4DE33150"/>
    <w:rsid w:val="4DE65204"/>
    <w:rsid w:val="4DE70AF0"/>
    <w:rsid w:val="4E037B64"/>
    <w:rsid w:val="4E061402"/>
    <w:rsid w:val="4E0F475B"/>
    <w:rsid w:val="4E157897"/>
    <w:rsid w:val="4E1F7810"/>
    <w:rsid w:val="4E2D698F"/>
    <w:rsid w:val="4E4B5067"/>
    <w:rsid w:val="4E5403C0"/>
    <w:rsid w:val="4E6A24DF"/>
    <w:rsid w:val="4E703325"/>
    <w:rsid w:val="4E9407BC"/>
    <w:rsid w:val="4E997BA6"/>
    <w:rsid w:val="4E9B7300"/>
    <w:rsid w:val="4EA2737D"/>
    <w:rsid w:val="4EB96475"/>
    <w:rsid w:val="4EC01495"/>
    <w:rsid w:val="4EC354D6"/>
    <w:rsid w:val="4ED2767A"/>
    <w:rsid w:val="4ED81195"/>
    <w:rsid w:val="4EDC5102"/>
    <w:rsid w:val="4EF329B7"/>
    <w:rsid w:val="4EF57A7C"/>
    <w:rsid w:val="4F073C50"/>
    <w:rsid w:val="4F080A42"/>
    <w:rsid w:val="4F0C1813"/>
    <w:rsid w:val="4F11005F"/>
    <w:rsid w:val="4F1C0D7A"/>
    <w:rsid w:val="4F1F09CE"/>
    <w:rsid w:val="4F241019"/>
    <w:rsid w:val="4F4915A7"/>
    <w:rsid w:val="4F495A4B"/>
    <w:rsid w:val="4F56624C"/>
    <w:rsid w:val="4F571AE0"/>
    <w:rsid w:val="4F57707E"/>
    <w:rsid w:val="4F583D52"/>
    <w:rsid w:val="4F642884"/>
    <w:rsid w:val="4F6463E1"/>
    <w:rsid w:val="4F6E54B1"/>
    <w:rsid w:val="4F7A5C04"/>
    <w:rsid w:val="4F7F76BE"/>
    <w:rsid w:val="4F8E3F60"/>
    <w:rsid w:val="4F8F35D1"/>
    <w:rsid w:val="4F9273F2"/>
    <w:rsid w:val="4F956C42"/>
    <w:rsid w:val="4F9F1B0F"/>
    <w:rsid w:val="4FB355BA"/>
    <w:rsid w:val="4FB467C4"/>
    <w:rsid w:val="4FD67FBF"/>
    <w:rsid w:val="4FE46BCC"/>
    <w:rsid w:val="4FE61A40"/>
    <w:rsid w:val="4FEC1657"/>
    <w:rsid w:val="50160490"/>
    <w:rsid w:val="502A762A"/>
    <w:rsid w:val="503D4360"/>
    <w:rsid w:val="50444A4F"/>
    <w:rsid w:val="505A5C58"/>
    <w:rsid w:val="508D7BB9"/>
    <w:rsid w:val="50B476EF"/>
    <w:rsid w:val="50C0499E"/>
    <w:rsid w:val="50C73F45"/>
    <w:rsid w:val="50EF6210"/>
    <w:rsid w:val="50F419E6"/>
    <w:rsid w:val="50F530F8"/>
    <w:rsid w:val="51024387"/>
    <w:rsid w:val="5108607B"/>
    <w:rsid w:val="510A745C"/>
    <w:rsid w:val="51105976"/>
    <w:rsid w:val="51145BE4"/>
    <w:rsid w:val="512247A5"/>
    <w:rsid w:val="512F31EC"/>
    <w:rsid w:val="515B6D00"/>
    <w:rsid w:val="5167040A"/>
    <w:rsid w:val="5167665C"/>
    <w:rsid w:val="5168389A"/>
    <w:rsid w:val="516C2D0A"/>
    <w:rsid w:val="518A5EA7"/>
    <w:rsid w:val="51976AC7"/>
    <w:rsid w:val="51A213B6"/>
    <w:rsid w:val="51AC5C98"/>
    <w:rsid w:val="51BA2C30"/>
    <w:rsid w:val="51BC0559"/>
    <w:rsid w:val="51C51CE0"/>
    <w:rsid w:val="51DC66E3"/>
    <w:rsid w:val="51E71970"/>
    <w:rsid w:val="52036385"/>
    <w:rsid w:val="52081BED"/>
    <w:rsid w:val="5210533D"/>
    <w:rsid w:val="521F2A93"/>
    <w:rsid w:val="524424F9"/>
    <w:rsid w:val="524B209A"/>
    <w:rsid w:val="524C3D9F"/>
    <w:rsid w:val="524E5317"/>
    <w:rsid w:val="525D3770"/>
    <w:rsid w:val="525E180D"/>
    <w:rsid w:val="526449C4"/>
    <w:rsid w:val="526D1A50"/>
    <w:rsid w:val="52721D04"/>
    <w:rsid w:val="52742DDF"/>
    <w:rsid w:val="527C7EE5"/>
    <w:rsid w:val="52823536"/>
    <w:rsid w:val="52911BE2"/>
    <w:rsid w:val="52923265"/>
    <w:rsid w:val="52952D55"/>
    <w:rsid w:val="52981D97"/>
    <w:rsid w:val="529D77FC"/>
    <w:rsid w:val="52AB2578"/>
    <w:rsid w:val="52AD3538"/>
    <w:rsid w:val="52B54FC2"/>
    <w:rsid w:val="52B83864"/>
    <w:rsid w:val="52BB4612"/>
    <w:rsid w:val="52D03D8D"/>
    <w:rsid w:val="52D75139"/>
    <w:rsid w:val="52E02904"/>
    <w:rsid w:val="52F047D2"/>
    <w:rsid w:val="53065245"/>
    <w:rsid w:val="53083527"/>
    <w:rsid w:val="531D782A"/>
    <w:rsid w:val="53226CDE"/>
    <w:rsid w:val="53397B84"/>
    <w:rsid w:val="53422EDD"/>
    <w:rsid w:val="53494264"/>
    <w:rsid w:val="537312E8"/>
    <w:rsid w:val="53953187"/>
    <w:rsid w:val="53956E0F"/>
    <w:rsid w:val="539C6F7D"/>
    <w:rsid w:val="53AA0FF0"/>
    <w:rsid w:val="53D50213"/>
    <w:rsid w:val="53E15070"/>
    <w:rsid w:val="53ED4FE7"/>
    <w:rsid w:val="540208BE"/>
    <w:rsid w:val="540957A8"/>
    <w:rsid w:val="540B7773"/>
    <w:rsid w:val="54224ABC"/>
    <w:rsid w:val="54302E7B"/>
    <w:rsid w:val="54332825"/>
    <w:rsid w:val="54333F72"/>
    <w:rsid w:val="543A1E06"/>
    <w:rsid w:val="543D053B"/>
    <w:rsid w:val="54402926"/>
    <w:rsid w:val="545253A1"/>
    <w:rsid w:val="545F186C"/>
    <w:rsid w:val="54662BFB"/>
    <w:rsid w:val="54836776"/>
    <w:rsid w:val="5484670F"/>
    <w:rsid w:val="54886843"/>
    <w:rsid w:val="54901A26"/>
    <w:rsid w:val="54A454D1"/>
    <w:rsid w:val="54B828DE"/>
    <w:rsid w:val="54BE6593"/>
    <w:rsid w:val="54C507ED"/>
    <w:rsid w:val="54C6011D"/>
    <w:rsid w:val="54C771E1"/>
    <w:rsid w:val="54CA490F"/>
    <w:rsid w:val="54CC5154"/>
    <w:rsid w:val="54D062C6"/>
    <w:rsid w:val="54D77655"/>
    <w:rsid w:val="54E12281"/>
    <w:rsid w:val="54EA51D0"/>
    <w:rsid w:val="54F71AA5"/>
    <w:rsid w:val="5505365E"/>
    <w:rsid w:val="551F25D6"/>
    <w:rsid w:val="551F4963"/>
    <w:rsid w:val="55250A50"/>
    <w:rsid w:val="553A0887"/>
    <w:rsid w:val="554F1015"/>
    <w:rsid w:val="55506373"/>
    <w:rsid w:val="55577BC2"/>
    <w:rsid w:val="555B64D8"/>
    <w:rsid w:val="55684C31"/>
    <w:rsid w:val="556D11D3"/>
    <w:rsid w:val="55782790"/>
    <w:rsid w:val="55825812"/>
    <w:rsid w:val="559E63C4"/>
    <w:rsid w:val="559E7CE2"/>
    <w:rsid w:val="55A402B9"/>
    <w:rsid w:val="55A45FA9"/>
    <w:rsid w:val="55B10839"/>
    <w:rsid w:val="55BD1797"/>
    <w:rsid w:val="55D46FE1"/>
    <w:rsid w:val="55D83684"/>
    <w:rsid w:val="55E23A0F"/>
    <w:rsid w:val="55E77AA0"/>
    <w:rsid w:val="55FA7A9F"/>
    <w:rsid w:val="55FC6F38"/>
    <w:rsid w:val="56091A90"/>
    <w:rsid w:val="56261760"/>
    <w:rsid w:val="564156CE"/>
    <w:rsid w:val="56447AD9"/>
    <w:rsid w:val="56485D6B"/>
    <w:rsid w:val="56491E39"/>
    <w:rsid w:val="56496330"/>
    <w:rsid w:val="56535401"/>
    <w:rsid w:val="565A20ED"/>
    <w:rsid w:val="565F5F7D"/>
    <w:rsid w:val="566549C3"/>
    <w:rsid w:val="566E223B"/>
    <w:rsid w:val="569752EE"/>
    <w:rsid w:val="56A95021"/>
    <w:rsid w:val="56B34D79"/>
    <w:rsid w:val="56C65BD3"/>
    <w:rsid w:val="56F02C50"/>
    <w:rsid w:val="56F269C8"/>
    <w:rsid w:val="56FF0224"/>
    <w:rsid w:val="57032727"/>
    <w:rsid w:val="57105679"/>
    <w:rsid w:val="5715598F"/>
    <w:rsid w:val="572052E3"/>
    <w:rsid w:val="572161C8"/>
    <w:rsid w:val="574A6804"/>
    <w:rsid w:val="574C37B4"/>
    <w:rsid w:val="575C1911"/>
    <w:rsid w:val="576903FD"/>
    <w:rsid w:val="57711FE2"/>
    <w:rsid w:val="57774D2C"/>
    <w:rsid w:val="57775493"/>
    <w:rsid w:val="577E79CF"/>
    <w:rsid w:val="57AB2E1B"/>
    <w:rsid w:val="57B0262A"/>
    <w:rsid w:val="57BC5180"/>
    <w:rsid w:val="57C40364"/>
    <w:rsid w:val="57C454DB"/>
    <w:rsid w:val="57E04A72"/>
    <w:rsid w:val="57EF1159"/>
    <w:rsid w:val="57F10770"/>
    <w:rsid w:val="57F2208F"/>
    <w:rsid w:val="58003366"/>
    <w:rsid w:val="5809221B"/>
    <w:rsid w:val="580C5867"/>
    <w:rsid w:val="580C7E18"/>
    <w:rsid w:val="581D1822"/>
    <w:rsid w:val="585711D8"/>
    <w:rsid w:val="585A2A77"/>
    <w:rsid w:val="58607961"/>
    <w:rsid w:val="58727DC0"/>
    <w:rsid w:val="587358E6"/>
    <w:rsid w:val="588D4BFA"/>
    <w:rsid w:val="58937D37"/>
    <w:rsid w:val="58B25EAD"/>
    <w:rsid w:val="58B55805"/>
    <w:rsid w:val="58E202D5"/>
    <w:rsid w:val="58F419FA"/>
    <w:rsid w:val="590824D3"/>
    <w:rsid w:val="5910449B"/>
    <w:rsid w:val="59120BB3"/>
    <w:rsid w:val="591470C9"/>
    <w:rsid w:val="591B5BE1"/>
    <w:rsid w:val="59262959"/>
    <w:rsid w:val="59300C03"/>
    <w:rsid w:val="59301A29"/>
    <w:rsid w:val="59374B66"/>
    <w:rsid w:val="594A4899"/>
    <w:rsid w:val="595A2602"/>
    <w:rsid w:val="595F5D03"/>
    <w:rsid w:val="596B7A4C"/>
    <w:rsid w:val="59822285"/>
    <w:rsid w:val="59825421"/>
    <w:rsid w:val="599205A1"/>
    <w:rsid w:val="59DE3233"/>
    <w:rsid w:val="59E051FD"/>
    <w:rsid w:val="59F14D15"/>
    <w:rsid w:val="59FC7637"/>
    <w:rsid w:val="59FD4182"/>
    <w:rsid w:val="5A0013FC"/>
    <w:rsid w:val="5A027E85"/>
    <w:rsid w:val="5A08462F"/>
    <w:rsid w:val="5A1A6CEB"/>
    <w:rsid w:val="5A1B6EF0"/>
    <w:rsid w:val="5A1E0934"/>
    <w:rsid w:val="5A267A56"/>
    <w:rsid w:val="5A600B9F"/>
    <w:rsid w:val="5A680C58"/>
    <w:rsid w:val="5A6B0F6B"/>
    <w:rsid w:val="5A6E45B7"/>
    <w:rsid w:val="5A6F5CC5"/>
    <w:rsid w:val="5A8C0DC9"/>
    <w:rsid w:val="5A9C1849"/>
    <w:rsid w:val="5A9C5DB6"/>
    <w:rsid w:val="5A9F6E67"/>
    <w:rsid w:val="5AAF5201"/>
    <w:rsid w:val="5ABB71FA"/>
    <w:rsid w:val="5AC33F86"/>
    <w:rsid w:val="5AD92379"/>
    <w:rsid w:val="5ADA39FB"/>
    <w:rsid w:val="5AE96334"/>
    <w:rsid w:val="5B04268F"/>
    <w:rsid w:val="5B043B95"/>
    <w:rsid w:val="5B046CCA"/>
    <w:rsid w:val="5B0E47F8"/>
    <w:rsid w:val="5B117017"/>
    <w:rsid w:val="5B127639"/>
    <w:rsid w:val="5B1533D9"/>
    <w:rsid w:val="5B1A64ED"/>
    <w:rsid w:val="5B345801"/>
    <w:rsid w:val="5B542CDF"/>
    <w:rsid w:val="5B5E287E"/>
    <w:rsid w:val="5B6D40F7"/>
    <w:rsid w:val="5B6F03CE"/>
    <w:rsid w:val="5B745BFD"/>
    <w:rsid w:val="5B841BB9"/>
    <w:rsid w:val="5B9136A1"/>
    <w:rsid w:val="5B9938B6"/>
    <w:rsid w:val="5BA50210"/>
    <w:rsid w:val="5BA67D81"/>
    <w:rsid w:val="5BAB7355"/>
    <w:rsid w:val="5BB12C15"/>
    <w:rsid w:val="5BBB112C"/>
    <w:rsid w:val="5BBB61A7"/>
    <w:rsid w:val="5BBC4868"/>
    <w:rsid w:val="5BBE331C"/>
    <w:rsid w:val="5BBF0BE4"/>
    <w:rsid w:val="5BCA019E"/>
    <w:rsid w:val="5BCD5A15"/>
    <w:rsid w:val="5BD91F04"/>
    <w:rsid w:val="5BDF6CAB"/>
    <w:rsid w:val="5BE03293"/>
    <w:rsid w:val="5BE35E22"/>
    <w:rsid w:val="5BE62B20"/>
    <w:rsid w:val="5BF338A9"/>
    <w:rsid w:val="5BF53D7F"/>
    <w:rsid w:val="5BF84A80"/>
    <w:rsid w:val="5C112C8C"/>
    <w:rsid w:val="5C290342"/>
    <w:rsid w:val="5C361105"/>
    <w:rsid w:val="5C371CE3"/>
    <w:rsid w:val="5C3D4A90"/>
    <w:rsid w:val="5C550041"/>
    <w:rsid w:val="5C56031C"/>
    <w:rsid w:val="5C583771"/>
    <w:rsid w:val="5C655F13"/>
    <w:rsid w:val="5C7D4918"/>
    <w:rsid w:val="5C8C51C9"/>
    <w:rsid w:val="5C8E2C88"/>
    <w:rsid w:val="5CAC661C"/>
    <w:rsid w:val="5CAF2C65"/>
    <w:rsid w:val="5CAF4A5E"/>
    <w:rsid w:val="5CB71FCC"/>
    <w:rsid w:val="5CBF10FA"/>
    <w:rsid w:val="5CC40E0F"/>
    <w:rsid w:val="5CC8538C"/>
    <w:rsid w:val="5CC916C1"/>
    <w:rsid w:val="5CCA25C5"/>
    <w:rsid w:val="5CCE57E1"/>
    <w:rsid w:val="5CDF179C"/>
    <w:rsid w:val="5CE95112"/>
    <w:rsid w:val="5D0040A6"/>
    <w:rsid w:val="5D1A27D4"/>
    <w:rsid w:val="5D1E0A6F"/>
    <w:rsid w:val="5D2B2C34"/>
    <w:rsid w:val="5D3103B6"/>
    <w:rsid w:val="5D3423CB"/>
    <w:rsid w:val="5D445C4B"/>
    <w:rsid w:val="5D5061F6"/>
    <w:rsid w:val="5D5300F5"/>
    <w:rsid w:val="5D641CA2"/>
    <w:rsid w:val="5D704799"/>
    <w:rsid w:val="5D720862"/>
    <w:rsid w:val="5D7C00CD"/>
    <w:rsid w:val="5D7F0889"/>
    <w:rsid w:val="5D8F4F70"/>
    <w:rsid w:val="5D9C768D"/>
    <w:rsid w:val="5DA01CCB"/>
    <w:rsid w:val="5DA14CA4"/>
    <w:rsid w:val="5DAF7FE8"/>
    <w:rsid w:val="5DB06C95"/>
    <w:rsid w:val="5DB744C7"/>
    <w:rsid w:val="5DB93D9B"/>
    <w:rsid w:val="5DCF7A63"/>
    <w:rsid w:val="5DD01B69"/>
    <w:rsid w:val="5DD1211B"/>
    <w:rsid w:val="5DD55380"/>
    <w:rsid w:val="5DD961EC"/>
    <w:rsid w:val="5DE512BA"/>
    <w:rsid w:val="5DFB2606"/>
    <w:rsid w:val="5DFB43B4"/>
    <w:rsid w:val="5E005E6E"/>
    <w:rsid w:val="5E0E2A29"/>
    <w:rsid w:val="5E225DE5"/>
    <w:rsid w:val="5E2464A4"/>
    <w:rsid w:val="5E31427A"/>
    <w:rsid w:val="5E3A106F"/>
    <w:rsid w:val="5E742B51"/>
    <w:rsid w:val="5E745F14"/>
    <w:rsid w:val="5E865086"/>
    <w:rsid w:val="5E913DC3"/>
    <w:rsid w:val="5E9531F9"/>
    <w:rsid w:val="5EB473AE"/>
    <w:rsid w:val="5EB84AF1"/>
    <w:rsid w:val="5EBA7A17"/>
    <w:rsid w:val="5EC37A3E"/>
    <w:rsid w:val="5EC42D55"/>
    <w:rsid w:val="5ED10692"/>
    <w:rsid w:val="5ED7154B"/>
    <w:rsid w:val="5ED8459A"/>
    <w:rsid w:val="5EDB6903"/>
    <w:rsid w:val="5EE72B8A"/>
    <w:rsid w:val="5EE906B0"/>
    <w:rsid w:val="5EEA306B"/>
    <w:rsid w:val="5EEE09E1"/>
    <w:rsid w:val="5EF256A1"/>
    <w:rsid w:val="5EF6776F"/>
    <w:rsid w:val="5F1F2324"/>
    <w:rsid w:val="5F2173D6"/>
    <w:rsid w:val="5F275A32"/>
    <w:rsid w:val="5F34654D"/>
    <w:rsid w:val="5F484E0A"/>
    <w:rsid w:val="5F4D752C"/>
    <w:rsid w:val="5F546472"/>
    <w:rsid w:val="5F5A15AE"/>
    <w:rsid w:val="5F822493"/>
    <w:rsid w:val="5F920C42"/>
    <w:rsid w:val="5FAA76B1"/>
    <w:rsid w:val="5FAA7EDB"/>
    <w:rsid w:val="5FAB4AFF"/>
    <w:rsid w:val="5FB16B0A"/>
    <w:rsid w:val="5FB511F3"/>
    <w:rsid w:val="5FC27BF6"/>
    <w:rsid w:val="5FCD1F94"/>
    <w:rsid w:val="5FCF2890"/>
    <w:rsid w:val="5FEF3045"/>
    <w:rsid w:val="5FF03833"/>
    <w:rsid w:val="5FF425BC"/>
    <w:rsid w:val="5FF74C2B"/>
    <w:rsid w:val="60023942"/>
    <w:rsid w:val="60234096"/>
    <w:rsid w:val="60424859"/>
    <w:rsid w:val="60561D75"/>
    <w:rsid w:val="606326E4"/>
    <w:rsid w:val="606F2E37"/>
    <w:rsid w:val="6086698B"/>
    <w:rsid w:val="609E4ABB"/>
    <w:rsid w:val="609F196E"/>
    <w:rsid w:val="60A32F3B"/>
    <w:rsid w:val="60AC41FD"/>
    <w:rsid w:val="60B92304"/>
    <w:rsid w:val="60C05441"/>
    <w:rsid w:val="60C50DD3"/>
    <w:rsid w:val="60DF620F"/>
    <w:rsid w:val="60F03F78"/>
    <w:rsid w:val="60F56CDD"/>
    <w:rsid w:val="60FE469B"/>
    <w:rsid w:val="61014002"/>
    <w:rsid w:val="61133537"/>
    <w:rsid w:val="612E4AA0"/>
    <w:rsid w:val="612E684E"/>
    <w:rsid w:val="614C4B09"/>
    <w:rsid w:val="61502C69"/>
    <w:rsid w:val="6151078F"/>
    <w:rsid w:val="61517728"/>
    <w:rsid w:val="6162299C"/>
    <w:rsid w:val="6162474A"/>
    <w:rsid w:val="616A0ADA"/>
    <w:rsid w:val="616B7AA3"/>
    <w:rsid w:val="616C1876"/>
    <w:rsid w:val="6197590A"/>
    <w:rsid w:val="619C5434"/>
    <w:rsid w:val="61CA1C04"/>
    <w:rsid w:val="61DB173E"/>
    <w:rsid w:val="61E0223F"/>
    <w:rsid w:val="61E138C1"/>
    <w:rsid w:val="61E34843"/>
    <w:rsid w:val="61EB7844"/>
    <w:rsid w:val="62031A89"/>
    <w:rsid w:val="62037CDB"/>
    <w:rsid w:val="62050D76"/>
    <w:rsid w:val="6206799F"/>
    <w:rsid w:val="62083543"/>
    <w:rsid w:val="62100408"/>
    <w:rsid w:val="6220088D"/>
    <w:rsid w:val="62210161"/>
    <w:rsid w:val="622A5268"/>
    <w:rsid w:val="623A1223"/>
    <w:rsid w:val="627760B4"/>
    <w:rsid w:val="627B3D15"/>
    <w:rsid w:val="6287090C"/>
    <w:rsid w:val="62891CB7"/>
    <w:rsid w:val="62964B25"/>
    <w:rsid w:val="62970423"/>
    <w:rsid w:val="62976675"/>
    <w:rsid w:val="62A04CBB"/>
    <w:rsid w:val="62AB6827"/>
    <w:rsid w:val="62C21944"/>
    <w:rsid w:val="62C354AC"/>
    <w:rsid w:val="62C628DF"/>
    <w:rsid w:val="62C63B33"/>
    <w:rsid w:val="62CC4571"/>
    <w:rsid w:val="62CF4061"/>
    <w:rsid w:val="62D022B3"/>
    <w:rsid w:val="62D56CEF"/>
    <w:rsid w:val="62DF24F6"/>
    <w:rsid w:val="62EB4F4D"/>
    <w:rsid w:val="62EF64B1"/>
    <w:rsid w:val="62F31AFE"/>
    <w:rsid w:val="62F53AC8"/>
    <w:rsid w:val="62FF36C0"/>
    <w:rsid w:val="63091321"/>
    <w:rsid w:val="63105C98"/>
    <w:rsid w:val="63181564"/>
    <w:rsid w:val="632957E2"/>
    <w:rsid w:val="632E7E4C"/>
    <w:rsid w:val="632F4D55"/>
    <w:rsid w:val="63350368"/>
    <w:rsid w:val="633911C4"/>
    <w:rsid w:val="633C129E"/>
    <w:rsid w:val="63452ABE"/>
    <w:rsid w:val="63464323"/>
    <w:rsid w:val="63473EC6"/>
    <w:rsid w:val="634D3489"/>
    <w:rsid w:val="635B2744"/>
    <w:rsid w:val="635F12BD"/>
    <w:rsid w:val="63732792"/>
    <w:rsid w:val="637F6CFA"/>
    <w:rsid w:val="63860BC4"/>
    <w:rsid w:val="638E1826"/>
    <w:rsid w:val="63953A69"/>
    <w:rsid w:val="639D5A88"/>
    <w:rsid w:val="63AC645A"/>
    <w:rsid w:val="63B55005"/>
    <w:rsid w:val="63B62B19"/>
    <w:rsid w:val="63C82F8A"/>
    <w:rsid w:val="63CA2F0F"/>
    <w:rsid w:val="63CB2A7A"/>
    <w:rsid w:val="63D25BB7"/>
    <w:rsid w:val="63E47698"/>
    <w:rsid w:val="63FF0976"/>
    <w:rsid w:val="641A130C"/>
    <w:rsid w:val="641C2FFC"/>
    <w:rsid w:val="64430863"/>
    <w:rsid w:val="644825CF"/>
    <w:rsid w:val="645115FD"/>
    <w:rsid w:val="645C298D"/>
    <w:rsid w:val="645E38EF"/>
    <w:rsid w:val="6463670D"/>
    <w:rsid w:val="646F20F7"/>
    <w:rsid w:val="6479278D"/>
    <w:rsid w:val="647C6246"/>
    <w:rsid w:val="64874BF3"/>
    <w:rsid w:val="648C2621"/>
    <w:rsid w:val="648F289F"/>
    <w:rsid w:val="64963088"/>
    <w:rsid w:val="64A21A2D"/>
    <w:rsid w:val="64B41760"/>
    <w:rsid w:val="64BA6D99"/>
    <w:rsid w:val="64BD1269"/>
    <w:rsid w:val="64C37BF6"/>
    <w:rsid w:val="64CA6748"/>
    <w:rsid w:val="64CE2822"/>
    <w:rsid w:val="64CF0A95"/>
    <w:rsid w:val="64D12312"/>
    <w:rsid w:val="64D145EB"/>
    <w:rsid w:val="64D70FAB"/>
    <w:rsid w:val="64E21E2A"/>
    <w:rsid w:val="64F503D1"/>
    <w:rsid w:val="64F658D5"/>
    <w:rsid w:val="64FB126F"/>
    <w:rsid w:val="650260B0"/>
    <w:rsid w:val="650A312E"/>
    <w:rsid w:val="6518404C"/>
    <w:rsid w:val="651F307E"/>
    <w:rsid w:val="652E32C1"/>
    <w:rsid w:val="653308D7"/>
    <w:rsid w:val="65336B29"/>
    <w:rsid w:val="65340C45"/>
    <w:rsid w:val="653F54CE"/>
    <w:rsid w:val="65521D19"/>
    <w:rsid w:val="65546D16"/>
    <w:rsid w:val="65554AD3"/>
    <w:rsid w:val="655645C6"/>
    <w:rsid w:val="655A5E64"/>
    <w:rsid w:val="6589475A"/>
    <w:rsid w:val="659D3FA3"/>
    <w:rsid w:val="65B32540"/>
    <w:rsid w:val="65C337CB"/>
    <w:rsid w:val="65C640D8"/>
    <w:rsid w:val="65CC4888"/>
    <w:rsid w:val="65CE6852"/>
    <w:rsid w:val="65D9682D"/>
    <w:rsid w:val="65DF280D"/>
    <w:rsid w:val="65E816C2"/>
    <w:rsid w:val="65EC38FC"/>
    <w:rsid w:val="65F546D2"/>
    <w:rsid w:val="66052C97"/>
    <w:rsid w:val="661701F9"/>
    <w:rsid w:val="661A7C69"/>
    <w:rsid w:val="66206AB0"/>
    <w:rsid w:val="66285F62"/>
    <w:rsid w:val="663012BB"/>
    <w:rsid w:val="66326DE1"/>
    <w:rsid w:val="664460D9"/>
    <w:rsid w:val="66600553"/>
    <w:rsid w:val="66666A8A"/>
    <w:rsid w:val="66674C76"/>
    <w:rsid w:val="66760B79"/>
    <w:rsid w:val="6686712D"/>
    <w:rsid w:val="66882884"/>
    <w:rsid w:val="66912441"/>
    <w:rsid w:val="669168C2"/>
    <w:rsid w:val="66984A51"/>
    <w:rsid w:val="66A56A08"/>
    <w:rsid w:val="66A9485B"/>
    <w:rsid w:val="66C0619B"/>
    <w:rsid w:val="66CA0DC7"/>
    <w:rsid w:val="66CA653C"/>
    <w:rsid w:val="66D04A67"/>
    <w:rsid w:val="66D35B51"/>
    <w:rsid w:val="66FA66E2"/>
    <w:rsid w:val="66FD73EF"/>
    <w:rsid w:val="67087B42"/>
    <w:rsid w:val="670946D5"/>
    <w:rsid w:val="670D5158"/>
    <w:rsid w:val="67196629"/>
    <w:rsid w:val="671F147F"/>
    <w:rsid w:val="672C3B99"/>
    <w:rsid w:val="67380094"/>
    <w:rsid w:val="6739419F"/>
    <w:rsid w:val="67457FB2"/>
    <w:rsid w:val="676072E5"/>
    <w:rsid w:val="67650AF0"/>
    <w:rsid w:val="67684380"/>
    <w:rsid w:val="67691391"/>
    <w:rsid w:val="676E3E49"/>
    <w:rsid w:val="67713939"/>
    <w:rsid w:val="67804D2B"/>
    <w:rsid w:val="678371C8"/>
    <w:rsid w:val="67A23B1B"/>
    <w:rsid w:val="67A32D96"/>
    <w:rsid w:val="67A55390"/>
    <w:rsid w:val="67B51A77"/>
    <w:rsid w:val="67C95523"/>
    <w:rsid w:val="67C96D09"/>
    <w:rsid w:val="67D0065F"/>
    <w:rsid w:val="67D2738D"/>
    <w:rsid w:val="67DC5329"/>
    <w:rsid w:val="67DD4B2A"/>
    <w:rsid w:val="67E67E83"/>
    <w:rsid w:val="67EC2FBF"/>
    <w:rsid w:val="67F46265"/>
    <w:rsid w:val="67F65BEC"/>
    <w:rsid w:val="67FB3202"/>
    <w:rsid w:val="67FF0F45"/>
    <w:rsid w:val="68120C78"/>
    <w:rsid w:val="681F3A63"/>
    <w:rsid w:val="682D7860"/>
    <w:rsid w:val="683010FE"/>
    <w:rsid w:val="68394DBA"/>
    <w:rsid w:val="685C1EF3"/>
    <w:rsid w:val="686445B2"/>
    <w:rsid w:val="6865349E"/>
    <w:rsid w:val="68757459"/>
    <w:rsid w:val="68805C64"/>
    <w:rsid w:val="68BC6E36"/>
    <w:rsid w:val="68C06926"/>
    <w:rsid w:val="68D93544"/>
    <w:rsid w:val="68D94C48"/>
    <w:rsid w:val="68E63EB3"/>
    <w:rsid w:val="68E672C7"/>
    <w:rsid w:val="690630DD"/>
    <w:rsid w:val="690D3B6C"/>
    <w:rsid w:val="69172411"/>
    <w:rsid w:val="69197DE4"/>
    <w:rsid w:val="691D5BF2"/>
    <w:rsid w:val="692769A5"/>
    <w:rsid w:val="692A3D9F"/>
    <w:rsid w:val="692C5D69"/>
    <w:rsid w:val="69360996"/>
    <w:rsid w:val="693E784B"/>
    <w:rsid w:val="69434E61"/>
    <w:rsid w:val="69472BA3"/>
    <w:rsid w:val="69594684"/>
    <w:rsid w:val="695A65C4"/>
    <w:rsid w:val="695B472A"/>
    <w:rsid w:val="696970BF"/>
    <w:rsid w:val="69796AD5"/>
    <w:rsid w:val="69872FA0"/>
    <w:rsid w:val="698A6F34"/>
    <w:rsid w:val="699833FF"/>
    <w:rsid w:val="69AF73B8"/>
    <w:rsid w:val="69B61AD7"/>
    <w:rsid w:val="69BD0D5F"/>
    <w:rsid w:val="69CB76FE"/>
    <w:rsid w:val="69E21B64"/>
    <w:rsid w:val="69F012B0"/>
    <w:rsid w:val="69F3180C"/>
    <w:rsid w:val="69FC3987"/>
    <w:rsid w:val="69FE02E4"/>
    <w:rsid w:val="6A0E5CC1"/>
    <w:rsid w:val="6A154A4F"/>
    <w:rsid w:val="6A206FEF"/>
    <w:rsid w:val="6A212C77"/>
    <w:rsid w:val="6A274783"/>
    <w:rsid w:val="6A2D7FEB"/>
    <w:rsid w:val="6A555E4A"/>
    <w:rsid w:val="6A5A5EBE"/>
    <w:rsid w:val="6A673D6F"/>
    <w:rsid w:val="6A7E3569"/>
    <w:rsid w:val="6A841DC0"/>
    <w:rsid w:val="6A995680"/>
    <w:rsid w:val="6AA06A0F"/>
    <w:rsid w:val="6AA54A47"/>
    <w:rsid w:val="6AB72C58"/>
    <w:rsid w:val="6AD246EE"/>
    <w:rsid w:val="6AD4189E"/>
    <w:rsid w:val="6AE166E8"/>
    <w:rsid w:val="6AE3464A"/>
    <w:rsid w:val="6B030D4C"/>
    <w:rsid w:val="6B034EAD"/>
    <w:rsid w:val="6B071973"/>
    <w:rsid w:val="6B1C1E0E"/>
    <w:rsid w:val="6B217424"/>
    <w:rsid w:val="6B2B3DDB"/>
    <w:rsid w:val="6B39004E"/>
    <w:rsid w:val="6B405AFC"/>
    <w:rsid w:val="6B454EC0"/>
    <w:rsid w:val="6B5231B5"/>
    <w:rsid w:val="6B6C069F"/>
    <w:rsid w:val="6B713022"/>
    <w:rsid w:val="6B740AB0"/>
    <w:rsid w:val="6B851761"/>
    <w:rsid w:val="6B904FCA"/>
    <w:rsid w:val="6B9320D0"/>
    <w:rsid w:val="6B9F6CC6"/>
    <w:rsid w:val="6BAB5FA2"/>
    <w:rsid w:val="6BB34520"/>
    <w:rsid w:val="6BBA58AE"/>
    <w:rsid w:val="6BC24763"/>
    <w:rsid w:val="6BC34E20"/>
    <w:rsid w:val="6BC35602"/>
    <w:rsid w:val="6BC46898"/>
    <w:rsid w:val="6BCA61D7"/>
    <w:rsid w:val="6BD02406"/>
    <w:rsid w:val="6BD66460"/>
    <w:rsid w:val="6BDA6DF3"/>
    <w:rsid w:val="6BDF5315"/>
    <w:rsid w:val="6BDF70C3"/>
    <w:rsid w:val="6BE03E03"/>
    <w:rsid w:val="6BE07043"/>
    <w:rsid w:val="6BF16DF6"/>
    <w:rsid w:val="6BF32B6E"/>
    <w:rsid w:val="6BF6265F"/>
    <w:rsid w:val="6C021003"/>
    <w:rsid w:val="6C027255"/>
    <w:rsid w:val="6C1C0164"/>
    <w:rsid w:val="6C225202"/>
    <w:rsid w:val="6C232EAE"/>
    <w:rsid w:val="6C2F653C"/>
    <w:rsid w:val="6C3D5825"/>
    <w:rsid w:val="6C472EBA"/>
    <w:rsid w:val="6C487BFE"/>
    <w:rsid w:val="6C4C227F"/>
    <w:rsid w:val="6C501D6F"/>
    <w:rsid w:val="6C54656D"/>
    <w:rsid w:val="6C5E0930"/>
    <w:rsid w:val="6C64079F"/>
    <w:rsid w:val="6C832144"/>
    <w:rsid w:val="6C8F5ADC"/>
    <w:rsid w:val="6C951E77"/>
    <w:rsid w:val="6C962E80"/>
    <w:rsid w:val="6C9C7AD2"/>
    <w:rsid w:val="6CA4030D"/>
    <w:rsid w:val="6CAC0DB6"/>
    <w:rsid w:val="6CC1570B"/>
    <w:rsid w:val="6CCB5899"/>
    <w:rsid w:val="6CD10A86"/>
    <w:rsid w:val="6CFC3CA5"/>
    <w:rsid w:val="6CFF6857"/>
    <w:rsid w:val="6D1159A2"/>
    <w:rsid w:val="6D205BE5"/>
    <w:rsid w:val="6D2356D5"/>
    <w:rsid w:val="6D2D5E20"/>
    <w:rsid w:val="6D2E5DDB"/>
    <w:rsid w:val="6D2F4124"/>
    <w:rsid w:val="6D341690"/>
    <w:rsid w:val="6D341C97"/>
    <w:rsid w:val="6D3A2ED7"/>
    <w:rsid w:val="6D602485"/>
    <w:rsid w:val="6D6655C2"/>
    <w:rsid w:val="6D6B1A32"/>
    <w:rsid w:val="6D8A5754"/>
    <w:rsid w:val="6D96192E"/>
    <w:rsid w:val="6D995997"/>
    <w:rsid w:val="6DA86877"/>
    <w:rsid w:val="6DBD5ECF"/>
    <w:rsid w:val="6DC01176"/>
    <w:rsid w:val="6DC5678C"/>
    <w:rsid w:val="6DCD1D20"/>
    <w:rsid w:val="6DD12FF1"/>
    <w:rsid w:val="6DD20CD1"/>
    <w:rsid w:val="6DDE6E3C"/>
    <w:rsid w:val="6DE2733E"/>
    <w:rsid w:val="6DF70259"/>
    <w:rsid w:val="6DFF3A4C"/>
    <w:rsid w:val="6E0252EB"/>
    <w:rsid w:val="6E041748"/>
    <w:rsid w:val="6E0732BA"/>
    <w:rsid w:val="6E0A419F"/>
    <w:rsid w:val="6E1A0886"/>
    <w:rsid w:val="6E2912EC"/>
    <w:rsid w:val="6E3A2CD6"/>
    <w:rsid w:val="6E3D4132"/>
    <w:rsid w:val="6E3E6517"/>
    <w:rsid w:val="6E421B8B"/>
    <w:rsid w:val="6E4F6E4F"/>
    <w:rsid w:val="6E6F3730"/>
    <w:rsid w:val="6E8B3532"/>
    <w:rsid w:val="6E8D5E4E"/>
    <w:rsid w:val="6E8D72AA"/>
    <w:rsid w:val="6E905A9E"/>
    <w:rsid w:val="6E9D5013"/>
    <w:rsid w:val="6EAB5FC1"/>
    <w:rsid w:val="6EC8763B"/>
    <w:rsid w:val="6ED8604B"/>
    <w:rsid w:val="6ED86A70"/>
    <w:rsid w:val="6EFE1B9C"/>
    <w:rsid w:val="6EFE2023"/>
    <w:rsid w:val="6EFE24FE"/>
    <w:rsid w:val="6F0137F4"/>
    <w:rsid w:val="6F046407"/>
    <w:rsid w:val="6F0B01CF"/>
    <w:rsid w:val="6F174DC6"/>
    <w:rsid w:val="6F1863BF"/>
    <w:rsid w:val="6F1A48B6"/>
    <w:rsid w:val="6F1C23DC"/>
    <w:rsid w:val="6F2D0851"/>
    <w:rsid w:val="6F2F65B3"/>
    <w:rsid w:val="6F404A35"/>
    <w:rsid w:val="6F4551EB"/>
    <w:rsid w:val="6F496CB6"/>
    <w:rsid w:val="6F4A6F49"/>
    <w:rsid w:val="6F68432B"/>
    <w:rsid w:val="6F8047B7"/>
    <w:rsid w:val="6F881053"/>
    <w:rsid w:val="6F8C7562"/>
    <w:rsid w:val="6F8D6A1E"/>
    <w:rsid w:val="6F8E463A"/>
    <w:rsid w:val="6F8F207F"/>
    <w:rsid w:val="6F914B78"/>
    <w:rsid w:val="6F9B3D1A"/>
    <w:rsid w:val="6FAC45BA"/>
    <w:rsid w:val="6FBC771B"/>
    <w:rsid w:val="6FC5653C"/>
    <w:rsid w:val="6FC86CC0"/>
    <w:rsid w:val="6FD76303"/>
    <w:rsid w:val="6FE54EC4"/>
    <w:rsid w:val="6FEF189F"/>
    <w:rsid w:val="6FF375E1"/>
    <w:rsid w:val="6FF70753"/>
    <w:rsid w:val="6FF944CB"/>
    <w:rsid w:val="6FFB39E9"/>
    <w:rsid w:val="700E441B"/>
    <w:rsid w:val="70240155"/>
    <w:rsid w:val="70260308"/>
    <w:rsid w:val="702910E4"/>
    <w:rsid w:val="70305AB3"/>
    <w:rsid w:val="70447695"/>
    <w:rsid w:val="70451C9F"/>
    <w:rsid w:val="70497201"/>
    <w:rsid w:val="704A4D27"/>
    <w:rsid w:val="705362D1"/>
    <w:rsid w:val="705D0844"/>
    <w:rsid w:val="705E6CEC"/>
    <w:rsid w:val="706568B0"/>
    <w:rsid w:val="706978A3"/>
    <w:rsid w:val="70716758"/>
    <w:rsid w:val="707A0295"/>
    <w:rsid w:val="70857DED"/>
    <w:rsid w:val="70B84386"/>
    <w:rsid w:val="70B85DE0"/>
    <w:rsid w:val="70C551E9"/>
    <w:rsid w:val="70F02053"/>
    <w:rsid w:val="70FF507D"/>
    <w:rsid w:val="710851C5"/>
    <w:rsid w:val="71094BE2"/>
    <w:rsid w:val="711C66C3"/>
    <w:rsid w:val="711F1AA3"/>
    <w:rsid w:val="714B6FA9"/>
    <w:rsid w:val="71682748"/>
    <w:rsid w:val="71863D27"/>
    <w:rsid w:val="71946BA2"/>
    <w:rsid w:val="71A45607"/>
    <w:rsid w:val="71A464BA"/>
    <w:rsid w:val="71A828B3"/>
    <w:rsid w:val="71A843FB"/>
    <w:rsid w:val="71AA64AB"/>
    <w:rsid w:val="71C12E5B"/>
    <w:rsid w:val="71C254BD"/>
    <w:rsid w:val="71C44C1D"/>
    <w:rsid w:val="71C823A7"/>
    <w:rsid w:val="71EC2B77"/>
    <w:rsid w:val="71F47640"/>
    <w:rsid w:val="720462EA"/>
    <w:rsid w:val="721018B9"/>
    <w:rsid w:val="72227D09"/>
    <w:rsid w:val="722842FE"/>
    <w:rsid w:val="722D09A9"/>
    <w:rsid w:val="722E2592"/>
    <w:rsid w:val="72310A60"/>
    <w:rsid w:val="72340EFB"/>
    <w:rsid w:val="723B7D50"/>
    <w:rsid w:val="7242038C"/>
    <w:rsid w:val="725952B5"/>
    <w:rsid w:val="725A155D"/>
    <w:rsid w:val="72646574"/>
    <w:rsid w:val="72693B8A"/>
    <w:rsid w:val="72734A09"/>
    <w:rsid w:val="72783DCD"/>
    <w:rsid w:val="727A555D"/>
    <w:rsid w:val="7293635F"/>
    <w:rsid w:val="729D55E2"/>
    <w:rsid w:val="729E4CB6"/>
    <w:rsid w:val="72A72905"/>
    <w:rsid w:val="72B55021"/>
    <w:rsid w:val="72C25E6A"/>
    <w:rsid w:val="72C54B39"/>
    <w:rsid w:val="72D50938"/>
    <w:rsid w:val="72D66A87"/>
    <w:rsid w:val="72D759DF"/>
    <w:rsid w:val="72E01973"/>
    <w:rsid w:val="72F13B80"/>
    <w:rsid w:val="72F21099"/>
    <w:rsid w:val="72FC435D"/>
    <w:rsid w:val="731120B5"/>
    <w:rsid w:val="731955B0"/>
    <w:rsid w:val="731A58C3"/>
    <w:rsid w:val="73235A27"/>
    <w:rsid w:val="732E26DE"/>
    <w:rsid w:val="733C6B59"/>
    <w:rsid w:val="73530396"/>
    <w:rsid w:val="73577E87"/>
    <w:rsid w:val="736073AD"/>
    <w:rsid w:val="736600CA"/>
    <w:rsid w:val="73685BF0"/>
    <w:rsid w:val="73714961"/>
    <w:rsid w:val="73740A39"/>
    <w:rsid w:val="73752BA5"/>
    <w:rsid w:val="737706CC"/>
    <w:rsid w:val="737B3B8D"/>
    <w:rsid w:val="738F5872"/>
    <w:rsid w:val="738F6CBD"/>
    <w:rsid w:val="7397588C"/>
    <w:rsid w:val="73981837"/>
    <w:rsid w:val="739B2129"/>
    <w:rsid w:val="739B4217"/>
    <w:rsid w:val="739E5AB6"/>
    <w:rsid w:val="73A27DF5"/>
    <w:rsid w:val="73A56E44"/>
    <w:rsid w:val="73BE4628"/>
    <w:rsid w:val="73C25550"/>
    <w:rsid w:val="73CB043E"/>
    <w:rsid w:val="73D94D40"/>
    <w:rsid w:val="73F00E0D"/>
    <w:rsid w:val="73F54866"/>
    <w:rsid w:val="73F76F74"/>
    <w:rsid w:val="73FC22AC"/>
    <w:rsid w:val="74055AE2"/>
    <w:rsid w:val="740B2406"/>
    <w:rsid w:val="740B2A1F"/>
    <w:rsid w:val="74126683"/>
    <w:rsid w:val="741F416A"/>
    <w:rsid w:val="74243A4F"/>
    <w:rsid w:val="74330078"/>
    <w:rsid w:val="743D52CE"/>
    <w:rsid w:val="743D6490"/>
    <w:rsid w:val="743E4BA3"/>
    <w:rsid w:val="74482375"/>
    <w:rsid w:val="7449024E"/>
    <w:rsid w:val="74515106"/>
    <w:rsid w:val="7462249D"/>
    <w:rsid w:val="746A3BEA"/>
    <w:rsid w:val="74704884"/>
    <w:rsid w:val="747E25C0"/>
    <w:rsid w:val="748527D2"/>
    <w:rsid w:val="749D7B1B"/>
    <w:rsid w:val="749E5641"/>
    <w:rsid w:val="74AC4202"/>
    <w:rsid w:val="74B82BA7"/>
    <w:rsid w:val="74B849DE"/>
    <w:rsid w:val="74B8735D"/>
    <w:rsid w:val="74BD640F"/>
    <w:rsid w:val="74BF3F35"/>
    <w:rsid w:val="74C74391"/>
    <w:rsid w:val="74D8096A"/>
    <w:rsid w:val="74DD43BC"/>
    <w:rsid w:val="74E46C74"/>
    <w:rsid w:val="74E5459B"/>
    <w:rsid w:val="75114BE9"/>
    <w:rsid w:val="7541494A"/>
    <w:rsid w:val="756758A5"/>
    <w:rsid w:val="75732C39"/>
    <w:rsid w:val="758D7B90"/>
    <w:rsid w:val="759A04FF"/>
    <w:rsid w:val="75B82733"/>
    <w:rsid w:val="75C0649F"/>
    <w:rsid w:val="75E46F66"/>
    <w:rsid w:val="75E86FC4"/>
    <w:rsid w:val="75EA3234"/>
    <w:rsid w:val="75EC4BDD"/>
    <w:rsid w:val="760E2B90"/>
    <w:rsid w:val="76117514"/>
    <w:rsid w:val="761F013A"/>
    <w:rsid w:val="76287023"/>
    <w:rsid w:val="76320737"/>
    <w:rsid w:val="763A21EF"/>
    <w:rsid w:val="763E7F7B"/>
    <w:rsid w:val="764346F2"/>
    <w:rsid w:val="765661D4"/>
    <w:rsid w:val="766D176F"/>
    <w:rsid w:val="768B23FF"/>
    <w:rsid w:val="76955097"/>
    <w:rsid w:val="76A61918"/>
    <w:rsid w:val="76AC673B"/>
    <w:rsid w:val="76B1440D"/>
    <w:rsid w:val="76B300D1"/>
    <w:rsid w:val="76B7069D"/>
    <w:rsid w:val="76E44DCE"/>
    <w:rsid w:val="76EC673C"/>
    <w:rsid w:val="76EE4427"/>
    <w:rsid w:val="76F72857"/>
    <w:rsid w:val="76F81981"/>
    <w:rsid w:val="76F854DD"/>
    <w:rsid w:val="76FD49D9"/>
    <w:rsid w:val="7708174C"/>
    <w:rsid w:val="770A331F"/>
    <w:rsid w:val="770C0F88"/>
    <w:rsid w:val="77183DD1"/>
    <w:rsid w:val="772207AC"/>
    <w:rsid w:val="772E2023"/>
    <w:rsid w:val="773434E6"/>
    <w:rsid w:val="773D2804"/>
    <w:rsid w:val="773D55E5"/>
    <w:rsid w:val="774B109C"/>
    <w:rsid w:val="77750050"/>
    <w:rsid w:val="778925D9"/>
    <w:rsid w:val="779F3B61"/>
    <w:rsid w:val="77AE203F"/>
    <w:rsid w:val="77E043E3"/>
    <w:rsid w:val="77E44488"/>
    <w:rsid w:val="77E937A9"/>
    <w:rsid w:val="77EB65F3"/>
    <w:rsid w:val="77F00C79"/>
    <w:rsid w:val="77FA5285"/>
    <w:rsid w:val="78192E32"/>
    <w:rsid w:val="781E0F73"/>
    <w:rsid w:val="78250553"/>
    <w:rsid w:val="78515A11"/>
    <w:rsid w:val="78543C88"/>
    <w:rsid w:val="78670B6C"/>
    <w:rsid w:val="786A27CE"/>
    <w:rsid w:val="787D3903"/>
    <w:rsid w:val="78C10975"/>
    <w:rsid w:val="78CC09CF"/>
    <w:rsid w:val="78D1201B"/>
    <w:rsid w:val="78D70574"/>
    <w:rsid w:val="78E25FE1"/>
    <w:rsid w:val="78EB3F8C"/>
    <w:rsid w:val="78F04E11"/>
    <w:rsid w:val="78F32400"/>
    <w:rsid w:val="79103ED1"/>
    <w:rsid w:val="79130EB0"/>
    <w:rsid w:val="791800B8"/>
    <w:rsid w:val="791D56CF"/>
    <w:rsid w:val="79326D7F"/>
    <w:rsid w:val="79337B21"/>
    <w:rsid w:val="793D4332"/>
    <w:rsid w:val="79400ACE"/>
    <w:rsid w:val="79490272"/>
    <w:rsid w:val="79570BE0"/>
    <w:rsid w:val="79596E59"/>
    <w:rsid w:val="795A247F"/>
    <w:rsid w:val="796055BB"/>
    <w:rsid w:val="79626393"/>
    <w:rsid w:val="796B468C"/>
    <w:rsid w:val="79892D37"/>
    <w:rsid w:val="798B2638"/>
    <w:rsid w:val="798B5D0F"/>
    <w:rsid w:val="79A13C0A"/>
    <w:rsid w:val="79AB0DAF"/>
    <w:rsid w:val="79D748B2"/>
    <w:rsid w:val="7A045B38"/>
    <w:rsid w:val="7A1563A6"/>
    <w:rsid w:val="7A2465E9"/>
    <w:rsid w:val="7A306423"/>
    <w:rsid w:val="7A356A48"/>
    <w:rsid w:val="7A37456E"/>
    <w:rsid w:val="7A434CC1"/>
    <w:rsid w:val="7A5A200A"/>
    <w:rsid w:val="7A613399"/>
    <w:rsid w:val="7A6B4218"/>
    <w:rsid w:val="7A6B6280"/>
    <w:rsid w:val="7A6C39F7"/>
    <w:rsid w:val="7A762C17"/>
    <w:rsid w:val="7A8559B9"/>
    <w:rsid w:val="7A965D2C"/>
    <w:rsid w:val="7A97325F"/>
    <w:rsid w:val="7AA30603"/>
    <w:rsid w:val="7AA61DC4"/>
    <w:rsid w:val="7AA716F4"/>
    <w:rsid w:val="7AA954BC"/>
    <w:rsid w:val="7AAB4963"/>
    <w:rsid w:val="7AB538B6"/>
    <w:rsid w:val="7AC51215"/>
    <w:rsid w:val="7AC57DCC"/>
    <w:rsid w:val="7ADB139D"/>
    <w:rsid w:val="7ADC7FCB"/>
    <w:rsid w:val="7AE20407"/>
    <w:rsid w:val="7AE57586"/>
    <w:rsid w:val="7AF368E9"/>
    <w:rsid w:val="7B0C40AE"/>
    <w:rsid w:val="7B2E5B8B"/>
    <w:rsid w:val="7B3749C8"/>
    <w:rsid w:val="7B424F78"/>
    <w:rsid w:val="7B4E1B6F"/>
    <w:rsid w:val="7B5004EB"/>
    <w:rsid w:val="7B6E3FBF"/>
    <w:rsid w:val="7B745F1E"/>
    <w:rsid w:val="7B8437E3"/>
    <w:rsid w:val="7B9A6D8F"/>
    <w:rsid w:val="7B9F63AF"/>
    <w:rsid w:val="7BB340C8"/>
    <w:rsid w:val="7BBB7555"/>
    <w:rsid w:val="7BC57958"/>
    <w:rsid w:val="7BCC0CE6"/>
    <w:rsid w:val="7BD345B6"/>
    <w:rsid w:val="7BD76009"/>
    <w:rsid w:val="7BE129E3"/>
    <w:rsid w:val="7BF16281"/>
    <w:rsid w:val="7BF24EF8"/>
    <w:rsid w:val="7BF31DA0"/>
    <w:rsid w:val="7BF704E9"/>
    <w:rsid w:val="7BF76FD2"/>
    <w:rsid w:val="7C044924"/>
    <w:rsid w:val="7C094087"/>
    <w:rsid w:val="7C2E19A1"/>
    <w:rsid w:val="7C2F75F8"/>
    <w:rsid w:val="7C3C2310"/>
    <w:rsid w:val="7C3F3BAE"/>
    <w:rsid w:val="7C4371FA"/>
    <w:rsid w:val="7C4C5109"/>
    <w:rsid w:val="7C541407"/>
    <w:rsid w:val="7C547659"/>
    <w:rsid w:val="7C570EF7"/>
    <w:rsid w:val="7C5E2286"/>
    <w:rsid w:val="7C685DB8"/>
    <w:rsid w:val="7C6B04FF"/>
    <w:rsid w:val="7C75137E"/>
    <w:rsid w:val="7C7A0C88"/>
    <w:rsid w:val="7C7B3D00"/>
    <w:rsid w:val="7C7C54F3"/>
    <w:rsid w:val="7C8A307B"/>
    <w:rsid w:val="7C8D584A"/>
    <w:rsid w:val="7C8E6FD1"/>
    <w:rsid w:val="7CA95FA6"/>
    <w:rsid w:val="7CB22D95"/>
    <w:rsid w:val="7CBA35D5"/>
    <w:rsid w:val="7CC145C3"/>
    <w:rsid w:val="7CDA31A8"/>
    <w:rsid w:val="7CF53A09"/>
    <w:rsid w:val="7D0A1AEE"/>
    <w:rsid w:val="7D0D7808"/>
    <w:rsid w:val="7D256D43"/>
    <w:rsid w:val="7D2F00BC"/>
    <w:rsid w:val="7D3130F3"/>
    <w:rsid w:val="7D377CAF"/>
    <w:rsid w:val="7D3905FD"/>
    <w:rsid w:val="7D4B3E90"/>
    <w:rsid w:val="7D4E40A8"/>
    <w:rsid w:val="7D563684"/>
    <w:rsid w:val="7D5C5BFF"/>
    <w:rsid w:val="7D5E1E12"/>
    <w:rsid w:val="7D874232"/>
    <w:rsid w:val="7D876C1E"/>
    <w:rsid w:val="7D891584"/>
    <w:rsid w:val="7D990853"/>
    <w:rsid w:val="7D9A5540"/>
    <w:rsid w:val="7DA12F3E"/>
    <w:rsid w:val="7DAF373B"/>
    <w:rsid w:val="7DB00DBD"/>
    <w:rsid w:val="7DD24CD9"/>
    <w:rsid w:val="7DD64820"/>
    <w:rsid w:val="7DD7514B"/>
    <w:rsid w:val="7DD94FFF"/>
    <w:rsid w:val="7DDB16B4"/>
    <w:rsid w:val="7DE46E30"/>
    <w:rsid w:val="7DFA49C0"/>
    <w:rsid w:val="7E064983"/>
    <w:rsid w:val="7E101DE5"/>
    <w:rsid w:val="7E12157A"/>
    <w:rsid w:val="7E1352F2"/>
    <w:rsid w:val="7E2D63B4"/>
    <w:rsid w:val="7E3C1DB9"/>
    <w:rsid w:val="7E3F39F1"/>
    <w:rsid w:val="7E47230C"/>
    <w:rsid w:val="7E5C0A47"/>
    <w:rsid w:val="7E64055F"/>
    <w:rsid w:val="7E8308E6"/>
    <w:rsid w:val="7E8835EA"/>
    <w:rsid w:val="7ECB797B"/>
    <w:rsid w:val="7ECD4573"/>
    <w:rsid w:val="7ED204DD"/>
    <w:rsid w:val="7EEE2471"/>
    <w:rsid w:val="7F005876"/>
    <w:rsid w:val="7F01514B"/>
    <w:rsid w:val="7F10538E"/>
    <w:rsid w:val="7F1204FF"/>
    <w:rsid w:val="7F1255AA"/>
    <w:rsid w:val="7F141322"/>
    <w:rsid w:val="7F166E48"/>
    <w:rsid w:val="7F1C260D"/>
    <w:rsid w:val="7F1C7029"/>
    <w:rsid w:val="7F2209D0"/>
    <w:rsid w:val="7F2C4782"/>
    <w:rsid w:val="7F344EE8"/>
    <w:rsid w:val="7F392E07"/>
    <w:rsid w:val="7F4708D7"/>
    <w:rsid w:val="7F482D79"/>
    <w:rsid w:val="7F4E65E2"/>
    <w:rsid w:val="7F5567E0"/>
    <w:rsid w:val="7F623E3B"/>
    <w:rsid w:val="7F736048"/>
    <w:rsid w:val="7F851BEB"/>
    <w:rsid w:val="7F8738A2"/>
    <w:rsid w:val="7F8F7768"/>
    <w:rsid w:val="7F947D6D"/>
    <w:rsid w:val="7F963AE5"/>
    <w:rsid w:val="7F9E3001"/>
    <w:rsid w:val="7FA166E7"/>
    <w:rsid w:val="7FA37121"/>
    <w:rsid w:val="7FA501CC"/>
    <w:rsid w:val="7FAC50B6"/>
    <w:rsid w:val="7FB16B71"/>
    <w:rsid w:val="7FD129FF"/>
    <w:rsid w:val="7FDB2713"/>
    <w:rsid w:val="7FE00C1C"/>
    <w:rsid w:val="7FE84139"/>
    <w:rsid w:val="7FF13411"/>
    <w:rsid w:val="7FF63FCF"/>
    <w:rsid w:val="7FFD1DB6"/>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line="360" w:lineRule="auto"/>
      <w:outlineLvl w:val="0"/>
    </w:pPr>
    <w:rPr>
      <w:kern w:val="44"/>
      <w:sz w:val="32"/>
    </w:rPr>
  </w:style>
  <w:style w:type="paragraph" w:styleId="3">
    <w:name w:val="heading 2"/>
    <w:basedOn w:val="1"/>
    <w:next w:val="1"/>
    <w:autoRedefine/>
    <w:semiHidden/>
    <w:unhideWhenUsed/>
    <w:qFormat/>
    <w:uiPriority w:val="0"/>
    <w:pPr>
      <w:keepNext/>
      <w:keepLines/>
      <w:spacing w:line="360" w:lineRule="auto"/>
      <w:outlineLvl w:val="1"/>
    </w:pPr>
    <w:rPr>
      <w:b/>
      <w:sz w:val="28"/>
    </w:rPr>
  </w:style>
  <w:style w:type="paragraph" w:styleId="4">
    <w:name w:val="heading 3"/>
    <w:basedOn w:val="5"/>
    <w:next w:val="6"/>
    <w:autoRedefine/>
    <w:unhideWhenUsed/>
    <w:qFormat/>
    <w:uiPriority w:val="0"/>
    <w:pPr>
      <w:keepNext/>
      <w:keepLines/>
      <w:spacing w:line="360" w:lineRule="auto"/>
      <w:outlineLvl w:val="2"/>
    </w:pPr>
    <w:rPr>
      <w:sz w:val="24"/>
    </w:rPr>
  </w:style>
  <w:style w:type="paragraph" w:styleId="5">
    <w:name w:val="heading 4"/>
    <w:basedOn w:val="1"/>
    <w:next w:val="1"/>
    <w:qFormat/>
    <w:uiPriority w:val="1"/>
    <w:pPr>
      <w:spacing w:line="360" w:lineRule="auto"/>
      <w:ind w:left="0"/>
      <w:outlineLvl w:val="3"/>
    </w:pPr>
    <w:rPr>
      <w:rFonts w:ascii="宋体" w:hAnsi="宋体" w:eastAsia="宋体" w:cs="宋体"/>
      <w:b/>
      <w:bCs/>
      <w:sz w:val="24"/>
      <w:szCs w:val="24"/>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customStyle="1" w:styleId="6">
    <w:name w:val="正文小四"/>
    <w:basedOn w:val="1"/>
    <w:qFormat/>
    <w:uiPriority w:val="0"/>
    <w:pPr>
      <w:autoSpaceDE w:val="0"/>
      <w:autoSpaceDN w:val="0"/>
    </w:pPr>
    <w:rPr>
      <w:rFonts w:cs="Calibri"/>
      <w:szCs w:val="21"/>
    </w:rPr>
  </w:style>
  <w:style w:type="paragraph" w:styleId="7">
    <w:name w:val="Normal Indent"/>
    <w:basedOn w:val="1"/>
    <w:next w:val="5"/>
    <w:autoRedefine/>
    <w:qFormat/>
    <w:uiPriority w:val="0"/>
    <w:pPr>
      <w:spacing w:before="120" w:line="312" w:lineRule="auto"/>
      <w:ind w:firstLine="420" w:firstLineChars="200"/>
    </w:pPr>
    <w:rPr>
      <w:kern w:val="24"/>
      <w:sz w:val="28"/>
      <w:szCs w:val="20"/>
    </w:rPr>
  </w:style>
  <w:style w:type="paragraph" w:styleId="8">
    <w:name w:val="index 5"/>
    <w:basedOn w:val="1"/>
    <w:next w:val="1"/>
    <w:qFormat/>
    <w:uiPriority w:val="0"/>
    <w:pPr>
      <w:ind w:left="1680"/>
    </w:pPr>
  </w:style>
  <w:style w:type="paragraph" w:styleId="9">
    <w:name w:val="annotation text"/>
    <w:basedOn w:val="1"/>
    <w:autoRedefine/>
    <w:qFormat/>
    <w:uiPriority w:val="0"/>
    <w:pPr>
      <w:jc w:val="left"/>
    </w:pPr>
  </w:style>
  <w:style w:type="paragraph" w:styleId="10">
    <w:name w:val="Salutation"/>
    <w:basedOn w:val="1"/>
    <w:next w:val="1"/>
    <w:autoRedefine/>
    <w:qFormat/>
    <w:uiPriority w:val="0"/>
    <w:pPr>
      <w:widowControl/>
      <w:jc w:val="left"/>
    </w:pPr>
    <w:rPr>
      <w:kern w:val="0"/>
      <w:sz w:val="24"/>
      <w:szCs w:val="20"/>
    </w:rPr>
  </w:style>
  <w:style w:type="paragraph" w:styleId="11">
    <w:name w:val="Body Text"/>
    <w:basedOn w:val="1"/>
    <w:next w:val="1"/>
    <w:autoRedefine/>
    <w:qFormat/>
    <w:uiPriority w:val="0"/>
  </w:style>
  <w:style w:type="paragraph" w:styleId="12">
    <w:name w:val="Body Text Indent"/>
    <w:basedOn w:val="1"/>
    <w:autoRedefine/>
    <w:qFormat/>
    <w:uiPriority w:val="0"/>
    <w:pPr>
      <w:spacing w:after="120"/>
      <w:ind w:left="420" w:leftChars="200"/>
    </w:pPr>
    <w:rPr>
      <w:kern w:val="0"/>
      <w:sz w:val="24"/>
      <w:szCs w:val="20"/>
    </w:rPr>
  </w:style>
  <w:style w:type="paragraph" w:styleId="13">
    <w:name w:val="toc 3"/>
    <w:basedOn w:val="1"/>
    <w:next w:val="1"/>
    <w:autoRedefine/>
    <w:qFormat/>
    <w:uiPriority w:val="0"/>
    <w:pPr>
      <w:ind w:left="840" w:leftChars="400"/>
    </w:pPr>
  </w:style>
  <w:style w:type="paragraph" w:styleId="14">
    <w:name w:val="Plain Text"/>
    <w:basedOn w:val="1"/>
    <w:next w:val="1"/>
    <w:autoRedefine/>
    <w:qFormat/>
    <w:uiPriority w:val="0"/>
    <w:rPr>
      <w:rFonts w:ascii="宋体" w:hAnsi="Courier New"/>
      <w:szCs w:val="20"/>
    </w:rPr>
  </w:style>
  <w:style w:type="paragraph" w:styleId="15">
    <w:name w:val="Body Text Indent 2"/>
    <w:basedOn w:val="1"/>
    <w:next w:val="1"/>
    <w:autoRedefine/>
    <w:qFormat/>
    <w:uiPriority w:val="0"/>
    <w:pPr>
      <w:ind w:firstLine="560" w:firstLineChars="200"/>
    </w:pPr>
  </w:style>
  <w:style w:type="paragraph" w:styleId="16">
    <w:name w:val="Balloon Text"/>
    <w:basedOn w:val="1"/>
    <w:link w:val="52"/>
    <w:autoRedefine/>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kern w:val="0"/>
      <w:sz w:val="18"/>
      <w:szCs w:val="20"/>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autoRedefine/>
    <w:qFormat/>
    <w:uiPriority w:val="0"/>
  </w:style>
  <w:style w:type="paragraph" w:styleId="20">
    <w:name w:val="toc 2"/>
    <w:basedOn w:val="1"/>
    <w:next w:val="1"/>
    <w:autoRedefine/>
    <w:qFormat/>
    <w:uiPriority w:val="0"/>
    <w:pPr>
      <w:ind w:left="420" w:leftChars="200"/>
    </w:pPr>
  </w:style>
  <w:style w:type="paragraph" w:styleId="2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next w:val="1"/>
    <w:autoRedefine/>
    <w:qFormat/>
    <w:uiPriority w:val="10"/>
    <w:pPr>
      <w:widowControl w:val="0"/>
      <w:spacing w:before="240" w:after="60"/>
      <w:jc w:val="center"/>
      <w:outlineLvl w:val="0"/>
    </w:pPr>
    <w:rPr>
      <w:rFonts w:asciiTheme="majorHAnsi" w:hAnsiTheme="majorHAnsi" w:eastAsiaTheme="majorEastAsia" w:cstheme="majorBidi"/>
      <w:b/>
      <w:bCs/>
      <w:kern w:val="2"/>
      <w:sz w:val="32"/>
      <w:szCs w:val="32"/>
    </w:rPr>
  </w:style>
  <w:style w:type="paragraph" w:styleId="24">
    <w:name w:val="Body Text First Indent"/>
    <w:basedOn w:val="11"/>
    <w:next w:val="1"/>
    <w:autoRedefine/>
    <w:qFormat/>
    <w:uiPriority w:val="0"/>
    <w:pPr>
      <w:ind w:firstLine="567"/>
    </w:pPr>
    <w:rPr>
      <w:rFonts w:ascii="Calibri" w:hAnsi="Calibri"/>
    </w:rPr>
  </w:style>
  <w:style w:type="paragraph" w:styleId="25">
    <w:name w:val="Body Text First Indent 2"/>
    <w:basedOn w:val="12"/>
    <w:autoRedefine/>
    <w:qFormat/>
    <w:uiPriority w:val="0"/>
    <w:pPr>
      <w:spacing w:after="120"/>
      <w:ind w:left="420" w:leftChars="200" w:firstLine="420" w:firstLineChars="200"/>
    </w:pPr>
    <w:rPr>
      <w:szCs w:val="21"/>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Hyperlink"/>
    <w:basedOn w:val="28"/>
    <w:autoRedefine/>
    <w:qFormat/>
    <w:uiPriority w:val="0"/>
    <w:rPr>
      <w:color w:val="0000FF"/>
      <w:u w:val="single"/>
    </w:rPr>
  </w:style>
  <w:style w:type="character" w:styleId="31">
    <w:name w:val="annotation reference"/>
    <w:basedOn w:val="28"/>
    <w:semiHidden/>
    <w:qFormat/>
    <w:uiPriority w:val="0"/>
    <w:rPr>
      <w:sz w:val="21"/>
    </w:rPr>
  </w:style>
  <w:style w:type="paragraph" w:customStyle="1" w:styleId="32">
    <w:name w:val="表格"/>
    <w:basedOn w:val="7"/>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3">
    <w:name w:val="表头"/>
    <w:basedOn w:val="1"/>
    <w:autoRedefine/>
    <w:qFormat/>
    <w:uiPriority w:val="0"/>
    <w:pPr>
      <w:spacing w:line="240" w:lineRule="auto"/>
      <w:ind w:firstLine="0" w:firstLineChars="0"/>
      <w:jc w:val="center"/>
    </w:pPr>
    <w:rPr>
      <w:rFonts w:ascii="黑体" w:hAnsi="黑体" w:eastAsia="黑体" w:cs="黑体"/>
      <w:sz w:val="21"/>
    </w:rPr>
  </w:style>
  <w:style w:type="paragraph" w:customStyle="1" w:styleId="34">
    <w:name w:val="报告正文"/>
    <w:basedOn w:val="1"/>
    <w:autoRedefine/>
    <w:qFormat/>
    <w:uiPriority w:val="0"/>
    <w:pPr>
      <w:spacing w:line="360" w:lineRule="auto"/>
      <w:ind w:firstLine="600" w:firstLineChars="250"/>
    </w:pPr>
    <w:rPr>
      <w:color w:val="000000"/>
      <w:kern w:val="0"/>
      <w:sz w:val="24"/>
    </w:rPr>
  </w:style>
  <w:style w:type="paragraph" w:customStyle="1" w:styleId="35">
    <w:name w:val="样式 标题 1 + 四号 段前: 0 磅 段后: 0 磅 行距: 1.5 倍行距"/>
    <w:basedOn w:val="36"/>
    <w:next w:val="37"/>
    <w:autoRedefine/>
    <w:qFormat/>
    <w:uiPriority w:val="0"/>
    <w:pPr>
      <w:spacing w:line="360" w:lineRule="auto"/>
      <w:jc w:val="center"/>
    </w:pPr>
    <w:rPr>
      <w:rFonts w:hAnsi="黑体"/>
      <w:sz w:val="21"/>
    </w:rPr>
  </w:style>
  <w:style w:type="paragraph" w:customStyle="1" w:styleId="36">
    <w:name w:val="1正文"/>
    <w:basedOn w:val="1"/>
    <w:autoRedefine/>
    <w:qFormat/>
    <w:uiPriority w:val="0"/>
    <w:pPr>
      <w:spacing w:line="500" w:lineRule="exact"/>
      <w:ind w:firstLine="588" w:firstLineChars="196"/>
    </w:pPr>
    <w:rPr>
      <w:rFonts w:eastAsia="楷体_GB2312"/>
      <w:sz w:val="30"/>
      <w:szCs w:val="30"/>
    </w:rPr>
  </w:style>
  <w:style w:type="paragraph" w:customStyle="1" w:styleId="37">
    <w:name w:val="文本正文"/>
    <w:basedOn w:val="1"/>
    <w:autoRedefine/>
    <w:qFormat/>
    <w:uiPriority w:val="0"/>
    <w:pPr>
      <w:snapToGrid w:val="0"/>
      <w:spacing w:line="360" w:lineRule="auto"/>
      <w:ind w:firstLine="510"/>
      <w:jc w:val="left"/>
    </w:pPr>
    <w:rPr>
      <w:spacing w:val="4"/>
      <w:kern w:val="24"/>
      <w:lang w:val="zh-CN"/>
    </w:rPr>
  </w:style>
  <w:style w:type="paragraph" w:customStyle="1" w:styleId="38">
    <w:name w:val="Default"/>
    <w:basedOn w:val="39"/>
    <w:autoRedefine/>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szCs w:val="24"/>
    </w:rPr>
  </w:style>
  <w:style w:type="paragraph" w:customStyle="1" w:styleId="39">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0">
    <w:name w:val="正文1"/>
    <w:basedOn w:val="1"/>
    <w:next w:val="1"/>
    <w:autoRedefine/>
    <w:qFormat/>
    <w:uiPriority w:val="0"/>
    <w:pPr>
      <w:spacing w:line="360" w:lineRule="auto"/>
      <w:ind w:firstLine="200" w:firstLineChars="200"/>
    </w:pPr>
    <w:rPr>
      <w:rFonts w:ascii="Times New Roman" w:hAnsi="Times New Roman"/>
      <w:kern w:val="0"/>
      <w:sz w:val="24"/>
      <w:szCs w:val="28"/>
    </w:rPr>
  </w:style>
  <w:style w:type="paragraph" w:customStyle="1" w:styleId="41">
    <w:name w:val="xl27"/>
    <w:basedOn w:val="1"/>
    <w:autoRedefine/>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42">
    <w:name w:val="表格标题"/>
    <w:basedOn w:val="43"/>
    <w:next w:val="1"/>
    <w:link w:val="47"/>
    <w:autoRedefine/>
    <w:qFormat/>
    <w:uiPriority w:val="0"/>
    <w:pPr>
      <w:autoSpaceDE w:val="0"/>
      <w:autoSpaceDN w:val="0"/>
      <w:adjustRightInd w:val="0"/>
      <w:snapToGrid w:val="0"/>
      <w:jc w:val="center"/>
    </w:pPr>
    <w:rPr>
      <w:rFonts w:hint="eastAsia"/>
      <w:b/>
      <w:kern w:val="0"/>
    </w:rPr>
  </w:style>
  <w:style w:type="paragraph" w:customStyle="1" w:styleId="43">
    <w:name w:val="文本"/>
    <w:basedOn w:val="1"/>
    <w:autoRedefine/>
    <w:qFormat/>
    <w:uiPriority w:val="0"/>
    <w:pPr>
      <w:spacing w:line="360" w:lineRule="auto"/>
      <w:ind w:firstLine="480" w:firstLineChars="200"/>
    </w:pPr>
    <w:rPr>
      <w:sz w:val="24"/>
    </w:rPr>
  </w:style>
  <w:style w:type="paragraph" w:customStyle="1" w:styleId="44">
    <w:name w:val="表格内容"/>
    <w:basedOn w:val="42"/>
    <w:next w:val="2"/>
    <w:autoRedefine/>
    <w:qFormat/>
    <w:uiPriority w:val="0"/>
    <w:rPr>
      <w:rFonts w:cstheme="minorBidi"/>
      <w:b w:val="0"/>
      <w:szCs w:val="21"/>
    </w:rPr>
  </w:style>
  <w:style w:type="paragraph" w:customStyle="1" w:styleId="45">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6">
    <w:name w:val="！表* 标题"/>
    <w:basedOn w:val="1"/>
    <w:autoRedefine/>
    <w:qFormat/>
    <w:uiPriority w:val="0"/>
    <w:pPr>
      <w:spacing w:line="520" w:lineRule="exact"/>
      <w:ind w:firstLine="200" w:firstLineChars="200"/>
    </w:pPr>
    <w:rPr>
      <w:rFonts w:ascii="黑体" w:hAnsi="黑体" w:eastAsia="黑体"/>
    </w:rPr>
  </w:style>
  <w:style w:type="character" w:customStyle="1" w:styleId="47">
    <w:name w:val="表格标题 Char"/>
    <w:link w:val="42"/>
    <w:autoRedefine/>
    <w:qFormat/>
    <w:uiPriority w:val="0"/>
    <w:rPr>
      <w:rFonts w:hint="eastAsia" w:ascii="Times New Roman" w:hAnsi="Times New Roman" w:eastAsia="宋体"/>
      <w:b/>
      <w:kern w:val="0"/>
    </w:rPr>
  </w:style>
  <w:style w:type="paragraph" w:customStyle="1" w:styleId="48">
    <w:name w:val="报告书正文"/>
    <w:basedOn w:val="1"/>
    <w:autoRedefine/>
    <w:qFormat/>
    <w:uiPriority w:val="0"/>
    <w:pPr>
      <w:spacing w:line="360" w:lineRule="auto"/>
    </w:pPr>
    <w:rPr>
      <w:sz w:val="24"/>
    </w:rPr>
  </w:style>
  <w:style w:type="paragraph" w:customStyle="1" w:styleId="49">
    <w:name w:val="正文首行缩进 21"/>
    <w:basedOn w:val="1"/>
    <w:autoRedefine/>
    <w:qFormat/>
    <w:uiPriority w:val="0"/>
    <w:pPr>
      <w:spacing w:after="120"/>
      <w:ind w:left="420" w:leftChars="200" w:firstLine="420"/>
    </w:pPr>
    <w:rPr>
      <w:sz w:val="28"/>
    </w:rPr>
  </w:style>
  <w:style w:type="paragraph" w:customStyle="1" w:styleId="50">
    <w:name w:val="Table Paragraph"/>
    <w:basedOn w:val="1"/>
    <w:autoRedefine/>
    <w:qFormat/>
    <w:uiPriority w:val="1"/>
    <w:rPr>
      <w:rFonts w:ascii="宋体" w:hAnsi="宋体" w:cs="宋体"/>
      <w:lang w:val="zh-CN" w:bidi="zh-CN"/>
    </w:rPr>
  </w:style>
  <w:style w:type="character" w:customStyle="1" w:styleId="51">
    <w:name w:val="font31"/>
    <w:basedOn w:val="28"/>
    <w:autoRedefine/>
    <w:qFormat/>
    <w:uiPriority w:val="0"/>
    <w:rPr>
      <w:rFonts w:hint="default" w:ascii="Times New Roman" w:hAnsi="Times New Roman" w:cs="Times New Roman"/>
      <w:color w:val="000000"/>
      <w:sz w:val="21"/>
      <w:szCs w:val="21"/>
      <w:u w:val="none"/>
    </w:rPr>
  </w:style>
  <w:style w:type="character" w:customStyle="1" w:styleId="52">
    <w:name w:val="批注框文本 Char"/>
    <w:basedOn w:val="28"/>
    <w:link w:val="16"/>
    <w:autoRedefine/>
    <w:qFormat/>
    <w:uiPriority w:val="0"/>
    <w:rPr>
      <w:kern w:val="2"/>
      <w:sz w:val="18"/>
      <w:szCs w:val="18"/>
    </w:rPr>
  </w:style>
  <w:style w:type="table" w:customStyle="1" w:styleId="53">
    <w:name w:val="Table Normal"/>
    <w:autoRedefine/>
    <w:semiHidden/>
    <w:unhideWhenUsed/>
    <w:qFormat/>
    <w:uiPriority w:val="0"/>
    <w:tblPr>
      <w:tblCellMar>
        <w:top w:w="0" w:type="dxa"/>
        <w:left w:w="0" w:type="dxa"/>
        <w:bottom w:w="0" w:type="dxa"/>
        <w:right w:w="0" w:type="dxa"/>
      </w:tblCellMar>
    </w:tblPr>
  </w:style>
  <w:style w:type="paragraph" w:customStyle="1" w:styleId="54">
    <w:name w:val="文本22"/>
    <w:basedOn w:val="1"/>
    <w:autoRedefine/>
    <w:qFormat/>
    <w:uiPriority w:val="0"/>
    <w:pPr>
      <w:autoSpaceDE w:val="0"/>
      <w:autoSpaceDN w:val="0"/>
      <w:adjustRightInd w:val="0"/>
      <w:spacing w:line="360" w:lineRule="auto"/>
      <w:ind w:firstLine="480" w:firstLineChars="200"/>
    </w:pPr>
    <w:rPr>
      <w:sz w:val="24"/>
    </w:rPr>
  </w:style>
  <w:style w:type="paragraph" w:customStyle="1" w:styleId="55">
    <w:name w:val="纯文本2"/>
    <w:basedOn w:val="1"/>
    <w:autoRedefine/>
    <w:qFormat/>
    <w:uiPriority w:val="0"/>
    <w:rPr>
      <w:rFonts w:ascii="宋体" w:hAnsi="Courier New" w:cs="Courier New"/>
      <w:szCs w:val="21"/>
    </w:rPr>
  </w:style>
  <w:style w:type="paragraph" w:customStyle="1" w:styleId="56">
    <w:name w:val="图表"/>
    <w:basedOn w:val="1"/>
    <w:autoRedefine/>
    <w:unhideWhenUsed/>
    <w:qFormat/>
    <w:uiPriority w:val="0"/>
    <w:pPr>
      <w:adjustRightInd w:val="0"/>
      <w:snapToGrid w:val="0"/>
      <w:spacing w:line="280" w:lineRule="exact"/>
      <w:jc w:val="center"/>
    </w:pPr>
    <w:rPr>
      <w:rFonts w:hint="eastAsia"/>
    </w:rPr>
  </w:style>
  <w:style w:type="paragraph" w:customStyle="1" w:styleId="57">
    <w:name w:val="xl24"/>
    <w:basedOn w:val="1"/>
    <w:autoRedefine/>
    <w:qFormat/>
    <w:uiPriority w:val="0"/>
    <w:pPr>
      <w:widowControl/>
      <w:spacing w:before="100" w:beforeAutospacing="1" w:after="100" w:afterAutospacing="1"/>
      <w:jc w:val="center"/>
    </w:pPr>
    <w:rPr>
      <w:rFonts w:ascii="宋体" w:hAnsi="宋体" w:cs="宋体"/>
      <w:kern w:val="0"/>
      <w:sz w:val="24"/>
    </w:rPr>
  </w:style>
  <w:style w:type="paragraph" w:customStyle="1" w:styleId="58">
    <w:name w:val="正文缩进1"/>
    <w:basedOn w:val="1"/>
    <w:autoRedefine/>
    <w:qFormat/>
    <w:uiPriority w:val="0"/>
    <w:pPr>
      <w:spacing w:before="120" w:line="312" w:lineRule="auto"/>
      <w:ind w:firstLine="420" w:firstLineChars="200"/>
    </w:pPr>
    <w:rPr>
      <w:rFonts w:ascii="Calibri" w:hAnsi="Calibri"/>
      <w:kern w:val="24"/>
      <w:sz w:val="28"/>
      <w:szCs w:val="20"/>
    </w:rPr>
  </w:style>
  <w:style w:type="paragraph" w:customStyle="1" w:styleId="59">
    <w:name w:val="样式 正文 行距: 固定值 25 磅"/>
    <w:basedOn w:val="1"/>
    <w:autoRedefine/>
    <w:qFormat/>
    <w:uiPriority w:val="0"/>
    <w:pPr>
      <w:adjustRightInd w:val="0"/>
      <w:spacing w:line="500" w:lineRule="exact"/>
      <w:ind w:firstLine="200" w:firstLineChars="200"/>
      <w:jc w:val="left"/>
    </w:pPr>
    <w:rPr>
      <w:rFonts w:ascii="Times New Roman" w:hAnsi="Times New Roman" w:cs="宋体"/>
      <w:sz w:val="24"/>
      <w:szCs w:val="24"/>
    </w:rPr>
  </w:style>
  <w:style w:type="paragraph" w:customStyle="1" w:styleId="60">
    <w:name w:val="报告表正文"/>
    <w:basedOn w:val="1"/>
    <w:autoRedefine/>
    <w:qFormat/>
    <w:uiPriority w:val="0"/>
    <w:pPr>
      <w:widowControl/>
      <w:adjustRightInd w:val="0"/>
      <w:spacing w:line="312" w:lineRule="auto"/>
      <w:ind w:left="113" w:right="113" w:firstLine="482"/>
      <w:jc w:val="left"/>
    </w:pPr>
    <w:rPr>
      <w:rFonts w:ascii="宋体" w:hAnsi="宋体" w:cs="宋体"/>
      <w:kern w:val="0"/>
      <w:sz w:val="24"/>
      <w:szCs w:val="20"/>
    </w:rPr>
  </w:style>
  <w:style w:type="paragraph" w:customStyle="1" w:styleId="61">
    <w:name w:val="环评正文"/>
    <w:basedOn w:val="60"/>
    <w:next w:val="60"/>
    <w:autoRedefine/>
    <w:qFormat/>
    <w:uiPriority w:val="0"/>
    <w:pPr>
      <w:widowControl w:val="0"/>
      <w:adjustRightInd/>
      <w:spacing w:line="360" w:lineRule="auto"/>
      <w:ind w:firstLine="480" w:firstLineChars="200"/>
      <w:jc w:val="both"/>
    </w:pPr>
    <w:rPr>
      <w:rFonts w:ascii="Calibri" w:hAnsi="Calibri"/>
      <w:kern w:val="2"/>
      <w:sz w:val="28"/>
      <w:szCs w:val="24"/>
    </w:rPr>
  </w:style>
  <w:style w:type="paragraph" w:customStyle="1" w:styleId="62">
    <w:name w:val="列出段落1"/>
    <w:basedOn w:val="1"/>
    <w:autoRedefine/>
    <w:qFormat/>
    <w:uiPriority w:val="0"/>
    <w:pPr>
      <w:ind w:firstLine="420" w:firstLineChars="200"/>
    </w:pPr>
    <w:rPr>
      <w:szCs w:val="22"/>
    </w:rPr>
  </w:style>
  <w:style w:type="character" w:customStyle="1" w:styleId="63">
    <w:name w:val="ggzbt011"/>
    <w:autoRedefine/>
    <w:qFormat/>
    <w:uiPriority w:val="0"/>
  </w:style>
  <w:style w:type="paragraph" w:customStyle="1" w:styleId="64">
    <w:name w:val="z表格"/>
    <w:basedOn w:val="1"/>
    <w:autoRedefine/>
    <w:qFormat/>
    <w:uiPriority w:val="0"/>
    <w:pPr>
      <w:widowControl/>
      <w:spacing w:line="360" w:lineRule="exact"/>
      <w:jc w:val="center"/>
    </w:pPr>
    <w:rPr>
      <w:szCs w:val="21"/>
    </w:rPr>
  </w:style>
  <w:style w:type="paragraph" w:customStyle="1" w:styleId="65">
    <w:name w:val="123456"/>
    <w:basedOn w:val="1"/>
    <w:autoRedefine/>
    <w:qFormat/>
    <w:uiPriority w:val="0"/>
    <w:pPr>
      <w:spacing w:line="360" w:lineRule="auto"/>
      <w:ind w:firstLine="200" w:firstLineChars="200"/>
    </w:pPr>
    <w:rPr>
      <w:sz w:val="24"/>
    </w:rPr>
  </w:style>
  <w:style w:type="paragraph" w:customStyle="1" w:styleId="66">
    <w:name w:val="制表格"/>
    <w:basedOn w:val="1"/>
    <w:autoRedefine/>
    <w:qFormat/>
    <w:uiPriority w:val="0"/>
    <w:pPr>
      <w:jc w:val="center"/>
    </w:pPr>
    <w:rPr>
      <w:snapToGrid w:val="0"/>
      <w:szCs w:val="28"/>
    </w:rPr>
  </w:style>
  <w:style w:type="character" w:customStyle="1" w:styleId="67">
    <w:name w:val="font01"/>
    <w:basedOn w:val="28"/>
    <w:autoRedefine/>
    <w:qFormat/>
    <w:uiPriority w:val="0"/>
    <w:rPr>
      <w:rFonts w:hint="eastAsia" w:ascii="宋体" w:hAnsi="宋体" w:eastAsia="宋体" w:cs="宋体"/>
      <w:color w:val="000000"/>
      <w:sz w:val="22"/>
      <w:szCs w:val="22"/>
      <w:u w:val="none"/>
    </w:rPr>
  </w:style>
  <w:style w:type="character" w:customStyle="1" w:styleId="68">
    <w:name w:val="font21"/>
    <w:basedOn w:val="28"/>
    <w:autoRedefine/>
    <w:qFormat/>
    <w:uiPriority w:val="0"/>
    <w:rPr>
      <w:rFonts w:ascii="Arial" w:hAnsi="Arial" w:cs="Arial"/>
      <w:color w:val="000000"/>
      <w:sz w:val="22"/>
      <w:szCs w:val="22"/>
      <w:u w:val="none"/>
    </w:rPr>
  </w:style>
  <w:style w:type="character" w:customStyle="1" w:styleId="69">
    <w:name w:val="font11"/>
    <w:basedOn w:val="28"/>
    <w:autoRedefine/>
    <w:qFormat/>
    <w:uiPriority w:val="0"/>
    <w:rPr>
      <w:rFonts w:ascii="Arial" w:hAnsi="Arial" w:cs="Arial"/>
      <w:color w:val="000000"/>
      <w:sz w:val="22"/>
      <w:szCs w:val="22"/>
      <w:u w:val="none"/>
    </w:rPr>
  </w:style>
  <w:style w:type="character" w:customStyle="1" w:styleId="70">
    <w:name w:val="font41"/>
    <w:basedOn w:val="28"/>
    <w:autoRedefine/>
    <w:qFormat/>
    <w:uiPriority w:val="0"/>
    <w:rPr>
      <w:rFonts w:ascii="宋体" w:hAnsi="宋体" w:eastAsia="宋体" w:cs="宋体"/>
      <w:color w:val="000000"/>
      <w:sz w:val="60"/>
      <w:szCs w:val="60"/>
      <w:u w:val="none"/>
    </w:rPr>
  </w:style>
  <w:style w:type="character" w:customStyle="1" w:styleId="71">
    <w:name w:val="font81"/>
    <w:basedOn w:val="28"/>
    <w:autoRedefine/>
    <w:qFormat/>
    <w:uiPriority w:val="0"/>
    <w:rPr>
      <w:rFonts w:ascii="宋体" w:hAnsi="宋体" w:eastAsia="宋体" w:cs="宋体"/>
      <w:color w:val="0066FF"/>
      <w:sz w:val="60"/>
      <w:szCs w:val="60"/>
      <w:u w:val="none"/>
    </w:rPr>
  </w:style>
  <w:style w:type="character" w:customStyle="1" w:styleId="72">
    <w:name w:val="font101"/>
    <w:basedOn w:val="28"/>
    <w:autoRedefine/>
    <w:qFormat/>
    <w:uiPriority w:val="0"/>
    <w:rPr>
      <w:rFonts w:ascii="宋体" w:hAnsi="宋体" w:eastAsia="宋体" w:cs="宋体"/>
      <w:color w:val="0066FF"/>
      <w:sz w:val="22"/>
      <w:szCs w:val="22"/>
      <w:u w:val="none"/>
    </w:rPr>
  </w:style>
  <w:style w:type="character" w:customStyle="1" w:styleId="73">
    <w:name w:val="font121"/>
    <w:basedOn w:val="28"/>
    <w:autoRedefine/>
    <w:qFormat/>
    <w:uiPriority w:val="0"/>
    <w:rPr>
      <w:rFonts w:ascii="宋体" w:hAnsi="宋体" w:eastAsia="宋体" w:cs="宋体"/>
      <w:b/>
      <w:bCs/>
      <w:color w:val="0066FF"/>
      <w:sz w:val="32"/>
      <w:szCs w:val="32"/>
      <w:u w:val="none"/>
    </w:rPr>
  </w:style>
  <w:style w:type="character" w:customStyle="1" w:styleId="74">
    <w:name w:val="font162"/>
    <w:basedOn w:val="28"/>
    <w:autoRedefine/>
    <w:qFormat/>
    <w:uiPriority w:val="0"/>
    <w:rPr>
      <w:rFonts w:ascii="宋体" w:hAnsi="宋体" w:eastAsia="宋体" w:cs="宋体"/>
      <w:b/>
      <w:bCs/>
      <w:color w:val="0066FF"/>
      <w:sz w:val="60"/>
      <w:szCs w:val="60"/>
      <w:u w:val="none"/>
    </w:rPr>
  </w:style>
  <w:style w:type="character" w:customStyle="1" w:styleId="75">
    <w:name w:val="font171"/>
    <w:basedOn w:val="28"/>
    <w:autoRedefine/>
    <w:qFormat/>
    <w:uiPriority w:val="0"/>
    <w:rPr>
      <w:rFonts w:ascii="宋体" w:hAnsi="宋体" w:eastAsia="宋体" w:cs="宋体"/>
      <w:b/>
      <w:bCs/>
      <w:color w:val="0066FE"/>
      <w:sz w:val="60"/>
      <w:szCs w:val="60"/>
      <w:u w:val="none"/>
    </w:rPr>
  </w:style>
  <w:style w:type="paragraph" w:customStyle="1" w:styleId="76">
    <w:name w:val="正常段落"/>
    <w:basedOn w:val="7"/>
    <w:autoRedefine/>
    <w:qFormat/>
    <w:uiPriority w:val="0"/>
    <w:pPr>
      <w:spacing w:line="440" w:lineRule="exact"/>
      <w:ind w:firstLine="0" w:firstLineChars="0"/>
    </w:pPr>
    <w:rPr>
      <w:rFonts w:ascii="宋体" w:hAnsi="宋体"/>
      <w:kern w:val="0"/>
      <w:sz w:val="24"/>
    </w:rPr>
  </w:style>
  <w:style w:type="character" w:customStyle="1" w:styleId="77">
    <w:name w:val="NormalCharacter"/>
    <w:autoRedefine/>
    <w:qFormat/>
    <w:uiPriority w:val="0"/>
    <w:rPr>
      <w:rFonts w:ascii="Times New Roman" w:hAnsi="Times New Roman" w:eastAsia="宋体" w:cs="Times New Roman"/>
    </w:rPr>
  </w:style>
  <w:style w:type="paragraph" w:customStyle="1" w:styleId="78">
    <w:name w:val="Table Text"/>
    <w:basedOn w:val="1"/>
    <w:autoRedefine/>
    <w:semiHidden/>
    <w:qFormat/>
    <w:uiPriority w:val="0"/>
    <w:rPr>
      <w:rFonts w:ascii="宋体" w:hAnsi="宋体" w:eastAsia="宋体" w:cs="宋体"/>
      <w:sz w:val="20"/>
      <w:szCs w:val="20"/>
      <w:lang w:val="en-US" w:eastAsia="en-US" w:bidi="ar-SA"/>
    </w:rPr>
  </w:style>
  <w:style w:type="paragraph" w:customStyle="1" w:styleId="79">
    <w:name w:val="正文首行缩进2"/>
    <w:basedOn w:val="1"/>
    <w:autoRedefine/>
    <w:qFormat/>
    <w:uiPriority w:val="99"/>
    <w:pPr>
      <w:spacing w:line="500" w:lineRule="atLeast"/>
      <w:ind w:firstLine="560"/>
    </w:pPr>
  </w:style>
  <w:style w:type="character" w:customStyle="1" w:styleId="80">
    <w:name w:val="font51"/>
    <w:basedOn w:val="28"/>
    <w:autoRedefine/>
    <w:qFormat/>
    <w:uiPriority w:val="0"/>
    <w:rPr>
      <w:rFonts w:hint="eastAsia" w:ascii="宋体" w:hAnsi="宋体" w:eastAsia="宋体" w:cs="宋体"/>
      <w:color w:val="000000"/>
      <w:sz w:val="18"/>
      <w:szCs w:val="18"/>
      <w:u w:val="none"/>
    </w:rPr>
  </w:style>
  <w:style w:type="character" w:customStyle="1" w:styleId="81">
    <w:name w:val="font112"/>
    <w:basedOn w:val="28"/>
    <w:autoRedefine/>
    <w:qFormat/>
    <w:uiPriority w:val="0"/>
    <w:rPr>
      <w:rFonts w:hint="eastAsia" w:ascii="宋体" w:hAnsi="宋体" w:eastAsia="宋体" w:cs="宋体"/>
      <w:color w:val="000000"/>
      <w:sz w:val="18"/>
      <w:szCs w:val="18"/>
      <w:u w:val="none"/>
      <w:vertAlign w:val="superscript"/>
    </w:rPr>
  </w:style>
  <w:style w:type="character" w:customStyle="1" w:styleId="82">
    <w:name w:val="font91"/>
    <w:basedOn w:val="28"/>
    <w:autoRedefine/>
    <w:qFormat/>
    <w:uiPriority w:val="0"/>
    <w:rPr>
      <w:rFonts w:hint="eastAsia" w:ascii="宋体" w:hAnsi="宋体" w:eastAsia="宋体" w:cs="宋体"/>
      <w:color w:val="000000"/>
      <w:sz w:val="18"/>
      <w:szCs w:val="18"/>
      <w:u w:val="none"/>
      <w:vertAlign w:val="superscript"/>
    </w:rPr>
  </w:style>
  <w:style w:type="paragraph" w:customStyle="1" w:styleId="83">
    <w:name w:val="表体"/>
    <w:basedOn w:val="1"/>
    <w:autoRedefine/>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rFonts w:ascii="Times New Roman" w:hAnsi="Times New Roman" w:eastAsia="宋体" w:cs="Times New Roman"/>
      <w:bCs/>
      <w:snapToGrid w:val="0"/>
      <w:color w:val="000000"/>
      <w:kern w:val="32"/>
      <w:szCs w:val="20"/>
      <w:lang w:val="zh-CN"/>
    </w:rPr>
  </w:style>
  <w:style w:type="paragraph" w:customStyle="1" w:styleId="84">
    <w:name w:val="正文缩"/>
    <w:basedOn w:val="1"/>
    <w:autoRedefine/>
    <w:qFormat/>
    <w:uiPriority w:val="0"/>
    <w:pPr>
      <w:adjustRightInd w:val="0"/>
      <w:snapToGrid w:val="0"/>
      <w:ind w:firstLine="720" w:firstLineChars="200"/>
    </w:pPr>
    <w:rPr>
      <w:szCs w:val="21"/>
    </w:rPr>
  </w:style>
  <w:style w:type="paragraph" w:customStyle="1" w:styleId="85">
    <w:name w:val="lh-表题-报告表"/>
    <w:basedOn w:val="86"/>
    <w:next w:val="87"/>
    <w:autoRedefine/>
    <w:qFormat/>
    <w:uiPriority w:val="0"/>
    <w:pPr>
      <w:numPr>
        <w:ilvl w:val="0"/>
        <w:numId w:val="1"/>
      </w:numPr>
      <w:spacing w:beforeLines="50" w:line="240" w:lineRule="auto"/>
      <w:ind w:firstLine="0" w:firstLineChars="0"/>
      <w:jc w:val="center"/>
    </w:pPr>
  </w:style>
  <w:style w:type="paragraph" w:customStyle="1" w:styleId="86">
    <w:name w:val="lh-正文-报告表"/>
    <w:basedOn w:val="1"/>
    <w:autoRedefine/>
    <w:qFormat/>
    <w:uiPriority w:val="0"/>
    <w:pPr>
      <w:ind w:firstLine="480" w:firstLineChars="200"/>
    </w:pPr>
    <w:rPr>
      <w:kern w:val="0"/>
      <w:sz w:val="24"/>
    </w:rPr>
  </w:style>
  <w:style w:type="paragraph" w:customStyle="1" w:styleId="87">
    <w:name w:val="lh-表格文字-报告表"/>
    <w:basedOn w:val="1"/>
    <w:autoRedefine/>
    <w:qFormat/>
    <w:uiPriority w:val="0"/>
    <w:pPr>
      <w:jc w:val="center"/>
    </w:pPr>
    <w:rPr>
      <w:kern w:val="0"/>
    </w:rPr>
  </w:style>
  <w:style w:type="paragraph" w:customStyle="1" w:styleId="88">
    <w:name w:val="图名"/>
    <w:basedOn w:val="42"/>
    <w:next w:val="84"/>
    <w:autoRedefine/>
    <w:qFormat/>
    <w:uiPriority w:val="0"/>
    <w:pPr>
      <w:numPr>
        <w:ilvl w:val="0"/>
        <w:numId w:val="2"/>
      </w:numPr>
      <w:tabs>
        <w:tab w:val="left" w:pos="420"/>
        <w:tab w:val="clear" w:pos="0"/>
      </w:tabs>
    </w:pPr>
    <w:rPr>
      <w:rFonts w:eastAsia="宋体"/>
      <w:sz w:val="21"/>
      <w:szCs w:val="21"/>
    </w:rPr>
  </w:style>
  <w:style w:type="paragraph" w:customStyle="1" w:styleId="89">
    <w:name w:val="lh-表格文字-报告书"/>
    <w:autoRedefine/>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90">
    <w:name w:val="lh-正文-报告书"/>
    <w:autoRedefine/>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91">
    <w:name w:val="正文不缩（加粗）"/>
    <w:basedOn w:val="84"/>
    <w:next w:val="84"/>
    <w:autoRedefine/>
    <w:qFormat/>
    <w:uiPriority w:val="0"/>
    <w:pPr>
      <w:ind w:firstLine="0" w:firstLineChars="0"/>
      <w:jc w:val="left"/>
    </w:pPr>
    <w:rPr>
      <w:b/>
      <w:bCs/>
    </w:rPr>
  </w:style>
  <w:style w:type="paragraph" w:customStyle="1" w:styleId="92">
    <w:name w:val="表格文字"/>
    <w:basedOn w:val="1"/>
    <w:autoRedefine/>
    <w:qFormat/>
    <w:uiPriority w:val="0"/>
    <w:pPr>
      <w:jc w:val="center"/>
    </w:pPr>
    <w:rPr>
      <w:kern w:val="44"/>
    </w:rPr>
  </w:style>
  <w:style w:type="character" w:customStyle="1" w:styleId="93">
    <w:name w:val="标题 3 Char"/>
    <w:autoRedefine/>
    <w:qFormat/>
    <w:uiPriority w:val="0"/>
  </w:style>
  <w:style w:type="paragraph" w:customStyle="1" w:styleId="94">
    <w:name w:val="2-表格"/>
    <w:basedOn w:val="1"/>
    <w:autoRedefine/>
    <w:qFormat/>
    <w:uiPriority w:val="0"/>
    <w:pPr>
      <w:spacing w:line="240" w:lineRule="auto"/>
      <w:ind w:firstLine="0" w:firstLineChars="0"/>
      <w:jc w:val="center"/>
    </w:pPr>
    <w:rPr>
      <w:rFonts w:ascii="宋体"/>
      <w:kern w:val="0"/>
      <w:sz w:val="21"/>
    </w:rPr>
  </w:style>
  <w:style w:type="paragraph" w:customStyle="1" w:styleId="95">
    <w:name w:val="赵"/>
    <w:basedOn w:val="1"/>
    <w:autoRedefine/>
    <w:qFormat/>
    <w:uiPriority w:val="0"/>
    <w:pPr>
      <w:spacing w:line="360" w:lineRule="auto"/>
      <w:ind w:firstLine="200" w:firstLineChars="200"/>
    </w:pPr>
    <w:rPr>
      <w:rFonts w:ascii="Times New Roman" w:hAnsi="Times New Roman" w:eastAsia="宋体" w:cs="Times New Roman"/>
      <w:sz w:val="24"/>
      <w:szCs w:val="30"/>
    </w:rPr>
  </w:style>
  <w:style w:type="paragraph" w:customStyle="1" w:styleId="96">
    <w:name w:val="报告表格"/>
    <w:basedOn w:val="1"/>
    <w:autoRedefine/>
    <w:qFormat/>
    <w:uiPriority w:val="0"/>
    <w:pPr>
      <w:adjustRightInd w:val="0"/>
      <w:snapToGrid w:val="0"/>
      <w:spacing w:line="240" w:lineRule="auto"/>
      <w:ind w:firstLine="0" w:firstLineChars="0"/>
      <w:jc w:val="center"/>
    </w:pPr>
    <w:rPr>
      <w:rFonts w:cs="宋体"/>
      <w:sz w:val="21"/>
      <w:szCs w:val="21"/>
    </w:rPr>
  </w:style>
  <w:style w:type="paragraph" w:customStyle="1" w:styleId="97">
    <w:name w:val="图表标题"/>
    <w:basedOn w:val="98"/>
    <w:qFormat/>
    <w:uiPriority w:val="0"/>
    <w:pPr>
      <w:spacing w:line="240" w:lineRule="auto"/>
      <w:ind w:firstLine="0" w:firstLineChars="0"/>
      <w:jc w:val="center"/>
    </w:pPr>
    <w:rPr>
      <w:sz w:val="21"/>
    </w:rPr>
  </w:style>
  <w:style w:type="paragraph" w:customStyle="1" w:styleId="98">
    <w:name w:val="加黑文字"/>
    <w:basedOn w:val="1"/>
    <w:qFormat/>
    <w:uiPriority w:val="0"/>
    <w:pPr>
      <w:ind w:firstLine="480"/>
    </w:pPr>
    <w:rPr>
      <w:b/>
    </w:rPr>
  </w:style>
  <w:style w:type="paragraph" w:customStyle="1" w:styleId="99">
    <w:name w:val="标题2"/>
    <w:basedOn w:val="1"/>
    <w:qFormat/>
    <w:uiPriority w:val="0"/>
    <w:pPr>
      <w:autoSpaceDE w:val="0"/>
      <w:adjustRightInd w:val="0"/>
      <w:snapToGrid w:val="0"/>
      <w:spacing w:before="50" w:beforeLines="50" w:after="50" w:afterLines="50"/>
      <w:ind w:firstLine="0" w:firstLineChars="0"/>
    </w:pPr>
    <w:rPr>
      <w:rFonts w:cs="宋体"/>
      <w:b/>
      <w:kern w:val="0"/>
      <w:sz w:val="28"/>
      <w:szCs w:val="21"/>
    </w:rPr>
  </w:style>
  <w:style w:type="paragraph" w:customStyle="1" w:styleId="100">
    <w:name w:val="Body text|1"/>
    <w:basedOn w:val="1"/>
    <w:qFormat/>
    <w:uiPriority w:val="0"/>
    <w:pPr>
      <w:spacing w:after="330" w:line="480" w:lineRule="auto"/>
      <w:ind w:firstLine="400"/>
    </w:pPr>
    <w:rPr>
      <w:sz w:val="20"/>
      <w:szCs w:val="20"/>
      <w:lang w:val="zh-TW" w:eastAsia="zh-TW" w:bidi="zh-TW"/>
    </w:rPr>
  </w:style>
  <w:style w:type="paragraph" w:customStyle="1" w:styleId="101">
    <w:name w:val="表标题"/>
    <w:basedOn w:val="1"/>
    <w:qFormat/>
    <w:uiPriority w:val="0"/>
    <w:pPr>
      <w:spacing w:line="480" w:lineRule="exact"/>
      <w:ind w:firstLine="0" w:firstLineChars="0"/>
      <w:jc w:val="center"/>
    </w:pPr>
    <w:rPr>
      <w:b/>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63446</Words>
  <Characters>71143</Characters>
  <Lines>538</Lines>
  <Paragraphs>151</Paragraphs>
  <TotalTime>56</TotalTime>
  <ScaleCrop>false</ScaleCrop>
  <LinksUpToDate>false</LinksUpToDate>
  <CharactersWithSpaces>71420</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2021-05-08T00:24:00Z</dcterms:created>
  <dc:creator>Administrator</dc:creator>
  <cp:lastModifiedBy>王芸姗</cp:lastModifiedBy>
  <cp:lastPrinted>2024-03-24T09:24:00Z</cp:lastPrinted>
  <dcterms:modified xsi:type="dcterms:W3CDTF">2025-03-03T08:23:29Z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FA6AC9092AE14E8A9CFD30EED6C0A011_13</vt:lpwstr>
  </property>
  <property fmtid="{D5CDD505-2E9C-101B-9397-08002B2CF9AE}" pid="4" name="KSOTemplateDocerSaveRecord">
    <vt:lpwstr>eyJoZGlkIjoiY2M3OGQ2ZWFmZmJmZjg4ZTNlNTI5MTkzYzAwZjllZTkiLCJ1c2VySWQiOiIyNzUxNDAyNDIifQ==</vt:lpwstr>
  </property>
</Properties>
</file>