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523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  <w:r>
        <w:rPr>
          <w:rFonts w:ascii="宋体" w:hAnsi="宋体" w:eastAsia="宋体" w:cs="宋体"/>
          <w:spacing w:val="-2"/>
          <w:sz w:val="31"/>
          <w:szCs w:val="31"/>
        </w:rPr>
        <w:t>1</w:t>
      </w:r>
    </w:p>
    <w:p>
      <w:pPr>
        <w:spacing w:before="176" w:line="209" w:lineRule="auto"/>
        <w:ind w:left="1985"/>
        <w:rPr>
          <w:rFonts w:ascii="微软雅黑" w:hAnsi="微软雅黑" w:eastAsia="微软雅黑" w:cs="微软雅黑"/>
          <w:spacing w:val="9"/>
          <w:sz w:val="41"/>
          <w:szCs w:val="41"/>
        </w:rPr>
      </w:pPr>
      <w:r>
        <w:rPr>
          <w:rFonts w:ascii="微软雅黑" w:hAnsi="微软雅黑" w:eastAsia="微软雅黑" w:cs="微软雅黑"/>
          <w:spacing w:val="11"/>
          <w:sz w:val="41"/>
          <w:szCs w:val="41"/>
        </w:rPr>
        <w:t>区</w:t>
      </w:r>
      <w:r>
        <w:rPr>
          <w:rFonts w:ascii="微软雅黑" w:hAnsi="微软雅黑" w:eastAsia="微软雅黑" w:cs="微软雅黑"/>
          <w:spacing w:val="9"/>
          <w:sz w:val="41"/>
          <w:szCs w:val="41"/>
        </w:rPr>
        <w:t>政府组成部门服务群众服务基层服务企业“三服务”清单</w:t>
      </w:r>
    </w:p>
    <w:p>
      <w:pPr>
        <w:pStyle w:val="2"/>
      </w:pPr>
    </w:p>
    <w:p>
      <w:pPr>
        <w:spacing w:before="73" w:line="165" w:lineRule="auto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填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报单位：</w:t>
      </w: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 xml:space="preserve">麒麟区自然资源局                          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填表联系人及电话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  <w:t>包华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  <w:t xml:space="preserve">       3298393                     </w:t>
      </w:r>
    </w:p>
    <w:p>
      <w:pPr>
        <w:spacing w:line="28" w:lineRule="exact"/>
      </w:pPr>
    </w:p>
    <w:tbl>
      <w:tblPr>
        <w:tblStyle w:val="6"/>
        <w:tblW w:w="14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582"/>
        <w:gridCol w:w="4898"/>
        <w:gridCol w:w="39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0" w:type="dxa"/>
            <w:vAlign w:val="top"/>
          </w:tcPr>
          <w:p>
            <w:pPr>
              <w:spacing w:before="246" w:line="224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4582" w:type="dxa"/>
            <w:vAlign w:val="top"/>
          </w:tcPr>
          <w:p>
            <w:pPr>
              <w:spacing w:before="246" w:line="222" w:lineRule="auto"/>
              <w:ind w:left="15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服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务 事 项</w:t>
            </w:r>
          </w:p>
        </w:tc>
        <w:tc>
          <w:tcPr>
            <w:tcW w:w="4898" w:type="dxa"/>
            <w:vAlign w:val="top"/>
          </w:tcPr>
          <w:p>
            <w:pPr>
              <w:spacing w:before="246" w:line="223" w:lineRule="auto"/>
              <w:ind w:left="16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具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 xml:space="preserve"> 体 内 容</w:t>
            </w:r>
          </w:p>
        </w:tc>
        <w:tc>
          <w:tcPr>
            <w:tcW w:w="3947" w:type="dxa"/>
            <w:vAlign w:val="top"/>
          </w:tcPr>
          <w:p>
            <w:pPr>
              <w:spacing w:before="246" w:line="222" w:lineRule="auto"/>
              <w:ind w:left="12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服 </w:t>
            </w:r>
            <w:r>
              <w:rPr>
                <w:rFonts w:ascii="黑体" w:hAnsi="黑体" w:eastAsia="黑体" w:cs="黑体"/>
                <w:sz w:val="28"/>
                <w:szCs w:val="28"/>
              </w:rPr>
              <w:t>务 对 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农用地转用及土地征收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对单独选址项目的农用地转用及土地征收用地进行审查及上报工作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9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建设用地规划许可证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办理《建设用地规划许可证》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企业、群众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建设工程规划许可证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办理《建设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规划许可证》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企业、群众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建设工程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土地核验与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规划核实</w:t>
            </w:r>
          </w:p>
        </w:tc>
        <w:tc>
          <w:tcPr>
            <w:tcW w:w="489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建设工程竣工后，对建设工程是否符合规划条件和建设工程规划许可要求予以核实，并书面告知核实结论。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企业、群众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建筑工程规划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批后跟踪服务</w:t>
            </w:r>
          </w:p>
        </w:tc>
        <w:tc>
          <w:tcPr>
            <w:tcW w:w="4898" w:type="dxa"/>
            <w:vAlign w:val="center"/>
          </w:tcPr>
          <w:p>
            <w:pPr>
              <w:ind w:firstLine="440" w:firstLineChars="200"/>
              <w:jc w:val="left"/>
              <w:rPr>
                <w:rFonts w:hint="default" w:ascii="仿宋" w:hAnsi="仿宋" w:eastAsia="仿宋"/>
                <w:spacing w:val="4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.建设单位或个人应当委托具有资质的测绘单位，对建筑工程进行跟踪测绘，包括放线、±0.00测绘、过程测绘和竣工测绘，测绘成果应当符合曲靖市规划信息化数据入库标准。2.建筑工程开工前，建设单位或个人应当持建设工程规划许可证、经批准的规划图、施工图、测绘单位出具的放线测绘成果向城乡规划主管部门申请验线。3.建筑工程施工到±0.00，建设单位或个人应当持测绘单位出具的±0.00测绘成果，向城乡规划主管部门申请核实。4. 在上部工程建设过程中，建设单位或个人应当按照施工进度在主体工程醒目位置逐层、依次悬挂施工进度牌，接受监督检查。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企业、群众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《建设项目用地预审与选址意见书》办理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对符合要求的项目办理《建设项目用地预审与选址意见书》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农用地转用及土地征收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开展土地征收前期工作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8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开采矿产资源审批</w:t>
            </w:r>
          </w:p>
        </w:tc>
        <w:tc>
          <w:tcPr>
            <w:tcW w:w="489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采矿权新立、延续、变更、注销登记</w:t>
            </w:r>
          </w:p>
        </w:tc>
        <w:tc>
          <w:tcPr>
            <w:tcW w:w="39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bidi w:val="0"/>
      </w:pPr>
      <w:bookmarkStart w:id="0" w:name="_GoBack"/>
      <w:bookmarkEnd w:id="0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2592"/>
        </w:tabs>
        <w:bidi w:val="0"/>
        <w:jc w:val="left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type w:val="continuous"/>
      <w:pgSz w:w="16839" w:h="11906"/>
      <w:pgMar w:top="400" w:right="1088" w:bottom="1364" w:left="1208" w:header="0" w:footer="1081" w:gutter="0"/>
      <w:cols w:equalWidth="0" w:num="1">
        <w:col w:w="145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NmOTBiOGE4Y2Y3M2IwNDk1ZDlmODUzN2I5ZGM2OGMifQ=="/>
    <w:docVar w:name="KSO_WPS_MARK_KEY" w:val="eaff042c-3c96-44bb-b02e-594f18374829"/>
  </w:docVars>
  <w:rsids>
    <w:rsidRoot w:val="00000000"/>
    <w:rsid w:val="065E4514"/>
    <w:rsid w:val="0DCF360E"/>
    <w:rsid w:val="0FB7720E"/>
    <w:rsid w:val="14057B94"/>
    <w:rsid w:val="2DA432B1"/>
    <w:rsid w:val="3299666F"/>
    <w:rsid w:val="33706C5B"/>
    <w:rsid w:val="37E55A79"/>
    <w:rsid w:val="3BFB79A6"/>
    <w:rsid w:val="3DF34DC2"/>
    <w:rsid w:val="3E8D70B5"/>
    <w:rsid w:val="4B7A2BC5"/>
    <w:rsid w:val="50161941"/>
    <w:rsid w:val="59005A41"/>
    <w:rsid w:val="5AF00EE7"/>
    <w:rsid w:val="5D705889"/>
    <w:rsid w:val="68F133FA"/>
    <w:rsid w:val="692F7608"/>
    <w:rsid w:val="791C7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</Words>
  <Characters>65</Characters>
  <TotalTime>2</TotalTime>
  <ScaleCrop>false</ScaleCrop>
  <LinksUpToDate>false</LinksUpToDate>
  <CharactersWithSpaces>123</CharactersWithSpaces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2023-06-13T11:31:00Z</dcterms:created>
  <dc:creator>Administrator</dc:creator>
  <cp:lastModifiedBy>包华</cp:lastModifiedBy>
  <cp:lastPrinted>2025-04-29T07:32:56Z</cp:lastPrinted>
  <dcterms:modified xsi:type="dcterms:W3CDTF">2025-04-29T07:39:35Z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2023-06-27T11:35:35Z</vt:filetime>
  </property>
  <property fmtid="{D5CDD505-2E9C-101B-9397-08002B2CF9AE}" pid="4" name="KSOProductBuildVer">
    <vt:lpwstr>2052-11.1.0.14235</vt:lpwstr>
  </property>
  <property fmtid="{D5CDD505-2E9C-101B-9397-08002B2CF9AE}" pid="5" name="ICV">
    <vt:lpwstr>248832EE21A64CFD9A2E7166EF039653_13</vt:lpwstr>
  </property>
  <property fmtid="{D5CDD505-2E9C-101B-9397-08002B2CF9AE}" pid="6" name="KSOTemplateDocerSaveRecord">
    <vt:lpwstr>eyJoZGlkIjoiZjI4ZmNkNWUwMjRiZTBlNDI1NTM3MjBhMzMyMTQwMjYifQ==</vt:lpwstr>
  </property>
</Properties>
</file>