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F6B3A8">
      <w:pPr>
        <w:rPr>
          <w:rFonts w:hint="eastAsia" w:ascii="Times New Roman" w:hAnsi="Times New Roman" w:eastAsia="仿宋_GB2312" w:cs="Times New Roman"/>
          <w:color w:val="auto"/>
          <w:sz w:val="36"/>
          <w:szCs w:val="36"/>
          <w:lang w:val="en-US" w:eastAsia="zh-CN"/>
        </w:rPr>
      </w:pPr>
    </w:p>
    <w:p w14:paraId="6632CB07">
      <w:pPr>
        <w:rPr>
          <w:rFonts w:hint="default" w:ascii="Times New Roman" w:hAnsi="Times New Roman" w:eastAsia="仿宋_GB2312" w:cs="Times New Roman"/>
          <w:color w:val="auto"/>
          <w:sz w:val="36"/>
          <w:szCs w:val="36"/>
        </w:rPr>
      </w:pPr>
    </w:p>
    <w:p w14:paraId="00D21DF5">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2028CAAF">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0D4BC735">
      <w:pPr>
        <w:adjustRightInd w:val="0"/>
        <w:snapToGrid w:val="0"/>
        <w:spacing w:line="288" w:lineRule="auto"/>
        <w:jc w:val="center"/>
        <w:outlineLvl w:val="0"/>
        <w:rPr>
          <w:rFonts w:hint="eastAsia" w:ascii="Times New Roman" w:hAnsi="Times New Roman" w:eastAsia="华文仿宋" w:cs="Times New Roman"/>
          <w:color w:val="auto"/>
          <w:kern w:val="44"/>
          <w:sz w:val="36"/>
          <w:szCs w:val="36"/>
          <w:lang w:eastAsia="zh-CN"/>
        </w:rPr>
      </w:pPr>
      <w:r>
        <w:rPr>
          <w:rFonts w:hint="default" w:ascii="Times New Roman" w:hAnsi="Times New Roman" w:eastAsia="华文仿宋" w:cs="Times New Roman"/>
          <w:color w:val="auto"/>
          <w:kern w:val="44"/>
          <w:sz w:val="36"/>
          <w:szCs w:val="36"/>
        </w:rPr>
        <w:t>（</w:t>
      </w:r>
      <w:r>
        <w:rPr>
          <w:rFonts w:hint="eastAsia" w:eastAsia="华文仿宋" w:cs="Times New Roman"/>
          <w:color w:val="auto"/>
          <w:kern w:val="44"/>
          <w:sz w:val="36"/>
          <w:szCs w:val="36"/>
          <w:lang w:val="en-US" w:eastAsia="zh-CN"/>
        </w:rPr>
        <w:t>报批</w:t>
      </w:r>
      <w:r>
        <w:rPr>
          <w:rFonts w:hint="default" w:ascii="Times New Roman" w:hAnsi="Times New Roman" w:eastAsia="华文仿宋" w:cs="Times New Roman"/>
          <w:color w:val="auto"/>
          <w:kern w:val="44"/>
          <w:sz w:val="36"/>
          <w:szCs w:val="36"/>
        </w:rPr>
        <w:t>稿</w:t>
      </w:r>
      <w:r>
        <w:rPr>
          <w:rFonts w:hint="eastAsia" w:eastAsia="华文仿宋" w:cs="Times New Roman"/>
          <w:color w:val="auto"/>
          <w:kern w:val="44"/>
          <w:sz w:val="36"/>
          <w:szCs w:val="36"/>
          <w:lang w:eastAsia="zh-CN"/>
        </w:rPr>
        <w:t>）</w:t>
      </w:r>
    </w:p>
    <w:p w14:paraId="6CC3DAB2">
      <w:pPr>
        <w:jc w:val="center"/>
        <w:rPr>
          <w:rFonts w:hint="default" w:ascii="Times New Roman" w:hAnsi="Times New Roman" w:eastAsia="仿宋" w:cs="Times New Roman"/>
          <w:color w:val="auto"/>
          <w:sz w:val="52"/>
          <w:szCs w:val="52"/>
        </w:rPr>
      </w:pPr>
    </w:p>
    <w:p w14:paraId="4E3B2864">
      <w:pPr>
        <w:ind w:firstLine="1040"/>
        <w:rPr>
          <w:rFonts w:hint="default" w:ascii="Times New Roman" w:hAnsi="Times New Roman" w:eastAsia="仿宋" w:cs="Times New Roman"/>
          <w:color w:val="auto"/>
          <w:sz w:val="44"/>
          <w:szCs w:val="44"/>
        </w:rPr>
      </w:pPr>
    </w:p>
    <w:p w14:paraId="5E47C2CD">
      <w:pPr>
        <w:ind w:firstLine="1040"/>
        <w:rPr>
          <w:rFonts w:hint="default" w:ascii="Times New Roman" w:hAnsi="Times New Roman" w:eastAsia="仿宋" w:cs="Times New Roman"/>
          <w:color w:val="auto"/>
          <w:sz w:val="44"/>
          <w:szCs w:val="44"/>
        </w:rPr>
      </w:pPr>
    </w:p>
    <w:p w14:paraId="02459D0D">
      <w:pPr>
        <w:ind w:firstLine="1040"/>
        <w:rPr>
          <w:rFonts w:hint="default" w:ascii="Times New Roman" w:hAnsi="Times New Roman" w:eastAsia="仿宋" w:cs="Times New Roman"/>
          <w:color w:val="auto"/>
          <w:sz w:val="44"/>
          <w:szCs w:val="44"/>
        </w:rPr>
      </w:pPr>
    </w:p>
    <w:p w14:paraId="677D29AE">
      <w:pPr>
        <w:ind w:firstLine="1040"/>
        <w:rPr>
          <w:rFonts w:hint="default" w:ascii="Times New Roman" w:hAnsi="Times New Roman" w:eastAsia="仿宋" w:cs="Times New Roman"/>
          <w:color w:val="auto"/>
          <w:sz w:val="44"/>
          <w:szCs w:val="44"/>
        </w:rPr>
      </w:pPr>
    </w:p>
    <w:p w14:paraId="29487B9E">
      <w:pPr>
        <w:ind w:firstLine="1040"/>
        <w:rPr>
          <w:rFonts w:hint="default" w:ascii="Times New Roman" w:hAnsi="Times New Roman" w:eastAsia="仿宋" w:cs="Times New Roman"/>
          <w:color w:val="auto"/>
          <w:sz w:val="44"/>
          <w:szCs w:val="44"/>
        </w:rPr>
      </w:pPr>
    </w:p>
    <w:p w14:paraId="2983B20C">
      <w:pPr>
        <w:ind w:firstLine="1040"/>
        <w:rPr>
          <w:rFonts w:hint="default" w:ascii="Times New Roman" w:hAnsi="Times New Roman" w:eastAsia="仿宋" w:cs="Times New Roman"/>
          <w:color w:val="auto"/>
          <w:sz w:val="44"/>
          <w:szCs w:val="44"/>
        </w:rPr>
      </w:pPr>
    </w:p>
    <w:p w14:paraId="32610F65">
      <w:pPr>
        <w:ind w:firstLine="1040"/>
        <w:rPr>
          <w:rFonts w:hint="default" w:ascii="Times New Roman" w:hAnsi="Times New Roman" w:eastAsia="仿宋" w:cs="Times New Roman"/>
          <w:color w:val="auto"/>
          <w:sz w:val="44"/>
          <w:szCs w:val="44"/>
        </w:rPr>
      </w:pPr>
    </w:p>
    <w:p w14:paraId="2D4C9B8F">
      <w:pPr>
        <w:rPr>
          <w:rFonts w:hint="default" w:ascii="Times New Roman" w:hAnsi="Times New Roman" w:eastAsia="仿宋" w:cs="Times New Roman"/>
          <w:color w:val="auto"/>
          <w:sz w:val="44"/>
          <w:szCs w:val="44"/>
        </w:rPr>
      </w:pPr>
    </w:p>
    <w:p w14:paraId="664FFEFE">
      <w:pPr>
        <w:adjustRightInd w:val="0"/>
        <w:snapToGrid w:val="0"/>
        <w:spacing w:line="288" w:lineRule="auto"/>
        <w:ind w:left="2400" w:leftChars="200" w:hanging="1980" w:hangingChars="55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 xml:space="preserve">项目名称： </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eastAsia="zh-CN"/>
        </w:rPr>
        <w:t>曲靖银栖废旧物资回收利用有限公司10万吨/年废旧包装物回收利用扩建项目</w:t>
      </w:r>
      <w:r>
        <w:rPr>
          <w:rFonts w:hint="default" w:ascii="Times New Roman" w:hAnsi="Times New Roman" w:eastAsia="仿宋_GB2312" w:cs="Times New Roman"/>
          <w:color w:val="auto"/>
          <w:sz w:val="36"/>
          <w:szCs w:val="36"/>
          <w:u w:val="single"/>
        </w:rPr>
        <w:t xml:space="preserve">                         </w:t>
      </w:r>
    </w:p>
    <w:p w14:paraId="22A6CB84">
      <w:pPr>
        <w:adjustRightInd w:val="0"/>
        <w:snapToGrid w:val="0"/>
        <w:spacing w:line="288" w:lineRule="auto"/>
        <w:ind w:left="3660" w:leftChars="200" w:hanging="3240" w:hangingChars="9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eastAsia="zh-CN"/>
        </w:rPr>
        <w:t>曲靖银栖废旧物资回收利用有限公司</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14:paraId="05F32A66">
      <w:pPr>
        <w:adjustRightInd w:val="0"/>
        <w:snapToGrid w:val="0"/>
        <w:spacing w:line="288" w:lineRule="auto"/>
        <w:ind w:left="420" w:leftChars="2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202</w:t>
      </w:r>
      <w:r>
        <w:rPr>
          <w:rFonts w:hint="eastAsia" w:eastAsia="仿宋_GB2312" w:cs="Times New Roman"/>
          <w:color w:val="auto"/>
          <w:sz w:val="36"/>
          <w:szCs w:val="36"/>
          <w:u w:val="single"/>
          <w:lang w:val="en-US" w:eastAsia="zh-CN"/>
        </w:rPr>
        <w:t>5</w:t>
      </w:r>
      <w:r>
        <w:rPr>
          <w:rFonts w:hint="default" w:ascii="Times New Roman" w:hAnsi="Times New Roman" w:eastAsia="仿宋_GB2312" w:cs="Times New Roman"/>
          <w:color w:val="auto"/>
          <w:sz w:val="36"/>
          <w:szCs w:val="36"/>
          <w:u w:val="single"/>
        </w:rPr>
        <w:t>年</w:t>
      </w:r>
      <w:r>
        <w:rPr>
          <w:rFonts w:hint="eastAsia" w:eastAsia="仿宋_GB2312" w:cs="Times New Roman"/>
          <w:color w:val="auto"/>
          <w:sz w:val="36"/>
          <w:szCs w:val="36"/>
          <w:u w:val="single"/>
          <w:lang w:val="en-US" w:eastAsia="zh-CN"/>
        </w:rPr>
        <w:t>6</w:t>
      </w:r>
      <w:r>
        <w:rPr>
          <w:rFonts w:hint="default" w:ascii="Times New Roman" w:hAnsi="Times New Roman" w:eastAsia="仿宋_GB2312" w:cs="Times New Roman"/>
          <w:color w:val="auto"/>
          <w:sz w:val="36"/>
          <w:szCs w:val="36"/>
          <w:u w:val="single"/>
        </w:rPr>
        <w:t xml:space="preserve">月                          </w:t>
      </w:r>
    </w:p>
    <w:p w14:paraId="570BC9CD">
      <w:pPr>
        <w:adjustRightInd w:val="0"/>
        <w:snapToGrid w:val="0"/>
        <w:spacing w:line="288" w:lineRule="auto"/>
        <w:rPr>
          <w:rFonts w:hint="default" w:ascii="Times New Roman" w:hAnsi="Times New Roman" w:eastAsia="仿宋_GB2312" w:cs="Times New Roman"/>
          <w:color w:val="auto"/>
          <w:sz w:val="36"/>
          <w:szCs w:val="36"/>
        </w:rPr>
      </w:pPr>
      <w:bookmarkStart w:id="0" w:name="_Hlk57884087"/>
    </w:p>
    <w:p w14:paraId="77474DD1">
      <w:pPr>
        <w:adjustRightInd w:val="0"/>
        <w:snapToGrid w:val="0"/>
        <w:spacing w:line="288" w:lineRule="auto"/>
        <w:ind w:firstLine="1040"/>
        <w:rPr>
          <w:rFonts w:hint="default" w:ascii="Times New Roman" w:hAnsi="Times New Roman" w:eastAsia="仿宋_GB2312" w:cs="Times New Roman"/>
          <w:color w:val="auto"/>
          <w:sz w:val="36"/>
          <w:szCs w:val="36"/>
        </w:rPr>
      </w:pPr>
    </w:p>
    <w:p w14:paraId="47DD9021">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14:paraId="3CCCD062">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44974D3F">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7B2F7056">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73"/>
        <w:gridCol w:w="2126"/>
        <w:gridCol w:w="1843"/>
        <w:gridCol w:w="3328"/>
      </w:tblGrid>
      <w:tr w14:paraId="651C69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05F9834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297" w:type="dxa"/>
            <w:gridSpan w:val="3"/>
            <w:vAlign w:val="center"/>
          </w:tcPr>
          <w:p w14:paraId="66B49811">
            <w:pPr>
              <w:pStyle w:val="53"/>
              <w:rPr>
                <w:rFonts w:hint="default" w:ascii="Times New Roman" w:hAnsi="Times New Roman" w:cs="Times New Roman"/>
                <w:color w:val="auto"/>
              </w:rPr>
            </w:pPr>
            <w:r>
              <w:rPr>
                <w:rFonts w:hint="eastAsia" w:cs="Times New Roman"/>
                <w:b w:val="0"/>
                <w:color w:val="auto"/>
                <w:kern w:val="2"/>
                <w:sz w:val="21"/>
                <w:szCs w:val="21"/>
                <w:lang w:val="en-US" w:eastAsia="zh-CN" w:bidi="ar-SA"/>
              </w:rPr>
              <w:t>曲靖银栖废旧物资回收利用有限公司10万吨/年废旧包装物回收利用扩建项目</w:t>
            </w:r>
          </w:p>
        </w:tc>
      </w:tr>
      <w:tr w14:paraId="5FBE7A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2A23302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297" w:type="dxa"/>
            <w:gridSpan w:val="3"/>
            <w:vAlign w:val="center"/>
          </w:tcPr>
          <w:p w14:paraId="041F8676">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2504-530302-04-02-434661</w:t>
            </w:r>
          </w:p>
        </w:tc>
      </w:tr>
      <w:tr w14:paraId="438C1C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44745F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2126" w:type="dxa"/>
            <w:vAlign w:val="center"/>
          </w:tcPr>
          <w:p w14:paraId="672E53C9">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胡绍祥</w:t>
            </w:r>
          </w:p>
        </w:tc>
        <w:tc>
          <w:tcPr>
            <w:tcW w:w="1843" w:type="dxa"/>
            <w:vAlign w:val="center"/>
          </w:tcPr>
          <w:p w14:paraId="443ACDD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3328" w:type="dxa"/>
            <w:vAlign w:val="center"/>
          </w:tcPr>
          <w:p w14:paraId="7A5627D0">
            <w:pPr>
              <w:pStyle w:val="53"/>
              <w:rPr>
                <w:rFonts w:hint="default" w:ascii="Times New Roman" w:hAnsi="Times New Roman" w:cs="Times New Roman"/>
                <w:color w:val="auto"/>
              </w:rPr>
            </w:pPr>
            <w:r>
              <w:rPr>
                <w:rFonts w:hint="default" w:ascii="Times New Roman" w:hAnsi="Times New Roman" w:cs="Times New Roman"/>
                <w:color w:val="auto"/>
              </w:rPr>
              <w:t>135</w:t>
            </w:r>
            <w:r>
              <w:rPr>
                <w:rFonts w:hint="eastAsia" w:cs="Times New Roman"/>
                <w:color w:val="auto"/>
                <w:lang w:val="en-US" w:eastAsia="zh-CN"/>
              </w:rPr>
              <w:t>*******</w:t>
            </w:r>
            <w:r>
              <w:rPr>
                <w:rFonts w:hint="default" w:ascii="Times New Roman" w:hAnsi="Times New Roman" w:cs="Times New Roman"/>
                <w:color w:val="auto"/>
              </w:rPr>
              <w:t>6</w:t>
            </w:r>
          </w:p>
        </w:tc>
      </w:tr>
      <w:tr w14:paraId="3ABBBC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32DA537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297" w:type="dxa"/>
            <w:gridSpan w:val="3"/>
            <w:vAlign w:val="center"/>
          </w:tcPr>
          <w:p w14:paraId="7A7649CA">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云南省</w:t>
            </w:r>
            <w:r>
              <w:rPr>
                <w:rFonts w:hint="eastAsia" w:cs="Times New Roman"/>
                <w:color w:val="auto"/>
                <w:szCs w:val="21"/>
                <w:lang w:eastAsia="zh-CN"/>
              </w:rPr>
              <w:t>曲靖市麒麟区越州镇老吴村委会（原平板玻璃厂内）</w:t>
            </w:r>
          </w:p>
        </w:tc>
      </w:tr>
      <w:tr w14:paraId="13D51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77C26C3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297" w:type="dxa"/>
            <w:gridSpan w:val="3"/>
            <w:vAlign w:val="center"/>
          </w:tcPr>
          <w:p w14:paraId="5F60FFFF">
            <w:pPr>
              <w:pStyle w:val="53"/>
              <w:rPr>
                <w:rFonts w:hint="default" w:ascii="Times New Roman" w:hAnsi="Times New Roman" w:cs="Times New Roman"/>
                <w:color w:val="auto"/>
              </w:rPr>
            </w:pPr>
            <w:r>
              <w:rPr>
                <w:rFonts w:hint="default" w:ascii="Times New Roman" w:hAnsi="Times New Roman" w:cs="Times New Roman"/>
                <w:color w:val="auto"/>
              </w:rPr>
              <w:t>10</w:t>
            </w:r>
            <w:r>
              <w:rPr>
                <w:rFonts w:hint="eastAsia" w:cs="Times New Roman"/>
                <w:color w:val="auto"/>
                <w:lang w:val="en-US" w:eastAsia="zh-CN"/>
              </w:rPr>
              <w:t>3</w:t>
            </w:r>
            <w:r>
              <w:rPr>
                <w:rFonts w:hint="default" w:ascii="Times New Roman" w:hAnsi="Times New Roman" w:cs="Times New Roman"/>
                <w:color w:val="auto"/>
              </w:rPr>
              <w:t>度</w:t>
            </w:r>
            <w:r>
              <w:rPr>
                <w:rFonts w:hint="eastAsia" w:cs="Times New Roman"/>
                <w:color w:val="auto"/>
                <w:lang w:val="en-US" w:eastAsia="zh-CN"/>
              </w:rPr>
              <w:t>51</w:t>
            </w:r>
            <w:r>
              <w:rPr>
                <w:rFonts w:hint="default" w:ascii="Times New Roman" w:hAnsi="Times New Roman" w:cs="Times New Roman"/>
                <w:color w:val="auto"/>
              </w:rPr>
              <w:t>分</w:t>
            </w:r>
            <w:r>
              <w:rPr>
                <w:rFonts w:hint="eastAsia" w:cs="Times New Roman"/>
                <w:color w:val="auto"/>
                <w:lang w:val="en-US" w:eastAsia="zh-CN"/>
              </w:rPr>
              <w:t>0.337</w:t>
            </w:r>
            <w:r>
              <w:rPr>
                <w:rFonts w:hint="default" w:ascii="Times New Roman" w:hAnsi="Times New Roman" w:cs="Times New Roman"/>
                <w:color w:val="auto"/>
              </w:rPr>
              <w:t>秒，25度</w:t>
            </w:r>
            <w:r>
              <w:rPr>
                <w:rFonts w:hint="eastAsia" w:cs="Times New Roman"/>
                <w:color w:val="auto"/>
                <w:lang w:val="en-US" w:eastAsia="zh-CN"/>
              </w:rPr>
              <w:t>11</w:t>
            </w:r>
            <w:r>
              <w:rPr>
                <w:rFonts w:hint="default" w:ascii="Times New Roman" w:hAnsi="Times New Roman" w:cs="Times New Roman"/>
                <w:color w:val="auto"/>
              </w:rPr>
              <w:t>分</w:t>
            </w:r>
            <w:r>
              <w:rPr>
                <w:rFonts w:hint="eastAsia" w:cs="Times New Roman"/>
                <w:color w:val="auto"/>
                <w:lang w:val="en-US" w:eastAsia="zh-CN"/>
              </w:rPr>
              <w:t>40.439</w:t>
            </w:r>
            <w:r>
              <w:rPr>
                <w:rFonts w:hint="default" w:ascii="Times New Roman" w:hAnsi="Times New Roman" w:cs="Times New Roman"/>
                <w:color w:val="auto"/>
              </w:rPr>
              <w:t>秒</w:t>
            </w:r>
          </w:p>
        </w:tc>
      </w:tr>
      <w:tr w14:paraId="7C7B2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73" w:type="dxa"/>
            <w:tcMar>
              <w:top w:w="16" w:type="dxa"/>
              <w:left w:w="16" w:type="dxa"/>
              <w:right w:w="16" w:type="dxa"/>
            </w:tcMar>
            <w:vAlign w:val="center"/>
          </w:tcPr>
          <w:p w14:paraId="4B9FEBB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7B9812E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2126" w:type="dxa"/>
            <w:vAlign w:val="center"/>
          </w:tcPr>
          <w:p w14:paraId="76F8FFCA">
            <w:pPr>
              <w:adjustRightInd w:val="0"/>
              <w:snapToGrid w:val="0"/>
              <w:jc w:val="center"/>
              <w:rPr>
                <w:rFonts w:hint="default" w:ascii="Times New Roman" w:hAnsi="Times New Roman" w:eastAsia="宋体" w:cs="Times New Roman"/>
                <w:color w:val="auto"/>
                <w:szCs w:val="21"/>
                <w:lang w:val="en-US" w:eastAsia="zh-CN"/>
              </w:rPr>
            </w:pPr>
            <w:r>
              <w:rPr>
                <w:rFonts w:hint="eastAsia"/>
                <w:color w:val="auto"/>
                <w:sz w:val="21"/>
                <w:szCs w:val="21"/>
              </w:rPr>
              <w:t>C</w:t>
            </w:r>
            <w:r>
              <w:rPr>
                <w:rFonts w:hint="eastAsia"/>
                <w:color w:val="auto"/>
                <w:sz w:val="21"/>
                <w:szCs w:val="21"/>
                <w:lang w:val="en-US" w:eastAsia="zh-CN"/>
              </w:rPr>
              <w:t>4220非金属废料和碎屑加工处理</w:t>
            </w:r>
          </w:p>
        </w:tc>
        <w:tc>
          <w:tcPr>
            <w:tcW w:w="1843" w:type="dxa"/>
            <w:vAlign w:val="center"/>
          </w:tcPr>
          <w:p w14:paraId="307788D6">
            <w:pPr>
              <w:adjustRightInd w:val="0"/>
              <w:snapToGrid w:val="0"/>
              <w:jc w:val="center"/>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14:paraId="1A977FE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3328" w:type="dxa"/>
            <w:shd w:val="clear" w:color="auto" w:fill="auto"/>
            <w:vAlign w:val="center"/>
          </w:tcPr>
          <w:p w14:paraId="7C7F6FE9">
            <w:pPr>
              <w:adjustRightInd w:val="0"/>
              <w:snapToGrid w:val="0"/>
              <w:jc w:val="center"/>
              <w:rPr>
                <w:rFonts w:hint="default" w:ascii="Times New Roman" w:hAnsi="Times New Roman" w:eastAsia="仿宋" w:cs="Times New Roman"/>
                <w:color w:val="auto"/>
                <w:kern w:val="2"/>
                <w:sz w:val="24"/>
                <w:szCs w:val="24"/>
                <w:highlight w:val="none"/>
                <w:lang w:val="en-US" w:eastAsia="zh-CN" w:bidi="ar-SA"/>
              </w:rPr>
            </w:pPr>
            <w:r>
              <w:rPr>
                <w:rFonts w:hint="default" w:ascii="Times New Roman" w:hAnsi="Times New Roman" w:cs="Times New Roman"/>
                <w:color w:val="auto"/>
                <w:szCs w:val="21"/>
              </w:rPr>
              <w:t>三十九、废弃资源综合利用业 85金属废料和碎屑加工处理421；非金属废料和碎屑加工处理422（421和422均不含原料为危险废物的，均不含仅分拣、破碎的）中的“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r>
      <w:tr w14:paraId="71BF22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73" w:type="dxa"/>
            <w:tcMar>
              <w:top w:w="16" w:type="dxa"/>
              <w:left w:w="16" w:type="dxa"/>
              <w:right w:w="16" w:type="dxa"/>
            </w:tcMar>
            <w:vAlign w:val="center"/>
          </w:tcPr>
          <w:p w14:paraId="25618EE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2126" w:type="dxa"/>
            <w:vAlign w:val="center"/>
          </w:tcPr>
          <w:p w14:paraId="75AFC8B6">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新建（迁建）</w:t>
            </w:r>
          </w:p>
          <w:p w14:paraId="6202B508">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改建</w:t>
            </w:r>
          </w:p>
          <w:p w14:paraId="4B4C1B9A">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扩建</w:t>
            </w:r>
          </w:p>
          <w:p w14:paraId="38178581">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技术改造</w:t>
            </w:r>
          </w:p>
        </w:tc>
        <w:tc>
          <w:tcPr>
            <w:tcW w:w="1843" w:type="dxa"/>
            <w:vAlign w:val="center"/>
          </w:tcPr>
          <w:p w14:paraId="10485C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06A537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3328" w:type="dxa"/>
            <w:vAlign w:val="center"/>
          </w:tcPr>
          <w:p w14:paraId="4D6BCDB3">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 xml:space="preserve">首次申报项目 </w:t>
            </w:r>
          </w:p>
          <w:p w14:paraId="20DEC225">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不予批准后再次申报项目</w:t>
            </w:r>
          </w:p>
          <w:p w14:paraId="55D931E8">
            <w:pPr>
              <w:jc w:val="left"/>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 xml:space="preserve">超五年重新审核项目 </w:t>
            </w:r>
            <w:r>
              <w:rPr>
                <w:rFonts w:hint="eastAsia" w:cs="Times New Roman"/>
                <w:color w:val="auto"/>
                <w:szCs w:val="21"/>
                <w:lang w:val="en-US" w:eastAsia="zh-CN"/>
              </w:rPr>
              <w:t xml:space="preserve"> </w:t>
            </w:r>
          </w:p>
          <w:p w14:paraId="0452BAF1">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重大变动重新报批项目</w:t>
            </w:r>
          </w:p>
        </w:tc>
      </w:tr>
      <w:tr w14:paraId="6D818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73" w:type="dxa"/>
            <w:tcMar>
              <w:top w:w="16" w:type="dxa"/>
              <w:left w:w="16" w:type="dxa"/>
              <w:right w:w="16" w:type="dxa"/>
            </w:tcMar>
            <w:vAlign w:val="center"/>
          </w:tcPr>
          <w:p w14:paraId="4A4D148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5A7609F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2126" w:type="dxa"/>
            <w:vAlign w:val="center"/>
          </w:tcPr>
          <w:p w14:paraId="46D28929">
            <w:pPr>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曲靖市麒麟区</w:t>
            </w:r>
            <w:r>
              <w:rPr>
                <w:rFonts w:hint="default" w:ascii="Times New Roman" w:hAnsi="Times New Roman" w:cs="Times New Roman"/>
                <w:color w:val="auto"/>
                <w:szCs w:val="21"/>
              </w:rPr>
              <w:t>发展和改革局</w:t>
            </w:r>
          </w:p>
        </w:tc>
        <w:tc>
          <w:tcPr>
            <w:tcW w:w="1843" w:type="dxa"/>
            <w:vAlign w:val="center"/>
          </w:tcPr>
          <w:p w14:paraId="312651B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5A940A1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3328" w:type="dxa"/>
            <w:vAlign w:val="center"/>
          </w:tcPr>
          <w:p w14:paraId="64A4D800">
            <w:pPr>
              <w:adjustRightInd w:val="0"/>
              <w:snapToGrid w:val="0"/>
              <w:jc w:val="center"/>
              <w:rPr>
                <w:rFonts w:hint="default" w:ascii="Times New Roman" w:hAnsi="Times New Roman" w:cs="Times New Roman"/>
                <w:color w:val="auto"/>
                <w:szCs w:val="21"/>
              </w:rPr>
            </w:pPr>
            <w:r>
              <w:rPr>
                <w:rFonts w:hint="eastAsia" w:cs="Times New Roman"/>
                <w:color w:val="auto"/>
                <w:lang w:val="en-US" w:eastAsia="zh-CN"/>
              </w:rPr>
              <w:t>2504-530302-04-02-434661</w:t>
            </w:r>
          </w:p>
        </w:tc>
      </w:tr>
      <w:tr w14:paraId="0FA079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2AC990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2126" w:type="dxa"/>
            <w:vAlign w:val="center"/>
          </w:tcPr>
          <w:p w14:paraId="52F628C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200</w:t>
            </w:r>
          </w:p>
        </w:tc>
        <w:tc>
          <w:tcPr>
            <w:tcW w:w="1843" w:type="dxa"/>
            <w:tcMar>
              <w:top w:w="16" w:type="dxa"/>
              <w:left w:w="16" w:type="dxa"/>
              <w:right w:w="16" w:type="dxa"/>
            </w:tcMar>
            <w:vAlign w:val="center"/>
          </w:tcPr>
          <w:p w14:paraId="7E413EF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3328" w:type="dxa"/>
            <w:vAlign w:val="center"/>
          </w:tcPr>
          <w:p w14:paraId="46E4974D">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14</w:t>
            </w:r>
          </w:p>
        </w:tc>
      </w:tr>
      <w:tr w14:paraId="5FF1E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26121FA9">
            <w:pPr>
              <w:pStyle w:val="53"/>
              <w:rPr>
                <w:rFonts w:hint="default" w:ascii="Times New Roman" w:hAnsi="Times New Roman" w:cs="Times New Roman"/>
                <w:color w:val="auto"/>
              </w:rPr>
            </w:pPr>
            <w:r>
              <w:rPr>
                <w:rFonts w:hint="default" w:ascii="Times New Roman" w:hAnsi="Times New Roman" w:cs="Times New Roman"/>
                <w:color w:val="auto"/>
              </w:rPr>
              <w:t>环保投资占比（%）</w:t>
            </w:r>
          </w:p>
        </w:tc>
        <w:tc>
          <w:tcPr>
            <w:tcW w:w="2126" w:type="dxa"/>
            <w:vAlign w:val="center"/>
          </w:tcPr>
          <w:p w14:paraId="2570ADDE">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1843" w:type="dxa"/>
            <w:tcMar>
              <w:top w:w="16" w:type="dxa"/>
              <w:left w:w="16" w:type="dxa"/>
              <w:right w:w="16" w:type="dxa"/>
            </w:tcMar>
            <w:vAlign w:val="center"/>
          </w:tcPr>
          <w:p w14:paraId="08E07FD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3328" w:type="dxa"/>
            <w:vAlign w:val="center"/>
          </w:tcPr>
          <w:p w14:paraId="6BA9BF5B">
            <w:pPr>
              <w:pStyle w:val="53"/>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个月</w:t>
            </w:r>
          </w:p>
        </w:tc>
      </w:tr>
      <w:tr w14:paraId="7C4C6F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73" w:type="dxa"/>
            <w:tcMar>
              <w:top w:w="16" w:type="dxa"/>
              <w:left w:w="16" w:type="dxa"/>
              <w:right w:w="16" w:type="dxa"/>
            </w:tcMar>
            <w:vAlign w:val="center"/>
          </w:tcPr>
          <w:p w14:paraId="7B27DBA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2126" w:type="dxa"/>
            <w:vAlign w:val="center"/>
          </w:tcPr>
          <w:p w14:paraId="1ED36F71">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否</w:t>
            </w:r>
          </w:p>
          <w:p w14:paraId="35C409F2">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1843" w:type="dxa"/>
            <w:tcMar>
              <w:top w:w="16" w:type="dxa"/>
              <w:left w:w="16" w:type="dxa"/>
              <w:right w:w="16" w:type="dxa"/>
            </w:tcMar>
            <w:vAlign w:val="center"/>
          </w:tcPr>
          <w:p w14:paraId="70B28915">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14:paraId="2BE54F27">
            <w:pPr>
              <w:pStyle w:val="53"/>
              <w:rPr>
                <w:rFonts w:hint="default" w:ascii="Times New Roman" w:hAnsi="Times New Roman" w:cs="Times New Roman"/>
                <w:color w:val="auto"/>
              </w:rPr>
            </w:pPr>
            <w:r>
              <w:rPr>
                <w:rFonts w:hint="default" w:ascii="Times New Roman" w:hAnsi="Times New Roman" w:cs="Times New Roman"/>
                <w:color w:val="auto"/>
              </w:rPr>
              <w:t>面积（m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3328" w:type="dxa"/>
            <w:vAlign w:val="center"/>
          </w:tcPr>
          <w:p w14:paraId="653AFE5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560</w:t>
            </w:r>
          </w:p>
        </w:tc>
      </w:tr>
      <w:tr w14:paraId="42426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573" w:type="dxa"/>
            <w:vAlign w:val="center"/>
          </w:tcPr>
          <w:p w14:paraId="58B0E9E3">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297" w:type="dxa"/>
            <w:gridSpan w:val="3"/>
            <w:vAlign w:val="center"/>
          </w:tcPr>
          <w:p w14:paraId="1567AE8C">
            <w:pPr>
              <w:pStyle w:val="52"/>
              <w:rPr>
                <w:rFonts w:hint="default" w:ascii="Times New Roman" w:hAnsi="Times New Roman" w:cs="Times New Roman"/>
                <w:color w:val="auto"/>
              </w:rPr>
            </w:pPr>
            <w:r>
              <w:rPr>
                <w:rFonts w:hint="default" w:ascii="Times New Roman" w:hAnsi="Times New Roman" w:cs="Times New Roman"/>
                <w:color w:val="auto"/>
              </w:rPr>
              <w:t>表1-1    专项评价设置情况分析表</w:t>
            </w:r>
          </w:p>
          <w:tbl>
            <w:tblPr>
              <w:tblStyle w:val="20"/>
              <w:tblW w:w="4998" w:type="pct"/>
              <w:tblInd w:w="0" w:type="dxa"/>
              <w:tblLayout w:type="autofit"/>
              <w:tblCellMar>
                <w:top w:w="0" w:type="dxa"/>
                <w:left w:w="108" w:type="dxa"/>
                <w:bottom w:w="0" w:type="dxa"/>
                <w:right w:w="108" w:type="dxa"/>
              </w:tblCellMar>
            </w:tblPr>
            <w:tblGrid>
              <w:gridCol w:w="1022"/>
              <w:gridCol w:w="2272"/>
              <w:gridCol w:w="2840"/>
              <w:gridCol w:w="944"/>
            </w:tblGrid>
            <w:tr w14:paraId="1B039354">
              <w:tblPrEx>
                <w:tblCellMar>
                  <w:top w:w="0" w:type="dxa"/>
                  <w:left w:w="108" w:type="dxa"/>
                  <w:bottom w:w="0" w:type="dxa"/>
                  <w:right w:w="108" w:type="dxa"/>
                </w:tblCellMar>
              </w:tblPrEx>
              <w:trPr>
                <w:trHeight w:val="657"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17C10FB5">
                  <w:pPr>
                    <w:pStyle w:val="53"/>
                    <w:rPr>
                      <w:rFonts w:hint="default" w:ascii="Times New Roman" w:hAnsi="Times New Roman" w:cs="Times New Roman"/>
                      <w:color w:val="auto"/>
                    </w:rPr>
                  </w:pPr>
                  <w:r>
                    <w:rPr>
                      <w:rFonts w:hint="default" w:ascii="Times New Roman" w:hAnsi="Times New Roman" w:cs="Times New Roman"/>
                      <w:color w:val="auto"/>
                      <w:kern w:val="0"/>
                    </w:rPr>
                    <w:t>专项评价类别</w:t>
                  </w:r>
                </w:p>
              </w:tc>
              <w:tc>
                <w:tcPr>
                  <w:tcW w:w="1605" w:type="pct"/>
                  <w:tcBorders>
                    <w:top w:val="single" w:color="000000" w:sz="4" w:space="0"/>
                    <w:left w:val="single" w:color="000000" w:sz="4" w:space="0"/>
                    <w:bottom w:val="single" w:color="000000" w:sz="4" w:space="0"/>
                    <w:right w:val="single" w:color="000000" w:sz="4" w:space="0"/>
                  </w:tcBorders>
                  <w:vAlign w:val="center"/>
                </w:tcPr>
                <w:p w14:paraId="4BA95D7D">
                  <w:pPr>
                    <w:pStyle w:val="53"/>
                    <w:rPr>
                      <w:rFonts w:hint="default" w:ascii="Times New Roman" w:hAnsi="Times New Roman" w:cs="Times New Roman"/>
                      <w:color w:val="auto"/>
                    </w:rPr>
                  </w:pPr>
                  <w:r>
                    <w:rPr>
                      <w:rFonts w:hint="default" w:ascii="Times New Roman" w:hAnsi="Times New Roman" w:cs="Times New Roman"/>
                      <w:color w:val="auto"/>
                      <w:kern w:val="0"/>
                    </w:rPr>
                    <w:t>设置原则</w:t>
                  </w:r>
                </w:p>
              </w:tc>
              <w:tc>
                <w:tcPr>
                  <w:tcW w:w="2006" w:type="pct"/>
                  <w:tcBorders>
                    <w:top w:val="single" w:color="000000" w:sz="4" w:space="0"/>
                    <w:left w:val="single" w:color="000000" w:sz="4" w:space="0"/>
                    <w:bottom w:val="single" w:color="000000" w:sz="4" w:space="0"/>
                    <w:right w:val="single" w:color="000000" w:sz="4" w:space="0"/>
                  </w:tcBorders>
                  <w:vAlign w:val="center"/>
                </w:tcPr>
                <w:p w14:paraId="13E5F368">
                  <w:pPr>
                    <w:pStyle w:val="53"/>
                    <w:rPr>
                      <w:rFonts w:hint="default" w:ascii="Times New Roman" w:hAnsi="Times New Roman" w:cs="Times New Roman"/>
                      <w:color w:val="auto"/>
                    </w:rPr>
                  </w:pPr>
                  <w:r>
                    <w:rPr>
                      <w:rFonts w:hint="default" w:ascii="Times New Roman" w:hAnsi="Times New Roman" w:cs="Times New Roman"/>
                      <w:color w:val="auto"/>
                      <w:kern w:val="0"/>
                    </w:rPr>
                    <w:t>本项目情况</w:t>
                  </w:r>
                </w:p>
              </w:tc>
              <w:tc>
                <w:tcPr>
                  <w:tcW w:w="668" w:type="pct"/>
                  <w:tcBorders>
                    <w:top w:val="single" w:color="000000" w:sz="4" w:space="0"/>
                    <w:left w:val="single" w:color="000000" w:sz="4" w:space="0"/>
                    <w:bottom w:val="single" w:color="000000" w:sz="4" w:space="0"/>
                    <w:right w:val="single" w:color="000000" w:sz="4" w:space="0"/>
                  </w:tcBorders>
                  <w:vAlign w:val="center"/>
                </w:tcPr>
                <w:p w14:paraId="14A51B5E">
                  <w:pPr>
                    <w:pStyle w:val="53"/>
                    <w:rPr>
                      <w:rFonts w:hint="default" w:ascii="Times New Roman" w:hAnsi="Times New Roman" w:cs="Times New Roman"/>
                      <w:color w:val="auto"/>
                    </w:rPr>
                  </w:pPr>
                  <w:r>
                    <w:rPr>
                      <w:rFonts w:hint="default" w:ascii="Times New Roman" w:hAnsi="Times New Roman" w:cs="Times New Roman"/>
                      <w:color w:val="auto"/>
                      <w:kern w:val="0"/>
                    </w:rPr>
                    <w:t>是否设置专项</w:t>
                  </w:r>
                </w:p>
              </w:tc>
            </w:tr>
            <w:tr w14:paraId="2DBD1082">
              <w:tblPrEx>
                <w:tblCellMar>
                  <w:top w:w="0" w:type="dxa"/>
                  <w:left w:w="108" w:type="dxa"/>
                  <w:bottom w:w="0" w:type="dxa"/>
                  <w:right w:w="108" w:type="dxa"/>
                </w:tblCellMar>
              </w:tblPrEx>
              <w:trPr>
                <w:trHeight w:val="251"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65610A96">
                  <w:pPr>
                    <w:pStyle w:val="53"/>
                    <w:rPr>
                      <w:rFonts w:hint="default" w:ascii="Times New Roman" w:hAnsi="Times New Roman" w:cs="Times New Roman"/>
                      <w:color w:val="auto"/>
                    </w:rPr>
                  </w:pPr>
                  <w:r>
                    <w:rPr>
                      <w:rFonts w:hint="default" w:ascii="Times New Roman" w:hAnsi="Times New Roman" w:cs="Times New Roman"/>
                      <w:color w:val="auto"/>
                      <w:kern w:val="0"/>
                    </w:rPr>
                    <w:t>大气</w:t>
                  </w:r>
                </w:p>
              </w:tc>
              <w:tc>
                <w:tcPr>
                  <w:tcW w:w="1605" w:type="pct"/>
                  <w:tcBorders>
                    <w:top w:val="single" w:color="000000" w:sz="4" w:space="0"/>
                    <w:left w:val="single" w:color="000000" w:sz="4" w:space="0"/>
                    <w:bottom w:val="single" w:color="000000" w:sz="4" w:space="0"/>
                    <w:right w:val="single" w:color="000000" w:sz="4" w:space="0"/>
                  </w:tcBorders>
                  <w:vAlign w:val="center"/>
                </w:tcPr>
                <w:p w14:paraId="6BC128A6">
                  <w:pPr>
                    <w:pStyle w:val="53"/>
                    <w:rPr>
                      <w:rFonts w:hint="default" w:ascii="Times New Roman" w:hAnsi="Times New Roman" w:cs="Times New Roman"/>
                      <w:color w:val="auto"/>
                    </w:rPr>
                  </w:pPr>
                  <w:r>
                    <w:rPr>
                      <w:rFonts w:hint="default" w:ascii="Times New Roman" w:hAnsi="Times New Roman" w:cs="Times New Roman"/>
                      <w:color w:val="auto"/>
                      <w:kern w:val="0"/>
                    </w:rPr>
                    <w:t>排放废气含有毒有害污染物</w:t>
                  </w:r>
                  <w:r>
                    <w:rPr>
                      <w:rFonts w:hint="default" w:ascii="Times New Roman" w:hAnsi="Times New Roman" w:cs="Times New Roman"/>
                      <w:color w:val="auto"/>
                      <w:kern w:val="0"/>
                      <w:vertAlign w:val="superscript"/>
                    </w:rPr>
                    <w:t>1</w:t>
                  </w:r>
                  <w:r>
                    <w:rPr>
                      <w:rFonts w:hint="default" w:ascii="Times New Roman" w:hAnsi="Times New Roman" w:cs="Times New Roman"/>
                      <w:color w:val="auto"/>
                      <w:kern w:val="0"/>
                    </w:rPr>
                    <w:t>、二噁英、苯并[a]芘、氰化物、氯气且厂界外500米范围内有环境空气保护目标</w:t>
                  </w:r>
                  <w:r>
                    <w:rPr>
                      <w:rFonts w:hint="default" w:ascii="Times New Roman" w:hAnsi="Times New Roman" w:cs="Times New Roman"/>
                      <w:color w:val="auto"/>
                      <w:kern w:val="0"/>
                      <w:vertAlign w:val="superscript"/>
                    </w:rPr>
                    <w:t>2</w:t>
                  </w:r>
                  <w:r>
                    <w:rPr>
                      <w:rFonts w:hint="default" w:ascii="Times New Roman" w:hAnsi="Times New Roman" w:cs="Times New Roman"/>
                      <w:color w:val="auto"/>
                      <w:kern w:val="0"/>
                    </w:rPr>
                    <w:t>的建设项目。</w:t>
                  </w:r>
                </w:p>
              </w:tc>
              <w:tc>
                <w:tcPr>
                  <w:tcW w:w="2006" w:type="pct"/>
                  <w:tcBorders>
                    <w:top w:val="single" w:color="000000" w:sz="4" w:space="0"/>
                    <w:left w:val="single" w:color="000000" w:sz="4" w:space="0"/>
                    <w:bottom w:val="single" w:color="000000" w:sz="4" w:space="0"/>
                    <w:right w:val="single" w:color="000000" w:sz="4" w:space="0"/>
                  </w:tcBorders>
                  <w:vAlign w:val="center"/>
                </w:tcPr>
                <w:p w14:paraId="13EACBF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本项目排放的废气为颗粒物、非甲烷总烃，不涉及有毒有害气体排放。</w:t>
                  </w:r>
                </w:p>
              </w:tc>
              <w:tc>
                <w:tcPr>
                  <w:tcW w:w="668" w:type="pct"/>
                  <w:tcBorders>
                    <w:top w:val="single" w:color="000000" w:sz="4" w:space="0"/>
                    <w:left w:val="single" w:color="000000" w:sz="4" w:space="0"/>
                    <w:bottom w:val="single" w:color="000000" w:sz="4" w:space="0"/>
                    <w:right w:val="single" w:color="000000" w:sz="4" w:space="0"/>
                  </w:tcBorders>
                  <w:vAlign w:val="center"/>
                </w:tcPr>
                <w:p w14:paraId="6AB6CC95">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19F47CE4">
              <w:tblPrEx>
                <w:tblCellMar>
                  <w:top w:w="0" w:type="dxa"/>
                  <w:left w:w="108" w:type="dxa"/>
                  <w:bottom w:w="0" w:type="dxa"/>
                  <w:right w:w="108" w:type="dxa"/>
                </w:tblCellMar>
              </w:tblPrEx>
              <w:trPr>
                <w:trHeight w:val="265" w:hRule="atLeast"/>
              </w:trPr>
              <w:tc>
                <w:tcPr>
                  <w:tcW w:w="722" w:type="pct"/>
                  <w:tcBorders>
                    <w:top w:val="single" w:color="000000" w:sz="4" w:space="0"/>
                    <w:left w:val="single" w:color="000000" w:sz="4" w:space="0"/>
                    <w:bottom w:val="single" w:color="000000" w:sz="4" w:space="0"/>
                    <w:right w:val="single" w:color="000000" w:sz="4" w:space="0"/>
                  </w:tcBorders>
                  <w:noWrap/>
                  <w:vAlign w:val="center"/>
                </w:tcPr>
                <w:p w14:paraId="39859C71">
                  <w:pPr>
                    <w:pStyle w:val="53"/>
                    <w:rPr>
                      <w:rFonts w:hint="default" w:ascii="Times New Roman" w:hAnsi="Times New Roman" w:cs="Times New Roman"/>
                      <w:color w:val="auto"/>
                    </w:rPr>
                  </w:pPr>
                  <w:r>
                    <w:rPr>
                      <w:rFonts w:hint="default" w:ascii="Times New Roman" w:hAnsi="Times New Roman" w:cs="Times New Roman"/>
                      <w:color w:val="auto"/>
                      <w:kern w:val="0"/>
                    </w:rPr>
                    <w:t>地表水</w:t>
                  </w:r>
                </w:p>
              </w:tc>
              <w:tc>
                <w:tcPr>
                  <w:tcW w:w="1605" w:type="pct"/>
                  <w:tcBorders>
                    <w:top w:val="single" w:color="000000" w:sz="4" w:space="0"/>
                    <w:left w:val="single" w:color="000000" w:sz="4" w:space="0"/>
                    <w:bottom w:val="single" w:color="000000" w:sz="4" w:space="0"/>
                    <w:right w:val="single" w:color="000000" w:sz="4" w:space="0"/>
                  </w:tcBorders>
                  <w:vAlign w:val="center"/>
                </w:tcPr>
                <w:p w14:paraId="54D9EF30">
                  <w:pPr>
                    <w:pStyle w:val="53"/>
                    <w:rPr>
                      <w:rFonts w:hint="default" w:ascii="Times New Roman" w:hAnsi="Times New Roman" w:cs="Times New Roman"/>
                      <w:color w:val="auto"/>
                    </w:rPr>
                  </w:pPr>
                  <w:r>
                    <w:rPr>
                      <w:rFonts w:hint="default" w:ascii="Times New Roman" w:hAnsi="Times New Roman" w:cs="Times New Roman"/>
                      <w:color w:val="auto"/>
                      <w:kern w:val="0"/>
                    </w:rPr>
                    <w:t>新增工业废水直排建设项目（槽罐车外送污水处理厂的除外）；新增废水直排的污水集中处理厂。</w:t>
                  </w:r>
                </w:p>
              </w:tc>
              <w:tc>
                <w:tcPr>
                  <w:tcW w:w="2006" w:type="pct"/>
                  <w:tcBorders>
                    <w:top w:val="single" w:color="000000" w:sz="4" w:space="0"/>
                    <w:left w:val="single" w:color="000000" w:sz="4" w:space="0"/>
                    <w:bottom w:val="single" w:color="000000" w:sz="4" w:space="0"/>
                    <w:right w:val="single" w:color="000000" w:sz="4" w:space="0"/>
                  </w:tcBorders>
                  <w:vAlign w:val="center"/>
                </w:tcPr>
                <w:p w14:paraId="0B6FBC1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项目冷却塔冷却水循环使用，产生的</w:t>
                  </w:r>
                  <w:r>
                    <w:rPr>
                      <w:rFonts w:hint="eastAsia" w:ascii="Times New Roman" w:hAnsi="Times New Roman" w:eastAsia="宋体" w:cs="Times New Roman"/>
                      <w:color w:val="auto"/>
                      <w:sz w:val="21"/>
                      <w:szCs w:val="21"/>
                      <w:highlight w:val="none"/>
                      <w:lang w:val="en-US" w:eastAsia="zh-CN"/>
                    </w:rPr>
                    <w:t>生活污水经化粪池</w:t>
                  </w:r>
                  <w:r>
                    <w:rPr>
                      <w:rFonts w:hint="eastAsia" w:cs="Times New Roman"/>
                      <w:color w:val="auto"/>
                      <w:sz w:val="21"/>
                      <w:szCs w:val="21"/>
                      <w:highlight w:val="none"/>
                      <w:lang w:val="en-US" w:eastAsia="zh-CN"/>
                    </w:rPr>
                    <w:t>处理</w:t>
                  </w:r>
                  <w:r>
                    <w:rPr>
                      <w:rFonts w:hint="eastAsia" w:ascii="Times New Roman" w:hAnsi="Times New Roman" w:eastAsia="宋体" w:cs="Times New Roman"/>
                      <w:color w:val="auto"/>
                      <w:sz w:val="21"/>
                      <w:szCs w:val="21"/>
                      <w:highlight w:val="none"/>
                      <w:lang w:val="en-US" w:eastAsia="zh-CN"/>
                    </w:rPr>
                    <w:t>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s="Times New Roman"/>
                      <w:color w:val="auto"/>
                      <w:lang w:val="en-US" w:eastAsia="zh-CN"/>
                    </w:rPr>
                    <w:t>；</w:t>
                  </w:r>
                  <w:r>
                    <w:rPr>
                      <w:rFonts w:hint="eastAsia" w:cs="宋体"/>
                      <w:color w:val="auto"/>
                      <w:kern w:val="0"/>
                      <w:lang w:val="en-US" w:eastAsia="zh-CN"/>
                    </w:rPr>
                    <w:t>无工业废水直排。</w:t>
                  </w:r>
                </w:p>
              </w:tc>
              <w:tc>
                <w:tcPr>
                  <w:tcW w:w="668" w:type="pct"/>
                  <w:tcBorders>
                    <w:top w:val="single" w:color="000000" w:sz="4" w:space="0"/>
                    <w:left w:val="single" w:color="000000" w:sz="4" w:space="0"/>
                    <w:bottom w:val="single" w:color="000000" w:sz="4" w:space="0"/>
                    <w:right w:val="single" w:color="000000" w:sz="4" w:space="0"/>
                  </w:tcBorders>
                  <w:vAlign w:val="center"/>
                </w:tcPr>
                <w:p w14:paraId="415427AC">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0A83A997">
              <w:tblPrEx>
                <w:tblCellMar>
                  <w:top w:w="0" w:type="dxa"/>
                  <w:left w:w="108" w:type="dxa"/>
                  <w:bottom w:w="0" w:type="dxa"/>
                  <w:right w:w="108" w:type="dxa"/>
                </w:tblCellMar>
              </w:tblPrEx>
              <w:trPr>
                <w:trHeight w:val="90"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29540B98">
                  <w:pPr>
                    <w:pStyle w:val="53"/>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环境风险</w:t>
                  </w:r>
                </w:p>
              </w:tc>
              <w:tc>
                <w:tcPr>
                  <w:tcW w:w="1605" w:type="pct"/>
                  <w:tcBorders>
                    <w:top w:val="single" w:color="000000" w:sz="4" w:space="0"/>
                    <w:left w:val="single" w:color="000000" w:sz="4" w:space="0"/>
                    <w:bottom w:val="single" w:color="000000" w:sz="4" w:space="0"/>
                    <w:right w:val="single" w:color="000000" w:sz="4" w:space="0"/>
                  </w:tcBorders>
                  <w:vAlign w:val="center"/>
                </w:tcPr>
                <w:p w14:paraId="6851D878">
                  <w:pPr>
                    <w:pStyle w:val="53"/>
                    <w:rPr>
                      <w:rFonts w:hint="default" w:ascii="Times New Roman" w:hAnsi="Times New Roman" w:cs="Times New Roman"/>
                      <w:color w:val="auto"/>
                      <w:highlight w:val="none"/>
                    </w:rPr>
                  </w:pPr>
                  <w:r>
                    <w:rPr>
                      <w:rFonts w:hint="default" w:ascii="Times New Roman" w:hAnsi="Times New Roman" w:cs="Times New Roman"/>
                      <w:color w:val="auto"/>
                      <w:kern w:val="0"/>
                      <w:highlight w:val="none"/>
                    </w:rPr>
                    <w:t>有毒有害和易燃易爆危险物质存储量超过临界量的建设项目。</w:t>
                  </w:r>
                </w:p>
              </w:tc>
              <w:tc>
                <w:tcPr>
                  <w:tcW w:w="2006" w:type="pct"/>
                  <w:tcBorders>
                    <w:top w:val="single" w:color="000000" w:sz="4" w:space="0"/>
                    <w:left w:val="single" w:color="000000" w:sz="4" w:space="0"/>
                    <w:bottom w:val="single" w:color="000000" w:sz="4" w:space="0"/>
                    <w:right w:val="single" w:color="000000" w:sz="4" w:space="0"/>
                  </w:tcBorders>
                  <w:vAlign w:val="center"/>
                </w:tcPr>
                <w:p w14:paraId="214767EA">
                  <w:pPr>
                    <w:pStyle w:val="53"/>
                    <w:rPr>
                      <w:rFonts w:hint="eastAsia" w:ascii="Times New Roman" w:hAnsi="Times New Roman" w:eastAsia="宋体" w:cs="Times New Roman"/>
                      <w:color w:val="auto"/>
                      <w:lang w:val="en-US" w:eastAsia="zh-CN"/>
                    </w:rPr>
                  </w:pPr>
                  <w:r>
                    <w:rPr>
                      <w:rFonts w:hint="default" w:ascii="Times New Roman" w:hAnsi="Times New Roman" w:cs="Times New Roman"/>
                      <w:color w:val="auto"/>
                      <w:kern w:val="0"/>
                    </w:rPr>
                    <w:t>项目</w:t>
                  </w:r>
                  <w:r>
                    <w:rPr>
                      <w:rFonts w:hint="eastAsia" w:cs="Times New Roman"/>
                      <w:color w:val="auto"/>
                      <w:kern w:val="0"/>
                      <w:lang w:val="en-US" w:eastAsia="zh-CN"/>
                    </w:rPr>
                    <w:t>风险物质为过滤网残渣（焦油），经计算</w:t>
                  </w:r>
                  <w:r>
                    <w:rPr>
                      <w:rFonts w:hint="default" w:ascii="Times New Roman" w:hAnsi="Times New Roman" w:cs="Times New Roman"/>
                      <w:color w:val="auto"/>
                    </w:rPr>
                    <w:t>Q值为0.000</w:t>
                  </w:r>
                  <w:r>
                    <w:rPr>
                      <w:rFonts w:hint="eastAsia" w:cs="Times New Roman"/>
                      <w:color w:val="auto"/>
                      <w:lang w:val="en-US" w:eastAsia="zh-CN"/>
                    </w:rPr>
                    <w:t>1</w:t>
                  </w:r>
                  <w:r>
                    <w:rPr>
                      <w:rFonts w:hint="default" w:ascii="Times New Roman" w:hAnsi="Times New Roman" w:cs="Times New Roman"/>
                      <w:color w:val="auto"/>
                    </w:rPr>
                    <w:t>＜1</w:t>
                  </w:r>
                  <w:r>
                    <w:rPr>
                      <w:rFonts w:hint="eastAsia" w:ascii="Times New Roman" w:hAnsi="Times New Roman" w:cs="Times New Roman"/>
                      <w:color w:val="auto"/>
                      <w:lang w:eastAsia="zh-CN"/>
                    </w:rPr>
                    <w:t>。</w:t>
                  </w:r>
                </w:p>
              </w:tc>
              <w:tc>
                <w:tcPr>
                  <w:tcW w:w="668" w:type="pct"/>
                  <w:tcBorders>
                    <w:top w:val="single" w:color="000000" w:sz="4" w:space="0"/>
                    <w:left w:val="single" w:color="000000" w:sz="4" w:space="0"/>
                    <w:bottom w:val="single" w:color="000000" w:sz="4" w:space="0"/>
                    <w:right w:val="single" w:color="000000" w:sz="4" w:space="0"/>
                  </w:tcBorders>
                  <w:vAlign w:val="center"/>
                </w:tcPr>
                <w:p w14:paraId="436BEB9F">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5F731188">
              <w:tblPrEx>
                <w:tblCellMar>
                  <w:top w:w="0" w:type="dxa"/>
                  <w:left w:w="108" w:type="dxa"/>
                  <w:bottom w:w="0" w:type="dxa"/>
                  <w:right w:w="108" w:type="dxa"/>
                </w:tblCellMar>
              </w:tblPrEx>
              <w:trPr>
                <w:trHeight w:val="1104"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4D27E309">
                  <w:pPr>
                    <w:pStyle w:val="53"/>
                    <w:rPr>
                      <w:rFonts w:hint="default" w:ascii="Times New Roman" w:hAnsi="Times New Roman" w:cs="Times New Roman"/>
                      <w:color w:val="auto"/>
                    </w:rPr>
                  </w:pPr>
                  <w:r>
                    <w:rPr>
                      <w:rFonts w:hint="default" w:ascii="Times New Roman" w:hAnsi="Times New Roman" w:cs="Times New Roman"/>
                      <w:color w:val="auto"/>
                      <w:kern w:val="0"/>
                    </w:rPr>
                    <w:t>生态</w:t>
                  </w:r>
                </w:p>
              </w:tc>
              <w:tc>
                <w:tcPr>
                  <w:tcW w:w="1605" w:type="pct"/>
                  <w:tcBorders>
                    <w:top w:val="single" w:color="000000" w:sz="4" w:space="0"/>
                    <w:left w:val="single" w:color="000000" w:sz="4" w:space="0"/>
                    <w:bottom w:val="single" w:color="000000" w:sz="4" w:space="0"/>
                    <w:right w:val="single" w:color="000000" w:sz="4" w:space="0"/>
                  </w:tcBorders>
                  <w:vAlign w:val="center"/>
                </w:tcPr>
                <w:p w14:paraId="416071A5">
                  <w:pPr>
                    <w:pStyle w:val="53"/>
                    <w:rPr>
                      <w:rFonts w:hint="default" w:ascii="Times New Roman" w:hAnsi="Times New Roman" w:cs="Times New Roman"/>
                      <w:color w:val="auto"/>
                    </w:rPr>
                  </w:pPr>
                  <w:r>
                    <w:rPr>
                      <w:rFonts w:hint="default" w:ascii="Times New Roman" w:hAnsi="Times New Roman" w:cs="Times New Roman"/>
                      <w:color w:val="auto"/>
                      <w:kern w:val="0"/>
                    </w:rPr>
                    <w:t>取水口下游500米范围内有重要水生生物的自然产卵场、索饵场、越冬场和洄游通道的新增河道取水的污染类建设项目。</w:t>
                  </w:r>
                </w:p>
              </w:tc>
              <w:tc>
                <w:tcPr>
                  <w:tcW w:w="2006" w:type="pct"/>
                  <w:tcBorders>
                    <w:top w:val="single" w:color="000000" w:sz="4" w:space="0"/>
                    <w:left w:val="single" w:color="000000" w:sz="4" w:space="0"/>
                    <w:bottom w:val="single" w:color="000000" w:sz="4" w:space="0"/>
                    <w:right w:val="single" w:color="000000" w:sz="4" w:space="0"/>
                  </w:tcBorders>
                  <w:vAlign w:val="center"/>
                </w:tcPr>
                <w:p w14:paraId="46B29CEB">
                  <w:pPr>
                    <w:pStyle w:val="53"/>
                    <w:rPr>
                      <w:rFonts w:hint="default" w:ascii="Times New Roman" w:hAnsi="Times New Roman" w:cs="Times New Roman"/>
                      <w:color w:val="auto"/>
                    </w:rPr>
                  </w:pPr>
                  <w:r>
                    <w:rPr>
                      <w:rFonts w:hint="default" w:ascii="Times New Roman" w:hAnsi="Times New Roman" w:cs="Times New Roman"/>
                      <w:color w:val="auto"/>
                      <w:kern w:val="0"/>
                    </w:rPr>
                    <w:t>项目</w:t>
                  </w:r>
                  <w:r>
                    <w:rPr>
                      <w:rFonts w:hint="eastAsia" w:cs="Times New Roman"/>
                      <w:color w:val="auto"/>
                      <w:kern w:val="0"/>
                      <w:lang w:val="en-US" w:eastAsia="zh-CN"/>
                    </w:rPr>
                    <w:t>为塑料颗粒生产项目，</w:t>
                  </w:r>
                  <w:r>
                    <w:rPr>
                      <w:rFonts w:hint="default" w:ascii="Times New Roman" w:hAnsi="Times New Roman" w:cs="Times New Roman"/>
                      <w:color w:val="auto"/>
                      <w:kern w:val="0"/>
                    </w:rPr>
                    <w:t>不属于：取水口下游500米范围内有重要水生生物的自然产卵场、索饵场、越冬场和洄游通道的新增河道取水的污染类建设项目。</w:t>
                  </w:r>
                </w:p>
              </w:tc>
              <w:tc>
                <w:tcPr>
                  <w:tcW w:w="668" w:type="pct"/>
                  <w:tcBorders>
                    <w:top w:val="single" w:color="000000" w:sz="4" w:space="0"/>
                    <w:left w:val="single" w:color="000000" w:sz="4" w:space="0"/>
                    <w:bottom w:val="single" w:color="000000" w:sz="4" w:space="0"/>
                    <w:right w:val="single" w:color="000000" w:sz="4" w:space="0"/>
                  </w:tcBorders>
                  <w:vAlign w:val="center"/>
                </w:tcPr>
                <w:p w14:paraId="48E31C98">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148F0DA4">
              <w:tblPrEx>
                <w:tblCellMar>
                  <w:top w:w="0" w:type="dxa"/>
                  <w:left w:w="108" w:type="dxa"/>
                  <w:bottom w:w="0" w:type="dxa"/>
                  <w:right w:w="108" w:type="dxa"/>
                </w:tblCellMar>
              </w:tblPrEx>
              <w:trPr>
                <w:trHeight w:val="540" w:hRule="atLeast"/>
              </w:trPr>
              <w:tc>
                <w:tcPr>
                  <w:tcW w:w="722" w:type="pct"/>
                  <w:tcBorders>
                    <w:top w:val="single" w:color="000000" w:sz="4" w:space="0"/>
                    <w:left w:val="single" w:color="000000" w:sz="4" w:space="0"/>
                    <w:bottom w:val="single" w:color="000000" w:sz="4" w:space="0"/>
                    <w:right w:val="single" w:color="000000" w:sz="4" w:space="0"/>
                  </w:tcBorders>
                  <w:vAlign w:val="center"/>
                </w:tcPr>
                <w:p w14:paraId="2EA5B251">
                  <w:pPr>
                    <w:pStyle w:val="53"/>
                    <w:rPr>
                      <w:rFonts w:hint="default" w:ascii="Times New Roman" w:hAnsi="Times New Roman" w:cs="Times New Roman"/>
                      <w:color w:val="auto"/>
                    </w:rPr>
                  </w:pPr>
                  <w:r>
                    <w:rPr>
                      <w:rFonts w:hint="default" w:ascii="Times New Roman" w:hAnsi="Times New Roman" w:cs="Times New Roman"/>
                      <w:color w:val="auto"/>
                      <w:kern w:val="0"/>
                    </w:rPr>
                    <w:t>海洋</w:t>
                  </w:r>
                </w:p>
              </w:tc>
              <w:tc>
                <w:tcPr>
                  <w:tcW w:w="1605" w:type="pct"/>
                  <w:tcBorders>
                    <w:top w:val="single" w:color="000000" w:sz="4" w:space="0"/>
                    <w:left w:val="single" w:color="000000" w:sz="4" w:space="0"/>
                    <w:bottom w:val="single" w:color="000000" w:sz="4" w:space="0"/>
                    <w:right w:val="single" w:color="000000" w:sz="4" w:space="0"/>
                  </w:tcBorders>
                  <w:vAlign w:val="center"/>
                </w:tcPr>
                <w:p w14:paraId="49575EC6">
                  <w:pPr>
                    <w:pStyle w:val="53"/>
                    <w:rPr>
                      <w:rFonts w:hint="default" w:ascii="Times New Roman" w:hAnsi="Times New Roman" w:cs="Times New Roman"/>
                      <w:color w:val="auto"/>
                    </w:rPr>
                  </w:pPr>
                  <w:r>
                    <w:rPr>
                      <w:rFonts w:hint="default" w:ascii="Times New Roman" w:hAnsi="Times New Roman" w:cs="Times New Roman"/>
                      <w:color w:val="auto"/>
                      <w:kern w:val="0"/>
                    </w:rPr>
                    <w:t>直接向海排放污染物的海洋工程建设项目。</w:t>
                  </w:r>
                </w:p>
              </w:tc>
              <w:tc>
                <w:tcPr>
                  <w:tcW w:w="2006" w:type="pct"/>
                  <w:tcBorders>
                    <w:top w:val="single" w:color="000000" w:sz="4" w:space="0"/>
                    <w:left w:val="single" w:color="000000" w:sz="4" w:space="0"/>
                    <w:bottom w:val="single" w:color="000000" w:sz="4" w:space="0"/>
                    <w:right w:val="single" w:color="000000" w:sz="4" w:space="0"/>
                  </w:tcBorders>
                  <w:vAlign w:val="center"/>
                </w:tcPr>
                <w:p w14:paraId="5DCD460E">
                  <w:pPr>
                    <w:pStyle w:val="53"/>
                    <w:rPr>
                      <w:rFonts w:hint="default" w:ascii="Times New Roman" w:hAnsi="Times New Roman" w:cs="Times New Roman"/>
                      <w:color w:val="auto"/>
                    </w:rPr>
                  </w:pPr>
                  <w:r>
                    <w:rPr>
                      <w:rFonts w:hint="default" w:ascii="Times New Roman" w:hAnsi="Times New Roman" w:cs="Times New Roman"/>
                      <w:color w:val="auto"/>
                      <w:kern w:val="0"/>
                    </w:rPr>
                    <w:t>项目</w:t>
                  </w:r>
                  <w:r>
                    <w:rPr>
                      <w:rFonts w:hint="eastAsia" w:cs="Times New Roman"/>
                      <w:color w:val="auto"/>
                      <w:kern w:val="0"/>
                      <w:lang w:val="en-US" w:eastAsia="zh-CN"/>
                    </w:rPr>
                    <w:t>为塑料颗粒生产项目，</w:t>
                  </w:r>
                  <w:r>
                    <w:rPr>
                      <w:rFonts w:hint="default" w:ascii="Times New Roman" w:hAnsi="Times New Roman" w:cs="Times New Roman"/>
                      <w:color w:val="auto"/>
                      <w:kern w:val="0"/>
                    </w:rPr>
                    <w:t>不属于直接向海排放污染物的海洋工程建设项目。</w:t>
                  </w:r>
                </w:p>
              </w:tc>
              <w:tc>
                <w:tcPr>
                  <w:tcW w:w="668" w:type="pct"/>
                  <w:tcBorders>
                    <w:top w:val="single" w:color="000000" w:sz="4" w:space="0"/>
                    <w:left w:val="single" w:color="000000" w:sz="4" w:space="0"/>
                    <w:bottom w:val="single" w:color="000000" w:sz="4" w:space="0"/>
                    <w:right w:val="single" w:color="000000" w:sz="4" w:space="0"/>
                  </w:tcBorders>
                  <w:vAlign w:val="center"/>
                </w:tcPr>
                <w:p w14:paraId="6CCBABFE">
                  <w:pPr>
                    <w:pStyle w:val="53"/>
                    <w:rPr>
                      <w:rFonts w:hint="default" w:ascii="Times New Roman" w:hAnsi="Times New Roman" w:cs="Times New Roman"/>
                      <w:color w:val="auto"/>
                    </w:rPr>
                  </w:pPr>
                  <w:r>
                    <w:rPr>
                      <w:rFonts w:hint="default" w:ascii="Times New Roman" w:hAnsi="Times New Roman" w:cs="Times New Roman"/>
                      <w:color w:val="auto"/>
                      <w:kern w:val="0"/>
                    </w:rPr>
                    <w:t>否</w:t>
                  </w:r>
                </w:p>
              </w:tc>
            </w:tr>
            <w:tr w14:paraId="59103234">
              <w:tblPrEx>
                <w:tblCellMar>
                  <w:top w:w="0" w:type="dxa"/>
                  <w:left w:w="108" w:type="dxa"/>
                  <w:bottom w:w="0" w:type="dxa"/>
                  <w:right w:w="108" w:type="dxa"/>
                </w:tblCellMar>
              </w:tblPrEx>
              <w:trPr>
                <w:trHeight w:val="270" w:hRule="atLeast"/>
              </w:trPr>
              <w:tc>
                <w:tcPr>
                  <w:tcW w:w="5000" w:type="pct"/>
                  <w:gridSpan w:val="4"/>
                  <w:tcBorders>
                    <w:top w:val="single" w:color="000000" w:sz="4" w:space="0"/>
                    <w:left w:val="single" w:color="000000" w:sz="4" w:space="0"/>
                    <w:bottom w:val="single" w:color="000000" w:sz="4" w:space="0"/>
                    <w:right w:val="single" w:color="000000" w:sz="4" w:space="0"/>
                  </w:tcBorders>
                  <w:vAlign w:val="center"/>
                </w:tcPr>
                <w:p w14:paraId="437D1E6B">
                  <w:pPr>
                    <w:pStyle w:val="53"/>
                    <w:jc w:val="left"/>
                    <w:rPr>
                      <w:rFonts w:hint="default" w:ascii="Times New Roman" w:hAnsi="Times New Roman" w:cs="Times New Roman"/>
                      <w:color w:val="auto"/>
                      <w:kern w:val="0"/>
                    </w:rPr>
                  </w:pPr>
                  <w:r>
                    <w:rPr>
                      <w:rFonts w:hint="default" w:ascii="Times New Roman" w:hAnsi="Times New Roman" w:cs="Times New Roman"/>
                      <w:color w:val="auto"/>
                      <w:kern w:val="0"/>
                    </w:rPr>
                    <w:t>注：1.废气中有毒有害污染物指纳入《有毒有害大气污染物名录》的污染物（不包括无排放标准的污染物）。</w:t>
                  </w:r>
                </w:p>
                <w:p w14:paraId="2E187CDC">
                  <w:pPr>
                    <w:pStyle w:val="53"/>
                    <w:jc w:val="left"/>
                    <w:rPr>
                      <w:rFonts w:hint="default" w:ascii="Times New Roman" w:hAnsi="Times New Roman" w:cs="Times New Roman"/>
                      <w:color w:val="auto"/>
                      <w:kern w:val="0"/>
                    </w:rPr>
                  </w:pPr>
                  <w:r>
                    <w:rPr>
                      <w:rFonts w:hint="default" w:ascii="Times New Roman" w:hAnsi="Times New Roman" w:cs="Times New Roman"/>
                      <w:color w:val="auto"/>
                      <w:kern w:val="0"/>
                    </w:rPr>
                    <w:t>2.环境空气保护目标指自然保护区、风景名胜区、居住区、文化区和农村地区中人群较集中的区域。</w:t>
                  </w:r>
                </w:p>
                <w:p w14:paraId="510659EC">
                  <w:pPr>
                    <w:pStyle w:val="53"/>
                    <w:jc w:val="left"/>
                    <w:rPr>
                      <w:rFonts w:hint="default" w:ascii="Times New Roman" w:hAnsi="Times New Roman" w:cs="Times New Roman"/>
                      <w:color w:val="auto"/>
                    </w:rPr>
                  </w:pPr>
                  <w:r>
                    <w:rPr>
                      <w:rFonts w:hint="default" w:ascii="Times New Roman" w:hAnsi="Times New Roman" w:cs="Times New Roman"/>
                      <w:color w:val="auto"/>
                      <w:kern w:val="0"/>
                    </w:rPr>
                    <w:t>3.临界量及其计算方法可参考《建设项目环境风险评价技术导则》（HJ169）附录B、附录C。</w:t>
                  </w:r>
                </w:p>
              </w:tc>
            </w:tr>
          </w:tbl>
          <w:p w14:paraId="6310C252">
            <w:pPr>
              <w:pStyle w:val="51"/>
              <w:ind w:firstLine="480"/>
              <w:rPr>
                <w:rFonts w:hint="default" w:ascii="Times New Roman" w:hAnsi="Times New Roman" w:cs="Times New Roman"/>
                <w:color w:val="auto"/>
                <w:kern w:val="0"/>
              </w:rPr>
            </w:pPr>
            <w:r>
              <w:rPr>
                <w:rFonts w:hint="default" w:ascii="Times New Roman" w:hAnsi="Times New Roman" w:cs="Times New Roman"/>
                <w:color w:val="auto"/>
                <w:kern w:val="0"/>
              </w:rPr>
              <w:t>综上所述，项目</w:t>
            </w:r>
            <w:r>
              <w:rPr>
                <w:rFonts w:hint="eastAsia" w:cs="Times New Roman"/>
                <w:color w:val="auto"/>
                <w:kern w:val="0"/>
                <w:lang w:eastAsia="zh-CN"/>
              </w:rPr>
              <w:t>无须设置</w:t>
            </w:r>
            <w:r>
              <w:rPr>
                <w:rFonts w:hint="default" w:ascii="Times New Roman" w:hAnsi="Times New Roman" w:cs="Times New Roman"/>
                <w:color w:val="auto"/>
                <w:kern w:val="0"/>
              </w:rPr>
              <w:t>专项评价。</w:t>
            </w:r>
          </w:p>
        </w:tc>
      </w:tr>
      <w:tr w14:paraId="02EA4F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573" w:type="dxa"/>
            <w:vAlign w:val="center"/>
          </w:tcPr>
          <w:p w14:paraId="4EAB2428">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297" w:type="dxa"/>
            <w:gridSpan w:val="3"/>
            <w:vAlign w:val="center"/>
          </w:tcPr>
          <w:p w14:paraId="3C71EA4A">
            <w:pPr>
              <w:pStyle w:val="51"/>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无</w:t>
            </w:r>
          </w:p>
        </w:tc>
      </w:tr>
      <w:tr w14:paraId="3A0B8E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573" w:type="dxa"/>
            <w:vAlign w:val="center"/>
          </w:tcPr>
          <w:p w14:paraId="6D1AA48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4E5BB72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297" w:type="dxa"/>
            <w:gridSpan w:val="3"/>
            <w:vAlign w:val="center"/>
          </w:tcPr>
          <w:p w14:paraId="657FB14F">
            <w:pPr>
              <w:pStyle w:val="51"/>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无</w:t>
            </w:r>
          </w:p>
        </w:tc>
      </w:tr>
      <w:tr w14:paraId="5842B7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573" w:type="dxa"/>
            <w:vAlign w:val="center"/>
          </w:tcPr>
          <w:p w14:paraId="620B79C2">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规划及规划环境影响评价符合性分析</w:t>
            </w:r>
          </w:p>
        </w:tc>
        <w:tc>
          <w:tcPr>
            <w:tcW w:w="7297" w:type="dxa"/>
            <w:gridSpan w:val="3"/>
            <w:vAlign w:val="center"/>
          </w:tcPr>
          <w:p w14:paraId="07604305">
            <w:pPr>
              <w:pStyle w:val="51"/>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无</w:t>
            </w:r>
          </w:p>
        </w:tc>
      </w:tr>
      <w:tr w14:paraId="56CAE9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1573" w:type="dxa"/>
            <w:vAlign w:val="center"/>
          </w:tcPr>
          <w:p w14:paraId="06D2747E">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297" w:type="dxa"/>
            <w:gridSpan w:val="3"/>
            <w:vAlign w:val="center"/>
          </w:tcPr>
          <w:p w14:paraId="78D6341A">
            <w:pPr>
              <w:pStyle w:val="51"/>
              <w:ind w:firstLine="482"/>
              <w:rPr>
                <w:rFonts w:hint="default" w:ascii="Times New Roman" w:hAnsi="Times New Roman" w:cs="Times New Roman"/>
                <w:b/>
                <w:bCs/>
                <w:color w:val="auto"/>
              </w:rPr>
            </w:pPr>
            <w:r>
              <w:rPr>
                <w:rFonts w:hint="default" w:ascii="Times New Roman" w:hAnsi="Times New Roman" w:cs="Times New Roman"/>
                <w:b/>
                <w:color w:val="auto"/>
                <w:kern w:val="0"/>
              </w:rPr>
              <w:t>1、</w:t>
            </w:r>
            <w:r>
              <w:rPr>
                <w:rFonts w:hint="default" w:ascii="Times New Roman" w:hAnsi="Times New Roman" w:cs="Times New Roman"/>
                <w:b/>
                <w:color w:val="auto"/>
              </w:rPr>
              <w:t>产业政策符合性分析</w:t>
            </w:r>
          </w:p>
          <w:p w14:paraId="32BFA6B1">
            <w:pPr>
              <w:pStyle w:val="51"/>
              <w:ind w:firstLine="480"/>
              <w:rPr>
                <w:rFonts w:hint="default" w:ascii="Times New Roman" w:hAnsi="Times New Roman" w:cs="Times New Roman"/>
                <w:color w:val="auto"/>
              </w:rPr>
            </w:pPr>
            <w:r>
              <w:rPr>
                <w:rFonts w:hint="default" w:ascii="Times New Roman" w:hAnsi="Times New Roman" w:cs="Times New Roman"/>
                <w:color w:val="auto"/>
              </w:rPr>
              <w:t>本项目为</w:t>
            </w:r>
            <w:r>
              <w:rPr>
                <w:rFonts w:hint="eastAsia" w:cs="Times New Roman"/>
                <w:color w:val="auto"/>
                <w:highlight w:val="none"/>
                <w:lang w:val="en-US" w:eastAsia="zh-CN"/>
              </w:rPr>
              <w:t>塑料颗粒生产</w:t>
            </w:r>
            <w:r>
              <w:rPr>
                <w:rFonts w:hint="default" w:ascii="Times New Roman" w:hAnsi="Times New Roman" w:cs="Times New Roman"/>
                <w:color w:val="auto"/>
                <w:highlight w:val="none"/>
              </w:rPr>
              <w:t>项目</w:t>
            </w:r>
            <w:r>
              <w:rPr>
                <w:rFonts w:hint="default" w:ascii="Times New Roman" w:hAnsi="Times New Roman" w:cs="Times New Roman"/>
                <w:color w:val="auto"/>
              </w:rPr>
              <w:t>，根据《产业结构调整指导目录》（2024年本），</w:t>
            </w:r>
            <w:r>
              <w:rPr>
                <w:rFonts w:hint="default" w:ascii="Times New Roman" w:hAnsi="Times New Roman" w:cs="Times New Roman"/>
                <w:color w:val="auto"/>
                <w:sz w:val="24"/>
                <w:szCs w:val="24"/>
                <w:lang w:val="zh-CN"/>
              </w:rPr>
              <w:t>本项目属于</w:t>
            </w:r>
            <w:r>
              <w:rPr>
                <w:rFonts w:hint="default" w:ascii="Times New Roman" w:hAnsi="Times New Roman" w:cs="Times New Roman"/>
                <w:color w:val="auto"/>
                <w:sz w:val="24"/>
                <w:szCs w:val="24"/>
                <w:lang w:val="en-US" w:eastAsia="zh-CN"/>
              </w:rPr>
              <w:t>鼓励类中，</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四十</w:t>
            </w:r>
            <w:r>
              <w:rPr>
                <w:rFonts w:hint="eastAsia" w:ascii="Times New Roman" w:hAnsi="Times New Roman" w:cs="Times New Roman"/>
                <w:color w:val="auto"/>
                <w:sz w:val="24"/>
                <w:szCs w:val="24"/>
                <w:lang w:val="en-US" w:eastAsia="zh-CN"/>
              </w:rPr>
              <w:t>二</w:t>
            </w:r>
            <w:r>
              <w:rPr>
                <w:rFonts w:hint="default" w:ascii="Times New Roman" w:hAnsi="Times New Roman" w:cs="Times New Roman"/>
                <w:color w:val="auto"/>
                <w:sz w:val="24"/>
                <w:szCs w:val="24"/>
                <w:lang w:val="en-US" w:eastAsia="zh-CN"/>
              </w:rPr>
              <w:t xml:space="preserve"> 环境保护与资源节约综合利用</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中</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废弃物循环利用：</w:t>
            </w:r>
            <w:r>
              <w:rPr>
                <w:rFonts w:ascii="宋体" w:hAnsi="宋体" w:eastAsia="宋体" w:cs="宋体"/>
                <w:color w:val="auto"/>
                <w:sz w:val="24"/>
                <w:szCs w:val="24"/>
              </w:rPr>
              <w:t>废钢铁、废有色金属、废纸、废橡胶</w:t>
            </w:r>
            <w:r>
              <w:rPr>
                <w:rFonts w:hint="eastAsia" w:ascii="宋体" w:hAnsi="宋体" w:cs="宋体"/>
                <w:color w:val="auto"/>
                <w:sz w:val="24"/>
                <w:szCs w:val="24"/>
                <w:lang w:eastAsia="zh-CN"/>
              </w:rPr>
              <w:t>、</w:t>
            </w:r>
            <w:r>
              <w:rPr>
                <w:rFonts w:ascii="宋体" w:hAnsi="宋体" w:eastAsia="宋体" w:cs="宋体"/>
                <w:color w:val="auto"/>
                <w:sz w:val="24"/>
                <w:szCs w:val="24"/>
              </w:rPr>
              <w:t>废玻璃、废塑料、废旧木材以及报废汽车、废弃电器电子产品、废旧船舶、废旧电池、废轮胎、废弃木质材料、废旧农具、废旧纺织品及纺织废料和边角料、废旧光伏组件、废旧风机叶片、废弃油脂等城市典型废弃物循环利用、技术设备开发及应用</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rPr>
              <w:t>属于国家鼓励类项目。</w:t>
            </w:r>
            <w:r>
              <w:rPr>
                <w:rFonts w:hint="default" w:ascii="Times New Roman" w:hAnsi="Times New Roman" w:cs="Times New Roman"/>
                <w:color w:val="auto"/>
                <w:highlight w:val="none"/>
              </w:rPr>
              <w:t>项目于202</w:t>
            </w:r>
            <w:r>
              <w:rPr>
                <w:rFonts w:hint="eastAsia" w:cs="Times New Roman"/>
                <w:color w:val="auto"/>
                <w:highlight w:val="none"/>
                <w:lang w:val="en-US" w:eastAsia="zh-CN"/>
              </w:rPr>
              <w:t>5</w:t>
            </w:r>
            <w:r>
              <w:rPr>
                <w:rFonts w:hint="default" w:ascii="Times New Roman" w:hAnsi="Times New Roman" w:cs="Times New Roman"/>
                <w:color w:val="auto"/>
                <w:highlight w:val="none"/>
              </w:rPr>
              <w:t>年</w:t>
            </w:r>
            <w:r>
              <w:rPr>
                <w:rFonts w:hint="eastAsia" w:cs="Times New Roman"/>
                <w:color w:val="auto"/>
                <w:highlight w:val="none"/>
                <w:lang w:val="en-US" w:eastAsia="zh-CN"/>
              </w:rPr>
              <w:t>4</w:t>
            </w:r>
            <w:r>
              <w:rPr>
                <w:rFonts w:hint="default" w:ascii="Times New Roman" w:hAnsi="Times New Roman" w:cs="Times New Roman"/>
                <w:color w:val="auto"/>
                <w:highlight w:val="none"/>
              </w:rPr>
              <w:t>月</w:t>
            </w:r>
            <w:r>
              <w:rPr>
                <w:rFonts w:hint="eastAsia" w:cs="Times New Roman"/>
                <w:color w:val="auto"/>
                <w:highlight w:val="none"/>
                <w:lang w:val="en-US" w:eastAsia="zh-CN"/>
              </w:rPr>
              <w:t>25</w:t>
            </w:r>
            <w:r>
              <w:rPr>
                <w:rFonts w:hint="default" w:ascii="Times New Roman" w:hAnsi="Times New Roman" w:cs="Times New Roman"/>
                <w:color w:val="auto"/>
                <w:highlight w:val="none"/>
              </w:rPr>
              <w:t>日取得</w:t>
            </w:r>
            <w:r>
              <w:rPr>
                <w:rFonts w:hint="eastAsia" w:cs="Times New Roman"/>
                <w:color w:val="auto"/>
                <w:highlight w:val="none"/>
                <w:lang w:val="en-US" w:eastAsia="zh-CN"/>
              </w:rPr>
              <w:t>曲靖市麒麟区</w:t>
            </w:r>
            <w:r>
              <w:rPr>
                <w:rFonts w:hint="default" w:ascii="Times New Roman" w:hAnsi="Times New Roman" w:cs="Times New Roman"/>
                <w:color w:val="auto"/>
                <w:highlight w:val="none"/>
              </w:rPr>
              <w:t>发展和改革局下发的投资项目备案证（项目代码：</w:t>
            </w:r>
            <w:r>
              <w:rPr>
                <w:rFonts w:hint="eastAsia" w:cs="Times New Roman"/>
                <w:color w:val="auto"/>
                <w:lang w:val="en-US" w:eastAsia="zh-CN"/>
              </w:rPr>
              <w:t>2504-530302-04-02-434661</w:t>
            </w:r>
            <w:r>
              <w:rPr>
                <w:rFonts w:hint="default" w:ascii="Times New Roman" w:hAnsi="Times New Roman" w:cs="Times New Roman"/>
                <w:color w:val="auto"/>
                <w:highlight w:val="none"/>
              </w:rPr>
              <w:t>）。</w:t>
            </w:r>
            <w:r>
              <w:rPr>
                <w:rFonts w:hint="default" w:ascii="Times New Roman" w:hAnsi="Times New Roman" w:cs="Times New Roman"/>
                <w:color w:val="auto"/>
              </w:rPr>
              <w:t xml:space="preserve">综上所述，项目符合国家产业政策。 </w:t>
            </w:r>
          </w:p>
          <w:p w14:paraId="6F3C3750">
            <w:pPr>
              <w:pStyle w:val="51"/>
              <w:ind w:firstLine="482"/>
              <w:rPr>
                <w:rFonts w:hint="eastAsia" w:cs="宋体"/>
                <w:color w:val="auto"/>
                <w:kern w:val="2"/>
                <w:lang w:val="en-US" w:eastAsia="zh-CN"/>
              </w:rPr>
            </w:pPr>
            <w:r>
              <w:rPr>
                <w:rFonts w:hint="default" w:ascii="Times New Roman" w:hAnsi="Times New Roman" w:cs="Times New Roman"/>
                <w:b/>
                <w:color w:val="auto"/>
                <w:kern w:val="0"/>
              </w:rPr>
              <w:t>2、</w:t>
            </w:r>
            <w:r>
              <w:rPr>
                <w:rFonts w:hint="default" w:ascii="Times New Roman" w:hAnsi="Times New Roman" w:cs="Times New Roman"/>
                <w:b/>
                <w:color w:val="auto"/>
              </w:rPr>
              <w:t xml:space="preserve">“三线一单”符合性分析 </w:t>
            </w:r>
          </w:p>
          <w:p w14:paraId="4A6992AF">
            <w:pPr>
              <w:pStyle w:val="51"/>
              <w:bidi w:val="0"/>
              <w:rPr>
                <w:rFonts w:hint="default"/>
                <w:color w:val="auto"/>
              </w:rPr>
            </w:pPr>
            <w:r>
              <w:rPr>
                <w:rFonts w:hint="default" w:ascii="Times New Roman" w:hAnsi="Times New Roman" w:cs="Times New Roman"/>
                <w:color w:val="auto"/>
                <w:szCs w:val="32"/>
              </w:rPr>
              <w:t>本项目选址于云南省</w:t>
            </w:r>
            <w:r>
              <w:rPr>
                <w:rFonts w:hint="eastAsia" w:cs="Times New Roman"/>
                <w:color w:val="auto"/>
                <w:szCs w:val="21"/>
                <w:lang w:eastAsia="zh-CN"/>
              </w:rPr>
              <w:t>曲靖市麒麟区越州镇老吴村委会（原平板玻璃厂内）</w:t>
            </w:r>
            <w:r>
              <w:rPr>
                <w:rFonts w:hint="default"/>
                <w:color w:val="auto"/>
              </w:rPr>
              <w:t>，根据</w:t>
            </w:r>
            <w:r>
              <w:rPr>
                <w:rFonts w:hint="eastAsia"/>
                <w:color w:val="auto"/>
                <w:lang w:eastAsia="zh-CN"/>
              </w:rPr>
              <w:t>“</w:t>
            </w:r>
            <w:r>
              <w:rPr>
                <w:rFonts w:hint="eastAsia"/>
                <w:color w:val="auto"/>
                <w:lang w:val="en-US" w:eastAsia="zh-CN"/>
              </w:rPr>
              <w:t>三区三线</w:t>
            </w:r>
            <w:r>
              <w:rPr>
                <w:rFonts w:hint="eastAsia"/>
                <w:color w:val="auto"/>
                <w:lang w:eastAsia="zh-CN"/>
              </w:rPr>
              <w:t>”</w:t>
            </w:r>
            <w:r>
              <w:rPr>
                <w:rFonts w:hint="default"/>
                <w:color w:val="auto"/>
              </w:rPr>
              <w:t>查询结果（见附件），</w:t>
            </w:r>
            <w:r>
              <w:rPr>
                <w:rFonts w:hint="eastAsia"/>
                <w:color w:val="auto"/>
                <w:lang w:val="en-US" w:eastAsia="zh-CN"/>
              </w:rPr>
              <w:t>项目</w:t>
            </w:r>
            <w:r>
              <w:rPr>
                <w:rFonts w:hint="default"/>
                <w:color w:val="auto"/>
              </w:rPr>
              <w:t>用地范围不</w:t>
            </w:r>
            <w:r>
              <w:rPr>
                <w:rFonts w:hint="eastAsia"/>
                <w:color w:val="auto"/>
                <w:lang w:val="en-US" w:eastAsia="zh-CN"/>
              </w:rPr>
              <w:t>涉及</w:t>
            </w:r>
            <w:r>
              <w:rPr>
                <w:rFonts w:hint="default"/>
                <w:color w:val="auto"/>
              </w:rPr>
              <w:t>生态保护红线。</w:t>
            </w:r>
          </w:p>
          <w:p w14:paraId="084D4405">
            <w:pPr>
              <w:pStyle w:val="51"/>
              <w:bidi w:val="0"/>
              <w:rPr>
                <w:rFonts w:hint="default"/>
                <w:color w:val="auto"/>
              </w:rPr>
            </w:pPr>
            <w:r>
              <w:rPr>
                <w:rFonts w:hint="eastAsia"/>
                <w:color w:val="auto"/>
                <w:lang w:val="en-US" w:eastAsia="zh-CN"/>
              </w:rPr>
              <w:t>2024年7月15日曲靖市生态环境局印发《曲靖市生态环境分区管控动态更新方案（2023年）》（曲环通〔2024〕36号），更新后，全市共划定91个环境管控单元：优先保护单元27个、重点管控单元55个、一般管控单元9个。麒麟区划分11个生态环境管控单元</w:t>
            </w:r>
            <w:r>
              <w:rPr>
                <w:rFonts w:hint="eastAsia" w:ascii="Times New Roman" w:hAnsi="Times New Roman" w:eastAsia="宋体" w:cs="Times New Roman"/>
                <w:b w:val="0"/>
                <w:bCs w:val="0"/>
                <w:color w:val="auto"/>
                <w:szCs w:val="24"/>
                <w:highlight w:val="none"/>
                <w:lang w:val="en-US" w:eastAsia="zh-CN"/>
              </w:rPr>
              <w:t>，其中3个优先保护单元、7个重点管控单元和1个一般管控单元。</w:t>
            </w:r>
            <w:r>
              <w:rPr>
                <w:rFonts w:hint="default"/>
                <w:color w:val="auto"/>
              </w:rPr>
              <w:t>根据查询，项目属于</w:t>
            </w:r>
            <w:r>
              <w:rPr>
                <w:color w:val="auto"/>
              </w:rPr>
              <w:t>ZH53030220004（麒麟区农业农村面源污染重点管控单元）</w:t>
            </w:r>
            <w:r>
              <w:rPr>
                <w:rFonts w:hint="default"/>
                <w:color w:val="auto"/>
              </w:rPr>
              <w:t>。</w:t>
            </w:r>
          </w:p>
          <w:p w14:paraId="42F099B0">
            <w:pPr>
              <w:pStyle w:val="51"/>
              <w:ind w:firstLine="480"/>
              <w:rPr>
                <w:rFonts w:hint="default" w:ascii="Times New Roman" w:hAnsi="Times New Roman" w:cs="Times New Roman"/>
                <w:color w:val="auto"/>
                <w:szCs w:val="32"/>
              </w:rPr>
            </w:pPr>
            <w:r>
              <w:rPr>
                <w:rFonts w:hint="default" w:ascii="Times New Roman" w:hAnsi="Times New Roman" w:cs="Times New Roman"/>
                <w:color w:val="auto"/>
                <w:kern w:val="0"/>
              </w:rPr>
              <w:t>本项目与《曲靖市人民政府关于印发曲靖市“三线一单”生态环境分区管控实施方案的通知》（曲政发〔2021〕27号）</w:t>
            </w:r>
            <w:r>
              <w:rPr>
                <w:rFonts w:hint="eastAsia" w:cs="宋体"/>
                <w:color w:val="auto"/>
                <w:kern w:val="2"/>
                <w:lang w:val="en-US" w:eastAsia="zh-CN"/>
              </w:rPr>
              <w:t>及《曲靖市生态环境分区管控动态更新方案（2023年）》（曲环通〔2024〕36号）</w:t>
            </w:r>
            <w:r>
              <w:rPr>
                <w:rFonts w:hint="default" w:ascii="Times New Roman" w:hAnsi="Times New Roman" w:cs="Times New Roman"/>
                <w:color w:val="auto"/>
                <w:kern w:val="0"/>
              </w:rPr>
              <w:t>符合性分析见表1-4。</w:t>
            </w:r>
          </w:p>
          <w:p w14:paraId="21726E10">
            <w:pPr>
              <w:ind w:left="0" w:leftChars="0"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表1-4   项目与曲靖市“三线一单”符合性分析</w:t>
            </w:r>
          </w:p>
          <w:tbl>
            <w:tblPr>
              <w:tblStyle w:val="20"/>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426"/>
              <w:gridCol w:w="426"/>
              <w:gridCol w:w="2406"/>
              <w:gridCol w:w="2538"/>
              <w:gridCol w:w="527"/>
            </w:tblGrid>
            <w:tr w14:paraId="5E0E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4" w:type="pct"/>
                  <w:vAlign w:val="center"/>
                </w:tcPr>
                <w:p w14:paraId="1764D83F">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2306" w:type="pct"/>
                  <w:gridSpan w:val="3"/>
                  <w:vAlign w:val="center"/>
                </w:tcPr>
                <w:p w14:paraId="5FBA1565">
                  <w:pPr>
                    <w:pStyle w:val="53"/>
                    <w:rPr>
                      <w:rFonts w:hint="default" w:ascii="Times New Roman" w:hAnsi="Times New Roman" w:cs="Times New Roman"/>
                      <w:color w:val="auto"/>
                    </w:rPr>
                  </w:pPr>
                  <w:r>
                    <w:rPr>
                      <w:rFonts w:hint="default" w:ascii="Times New Roman" w:hAnsi="Times New Roman" w:cs="Times New Roman"/>
                      <w:color w:val="auto"/>
                    </w:rPr>
                    <w:t>曲政发〔2021〕27号</w:t>
                  </w:r>
                </w:p>
              </w:tc>
              <w:tc>
                <w:tcPr>
                  <w:tcW w:w="1796" w:type="pct"/>
                  <w:vAlign w:val="center"/>
                </w:tcPr>
                <w:p w14:paraId="0D99BEEA">
                  <w:pPr>
                    <w:pStyle w:val="53"/>
                    <w:rPr>
                      <w:rFonts w:hint="default" w:ascii="Times New Roman" w:hAnsi="Times New Roman" w:cs="Times New Roman"/>
                      <w:color w:val="auto"/>
                    </w:rPr>
                  </w:pPr>
                  <w:r>
                    <w:rPr>
                      <w:rFonts w:hint="default" w:ascii="Times New Roman" w:hAnsi="Times New Roman" w:cs="Times New Roman"/>
                      <w:color w:val="auto"/>
                    </w:rPr>
                    <w:t>项目建设情况</w:t>
                  </w:r>
                </w:p>
              </w:tc>
              <w:tc>
                <w:tcPr>
                  <w:tcW w:w="373" w:type="pct"/>
                  <w:vAlign w:val="center"/>
                </w:tcPr>
                <w:p w14:paraId="52263675">
                  <w:pPr>
                    <w:pStyle w:val="53"/>
                    <w:rPr>
                      <w:rFonts w:hint="default" w:ascii="Times New Roman" w:hAnsi="Times New Roman" w:cs="Times New Roman"/>
                      <w:color w:val="auto"/>
                    </w:rPr>
                  </w:pPr>
                  <w:r>
                    <w:rPr>
                      <w:rFonts w:hint="default" w:ascii="Times New Roman" w:hAnsi="Times New Roman" w:cs="Times New Roman"/>
                      <w:color w:val="auto"/>
                    </w:rPr>
                    <w:t>符合性</w:t>
                  </w:r>
                </w:p>
              </w:tc>
            </w:tr>
            <w:tr w14:paraId="053C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Align w:val="center"/>
                </w:tcPr>
                <w:p w14:paraId="50B264B4">
                  <w:pPr>
                    <w:pStyle w:val="53"/>
                    <w:rPr>
                      <w:rFonts w:hint="default" w:ascii="Times New Roman" w:hAnsi="Times New Roman" w:cs="Times New Roman"/>
                      <w:color w:val="auto"/>
                    </w:rPr>
                  </w:pPr>
                  <w:r>
                    <w:rPr>
                      <w:rFonts w:hint="default" w:ascii="Times New Roman" w:hAnsi="Times New Roman" w:cs="Times New Roman"/>
                      <w:color w:val="auto"/>
                    </w:rPr>
                    <w:t>（1）生态保护红线</w:t>
                  </w:r>
                </w:p>
                <w:p w14:paraId="2EBDDA86">
                  <w:pPr>
                    <w:pStyle w:val="53"/>
                    <w:rPr>
                      <w:rFonts w:hint="default" w:ascii="Times New Roman" w:hAnsi="Times New Roman" w:cs="Times New Roman"/>
                      <w:color w:val="auto"/>
                    </w:rPr>
                  </w:pPr>
                </w:p>
              </w:tc>
              <w:tc>
                <w:tcPr>
                  <w:tcW w:w="2306" w:type="pct"/>
                  <w:gridSpan w:val="3"/>
                  <w:vAlign w:val="center"/>
                </w:tcPr>
                <w:p w14:paraId="40AD2AD3">
                  <w:pPr>
                    <w:pStyle w:val="53"/>
                    <w:rPr>
                      <w:rFonts w:hint="default" w:ascii="Times New Roman" w:hAnsi="Times New Roman" w:cs="Times New Roman"/>
                      <w:color w:val="auto"/>
                    </w:rPr>
                  </w:pPr>
                  <w:r>
                    <w:rPr>
                      <w:rFonts w:hint="default" w:ascii="Times New Roman" w:hAnsi="Times New Roman" w:cs="Times New Roman"/>
                      <w:color w:val="auto"/>
                    </w:rPr>
                    <w:t>生态保护红线和一般生态空间。执行云南省人民政府发布的生态保护红线，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796" w:type="pct"/>
                  <w:vAlign w:val="center"/>
                </w:tcPr>
                <w:p w14:paraId="08955D32">
                  <w:pPr>
                    <w:pStyle w:val="53"/>
                    <w:rPr>
                      <w:rFonts w:hint="default" w:ascii="Times New Roman" w:hAnsi="Times New Roman" w:cs="Times New Roman"/>
                      <w:color w:val="auto"/>
                    </w:rPr>
                  </w:pPr>
                  <w:r>
                    <w:rPr>
                      <w:rFonts w:hint="default" w:ascii="Times New Roman" w:hAnsi="Times New Roman" w:cs="Times New Roman"/>
                      <w:color w:val="auto"/>
                    </w:rPr>
                    <w:t>本项目位于云南省</w:t>
                  </w:r>
                  <w:r>
                    <w:rPr>
                      <w:rFonts w:hint="eastAsia" w:cs="Times New Roman"/>
                      <w:color w:val="auto"/>
                      <w:lang w:eastAsia="zh-CN"/>
                    </w:rPr>
                    <w:t>曲靖市麒麟区越州镇老吴村委会（原平板玻璃厂内）</w:t>
                  </w:r>
                  <w:r>
                    <w:rPr>
                      <w:rFonts w:hint="default" w:ascii="Times New Roman" w:hAnsi="Times New Roman" w:cs="Times New Roman"/>
                      <w:color w:val="auto"/>
                    </w:rPr>
                    <w:t>，根据</w:t>
                  </w:r>
                  <w:r>
                    <w:rPr>
                      <w:rFonts w:hint="eastAsia" w:cs="Times New Roman"/>
                      <w:color w:val="auto"/>
                      <w:lang w:eastAsia="zh-CN"/>
                    </w:rPr>
                    <w:t>“</w:t>
                  </w:r>
                  <w:r>
                    <w:rPr>
                      <w:rFonts w:hint="eastAsia" w:cs="Times New Roman"/>
                      <w:color w:val="auto"/>
                      <w:lang w:val="en-US" w:eastAsia="zh-CN"/>
                    </w:rPr>
                    <w:t>三区三线</w:t>
                  </w:r>
                  <w:r>
                    <w:rPr>
                      <w:rFonts w:hint="eastAsia" w:cs="Times New Roman"/>
                      <w:color w:val="auto"/>
                      <w:lang w:eastAsia="zh-CN"/>
                    </w:rPr>
                    <w:t>”</w:t>
                  </w:r>
                  <w:r>
                    <w:rPr>
                      <w:rFonts w:hint="default" w:ascii="Times New Roman" w:hAnsi="Times New Roman" w:cs="Times New Roman"/>
                      <w:color w:val="auto"/>
                    </w:rPr>
                    <w:t>查询结果（见</w:t>
                  </w:r>
                  <w:r>
                    <w:rPr>
                      <w:rFonts w:hint="default" w:ascii="Times New Roman" w:hAnsi="Times New Roman" w:cs="Times New Roman"/>
                      <w:color w:val="auto"/>
                      <w:highlight w:val="none"/>
                    </w:rPr>
                    <w:t>附件</w:t>
                  </w:r>
                  <w:r>
                    <w:rPr>
                      <w:rFonts w:hint="default" w:ascii="Times New Roman" w:hAnsi="Times New Roman" w:cs="Times New Roman"/>
                      <w:color w:val="auto"/>
                    </w:rPr>
                    <w:t>），本项目用地范围不涉及生态保护红线。</w:t>
                  </w:r>
                </w:p>
              </w:tc>
              <w:tc>
                <w:tcPr>
                  <w:tcW w:w="373" w:type="pct"/>
                  <w:vAlign w:val="center"/>
                </w:tcPr>
                <w:p w14:paraId="46C8D821">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2A53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restart"/>
                  <w:vAlign w:val="center"/>
                </w:tcPr>
                <w:p w14:paraId="23721C12">
                  <w:pPr>
                    <w:pStyle w:val="53"/>
                    <w:rPr>
                      <w:rFonts w:hint="default" w:ascii="Times New Roman" w:hAnsi="Times New Roman" w:cs="Times New Roman"/>
                      <w:color w:val="auto"/>
                    </w:rPr>
                  </w:pPr>
                  <w:r>
                    <w:rPr>
                      <w:rFonts w:hint="default" w:ascii="Times New Roman" w:hAnsi="Times New Roman" w:cs="Times New Roman"/>
                      <w:color w:val="auto"/>
                    </w:rPr>
                    <w:t>（2）环境质量底线</w:t>
                  </w:r>
                </w:p>
              </w:tc>
              <w:tc>
                <w:tcPr>
                  <w:tcW w:w="2306" w:type="pct"/>
                  <w:gridSpan w:val="3"/>
                  <w:vAlign w:val="center"/>
                </w:tcPr>
                <w:p w14:paraId="4F73FAE2">
                  <w:pPr>
                    <w:pStyle w:val="53"/>
                    <w:rPr>
                      <w:rFonts w:hint="default" w:ascii="Times New Roman" w:hAnsi="Times New Roman" w:cs="Times New Roman"/>
                      <w:color w:val="auto"/>
                    </w:rPr>
                  </w:pPr>
                  <w:r>
                    <w:rPr>
                      <w:rFonts w:hint="default" w:ascii="Times New Roman" w:hAnsi="Times New Roman" w:cs="Times New Roman"/>
                      <w:color w:val="auto"/>
                    </w:rPr>
                    <w:t>①水环境质量底线</w:t>
                  </w:r>
                </w:p>
                <w:p w14:paraId="2441A4FE">
                  <w:pPr>
                    <w:pStyle w:val="53"/>
                    <w:rPr>
                      <w:rFonts w:hint="default" w:ascii="Times New Roman" w:hAnsi="Times New Roman" w:cs="Times New Roman"/>
                      <w:color w:val="auto"/>
                    </w:rPr>
                  </w:pPr>
                  <w:r>
                    <w:rPr>
                      <w:rFonts w:hint="default" w:ascii="Times New Roman" w:hAnsi="Times New Roman" w:cs="Times New Roman"/>
                      <w:color w:val="auto"/>
                    </w:rPr>
                    <w:t>到2025年，全市水环境质量总体优良，集中式饮用水水源地水质保持稳定，纳入国家和省级考核的地表水监测断面水质优良率稳步提升，重点区域、流域水环境质量进一步改善，基本消除劣V类水体，水生态系统功能初步恢复。到2035年，全市地表水体水质优良率全面提升，各监测断面水质达到水环境功能要求，消除劣Ⅴ类水体，集中式饮用水水源地水质稳定达标。</w:t>
                  </w:r>
                </w:p>
              </w:tc>
              <w:tc>
                <w:tcPr>
                  <w:tcW w:w="1796" w:type="pct"/>
                  <w:vAlign w:val="center"/>
                </w:tcPr>
                <w:p w14:paraId="7E810AAE">
                  <w:pPr>
                    <w:pStyle w:val="53"/>
                    <w:rPr>
                      <w:rFonts w:hint="default" w:ascii="Times New Roman" w:hAnsi="Times New Roman" w:cs="Times New Roman"/>
                      <w:color w:val="auto"/>
                      <w:highlight w:val="yellow"/>
                    </w:rPr>
                  </w:pPr>
                  <w:r>
                    <w:rPr>
                      <w:rFonts w:hint="default" w:ascii="Times New Roman" w:hAnsi="Times New Roman" w:cs="Times New Roman"/>
                      <w:color w:val="auto"/>
                    </w:rPr>
                    <w:t>根据对202</w:t>
                  </w:r>
                  <w:r>
                    <w:rPr>
                      <w:rFonts w:hint="eastAsia" w:cs="Times New Roman"/>
                      <w:color w:val="auto"/>
                      <w:lang w:val="en-US" w:eastAsia="zh-CN"/>
                    </w:rPr>
                    <w:t>4</w:t>
                  </w:r>
                  <w:r>
                    <w:rPr>
                      <w:rFonts w:hint="default" w:ascii="Times New Roman" w:hAnsi="Times New Roman" w:cs="Times New Roman"/>
                      <w:color w:val="auto"/>
                    </w:rPr>
                    <w:t>年1~12月份饮用水源环境质量的统计，曲靖市市级集中式饮用水水源水质达到或优于Ⅲ类水质比例达100%。项目区附近地表水体为</w:t>
                  </w:r>
                  <w:r>
                    <w:rPr>
                      <w:rFonts w:hint="eastAsia" w:cs="Times New Roman"/>
                      <w:color w:val="auto"/>
                      <w:lang w:val="en-US" w:eastAsia="zh-CN"/>
                    </w:rPr>
                    <w:t>南</w:t>
                  </w:r>
                  <w:r>
                    <w:rPr>
                      <w:rFonts w:hint="default" w:ascii="Times New Roman" w:hAnsi="Times New Roman" w:cs="Times New Roman"/>
                      <w:color w:val="auto"/>
                    </w:rPr>
                    <w:t>侧</w:t>
                  </w:r>
                  <w:r>
                    <w:rPr>
                      <w:rFonts w:hint="eastAsia" w:cs="Times New Roman"/>
                      <w:color w:val="auto"/>
                      <w:lang w:val="en-US" w:eastAsia="zh-CN"/>
                    </w:rPr>
                    <w:t>350</w:t>
                  </w:r>
                  <w:r>
                    <w:rPr>
                      <w:rFonts w:hint="default" w:ascii="Times New Roman" w:hAnsi="Times New Roman" w:cs="Times New Roman"/>
                      <w:color w:val="auto"/>
                    </w:rPr>
                    <w:t>m处的</w:t>
                  </w:r>
                  <w:r>
                    <w:rPr>
                      <w:rFonts w:hint="eastAsia" w:cs="Times New Roman"/>
                      <w:color w:val="auto"/>
                      <w:lang w:val="en-US" w:eastAsia="zh-CN"/>
                    </w:rPr>
                    <w:t>南盘江</w:t>
                  </w:r>
                  <w:r>
                    <w:rPr>
                      <w:rFonts w:hint="eastAsia" w:cs="Times New Roman"/>
                      <w:color w:val="auto"/>
                      <w:lang w:eastAsia="zh-CN"/>
                    </w:rPr>
                    <w:t>，</w:t>
                  </w:r>
                  <w:r>
                    <w:rPr>
                      <w:color w:val="auto"/>
                      <w:lang w:val="en-US" w:eastAsia="zh-CN"/>
                    </w:rPr>
                    <w:t>根据曲靖市生态环境局</w:t>
                  </w:r>
                  <w:r>
                    <w:rPr>
                      <w:rFonts w:hint="eastAsia"/>
                      <w:color w:val="auto"/>
                      <w:lang w:val="en-US" w:eastAsia="zh-CN"/>
                    </w:rPr>
                    <w:t>发布的</w:t>
                  </w:r>
                  <w:r>
                    <w:rPr>
                      <w:color w:val="auto"/>
                      <w:lang w:val="en-US" w:eastAsia="zh-CN"/>
                    </w:rPr>
                    <w:t>202</w:t>
                  </w:r>
                  <w:r>
                    <w:rPr>
                      <w:rFonts w:hint="eastAsia"/>
                      <w:color w:val="auto"/>
                      <w:lang w:val="en-US" w:eastAsia="zh-CN"/>
                    </w:rPr>
                    <w:t>4</w:t>
                  </w:r>
                  <w:r>
                    <w:rPr>
                      <w:color w:val="auto"/>
                      <w:lang w:val="en-US" w:eastAsia="zh-CN"/>
                    </w:rPr>
                    <w:t>年</w:t>
                  </w:r>
                  <w:r>
                    <w:rPr>
                      <w:rFonts w:hint="eastAsia"/>
                      <w:color w:val="auto"/>
                      <w:lang w:val="en-US" w:eastAsia="zh-CN"/>
                    </w:rPr>
                    <w:t>1</w:t>
                  </w:r>
                  <w:r>
                    <w:rPr>
                      <w:color w:val="auto"/>
                      <w:lang w:val="en-US" w:eastAsia="zh-CN"/>
                    </w:rPr>
                    <w:t>月</w:t>
                  </w:r>
                  <w:r>
                    <w:rPr>
                      <w:rFonts w:hint="eastAsia"/>
                      <w:color w:val="auto"/>
                      <w:lang w:val="en-US" w:eastAsia="zh-CN"/>
                    </w:rPr>
                    <w:t>～</w:t>
                  </w:r>
                  <w:r>
                    <w:rPr>
                      <w:color w:val="auto"/>
                      <w:lang w:val="en-US" w:eastAsia="zh-CN"/>
                    </w:rPr>
                    <w:t>12 月地表水环境质量中的响水坝老吴村断面水质，南盘江响水坝老吴村省控断面水质能</w:t>
                  </w:r>
                  <w:r>
                    <w:rPr>
                      <w:rFonts w:hint="eastAsia"/>
                      <w:color w:val="auto"/>
                      <w:lang w:val="en-US" w:eastAsia="zh-CN"/>
                    </w:rPr>
                    <w:t>达到</w:t>
                  </w:r>
                  <w:r>
                    <w:rPr>
                      <w:color w:val="auto"/>
                      <w:lang w:val="en-US" w:eastAsia="zh-CN"/>
                    </w:rPr>
                    <w:t>《地表水环境质量标准》（GB3838-2002）中</w:t>
                  </w:r>
                  <w:r>
                    <w:rPr>
                      <w:rFonts w:hint="eastAsia"/>
                      <w:color w:val="auto"/>
                      <w:lang w:val="en-US" w:eastAsia="zh-CN"/>
                    </w:rPr>
                    <w:t>Ⅲ类标准</w:t>
                  </w:r>
                  <w:r>
                    <w:rPr>
                      <w:rFonts w:hint="default" w:ascii="Times New Roman" w:hAnsi="Times New Roman" w:cs="Times New Roman"/>
                      <w:color w:val="auto"/>
                    </w:rPr>
                    <w:t>，符合区域水环境功能区划。</w:t>
                  </w:r>
                </w:p>
              </w:tc>
              <w:tc>
                <w:tcPr>
                  <w:tcW w:w="373" w:type="pct"/>
                  <w:vAlign w:val="center"/>
                </w:tcPr>
                <w:p w14:paraId="59D2F35D">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67B9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14:paraId="07D913BD">
                  <w:pPr>
                    <w:pStyle w:val="53"/>
                    <w:rPr>
                      <w:rFonts w:hint="default" w:ascii="Times New Roman" w:hAnsi="Times New Roman" w:cs="Times New Roman"/>
                      <w:color w:val="auto"/>
                    </w:rPr>
                  </w:pPr>
                </w:p>
              </w:tc>
              <w:tc>
                <w:tcPr>
                  <w:tcW w:w="2306" w:type="pct"/>
                  <w:gridSpan w:val="3"/>
                  <w:vAlign w:val="center"/>
                </w:tcPr>
                <w:p w14:paraId="3FD33117">
                  <w:pPr>
                    <w:pStyle w:val="53"/>
                    <w:rPr>
                      <w:rFonts w:hint="default" w:ascii="Times New Roman" w:hAnsi="Times New Roman" w:cs="Times New Roman"/>
                      <w:color w:val="auto"/>
                    </w:rPr>
                  </w:pPr>
                  <w:r>
                    <w:rPr>
                      <w:rFonts w:hint="default" w:ascii="Times New Roman" w:hAnsi="Times New Roman" w:cs="Times New Roman"/>
                      <w:color w:val="auto"/>
                    </w:rPr>
                    <w:t>②大气环境质量底线</w:t>
                  </w:r>
                </w:p>
                <w:p w14:paraId="070B4782">
                  <w:pPr>
                    <w:pStyle w:val="53"/>
                    <w:rPr>
                      <w:rFonts w:hint="default" w:ascii="Times New Roman" w:hAnsi="Times New Roman" w:cs="Times New Roman"/>
                      <w:color w:val="auto"/>
                    </w:rPr>
                  </w:pPr>
                  <w:r>
                    <w:rPr>
                      <w:rFonts w:hint="default" w:ascii="Times New Roman" w:hAnsi="Times New Roman" w:cs="Times New Roman"/>
                      <w:color w:val="auto"/>
                    </w:rPr>
                    <w:t>到2025年，环境空气质量稳中向好，中心城市和各县（市、区）环境空气质量稳定达到国家二级标准，优良率保持稳定，达到省级下达的考核目标要求。到2035年，环境空气质量全面改善，中心城市和各县（市、区）环境空气质量稳定达到国家二级标准。</w:t>
                  </w:r>
                </w:p>
              </w:tc>
              <w:tc>
                <w:tcPr>
                  <w:tcW w:w="1796" w:type="pct"/>
                  <w:vAlign w:val="center"/>
                </w:tcPr>
                <w:p w14:paraId="388B5FE6">
                  <w:pPr>
                    <w:pStyle w:val="53"/>
                    <w:rPr>
                      <w:rFonts w:hint="default" w:ascii="Times New Roman" w:hAnsi="Times New Roman" w:cs="Times New Roman"/>
                      <w:color w:val="auto"/>
                      <w:highlight w:val="yellow"/>
                    </w:rPr>
                  </w:pPr>
                  <w:r>
                    <w:rPr>
                      <w:rFonts w:hint="default" w:ascii="Times New Roman" w:hAnsi="Times New Roman" w:cs="Times New Roman"/>
                      <w:color w:val="auto"/>
                    </w:rPr>
                    <w:t>根据</w:t>
                  </w:r>
                  <w:r>
                    <w:rPr>
                      <w:color w:val="auto"/>
                      <w:lang w:val="en-US" w:eastAsia="zh-CN"/>
                    </w:rPr>
                    <w:t>曲靖市生态环境局</w:t>
                  </w:r>
                  <w:r>
                    <w:rPr>
                      <w:rFonts w:hint="default" w:ascii="Times New Roman" w:hAnsi="Times New Roman" w:cs="Times New Roman"/>
                      <w:color w:val="auto"/>
                    </w:rPr>
                    <w:t>2023年</w:t>
                  </w:r>
                  <w:r>
                    <w:rPr>
                      <w:rFonts w:hint="eastAsia"/>
                      <w:color w:val="auto"/>
                      <w:lang w:val="en-US" w:eastAsia="zh-CN"/>
                    </w:rPr>
                    <w:t>1</w:t>
                  </w:r>
                  <w:r>
                    <w:rPr>
                      <w:color w:val="auto"/>
                      <w:lang w:val="en-US" w:eastAsia="zh-CN"/>
                    </w:rPr>
                    <w:t>月</w:t>
                  </w:r>
                  <w:r>
                    <w:rPr>
                      <w:rFonts w:hint="eastAsia"/>
                      <w:color w:val="auto"/>
                      <w:lang w:val="en-US" w:eastAsia="zh-CN"/>
                    </w:rPr>
                    <w:t>—</w:t>
                  </w:r>
                  <w:r>
                    <w:rPr>
                      <w:color w:val="auto"/>
                      <w:lang w:val="en-US" w:eastAsia="zh-CN"/>
                    </w:rPr>
                    <w:t>12月</w:t>
                  </w:r>
                  <w:r>
                    <w:rPr>
                      <w:rFonts w:hint="default" w:ascii="Times New Roman" w:hAnsi="Times New Roman" w:cs="Times New Roman"/>
                      <w:color w:val="auto"/>
                    </w:rPr>
                    <w:t>监测数据</w:t>
                  </w:r>
                  <w:r>
                    <w:rPr>
                      <w:rFonts w:hint="eastAsia" w:cs="Times New Roman"/>
                      <w:color w:val="auto"/>
                      <w:lang w:eastAsia="zh-CN"/>
                    </w:rPr>
                    <w:t>，</w:t>
                  </w:r>
                  <w:r>
                    <w:rPr>
                      <w:rFonts w:hint="default" w:ascii="Times New Roman" w:hAnsi="Times New Roman" w:cs="Times New Roman"/>
                      <w:color w:val="auto"/>
                    </w:rPr>
                    <w:t>本项目所在区域基本污染物年平均质量浓度和相应百分位24h平均或8h平均质量浓度均能达到《环境空气质量标准》及修改单（GB3095-2012）二级标准要求。</w:t>
                  </w:r>
                  <w:r>
                    <w:rPr>
                      <w:rFonts w:hint="eastAsia" w:cs="Times New Roman"/>
                      <w:color w:val="auto"/>
                      <w:lang w:val="en-US" w:eastAsia="zh-CN"/>
                    </w:rPr>
                    <w:t>本项目建设完成后，产生的废气均能达标排放，不会改变区域环境空气质量功能</w:t>
                  </w:r>
                  <w:r>
                    <w:rPr>
                      <w:rFonts w:hint="eastAsia" w:cs="Times New Roman"/>
                      <w:color w:val="auto"/>
                      <w:lang w:eastAsia="zh-CN"/>
                    </w:rPr>
                    <w:t>。</w:t>
                  </w:r>
                </w:p>
              </w:tc>
              <w:tc>
                <w:tcPr>
                  <w:tcW w:w="373" w:type="pct"/>
                  <w:vAlign w:val="center"/>
                </w:tcPr>
                <w:p w14:paraId="035B03A6">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1E555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 w:type="pct"/>
                  <w:vMerge w:val="continue"/>
                  <w:vAlign w:val="center"/>
                </w:tcPr>
                <w:p w14:paraId="7B581D93">
                  <w:pPr>
                    <w:pStyle w:val="53"/>
                    <w:rPr>
                      <w:rFonts w:hint="default" w:ascii="Times New Roman" w:hAnsi="Times New Roman" w:cs="Times New Roman"/>
                      <w:color w:val="auto"/>
                    </w:rPr>
                  </w:pPr>
                </w:p>
              </w:tc>
              <w:tc>
                <w:tcPr>
                  <w:tcW w:w="2306" w:type="pct"/>
                  <w:gridSpan w:val="3"/>
                  <w:vAlign w:val="center"/>
                </w:tcPr>
                <w:p w14:paraId="446101AF">
                  <w:pPr>
                    <w:pStyle w:val="53"/>
                    <w:rPr>
                      <w:rFonts w:hint="default" w:ascii="Times New Roman" w:hAnsi="Times New Roman" w:cs="Times New Roman"/>
                      <w:color w:val="auto"/>
                    </w:rPr>
                  </w:pPr>
                  <w:r>
                    <w:rPr>
                      <w:rFonts w:hint="default" w:ascii="Times New Roman" w:hAnsi="Times New Roman" w:cs="Times New Roman"/>
                      <w:color w:val="auto"/>
                    </w:rPr>
                    <w:t>③土壤环境风险防控底线到2025年，全市土壤环境风险防范体系进一步完善，农用地和建设用地土壤环境安全基本得到有效保障，受污染耕地安全利用率和污染地块安全利用率进一步提高。到2035年，全市土壤环境质量稳中向好，农用地和建设用地土壤环境安全得到有效保障，土壤环境风险得到全面管控。</w:t>
                  </w:r>
                </w:p>
              </w:tc>
              <w:tc>
                <w:tcPr>
                  <w:tcW w:w="1796" w:type="pct"/>
                  <w:vAlign w:val="center"/>
                </w:tcPr>
                <w:p w14:paraId="09D8E105">
                  <w:pPr>
                    <w:pStyle w:val="53"/>
                    <w:bidi w:val="0"/>
                    <w:rPr>
                      <w:rFonts w:hint="default"/>
                      <w:color w:val="auto"/>
                    </w:rPr>
                  </w:pPr>
                  <w:r>
                    <w:rPr>
                      <w:rFonts w:hint="default"/>
                      <w:color w:val="auto"/>
                    </w:rPr>
                    <w:t>本项目位于云南省</w:t>
                  </w:r>
                  <w:r>
                    <w:rPr>
                      <w:rFonts w:hint="eastAsia"/>
                      <w:color w:val="auto"/>
                      <w:lang w:eastAsia="zh-CN"/>
                    </w:rPr>
                    <w:t>曲靖市麒麟区越州镇老吴村委会（原平板玻璃厂内）</w:t>
                  </w:r>
                  <w:r>
                    <w:rPr>
                      <w:rFonts w:hint="default"/>
                      <w:color w:val="auto"/>
                    </w:rPr>
                    <w:t>，</w:t>
                  </w:r>
                  <w:r>
                    <w:rPr>
                      <w:rFonts w:hint="eastAsia"/>
                      <w:color w:val="auto"/>
                      <w:lang w:val="en-US" w:eastAsia="zh-CN"/>
                    </w:rPr>
                    <w:t>项目用地为工业用地，</w:t>
                  </w:r>
                  <w:r>
                    <w:rPr>
                      <w:rFonts w:hint="default"/>
                      <w:color w:val="auto"/>
                    </w:rPr>
                    <w:t>项目区进行地面硬化，</w:t>
                  </w:r>
                  <w:r>
                    <w:rPr>
                      <w:rFonts w:hint="eastAsia"/>
                      <w:color w:val="auto"/>
                      <w:lang w:val="en-US" w:eastAsia="zh-CN"/>
                    </w:rPr>
                    <w:t>排放的污染物为颗粒物及非甲烷总烃，由15m高排气筒达标排放，</w:t>
                  </w:r>
                  <w:r>
                    <w:rPr>
                      <w:rFonts w:hint="default"/>
                      <w:color w:val="auto"/>
                    </w:rPr>
                    <w:t>对农用地和建设用地土壤环境安全、土壤环境风险影响较小。</w:t>
                  </w:r>
                </w:p>
              </w:tc>
              <w:tc>
                <w:tcPr>
                  <w:tcW w:w="373" w:type="pct"/>
                  <w:vAlign w:val="center"/>
                </w:tcPr>
                <w:p w14:paraId="2444F6E6">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3A32D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524" w:type="pct"/>
                  <w:vAlign w:val="center"/>
                </w:tcPr>
                <w:p w14:paraId="3B8A288C">
                  <w:pPr>
                    <w:pStyle w:val="53"/>
                    <w:rPr>
                      <w:rFonts w:hint="default" w:ascii="Times New Roman" w:hAnsi="Times New Roman" w:cs="Times New Roman"/>
                      <w:color w:val="auto"/>
                    </w:rPr>
                  </w:pPr>
                  <w:r>
                    <w:rPr>
                      <w:rFonts w:hint="default" w:ascii="Times New Roman" w:hAnsi="Times New Roman" w:cs="Times New Roman"/>
                      <w:color w:val="auto"/>
                    </w:rPr>
                    <w:t>（3）资源利用</w:t>
                  </w:r>
                  <w:r>
                    <w:rPr>
                      <w:rFonts w:hint="eastAsia" w:cs="Times New Roman"/>
                      <w:color w:val="auto"/>
                      <w:lang w:eastAsia="zh-CN"/>
                    </w:rPr>
                    <w:t>上限</w:t>
                  </w:r>
                </w:p>
              </w:tc>
              <w:tc>
                <w:tcPr>
                  <w:tcW w:w="2306" w:type="pct"/>
                  <w:gridSpan w:val="3"/>
                  <w:vAlign w:val="center"/>
                </w:tcPr>
                <w:p w14:paraId="36945F38">
                  <w:pPr>
                    <w:pStyle w:val="53"/>
                    <w:rPr>
                      <w:rFonts w:hint="default" w:ascii="Times New Roman" w:hAnsi="Times New Roman" w:cs="Times New Roman"/>
                      <w:color w:val="auto"/>
                    </w:rPr>
                  </w:pPr>
                  <w:r>
                    <w:rPr>
                      <w:rFonts w:hint="default" w:ascii="Times New Roman" w:hAnsi="Times New Roman" w:cs="Times New Roman"/>
                      <w:color w:val="auto"/>
                    </w:rPr>
                    <w:t>强化节约集约利用，持续提升资源能源利用效率，水资源、土地资源、能源消耗，完成省级下达的控制目标。</w:t>
                  </w:r>
                </w:p>
              </w:tc>
              <w:tc>
                <w:tcPr>
                  <w:tcW w:w="1796" w:type="pct"/>
                  <w:vAlign w:val="center"/>
                </w:tcPr>
                <w:p w14:paraId="52D9A436">
                  <w:pPr>
                    <w:pStyle w:val="53"/>
                    <w:rPr>
                      <w:rFonts w:hint="default" w:ascii="Times New Roman" w:hAnsi="Times New Roman" w:cs="Times New Roman"/>
                      <w:color w:val="auto"/>
                    </w:rPr>
                  </w:pPr>
                  <w:r>
                    <w:rPr>
                      <w:rFonts w:hint="eastAsia" w:cs="Times New Roman"/>
                      <w:color w:val="auto"/>
                      <w:lang w:val="en-US" w:eastAsia="zh-CN"/>
                    </w:rPr>
                    <w:t>本项目用水依托使用现有项目供水系统，用水量小，不会突破水资源利用上限</w:t>
                  </w:r>
                  <w:r>
                    <w:rPr>
                      <w:rFonts w:hint="default" w:ascii="Times New Roman" w:hAnsi="Times New Roman" w:cs="Times New Roman"/>
                      <w:color w:val="auto"/>
                      <w:highlight w:val="none"/>
                    </w:rPr>
                    <w:t>。</w:t>
                  </w:r>
                </w:p>
              </w:tc>
              <w:tc>
                <w:tcPr>
                  <w:tcW w:w="373" w:type="pct"/>
                  <w:vAlign w:val="center"/>
                </w:tcPr>
                <w:p w14:paraId="2ED3C833">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7E12B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1" w:type="dxa"/>
                  <w:vAlign w:val="center"/>
                </w:tcPr>
                <w:p w14:paraId="62642C4B">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生态环境准入清单</w:t>
                  </w:r>
                </w:p>
              </w:tc>
              <w:tc>
                <w:tcPr>
                  <w:tcW w:w="425" w:type="dxa"/>
                  <w:vAlign w:val="center"/>
                </w:tcPr>
                <w:p w14:paraId="0139B719">
                  <w:pPr>
                    <w:pStyle w:val="53"/>
                    <w:ind w:firstLine="0" w:firstLineChars="0"/>
                    <w:rPr>
                      <w:rFonts w:hint="default" w:ascii="Times New Roman" w:hAnsi="Times New Roman" w:cs="Times New Roman"/>
                      <w:color w:val="auto"/>
                    </w:rPr>
                  </w:pPr>
                  <w:r>
                    <w:rPr>
                      <w:rFonts w:hint="eastAsia" w:cs="Times New Roman"/>
                      <w:color w:val="auto"/>
                      <w:highlight w:val="none"/>
                      <w:lang w:val="en-US" w:eastAsia="zh-CN"/>
                    </w:rPr>
                    <w:t>麒麟区农业农村面源污染</w:t>
                  </w:r>
                  <w:r>
                    <w:rPr>
                      <w:rFonts w:hint="default" w:ascii="Times New Roman" w:hAnsi="Times New Roman" w:cs="Times New Roman"/>
                      <w:color w:val="auto"/>
                      <w:highlight w:val="none"/>
                    </w:rPr>
                    <w:t>重点管控单元</w:t>
                  </w:r>
                </w:p>
              </w:tc>
              <w:tc>
                <w:tcPr>
                  <w:tcW w:w="301" w:type="pct"/>
                  <w:vAlign w:val="center"/>
                </w:tcPr>
                <w:p w14:paraId="16CC03D5">
                  <w:pPr>
                    <w:pStyle w:val="53"/>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1703" w:type="pct"/>
                  <w:vAlign w:val="center"/>
                </w:tcPr>
                <w:p w14:paraId="7C839BB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1.以乡镇行政区域为单位，实行农村生活污水处理统一规划、统一建设、统一管理，梯次推进农村生活污水治理。开展协同治理，推动城镇污水处理设施和服务向农村延伸，加强改厕与农村生活污水治理的有效衔接，将农村水环境治理纳入河长制、湖长制管理。</w:t>
                  </w:r>
                </w:p>
                <w:p w14:paraId="440A833B">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2.减少化肥农药施用量，主要农作物化肥农药使用量实现负增长，确保化肥、农药利用率逐步提高。</w:t>
                  </w:r>
                </w:p>
                <w:p w14:paraId="3DB70F50">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3.从事水产养殖应当保护水域生态环境，科学确定养殖密度，合理投饵和使用药物，防止污染水环境。</w:t>
                  </w:r>
                </w:p>
                <w:p w14:paraId="34D43670">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4.畜禽养殖场、养殖小区应当确保其畜禽粪便、废水的综合利用或者无害化处理设施正常运转，确保污水达标排放，防止污染水环境；散养密集区要实行畜禽粪便污水分户收集、集中处理利用。</w:t>
                  </w:r>
                </w:p>
              </w:tc>
              <w:tc>
                <w:tcPr>
                  <w:tcW w:w="1796" w:type="pct"/>
                  <w:vAlign w:val="center"/>
                </w:tcPr>
                <w:p w14:paraId="623D58F4">
                  <w:pPr>
                    <w:pStyle w:val="53"/>
                    <w:bidi w:val="0"/>
                    <w:rPr>
                      <w:rFonts w:hint="eastAsia"/>
                      <w:color w:val="auto"/>
                      <w:lang w:val="en-US" w:eastAsia="zh-CN"/>
                    </w:rPr>
                  </w:pPr>
                  <w:r>
                    <w:rPr>
                      <w:rFonts w:hint="eastAsia"/>
                      <w:color w:val="auto"/>
                      <w:lang w:val="en-US" w:eastAsia="zh-CN"/>
                    </w:rPr>
                    <w:t>1、项目采取雨、污分流制，生活污水经化粪池收集后委托周边农户定期清掏作农肥使用，不外排。</w:t>
                  </w:r>
                </w:p>
                <w:p w14:paraId="14009A03">
                  <w:pPr>
                    <w:pStyle w:val="53"/>
                    <w:bidi w:val="0"/>
                    <w:rPr>
                      <w:rFonts w:hint="default"/>
                      <w:color w:val="auto"/>
                      <w:lang w:val="en-US" w:eastAsia="zh-CN"/>
                    </w:rPr>
                  </w:pPr>
                  <w:r>
                    <w:rPr>
                      <w:rFonts w:hint="eastAsia"/>
                      <w:color w:val="auto"/>
                      <w:lang w:val="en-US" w:eastAsia="zh-CN"/>
                    </w:rPr>
                    <w:t>2、项目为塑料颗粒生产项目，不涉及使用农药。</w:t>
                  </w:r>
                </w:p>
                <w:p w14:paraId="5A89E3AA">
                  <w:pPr>
                    <w:pStyle w:val="53"/>
                    <w:bidi w:val="0"/>
                    <w:rPr>
                      <w:rFonts w:hint="eastAsia"/>
                      <w:color w:val="auto"/>
                      <w:lang w:val="en-US" w:eastAsia="zh-CN"/>
                    </w:rPr>
                  </w:pPr>
                  <w:r>
                    <w:rPr>
                      <w:rFonts w:hint="eastAsia"/>
                      <w:color w:val="auto"/>
                      <w:lang w:val="en-US" w:eastAsia="zh-CN"/>
                    </w:rPr>
                    <w:t>3、项目为塑料颗粒生产项目，不属于水产养殖项目。</w:t>
                  </w:r>
                </w:p>
                <w:p w14:paraId="5D823E74">
                  <w:pPr>
                    <w:pStyle w:val="53"/>
                    <w:bidi w:val="0"/>
                    <w:rPr>
                      <w:rFonts w:hint="default" w:ascii="Times New Roman" w:hAnsi="Times New Roman" w:eastAsia="宋体" w:cs="Times New Roman"/>
                      <w:color w:val="auto"/>
                      <w:lang w:val="en-US" w:eastAsia="zh-CN"/>
                    </w:rPr>
                  </w:pPr>
                  <w:r>
                    <w:rPr>
                      <w:rFonts w:hint="eastAsia"/>
                      <w:color w:val="auto"/>
                      <w:lang w:val="en-US" w:eastAsia="zh-CN"/>
                    </w:rPr>
                    <w:t>4、项目为塑料颗粒生产项目，不属于畜禽养殖场、养殖小区</w:t>
                  </w:r>
                  <w:r>
                    <w:rPr>
                      <w:rFonts w:hint="eastAsia" w:ascii="Times New Roman" w:hAnsi="Times New Roman" w:eastAsia="宋体" w:cs="Times New Roman"/>
                      <w:color w:val="auto"/>
                      <w:szCs w:val="21"/>
                      <w:highlight w:val="none"/>
                      <w:lang w:val="en-US" w:eastAsia="zh-CN"/>
                    </w:rPr>
                    <w:t>。</w:t>
                  </w:r>
                </w:p>
              </w:tc>
              <w:tc>
                <w:tcPr>
                  <w:tcW w:w="373" w:type="pct"/>
                  <w:vAlign w:val="center"/>
                </w:tcPr>
                <w:p w14:paraId="3EAE5B2C">
                  <w:pPr>
                    <w:pStyle w:val="53"/>
                    <w:rPr>
                      <w:rFonts w:hint="default" w:ascii="Times New Roman" w:hAnsi="Times New Roman" w:cs="Times New Roman"/>
                      <w:color w:val="auto"/>
                    </w:rPr>
                  </w:pPr>
                  <w:r>
                    <w:rPr>
                      <w:rFonts w:hint="default" w:ascii="Times New Roman" w:hAnsi="Times New Roman" w:cs="Times New Roman"/>
                      <w:color w:val="auto"/>
                    </w:rPr>
                    <w:t>符合</w:t>
                  </w:r>
                </w:p>
              </w:tc>
            </w:tr>
          </w:tbl>
          <w:p w14:paraId="17363996">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综上所述，本项目建设符合《曲靖市人民政府关于印发曲靖市“三线一单”生态环境分区管控实施方案的通知》（曲政发</w:t>
            </w:r>
            <w:r>
              <w:rPr>
                <w:rFonts w:hint="eastAsia" w:cs="Times New Roman"/>
                <w:color w:val="auto"/>
                <w:lang w:eastAsia="zh-CN"/>
              </w:rPr>
              <w:t>〔2021〕27号</w:t>
            </w:r>
            <w:r>
              <w:rPr>
                <w:rFonts w:hint="default" w:ascii="Times New Roman" w:hAnsi="Times New Roman" w:cs="Times New Roman"/>
                <w:color w:val="auto"/>
              </w:rPr>
              <w:t>）</w:t>
            </w:r>
            <w:r>
              <w:rPr>
                <w:rFonts w:hint="eastAsia" w:cs="宋体"/>
                <w:color w:val="auto"/>
                <w:kern w:val="2"/>
                <w:lang w:val="en-US" w:eastAsia="zh-CN"/>
              </w:rPr>
              <w:t>及《曲靖市生态环境分区管控动态更新方案（2023年）》（曲环通〔2024〕36号）</w:t>
            </w:r>
            <w:r>
              <w:rPr>
                <w:rFonts w:hint="default" w:ascii="Times New Roman" w:hAnsi="Times New Roman" w:cs="Times New Roman"/>
                <w:color w:val="auto"/>
              </w:rPr>
              <w:t>的相关要求。</w:t>
            </w:r>
          </w:p>
          <w:p w14:paraId="5C2BDC1C">
            <w:pPr>
              <w:pStyle w:val="51"/>
              <w:ind w:firstLine="480"/>
              <w:rPr>
                <w:rFonts w:hint="default" w:ascii="Times New Roman" w:hAnsi="Times New Roman" w:cs="Times New Roman"/>
                <w:b/>
                <w:color w:val="auto"/>
              </w:rPr>
            </w:pPr>
            <w:r>
              <w:rPr>
                <w:rFonts w:hint="default" w:ascii="Times New Roman" w:hAnsi="Times New Roman" w:cs="Times New Roman"/>
                <w:b/>
                <w:color w:val="auto"/>
                <w:kern w:val="0"/>
              </w:rPr>
              <w:t>3、</w:t>
            </w:r>
            <w:r>
              <w:rPr>
                <w:rFonts w:hint="default" w:ascii="Times New Roman" w:hAnsi="Times New Roman" w:cs="Times New Roman"/>
                <w:b/>
                <w:color w:val="auto"/>
                <w:szCs w:val="24"/>
              </w:rPr>
              <w:t>与《中共中央</w:t>
            </w:r>
            <w:r>
              <w:rPr>
                <w:rFonts w:hint="eastAsia" w:cs="Times New Roman"/>
                <w:b/>
                <w:color w:val="auto"/>
                <w:szCs w:val="24"/>
                <w:lang w:val="en-US" w:eastAsia="zh-CN"/>
              </w:rPr>
              <w:t xml:space="preserve"> </w:t>
            </w:r>
            <w:r>
              <w:rPr>
                <w:rFonts w:hint="default" w:ascii="Times New Roman" w:hAnsi="Times New Roman" w:cs="Times New Roman"/>
                <w:b/>
                <w:color w:val="auto"/>
                <w:szCs w:val="24"/>
              </w:rPr>
              <w:t>国务院关于深入打好污染防治攻坚战的意见》符合性分析</w:t>
            </w:r>
          </w:p>
          <w:p w14:paraId="23E6EBD3">
            <w:pPr>
              <w:pStyle w:val="51"/>
              <w:ind w:firstLine="480"/>
              <w:rPr>
                <w:rFonts w:hint="default" w:ascii="Times New Roman" w:hAnsi="Times New Roman" w:cs="Times New Roman"/>
                <w:color w:val="auto"/>
              </w:rPr>
            </w:pPr>
            <w:r>
              <w:rPr>
                <w:rFonts w:hint="default" w:ascii="Times New Roman" w:hAnsi="Times New Roman" w:cs="Times New Roman"/>
                <w:color w:val="auto"/>
              </w:rPr>
              <w:t>项目与</w:t>
            </w:r>
            <w:r>
              <w:rPr>
                <w:rFonts w:hint="eastAsia" w:ascii="Times New Roman" w:hAnsi="Times New Roman" w:cs="Times New Roman"/>
                <w:color w:val="auto"/>
                <w:lang w:eastAsia="zh-CN"/>
              </w:rPr>
              <w:t>《</w:t>
            </w:r>
            <w:r>
              <w:rPr>
                <w:rFonts w:hint="default" w:ascii="Times New Roman" w:hAnsi="Times New Roman" w:cs="Times New Roman"/>
                <w:color w:val="auto"/>
              </w:rPr>
              <w:t>中共中央</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国务院关于深入打好污染防治攻坚战的意见</w:t>
            </w:r>
            <w:r>
              <w:rPr>
                <w:rFonts w:hint="eastAsia" w:ascii="Times New Roman" w:hAnsi="Times New Roman" w:cs="Times New Roman"/>
                <w:color w:val="auto"/>
                <w:lang w:eastAsia="zh-CN"/>
              </w:rPr>
              <w:t>》</w:t>
            </w:r>
            <w:r>
              <w:rPr>
                <w:rFonts w:hint="default" w:ascii="Times New Roman" w:hAnsi="Times New Roman" w:cs="Times New Roman"/>
                <w:color w:val="auto"/>
              </w:rPr>
              <w:t>符合性分析见下表。</w:t>
            </w:r>
          </w:p>
          <w:p w14:paraId="36A15227">
            <w:pPr>
              <w:pStyle w:val="52"/>
              <w:rPr>
                <w:rFonts w:hint="default" w:ascii="Times New Roman" w:hAnsi="Times New Roman" w:cs="Times New Roman"/>
                <w:color w:val="auto"/>
                <w:sz w:val="24"/>
              </w:rPr>
            </w:pPr>
            <w:r>
              <w:rPr>
                <w:rFonts w:hint="default" w:ascii="Times New Roman" w:hAnsi="Times New Roman" w:cs="Times New Roman"/>
                <w:color w:val="auto"/>
              </w:rPr>
              <w:t>表1-5    项目与关于深入打好污染防治攻坚战的意见符合性分析表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2800"/>
              <w:gridCol w:w="2888"/>
              <w:gridCol w:w="455"/>
            </w:tblGrid>
            <w:tr w14:paraId="4E07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14:paraId="64384A85">
                  <w:pPr>
                    <w:pStyle w:val="53"/>
                    <w:rPr>
                      <w:rFonts w:hint="default" w:ascii="Times New Roman" w:hAnsi="Times New Roman" w:cs="Times New Roman"/>
                      <w:color w:val="auto"/>
                    </w:rPr>
                  </w:pPr>
                  <w:r>
                    <w:rPr>
                      <w:rFonts w:hint="default" w:ascii="Times New Roman" w:hAnsi="Times New Roman" w:cs="Times New Roman"/>
                      <w:color w:val="auto"/>
                    </w:rPr>
                    <w:t>相关要求</w:t>
                  </w:r>
                </w:p>
              </w:tc>
              <w:tc>
                <w:tcPr>
                  <w:tcW w:w="0" w:type="auto"/>
                  <w:vAlign w:val="center"/>
                </w:tcPr>
                <w:p w14:paraId="0DA25108">
                  <w:pPr>
                    <w:pStyle w:val="53"/>
                    <w:rPr>
                      <w:rFonts w:hint="default" w:ascii="Times New Roman" w:hAnsi="Times New Roman" w:cs="Times New Roman"/>
                      <w:color w:val="auto"/>
                    </w:rPr>
                  </w:pPr>
                  <w:r>
                    <w:rPr>
                      <w:rFonts w:hint="default" w:ascii="Times New Roman" w:hAnsi="Times New Roman" w:cs="Times New Roman"/>
                      <w:color w:val="auto"/>
                    </w:rPr>
                    <w:t>本项目情况</w:t>
                  </w:r>
                </w:p>
              </w:tc>
              <w:tc>
                <w:tcPr>
                  <w:tcW w:w="0" w:type="auto"/>
                  <w:vAlign w:val="center"/>
                </w:tcPr>
                <w:p w14:paraId="578E9AFC">
                  <w:pPr>
                    <w:pStyle w:val="53"/>
                    <w:jc w:val="both"/>
                    <w:rPr>
                      <w:rFonts w:hint="default" w:ascii="Times New Roman" w:hAnsi="Times New Roman" w:cs="Times New Roman"/>
                      <w:color w:val="auto"/>
                    </w:rPr>
                  </w:pPr>
                  <w:r>
                    <w:rPr>
                      <w:rFonts w:hint="default" w:ascii="Times New Roman" w:hAnsi="Times New Roman" w:cs="Times New Roman"/>
                      <w:color w:val="auto"/>
                    </w:rPr>
                    <w:t>相符性</w:t>
                  </w:r>
                </w:p>
              </w:tc>
            </w:tr>
            <w:tr w14:paraId="18DF6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E580C10">
                  <w:pPr>
                    <w:pStyle w:val="53"/>
                    <w:rPr>
                      <w:rFonts w:hint="default" w:ascii="Times New Roman" w:hAnsi="Times New Roman" w:cs="Times New Roman"/>
                      <w:color w:val="auto"/>
                    </w:rPr>
                  </w:pPr>
                  <w:r>
                    <w:rPr>
                      <w:rFonts w:hint="default" w:ascii="Times New Roman" w:hAnsi="Times New Roman" w:cs="Times New Roman"/>
                      <w:color w:val="auto"/>
                    </w:rPr>
                    <w:t>二、加快推动绿色低碳发展</w:t>
                  </w:r>
                </w:p>
              </w:tc>
              <w:tc>
                <w:tcPr>
                  <w:tcW w:w="0" w:type="auto"/>
                  <w:vAlign w:val="center"/>
                </w:tcPr>
                <w:p w14:paraId="47B71A57">
                  <w:pPr>
                    <w:pStyle w:val="53"/>
                    <w:rPr>
                      <w:rFonts w:hint="default" w:ascii="Times New Roman" w:hAnsi="Times New Roman" w:cs="Times New Roman"/>
                      <w:color w:val="auto"/>
                    </w:rPr>
                  </w:pPr>
                  <w:r>
                    <w:rPr>
                      <w:rFonts w:hint="default" w:ascii="Times New Roman" w:hAnsi="Times New Roman" w:cs="Times New Roman"/>
                      <w:color w:val="auto"/>
                    </w:rPr>
                    <w:t>（九）加强生态环境分区管控。衔接国土空间规划分区和用途管制要求，将生态保护红线、环境质量底线、资源利用上线的硬约束落实到环境管控单元，建立差别化的生态环境准入清单，加强“三线一单”成果在政策制定、环境准入、园区管理、执法监管等方面的应用。</w:t>
                  </w:r>
                </w:p>
              </w:tc>
              <w:tc>
                <w:tcPr>
                  <w:tcW w:w="0" w:type="auto"/>
                  <w:vAlign w:val="center"/>
                </w:tcPr>
                <w:p w14:paraId="107BD90A">
                  <w:pPr>
                    <w:pStyle w:val="53"/>
                    <w:rPr>
                      <w:rFonts w:hint="default" w:ascii="Times New Roman" w:hAnsi="Times New Roman" w:eastAsia="宋体" w:cs="Times New Roman"/>
                      <w:color w:val="auto"/>
                      <w:lang w:val="en-US" w:eastAsia="zh-CN"/>
                    </w:rPr>
                  </w:pPr>
                  <w:r>
                    <w:rPr>
                      <w:rFonts w:hint="default" w:ascii="Times New Roman" w:hAnsi="Times New Roman" w:cs="Times New Roman"/>
                      <w:color w:val="auto"/>
                      <w:kern w:val="0"/>
                    </w:rPr>
                    <w:t>本项目位于</w:t>
                  </w:r>
                  <w:r>
                    <w:rPr>
                      <w:rFonts w:hint="default" w:ascii="Times New Roman" w:hAnsi="Times New Roman" w:cs="Times New Roman"/>
                      <w:color w:val="auto"/>
                    </w:rPr>
                    <w:t>云南省</w:t>
                  </w:r>
                  <w:r>
                    <w:rPr>
                      <w:rFonts w:hint="eastAsia" w:cs="Times New Roman"/>
                      <w:color w:val="auto"/>
                      <w:lang w:eastAsia="zh-CN"/>
                    </w:rPr>
                    <w:t>曲靖市麒麟区越州镇老吴村委会（原平板玻璃厂内）</w:t>
                  </w:r>
                  <w:r>
                    <w:rPr>
                      <w:rFonts w:hint="default" w:ascii="Times New Roman" w:hAnsi="Times New Roman" w:cs="Times New Roman"/>
                      <w:color w:val="auto"/>
                      <w:kern w:val="0"/>
                    </w:rPr>
                    <w:t>，根据</w:t>
                  </w:r>
                  <w:r>
                    <w:rPr>
                      <w:rFonts w:hint="eastAsia" w:cs="Times New Roman"/>
                      <w:color w:val="auto"/>
                      <w:kern w:val="0"/>
                      <w:lang w:eastAsia="zh-CN"/>
                    </w:rPr>
                    <w:t>：“三区三线”</w:t>
                  </w:r>
                  <w:r>
                    <w:rPr>
                      <w:rFonts w:hint="default" w:ascii="Times New Roman" w:hAnsi="Times New Roman" w:cs="Times New Roman"/>
                      <w:color w:val="auto"/>
                      <w:kern w:val="0"/>
                    </w:rPr>
                    <w:t>查询意见，本项目不涉及生态保护红线</w:t>
                  </w:r>
                  <w:r>
                    <w:rPr>
                      <w:rFonts w:hint="default" w:ascii="Times New Roman" w:hAnsi="Times New Roman" w:cs="Times New Roman"/>
                      <w:color w:val="auto"/>
                    </w:rPr>
                    <w:t>，</w:t>
                  </w:r>
                  <w:r>
                    <w:rPr>
                      <w:rFonts w:hint="eastAsia" w:cs="Times New Roman"/>
                      <w:color w:val="auto"/>
                      <w:lang w:val="en-US" w:eastAsia="zh-CN"/>
                    </w:rPr>
                    <w:t>经分析</w:t>
                  </w:r>
                  <w:r>
                    <w:rPr>
                      <w:rFonts w:hint="default" w:ascii="Times New Roman" w:hAnsi="Times New Roman" w:cs="Times New Roman"/>
                      <w:color w:val="auto"/>
                    </w:rPr>
                    <w:t>本项目与《曲靖市人民政府关于印发曲靖市“三线一单”生态环境分区管控实施方案的通知》（曲政发〔2021〕27号）</w:t>
                  </w:r>
                  <w:r>
                    <w:rPr>
                      <w:rFonts w:hint="eastAsia" w:cs="宋体"/>
                      <w:color w:val="auto"/>
                      <w:kern w:val="2"/>
                      <w:lang w:val="en-US" w:eastAsia="zh-CN"/>
                    </w:rPr>
                    <w:t>及《曲靖市生态环境分区管控动态更新方案（2023年）》（曲环通〔2024〕36号）的相关要求</w:t>
                  </w:r>
                  <w:r>
                    <w:rPr>
                      <w:rFonts w:hint="default" w:ascii="Times New Roman" w:hAnsi="Times New Roman" w:cs="Times New Roman"/>
                      <w:color w:val="auto"/>
                    </w:rPr>
                    <w:t>相符</w:t>
                  </w:r>
                  <w:r>
                    <w:rPr>
                      <w:rFonts w:hint="eastAsia" w:cs="Times New Roman"/>
                      <w:color w:val="auto"/>
                      <w:lang w:eastAsia="zh-CN"/>
                    </w:rPr>
                    <w:t>；</w:t>
                  </w:r>
                  <w:r>
                    <w:rPr>
                      <w:rFonts w:hint="eastAsia" w:cs="Times New Roman"/>
                      <w:color w:val="auto"/>
                      <w:lang w:val="en-US" w:eastAsia="zh-CN"/>
                    </w:rPr>
                    <w:t>项目不在工业园区内；项目在运行过程中应确保环保设施的正常运行，确保污染物达标排放。</w:t>
                  </w:r>
                </w:p>
              </w:tc>
              <w:tc>
                <w:tcPr>
                  <w:tcW w:w="0" w:type="auto"/>
                  <w:vAlign w:val="center"/>
                </w:tcPr>
                <w:p w14:paraId="02BFA29B">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3DAE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3D0A541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四、深入打好碧水保卫战</w:t>
                  </w:r>
                </w:p>
              </w:tc>
              <w:tc>
                <w:tcPr>
                  <w:tcW w:w="2589" w:type="dxa"/>
                  <w:vAlign w:val="center"/>
                </w:tcPr>
                <w:p w14:paraId="28D52D02">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十五）加强农业农村和工业企业污染防治，有效控制入河污染物排放。强化溯源整治，杜绝污水直接排入雨水管网。推进城镇污水管网全覆盖，对进水情况出现明显异常的污水处理厂，开展片区管网系统化整治。</w:t>
                  </w:r>
                </w:p>
              </w:tc>
              <w:tc>
                <w:tcPr>
                  <w:tcW w:w="3238" w:type="dxa"/>
                  <w:vAlign w:val="center"/>
                </w:tcPr>
                <w:p w14:paraId="4901D3A3">
                  <w:pPr>
                    <w:pStyle w:val="53"/>
                    <w:ind w:firstLine="0" w:firstLineChars="0"/>
                    <w:rPr>
                      <w:rFonts w:hint="default" w:ascii="Times New Roman" w:hAnsi="Times New Roman" w:cs="Times New Roman"/>
                      <w:color w:val="auto"/>
                      <w:kern w:val="0"/>
                    </w:rPr>
                  </w:pPr>
                  <w:r>
                    <w:rPr>
                      <w:rFonts w:hint="default" w:ascii="Times New Roman" w:hAnsi="Times New Roman" w:cs="Times New Roman"/>
                      <w:color w:val="auto"/>
                    </w:rPr>
                    <w:t>项目采取雨污分流</w:t>
                  </w:r>
                  <w:r>
                    <w:rPr>
                      <w:rFonts w:hint="eastAsia" w:cs="Times New Roman"/>
                      <w:color w:val="auto"/>
                      <w:lang w:eastAsia="zh-CN"/>
                    </w:rPr>
                    <w:t>，</w:t>
                  </w:r>
                  <w:r>
                    <w:rPr>
                      <w:rFonts w:hint="eastAsia" w:cs="Times New Roman"/>
                      <w:color w:val="auto"/>
                      <w:lang w:val="en-US" w:eastAsia="zh-CN"/>
                    </w:rPr>
                    <w:t>雨水经项目区雨水排口排入附近河流</w:t>
                  </w:r>
                  <w:r>
                    <w:rPr>
                      <w:rFonts w:hint="default" w:ascii="Times New Roman" w:hAnsi="Times New Roman" w:cs="Times New Roman"/>
                      <w:color w:val="auto"/>
                    </w:rPr>
                    <w:t>；</w:t>
                  </w:r>
                  <w:r>
                    <w:rPr>
                      <w:rFonts w:hint="eastAsia" w:ascii="Times New Roman" w:hAnsi="Times New Roman" w:eastAsia="宋体" w:cs="Times New Roman"/>
                      <w:color w:val="auto"/>
                      <w:sz w:val="21"/>
                      <w:szCs w:val="21"/>
                      <w:highlight w:val="none"/>
                      <w:lang w:val="en-US" w:eastAsia="zh-CN"/>
                    </w:rPr>
                    <w:t>生活污水经化粪池收集后委托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s="Times New Roman"/>
                      <w:color w:val="auto"/>
                      <w:sz w:val="21"/>
                      <w:szCs w:val="21"/>
                      <w:highlight w:val="none"/>
                      <w:lang w:val="en-US" w:eastAsia="zh-CN"/>
                    </w:rPr>
                    <w:t>；冷却塔冷却水循环使用，不外排。</w:t>
                  </w:r>
                </w:p>
              </w:tc>
              <w:tc>
                <w:tcPr>
                  <w:tcW w:w="456" w:type="dxa"/>
                  <w:vAlign w:val="center"/>
                </w:tcPr>
                <w:p w14:paraId="17B83692">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符合</w:t>
                  </w:r>
                </w:p>
              </w:tc>
            </w:tr>
            <w:tr w14:paraId="77F7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DB6157E">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六、切实维护生态环境安全</w:t>
                  </w:r>
                </w:p>
              </w:tc>
              <w:tc>
                <w:tcPr>
                  <w:tcW w:w="0" w:type="auto"/>
                  <w:vAlign w:val="center"/>
                </w:tcPr>
                <w:p w14:paraId="18A15DE9">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（三十一）严密防控环境风险。开展涉危险废物涉重金属企业、化工园区等重点领域环境风险调查评估，完成重点河流突发水污染事件“一河一策一图”全覆盖。</w:t>
                  </w:r>
                </w:p>
              </w:tc>
              <w:tc>
                <w:tcPr>
                  <w:tcW w:w="0" w:type="auto"/>
                  <w:vAlign w:val="center"/>
                </w:tcPr>
                <w:p w14:paraId="5341783F">
                  <w:pPr>
                    <w:pStyle w:val="53"/>
                    <w:rPr>
                      <w:rFonts w:hint="default" w:ascii="Times New Roman" w:hAnsi="Times New Roman" w:cs="Times New Roman"/>
                      <w:color w:val="auto"/>
                    </w:rPr>
                  </w:pPr>
                  <w:r>
                    <w:rPr>
                      <w:rFonts w:hint="default" w:ascii="Times New Roman" w:hAnsi="Times New Roman" w:cs="Times New Roman"/>
                      <w:color w:val="auto"/>
                    </w:rPr>
                    <w:t>本项目涉及的危险物质为</w:t>
                  </w:r>
                  <w:r>
                    <w:rPr>
                      <w:rFonts w:hint="eastAsia" w:cs="Times New Roman"/>
                      <w:color w:val="auto"/>
                      <w:lang w:val="en-US" w:eastAsia="zh-CN"/>
                    </w:rPr>
                    <w:t>过滤网残渣（焦油）</w:t>
                  </w:r>
                  <w:r>
                    <w:rPr>
                      <w:rFonts w:hint="default" w:ascii="Times New Roman" w:hAnsi="Times New Roman" w:cs="Times New Roman"/>
                      <w:color w:val="auto"/>
                    </w:rPr>
                    <w:t>，经计算Q值为0.000</w:t>
                  </w:r>
                  <w:r>
                    <w:rPr>
                      <w:rFonts w:hint="eastAsia" w:cs="Times New Roman"/>
                      <w:color w:val="auto"/>
                      <w:lang w:val="en-US" w:eastAsia="zh-CN"/>
                    </w:rPr>
                    <w:t>1</w:t>
                  </w:r>
                  <w:r>
                    <w:rPr>
                      <w:rFonts w:hint="default" w:ascii="Times New Roman" w:hAnsi="Times New Roman" w:cs="Times New Roman"/>
                      <w:color w:val="auto"/>
                    </w:rPr>
                    <w:t>＜1，进行简单风险分析；本项目采取相应的风险防范措施后可大大降低环境风险。</w:t>
                  </w:r>
                </w:p>
              </w:tc>
              <w:tc>
                <w:tcPr>
                  <w:tcW w:w="0" w:type="auto"/>
                  <w:vAlign w:val="center"/>
                </w:tcPr>
                <w:p w14:paraId="057864A1">
                  <w:pPr>
                    <w:pStyle w:val="53"/>
                    <w:rPr>
                      <w:rFonts w:hint="default" w:ascii="Times New Roman" w:hAnsi="Times New Roman" w:cs="Times New Roman"/>
                      <w:color w:val="auto"/>
                    </w:rPr>
                  </w:pPr>
                  <w:r>
                    <w:rPr>
                      <w:rFonts w:hint="default" w:ascii="Times New Roman" w:hAnsi="Times New Roman" w:cs="Times New Roman"/>
                      <w:color w:val="auto"/>
                    </w:rPr>
                    <w:t>符合</w:t>
                  </w:r>
                </w:p>
              </w:tc>
            </w:tr>
          </w:tbl>
          <w:p w14:paraId="256DD0BC">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综上所述，项目与</w:t>
            </w:r>
            <w:r>
              <w:rPr>
                <w:rFonts w:hint="default" w:ascii="Times New Roman" w:hAnsi="Times New Roman" w:cs="Times New Roman"/>
                <w:color w:val="auto"/>
                <w:szCs w:val="24"/>
              </w:rPr>
              <w:t>《中共中央</w:t>
            </w:r>
            <w:r>
              <w:rPr>
                <w:rFonts w:hint="eastAsia" w:cs="Times New Roman"/>
                <w:color w:val="auto"/>
                <w:szCs w:val="24"/>
                <w:lang w:val="en-US" w:eastAsia="zh-CN"/>
              </w:rPr>
              <w:t xml:space="preserve"> </w:t>
            </w:r>
            <w:r>
              <w:rPr>
                <w:rFonts w:hint="default" w:ascii="Times New Roman" w:hAnsi="Times New Roman" w:cs="Times New Roman"/>
                <w:color w:val="auto"/>
                <w:szCs w:val="24"/>
              </w:rPr>
              <w:t>国务院关于深入打好污染防治攻坚战的意见》</w:t>
            </w:r>
            <w:r>
              <w:rPr>
                <w:rFonts w:hint="default" w:ascii="Times New Roman" w:hAnsi="Times New Roman" w:cs="Times New Roman"/>
                <w:color w:val="auto"/>
              </w:rPr>
              <w:t>的相关要求相符。</w:t>
            </w:r>
          </w:p>
          <w:p w14:paraId="678F7D80">
            <w:pPr>
              <w:pStyle w:val="51"/>
              <w:ind w:firstLine="482"/>
              <w:rPr>
                <w:rFonts w:hint="default" w:ascii="Times New Roman" w:hAnsi="Times New Roman" w:cs="Times New Roman"/>
                <w:b/>
                <w:color w:val="auto"/>
              </w:rPr>
            </w:pPr>
            <w:r>
              <w:rPr>
                <w:rFonts w:hint="eastAsia" w:cs="Times New Roman"/>
                <w:b/>
                <w:color w:val="auto"/>
                <w:lang w:val="en-US" w:eastAsia="zh-CN"/>
              </w:rPr>
              <w:t>4</w:t>
            </w:r>
            <w:r>
              <w:rPr>
                <w:rFonts w:hint="default" w:ascii="Times New Roman" w:hAnsi="Times New Roman" w:cs="Times New Roman"/>
                <w:b/>
                <w:color w:val="auto"/>
              </w:rPr>
              <w:t>、</w:t>
            </w:r>
            <w:r>
              <w:rPr>
                <w:rFonts w:hint="default" w:ascii="Times New Roman" w:hAnsi="Times New Roman" w:cs="Times New Roman"/>
                <w:b/>
                <w:color w:val="auto"/>
                <w:szCs w:val="24"/>
              </w:rPr>
              <w:t>与中共云南省委、云南省人民政府《关于深入打好污染防治攻坚战的实</w:t>
            </w:r>
            <w:r>
              <w:rPr>
                <w:rFonts w:hint="default" w:ascii="Times New Roman" w:hAnsi="Times New Roman" w:cs="Times New Roman"/>
                <w:b/>
                <w:color w:val="auto"/>
              </w:rPr>
              <w:t>施意见》符合性分析</w:t>
            </w:r>
          </w:p>
          <w:p w14:paraId="691ADA5E">
            <w:pPr>
              <w:pStyle w:val="51"/>
              <w:ind w:firstLine="480"/>
              <w:rPr>
                <w:rFonts w:hint="default" w:ascii="Times New Roman" w:hAnsi="Times New Roman" w:cs="Times New Roman"/>
                <w:bCs/>
                <w:color w:val="auto"/>
              </w:rPr>
            </w:pPr>
            <w:r>
              <w:rPr>
                <w:rFonts w:hint="default" w:ascii="Times New Roman" w:hAnsi="Times New Roman" w:cs="Times New Roman"/>
                <w:color w:val="auto"/>
              </w:rPr>
              <w:t>2022年7月21日，中共云南省委、云南省人民政府为贯彻落实中共中央、国务院《关于深入打好污染防治攻坚战的意见》精神，进一步加强生态环境保护，深入打好污染防治攻坚战，结合云南实际，提出实施意见，项目与其符合性分析见下表。</w:t>
            </w:r>
          </w:p>
          <w:p w14:paraId="5CC7FF60">
            <w:pPr>
              <w:pStyle w:val="52"/>
              <w:rPr>
                <w:rFonts w:hint="default" w:ascii="Times New Roman" w:hAnsi="Times New Roman" w:cs="Times New Roman"/>
                <w:color w:val="auto"/>
              </w:rPr>
            </w:pPr>
            <w:r>
              <w:rPr>
                <w:rFonts w:hint="default" w:ascii="Times New Roman" w:hAnsi="Times New Roman" w:cs="Times New Roman"/>
                <w:bCs/>
                <w:color w:val="auto"/>
              </w:rPr>
              <w:t>表1-6    项目与</w:t>
            </w:r>
            <w:r>
              <w:rPr>
                <w:rFonts w:hint="default" w:ascii="Times New Roman" w:hAnsi="Times New Roman" w:cs="Times New Roman"/>
                <w:color w:val="auto"/>
              </w:rPr>
              <w:t>中共云南省委</w:t>
            </w:r>
            <w:r>
              <w:rPr>
                <w:rFonts w:hint="eastAsia" w:cs="Times New Roman"/>
                <w:color w:val="auto"/>
                <w:lang w:eastAsia="zh-CN"/>
              </w:rPr>
              <w:t>、</w:t>
            </w:r>
            <w:r>
              <w:rPr>
                <w:rFonts w:hint="default" w:ascii="Times New Roman" w:hAnsi="Times New Roman" w:cs="Times New Roman"/>
                <w:color w:val="auto"/>
              </w:rPr>
              <w:t>云南省人民政府关于深入打好污染防治攻坚战的实施意见</w:t>
            </w:r>
            <w:r>
              <w:rPr>
                <w:rFonts w:hint="default" w:ascii="Times New Roman" w:hAnsi="Times New Roman" w:cs="Times New Roman"/>
                <w:bCs/>
                <w:color w:val="auto"/>
              </w:rPr>
              <w:t>符合性分析表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0"/>
              <w:gridCol w:w="2816"/>
              <w:gridCol w:w="2267"/>
              <w:gridCol w:w="948"/>
            </w:tblGrid>
            <w:tr w14:paraId="5643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27" w:type="pct"/>
                  <w:gridSpan w:val="2"/>
                  <w:vAlign w:val="center"/>
                </w:tcPr>
                <w:p w14:paraId="4882559D">
                  <w:pPr>
                    <w:pStyle w:val="53"/>
                    <w:rPr>
                      <w:rFonts w:hint="default" w:ascii="Times New Roman" w:hAnsi="Times New Roman" w:cs="Times New Roman"/>
                      <w:color w:val="auto"/>
                    </w:rPr>
                  </w:pPr>
                  <w:r>
                    <w:rPr>
                      <w:rFonts w:hint="default" w:ascii="Times New Roman" w:hAnsi="Times New Roman" w:cs="Times New Roman"/>
                      <w:color w:val="auto"/>
                    </w:rPr>
                    <w:t>相关要求</w:t>
                  </w:r>
                </w:p>
              </w:tc>
              <w:tc>
                <w:tcPr>
                  <w:tcW w:w="1603" w:type="pct"/>
                  <w:vAlign w:val="center"/>
                </w:tcPr>
                <w:p w14:paraId="0654F2CE">
                  <w:pPr>
                    <w:pStyle w:val="53"/>
                    <w:rPr>
                      <w:rFonts w:hint="default" w:ascii="Times New Roman" w:hAnsi="Times New Roman" w:cs="Times New Roman"/>
                      <w:color w:val="auto"/>
                    </w:rPr>
                  </w:pPr>
                  <w:r>
                    <w:rPr>
                      <w:rFonts w:hint="default" w:ascii="Times New Roman" w:hAnsi="Times New Roman" w:cs="Times New Roman"/>
                      <w:color w:val="auto"/>
                    </w:rPr>
                    <w:t>本项目情况</w:t>
                  </w:r>
                </w:p>
              </w:tc>
              <w:tc>
                <w:tcPr>
                  <w:tcW w:w="670" w:type="pct"/>
                  <w:vAlign w:val="center"/>
                </w:tcPr>
                <w:p w14:paraId="0FFCF236">
                  <w:pPr>
                    <w:pStyle w:val="53"/>
                    <w:rPr>
                      <w:rFonts w:hint="default" w:ascii="Times New Roman" w:hAnsi="Times New Roman" w:cs="Times New Roman"/>
                      <w:color w:val="auto"/>
                    </w:rPr>
                  </w:pPr>
                  <w:r>
                    <w:rPr>
                      <w:rFonts w:hint="default" w:ascii="Times New Roman" w:hAnsi="Times New Roman" w:cs="Times New Roman"/>
                      <w:color w:val="auto"/>
                    </w:rPr>
                    <w:t>相符性</w:t>
                  </w:r>
                </w:p>
              </w:tc>
            </w:tr>
            <w:tr w14:paraId="2625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15222C10">
                  <w:pPr>
                    <w:pStyle w:val="53"/>
                    <w:rPr>
                      <w:rFonts w:hint="default" w:ascii="Times New Roman" w:hAnsi="Times New Roman" w:cs="Times New Roman"/>
                      <w:color w:val="auto"/>
                    </w:rPr>
                  </w:pPr>
                  <w:r>
                    <w:rPr>
                      <w:rFonts w:hint="default" w:ascii="Times New Roman" w:hAnsi="Times New Roman" w:cs="Times New Roman"/>
                      <w:color w:val="auto"/>
                    </w:rPr>
                    <w:t>二、加快推动绿色低碳发展</w:t>
                  </w:r>
                </w:p>
              </w:tc>
              <w:tc>
                <w:tcPr>
                  <w:tcW w:w="1990" w:type="pct"/>
                  <w:vAlign w:val="center"/>
                </w:tcPr>
                <w:p w14:paraId="78E46E4C">
                  <w:pPr>
                    <w:pStyle w:val="53"/>
                    <w:rPr>
                      <w:rFonts w:hint="default" w:ascii="Times New Roman" w:hAnsi="Times New Roman" w:cs="Times New Roman"/>
                      <w:color w:val="auto"/>
                    </w:rPr>
                  </w:pPr>
                  <w:r>
                    <w:rPr>
                      <w:rFonts w:hint="default" w:ascii="Times New Roman" w:hAnsi="Times New Roman" w:cs="Times New Roman"/>
                      <w:color w:val="auto"/>
                    </w:rPr>
                    <w:t>（五）加强生态环境分区管控。优化生态环境分区管控格局，不断完善“三线一单”生态环境分区管控体系。开展重大经济技术政策的生态环境影响分析和重大生态环境政策的社会经济影响评估。</w:t>
                  </w:r>
                </w:p>
              </w:tc>
              <w:tc>
                <w:tcPr>
                  <w:tcW w:w="1603" w:type="pct"/>
                  <w:vAlign w:val="center"/>
                </w:tcPr>
                <w:p w14:paraId="40106C15">
                  <w:pPr>
                    <w:pStyle w:val="53"/>
                    <w:rPr>
                      <w:rFonts w:hint="default" w:ascii="Times New Roman" w:hAnsi="Times New Roman" w:cs="Times New Roman"/>
                      <w:color w:val="auto"/>
                    </w:rPr>
                  </w:pPr>
                  <w:r>
                    <w:rPr>
                      <w:rFonts w:hint="default" w:ascii="Times New Roman" w:hAnsi="Times New Roman" w:cs="Times New Roman"/>
                      <w:color w:val="auto"/>
                    </w:rPr>
                    <w:t>根据分析，本项目与《曲靖市人民政府关于印发曲靖市“三线一单”生态环境分区管控实施方案的通知》（曲政发〔2021〕27号）</w:t>
                  </w:r>
                  <w:r>
                    <w:rPr>
                      <w:rFonts w:hint="eastAsia" w:cs="Times New Roman"/>
                      <w:color w:val="auto"/>
                      <w:lang w:val="en-US" w:eastAsia="zh-CN"/>
                    </w:rPr>
                    <w:t>的相关要求</w:t>
                  </w:r>
                  <w:r>
                    <w:rPr>
                      <w:rFonts w:hint="default" w:ascii="Times New Roman" w:hAnsi="Times New Roman" w:cs="Times New Roman"/>
                      <w:color w:val="auto"/>
                    </w:rPr>
                    <w:t>相符。</w:t>
                  </w:r>
                </w:p>
              </w:tc>
              <w:tc>
                <w:tcPr>
                  <w:tcW w:w="670" w:type="pct"/>
                  <w:vAlign w:val="center"/>
                </w:tcPr>
                <w:p w14:paraId="3D48F835">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4A37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02BE6039">
                  <w:pPr>
                    <w:pStyle w:val="53"/>
                    <w:rPr>
                      <w:rFonts w:hint="default" w:ascii="Times New Roman" w:hAnsi="Times New Roman" w:cs="Times New Roman"/>
                      <w:color w:val="auto"/>
                    </w:rPr>
                  </w:pPr>
                  <w:r>
                    <w:rPr>
                      <w:rFonts w:hint="default" w:ascii="Times New Roman" w:hAnsi="Times New Roman" w:cs="Times New Roman"/>
                      <w:color w:val="auto"/>
                    </w:rPr>
                    <w:t>三、深入打好蓝天保卫战</w:t>
                  </w:r>
                </w:p>
              </w:tc>
              <w:tc>
                <w:tcPr>
                  <w:tcW w:w="1990" w:type="pct"/>
                  <w:vAlign w:val="center"/>
                </w:tcPr>
                <w:p w14:paraId="7330D37E">
                  <w:pPr>
                    <w:pStyle w:val="53"/>
                    <w:rPr>
                      <w:rFonts w:hint="default" w:ascii="Times New Roman" w:hAnsi="Times New Roman" w:cs="Times New Roman"/>
                      <w:color w:val="auto"/>
                    </w:rPr>
                  </w:pPr>
                  <w:r>
                    <w:rPr>
                      <w:rFonts w:hint="default" w:ascii="Times New Roman" w:hAnsi="Times New Roman" w:cs="Times New Roman"/>
                      <w:color w:val="auto"/>
                    </w:rPr>
                    <w:t>（四）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1603" w:type="pct"/>
                  <w:vAlign w:val="center"/>
                </w:tcPr>
                <w:p w14:paraId="6D049FE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项目运营期废气经处理后能达标排放；</w:t>
                  </w:r>
                  <w:r>
                    <w:rPr>
                      <w:rFonts w:hint="default" w:ascii="Times New Roman" w:hAnsi="Times New Roman" w:cs="Times New Roman"/>
                      <w:color w:val="auto"/>
                    </w:rPr>
                    <w:t>项目产生的噪声主要由生产设备运行产生，</w:t>
                  </w:r>
                  <w:r>
                    <w:rPr>
                      <w:rFonts w:hint="eastAsia" w:ascii="Times New Roman" w:hAnsi="Times New Roman" w:cs="Times New Roman"/>
                      <w:color w:val="auto"/>
                      <w:lang w:val="en-US" w:eastAsia="zh-CN"/>
                    </w:rPr>
                    <w:t>经隔声</w:t>
                  </w:r>
                  <w:r>
                    <w:rPr>
                      <w:rFonts w:hint="eastAsia" w:cs="Times New Roman"/>
                      <w:color w:val="auto"/>
                      <w:lang w:val="en-US" w:eastAsia="zh-CN"/>
                    </w:rPr>
                    <w:t>、消声、基础</w:t>
                  </w:r>
                  <w:r>
                    <w:rPr>
                      <w:rFonts w:hint="eastAsia" w:ascii="Times New Roman" w:hAnsi="Times New Roman" w:cs="Times New Roman"/>
                      <w:color w:val="auto"/>
                      <w:lang w:val="en-US" w:eastAsia="zh-CN"/>
                    </w:rPr>
                    <w:t>减振后能达标排放</w:t>
                  </w:r>
                  <w:r>
                    <w:rPr>
                      <w:rFonts w:hint="eastAsia" w:cs="Times New Roman"/>
                      <w:color w:val="auto"/>
                      <w:lang w:val="en-US" w:eastAsia="zh-CN"/>
                    </w:rPr>
                    <w:t>，附近居民点噪声预测值能达标，不会造成噪声污染</w:t>
                  </w:r>
                  <w:r>
                    <w:rPr>
                      <w:rFonts w:hint="eastAsia" w:ascii="Times New Roman" w:hAnsi="Times New Roman" w:cs="Times New Roman"/>
                      <w:color w:val="auto"/>
                      <w:lang w:val="en-US" w:eastAsia="zh-CN"/>
                    </w:rPr>
                    <w:t>。</w:t>
                  </w:r>
                </w:p>
              </w:tc>
              <w:tc>
                <w:tcPr>
                  <w:tcW w:w="670" w:type="pct"/>
                  <w:vAlign w:val="center"/>
                </w:tcPr>
                <w:p w14:paraId="064495D8">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0582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30E1D8B1">
                  <w:pPr>
                    <w:pStyle w:val="53"/>
                    <w:rPr>
                      <w:rFonts w:hint="default" w:ascii="Times New Roman" w:hAnsi="Times New Roman" w:cs="Times New Roman"/>
                      <w:color w:val="auto"/>
                    </w:rPr>
                  </w:pPr>
                  <w:r>
                    <w:rPr>
                      <w:rFonts w:hint="default" w:ascii="Times New Roman" w:hAnsi="Times New Roman" w:cs="Times New Roman"/>
                      <w:color w:val="auto"/>
                    </w:rPr>
                    <w:t>四、深入打好碧水保卫战</w:t>
                  </w:r>
                </w:p>
              </w:tc>
              <w:tc>
                <w:tcPr>
                  <w:tcW w:w="1990" w:type="pct"/>
                  <w:vAlign w:val="center"/>
                </w:tcPr>
                <w:p w14:paraId="6D9AD0DD">
                  <w:pPr>
                    <w:pStyle w:val="53"/>
                    <w:rPr>
                      <w:rFonts w:hint="default" w:ascii="Times New Roman" w:hAnsi="Times New Roman" w:cs="Times New Roman"/>
                      <w:color w:val="auto"/>
                    </w:rPr>
                  </w:pPr>
                  <w:r>
                    <w:rPr>
                      <w:rFonts w:hint="default" w:ascii="Times New Roman" w:hAnsi="Times New Roman" w:cs="Times New Roman"/>
                      <w:color w:val="auto"/>
                    </w:rPr>
                    <w:t>（六）有效控制入河污染物排放，强化溯源整治，推进城镇污水管网全覆盖。因地制宜开展水体内源污染治理和生态修复。</w:t>
                  </w:r>
                </w:p>
              </w:tc>
              <w:tc>
                <w:tcPr>
                  <w:tcW w:w="1603" w:type="pct"/>
                  <w:vAlign w:val="center"/>
                </w:tcPr>
                <w:p w14:paraId="27E38931">
                  <w:pPr>
                    <w:pStyle w:val="53"/>
                    <w:rPr>
                      <w:rFonts w:hint="default" w:ascii="Times New Roman" w:hAnsi="Times New Roman" w:cs="Times New Roman"/>
                      <w:color w:val="auto"/>
                      <w:lang w:val="en-US"/>
                    </w:rPr>
                  </w:pPr>
                  <w:r>
                    <w:rPr>
                      <w:rFonts w:hint="default" w:ascii="Times New Roman" w:hAnsi="Times New Roman" w:cs="Times New Roman"/>
                      <w:color w:val="auto"/>
                    </w:rPr>
                    <w:t>项目采取雨污分流；</w:t>
                  </w:r>
                  <w:r>
                    <w:rPr>
                      <w:rFonts w:hint="eastAsia" w:ascii="Times New Roman" w:hAnsi="Times New Roman" w:eastAsia="宋体" w:cs="Times New Roman"/>
                      <w:color w:val="auto"/>
                      <w:sz w:val="21"/>
                      <w:szCs w:val="21"/>
                      <w:highlight w:val="none"/>
                      <w:lang w:val="en-US" w:eastAsia="zh-CN"/>
                    </w:rPr>
                    <w:t>生活污水经化粪池收集后委托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s="Times New Roman"/>
                      <w:color w:val="auto"/>
                      <w:sz w:val="21"/>
                      <w:szCs w:val="21"/>
                      <w:highlight w:val="none"/>
                      <w:lang w:val="en-US" w:eastAsia="zh-CN"/>
                    </w:rPr>
                    <w:t>；冷却塔冷却水循环使用。</w:t>
                  </w:r>
                </w:p>
              </w:tc>
              <w:tc>
                <w:tcPr>
                  <w:tcW w:w="670" w:type="pct"/>
                  <w:vAlign w:val="center"/>
                </w:tcPr>
                <w:p w14:paraId="6AB1B8D3">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5BE6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36" w:type="pct"/>
                  <w:vAlign w:val="center"/>
                </w:tcPr>
                <w:p w14:paraId="59DE5F8C">
                  <w:pPr>
                    <w:pStyle w:val="53"/>
                    <w:rPr>
                      <w:rFonts w:hint="default" w:ascii="Times New Roman" w:hAnsi="Times New Roman" w:cs="Times New Roman"/>
                      <w:color w:val="auto"/>
                    </w:rPr>
                  </w:pPr>
                  <w:r>
                    <w:rPr>
                      <w:rFonts w:hint="default" w:ascii="Times New Roman" w:hAnsi="Times New Roman" w:cs="Times New Roman"/>
                      <w:color w:val="auto"/>
                    </w:rPr>
                    <w:t>五、深入打好净土保卫战</w:t>
                  </w:r>
                </w:p>
              </w:tc>
              <w:tc>
                <w:tcPr>
                  <w:tcW w:w="1990" w:type="pct"/>
                  <w:vAlign w:val="center"/>
                </w:tcPr>
                <w:p w14:paraId="5A0849E9">
                  <w:pPr>
                    <w:pStyle w:val="53"/>
                    <w:rPr>
                      <w:rFonts w:hint="default" w:ascii="Times New Roman" w:hAnsi="Times New Roman" w:cs="Times New Roman"/>
                      <w:color w:val="auto"/>
                    </w:rPr>
                  </w:pPr>
                  <w:r>
                    <w:rPr>
                      <w:rFonts w:hint="default" w:ascii="Times New Roman" w:hAnsi="Times New Roman" w:cs="Times New Roman"/>
                      <w:color w:val="auto"/>
                    </w:rPr>
                    <w:t>（三）有效管控建设用地土壤污染风险。严格建设用地土壤污染风险管控和修复名录内地块的准入管理，从严管控农药、化工等行业的重度污染地块规划用途。</w:t>
                  </w:r>
                </w:p>
              </w:tc>
              <w:tc>
                <w:tcPr>
                  <w:tcW w:w="1603" w:type="pct"/>
                  <w:vAlign w:val="center"/>
                </w:tcPr>
                <w:p w14:paraId="5322287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本项目为塑料颗粒生产项目，项目用地类型为工业用地，不涉及</w:t>
                  </w:r>
                  <w:r>
                    <w:rPr>
                      <w:rFonts w:hint="default" w:ascii="Times New Roman" w:hAnsi="Times New Roman" w:cs="Times New Roman"/>
                      <w:color w:val="auto"/>
                    </w:rPr>
                    <w:t>农药、化工等行业的重度污染地块</w:t>
                  </w:r>
                  <w:r>
                    <w:rPr>
                      <w:rFonts w:hint="eastAsia" w:cs="Times New Roman"/>
                      <w:color w:val="auto"/>
                      <w:lang w:eastAsia="zh-CN"/>
                    </w:rPr>
                    <w:t>。</w:t>
                  </w:r>
                </w:p>
              </w:tc>
              <w:tc>
                <w:tcPr>
                  <w:tcW w:w="670" w:type="pct"/>
                  <w:vAlign w:val="center"/>
                </w:tcPr>
                <w:p w14:paraId="7BEDB1E1">
                  <w:pPr>
                    <w:pStyle w:val="53"/>
                    <w:rPr>
                      <w:rFonts w:hint="default" w:ascii="Times New Roman" w:hAnsi="Times New Roman" w:cs="Times New Roman"/>
                      <w:color w:val="auto"/>
                    </w:rPr>
                  </w:pPr>
                  <w:r>
                    <w:rPr>
                      <w:rFonts w:hint="default" w:ascii="Times New Roman" w:hAnsi="Times New Roman" w:cs="Times New Roman"/>
                      <w:color w:val="auto"/>
                    </w:rPr>
                    <w:t>符合</w:t>
                  </w:r>
                </w:p>
              </w:tc>
            </w:tr>
            <w:tr w14:paraId="195B7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pct"/>
                  <w:vAlign w:val="center"/>
                </w:tcPr>
                <w:p w14:paraId="32EC265A">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rPr>
                    <w:t>六、切实维护生态环境安全</w:t>
                  </w:r>
                </w:p>
              </w:tc>
              <w:tc>
                <w:tcPr>
                  <w:tcW w:w="1990" w:type="pct"/>
                  <w:vAlign w:val="center"/>
                </w:tcPr>
                <w:p w14:paraId="1BD1EB53">
                  <w:pPr>
                    <w:pStyle w:val="53"/>
                    <w:rPr>
                      <w:rFonts w:hint="default" w:ascii="Times New Roman" w:hAnsi="Times New Roman" w:cs="Times New Roman"/>
                      <w:color w:val="auto"/>
                      <w:highlight w:val="none"/>
                    </w:rPr>
                  </w:pPr>
                  <w:r>
                    <w:rPr>
                      <w:rFonts w:hint="default" w:ascii="Times New Roman" w:hAnsi="Times New Roman" w:cs="Times New Roman"/>
                      <w:color w:val="auto"/>
                      <w:highlight w:val="none"/>
                      <w:lang w:bidi="zh-CN"/>
                    </w:rPr>
                    <w:t>（五）严密防控环境风险。开展重点领域环境风险调查评估，加强危险化学品运输全链条安全监管。搭建省级环境应急信息化平台，建设环境应急技术库和物资库。</w:t>
                  </w:r>
                </w:p>
              </w:tc>
              <w:tc>
                <w:tcPr>
                  <w:tcW w:w="1603" w:type="pct"/>
                  <w:vAlign w:val="center"/>
                </w:tcPr>
                <w:p w14:paraId="0920F2C0">
                  <w:pPr>
                    <w:pStyle w:val="53"/>
                    <w:rPr>
                      <w:rFonts w:hint="default" w:ascii="Times New Roman" w:hAnsi="Times New Roman" w:cs="Times New Roman"/>
                      <w:color w:val="auto"/>
                    </w:rPr>
                  </w:pPr>
                  <w:r>
                    <w:rPr>
                      <w:rFonts w:hint="default" w:ascii="Times New Roman" w:hAnsi="Times New Roman" w:cs="Times New Roman"/>
                      <w:color w:val="auto"/>
                    </w:rPr>
                    <w:t>本项目涉及的危险物质为</w:t>
                  </w:r>
                  <w:r>
                    <w:rPr>
                      <w:rFonts w:hint="eastAsia" w:cs="Times New Roman"/>
                      <w:color w:val="auto"/>
                      <w:lang w:val="en-US" w:eastAsia="zh-CN"/>
                    </w:rPr>
                    <w:t>过滤网残渣（焦油）</w:t>
                  </w:r>
                  <w:r>
                    <w:rPr>
                      <w:rFonts w:hint="default" w:ascii="Times New Roman" w:hAnsi="Times New Roman" w:cs="Times New Roman"/>
                      <w:color w:val="auto"/>
                    </w:rPr>
                    <w:t>，经计算Q值为0.000</w:t>
                  </w:r>
                  <w:r>
                    <w:rPr>
                      <w:rFonts w:hint="eastAsia" w:cs="Times New Roman"/>
                      <w:color w:val="auto"/>
                      <w:lang w:val="en-US" w:eastAsia="zh-CN"/>
                    </w:rPr>
                    <w:t>1</w:t>
                  </w:r>
                  <w:r>
                    <w:rPr>
                      <w:rFonts w:hint="default" w:ascii="Times New Roman" w:hAnsi="Times New Roman" w:cs="Times New Roman"/>
                      <w:color w:val="auto"/>
                    </w:rPr>
                    <w:t>＜1，进行简单风险分析；本项目采取相应的风险防范措施后可大大降低环境风险。</w:t>
                  </w:r>
                </w:p>
              </w:tc>
              <w:tc>
                <w:tcPr>
                  <w:tcW w:w="670" w:type="pct"/>
                  <w:vAlign w:val="center"/>
                </w:tcPr>
                <w:p w14:paraId="78E57A15">
                  <w:pPr>
                    <w:pStyle w:val="53"/>
                    <w:rPr>
                      <w:rFonts w:hint="default" w:ascii="Times New Roman" w:hAnsi="Times New Roman" w:cs="Times New Roman"/>
                      <w:color w:val="auto"/>
                    </w:rPr>
                  </w:pPr>
                  <w:r>
                    <w:rPr>
                      <w:rFonts w:hint="default" w:ascii="Times New Roman" w:hAnsi="Times New Roman" w:cs="Times New Roman"/>
                      <w:color w:val="auto"/>
                    </w:rPr>
                    <w:t>符合</w:t>
                  </w:r>
                </w:p>
              </w:tc>
            </w:tr>
          </w:tbl>
          <w:p w14:paraId="5F14E3F3">
            <w:pPr>
              <w:pStyle w:val="51"/>
              <w:ind w:firstLine="480"/>
              <w:rPr>
                <w:rFonts w:hint="default" w:ascii="Times New Roman" w:hAnsi="Times New Roman" w:cs="Times New Roman"/>
                <w:color w:val="auto"/>
              </w:rPr>
            </w:pPr>
            <w:r>
              <w:rPr>
                <w:rFonts w:hint="default" w:ascii="Times New Roman" w:hAnsi="Times New Roman" w:cs="Times New Roman"/>
                <w:color w:val="auto"/>
                <w:kern w:val="0"/>
              </w:rPr>
              <w:t>综上所述，项目与</w:t>
            </w:r>
            <w:r>
              <w:rPr>
                <w:rFonts w:hint="default" w:ascii="Times New Roman" w:hAnsi="Times New Roman" w:cs="Times New Roman"/>
                <w:color w:val="auto"/>
              </w:rPr>
              <w:t>中共云南省委、云南省人民政府《关于深入打好污染防治攻坚战的实施意见》的相关要求相符。</w:t>
            </w:r>
          </w:p>
          <w:p w14:paraId="78CAAD03">
            <w:pPr>
              <w:pStyle w:val="51"/>
              <w:bidi w:val="0"/>
              <w:rPr>
                <w:b/>
                <w:bCs/>
                <w:color w:val="auto"/>
              </w:rPr>
            </w:pPr>
            <w:r>
              <w:rPr>
                <w:rFonts w:hint="eastAsia"/>
                <w:b/>
                <w:bCs/>
                <w:color w:val="auto"/>
                <w:lang w:val="en-US" w:eastAsia="zh-CN"/>
              </w:rPr>
              <w:t>5</w:t>
            </w:r>
            <w:r>
              <w:rPr>
                <w:rFonts w:hint="default"/>
                <w:b/>
                <w:bCs/>
                <w:color w:val="auto"/>
              </w:rPr>
              <w:t>、</w:t>
            </w:r>
            <w:r>
              <w:rPr>
                <w:rFonts w:hint="eastAsia"/>
                <w:b/>
                <w:bCs/>
                <w:color w:val="auto"/>
              </w:rPr>
              <w:t>与《云南省长江经济带发展负面清单指南实施细则（试行，2022年版）》符合性分析</w:t>
            </w:r>
          </w:p>
          <w:p w14:paraId="3ED1FCFD">
            <w:pPr>
              <w:pStyle w:val="51"/>
              <w:bidi w:val="0"/>
              <w:rPr>
                <w:color w:val="auto"/>
              </w:rPr>
            </w:pPr>
            <w:r>
              <w:rPr>
                <w:rFonts w:hint="eastAsia"/>
                <w:color w:val="auto"/>
              </w:rPr>
              <w:t>云南省推动长江经济带发展领导小组办公室于2022年8月19日印发了《云南省长江经济带发展负面清单指南实施细则（试行，2022年版）》，本项目与其符合性见下表。</w:t>
            </w:r>
          </w:p>
          <w:p w14:paraId="4EDCB3DA">
            <w:pPr>
              <w:pStyle w:val="52"/>
              <w:bidi w:val="0"/>
              <w:rPr>
                <w:color w:val="auto"/>
              </w:rPr>
            </w:pPr>
            <w:r>
              <w:rPr>
                <w:color w:val="auto"/>
              </w:rPr>
              <w:t>表</w:t>
            </w:r>
            <w:r>
              <w:rPr>
                <w:rFonts w:hint="eastAsia"/>
                <w:color w:val="auto"/>
              </w:rPr>
              <w:t>1</w:t>
            </w:r>
            <w:r>
              <w:rPr>
                <w:rFonts w:hint="eastAsia"/>
                <w:color w:val="auto"/>
                <w:lang w:val="en-US" w:eastAsia="zh-CN"/>
              </w:rPr>
              <w:t xml:space="preserve">-7 </w:t>
            </w:r>
            <w:r>
              <w:rPr>
                <w:rFonts w:hint="eastAsia"/>
                <w:color w:val="auto"/>
              </w:rPr>
              <w:t xml:space="preserve"> </w:t>
            </w:r>
            <w:r>
              <w:rPr>
                <w:color w:val="auto"/>
              </w:rPr>
              <w:t xml:space="preserve"> 项目</w:t>
            </w:r>
            <w:r>
              <w:rPr>
                <w:rFonts w:hint="eastAsia"/>
                <w:color w:val="auto"/>
                <w:lang w:eastAsia="zh-CN"/>
              </w:rPr>
              <w:t>与</w:t>
            </w:r>
            <w:r>
              <w:rPr>
                <w:rFonts w:hint="eastAsia"/>
                <w:color w:val="auto"/>
              </w:rPr>
              <w:t>《长江经济带发展负面清单指南（试行，2022年版）》的符合性分析</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9"/>
              <w:gridCol w:w="2206"/>
              <w:gridCol w:w="426"/>
            </w:tblGrid>
            <w:tr w14:paraId="4FCD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4974EAA5">
                  <w:pPr>
                    <w:pStyle w:val="53"/>
                    <w:bidi w:val="0"/>
                    <w:rPr>
                      <w:color w:val="auto"/>
                    </w:rPr>
                  </w:pPr>
                  <w:r>
                    <w:rPr>
                      <w:rFonts w:hint="eastAsia"/>
                      <w:color w:val="auto"/>
                    </w:rPr>
                    <w:t>《长江经济带发展负面清单指南（试行，2022 年版）》</w:t>
                  </w:r>
                </w:p>
              </w:tc>
              <w:tc>
                <w:tcPr>
                  <w:tcW w:w="1559" w:type="pct"/>
                  <w:vAlign w:val="center"/>
                </w:tcPr>
                <w:p w14:paraId="0142FA4E">
                  <w:pPr>
                    <w:pStyle w:val="53"/>
                    <w:bidi w:val="0"/>
                    <w:rPr>
                      <w:color w:val="auto"/>
                    </w:rPr>
                  </w:pPr>
                  <w:r>
                    <w:rPr>
                      <w:color w:val="auto"/>
                    </w:rPr>
                    <w:t>本项目情况</w:t>
                  </w:r>
                </w:p>
              </w:tc>
              <w:tc>
                <w:tcPr>
                  <w:tcW w:w="301" w:type="pct"/>
                  <w:vAlign w:val="center"/>
                </w:tcPr>
                <w:p w14:paraId="45C4431A">
                  <w:pPr>
                    <w:pStyle w:val="53"/>
                    <w:bidi w:val="0"/>
                    <w:rPr>
                      <w:color w:val="auto"/>
                    </w:rPr>
                  </w:pPr>
                  <w:r>
                    <w:rPr>
                      <w:color w:val="auto"/>
                    </w:rPr>
                    <w:t>符合性</w:t>
                  </w:r>
                </w:p>
              </w:tc>
            </w:tr>
            <w:tr w14:paraId="652A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7C19F0FD">
                  <w:pPr>
                    <w:pStyle w:val="53"/>
                    <w:bidi w:val="0"/>
                    <w:rPr>
                      <w:color w:val="auto"/>
                    </w:rPr>
                  </w:pPr>
                  <w:r>
                    <w:rPr>
                      <w:rFonts w:hint="eastAsia"/>
                      <w:color w:val="auto"/>
                    </w:rPr>
                    <w:t>禁止新建、改建和扩建不符合《全国内河航道与港口布局规划》等全国港口规划和《昭通市港口码头岸线规划（金沙江段2019年</w:t>
                  </w:r>
                  <w:r>
                    <w:rPr>
                      <w:rFonts w:hint="eastAsia"/>
                      <w:color w:val="auto"/>
                      <w:lang w:eastAsia="zh-CN"/>
                    </w:rPr>
                    <w:t>～</w:t>
                  </w:r>
                  <w:r>
                    <w:rPr>
                      <w:rFonts w:hint="eastAsia"/>
                      <w:color w:val="auto"/>
                    </w:rPr>
                    <w:t xml:space="preserve"> 2035年）》， 《景洪港总体规划（2019</w:t>
                  </w:r>
                  <w:r>
                    <w:rPr>
                      <w:rFonts w:hint="eastAsia"/>
                      <w:color w:val="auto"/>
                      <w:lang w:eastAsia="zh-CN"/>
                    </w:rPr>
                    <w:t>—</w:t>
                  </w:r>
                  <w:r>
                    <w:rPr>
                      <w:rFonts w:hint="eastAsia"/>
                      <w:color w:val="auto"/>
                    </w:rPr>
                    <w:t>2035年）》等州（市）级以上港口布局规划以及港口总体规划的码头项目。</w:t>
                  </w:r>
                </w:p>
              </w:tc>
              <w:tc>
                <w:tcPr>
                  <w:tcW w:w="1559" w:type="pct"/>
                  <w:vAlign w:val="center"/>
                </w:tcPr>
                <w:p w14:paraId="3E97BB05">
                  <w:pPr>
                    <w:pStyle w:val="53"/>
                    <w:bidi w:val="0"/>
                    <w:rPr>
                      <w:rFonts w:hint="eastAsia" w:eastAsia="宋体"/>
                      <w:color w:val="auto"/>
                      <w:lang w:eastAsia="zh-CN"/>
                    </w:rPr>
                  </w:pPr>
                  <w:r>
                    <w:rPr>
                      <w:color w:val="auto"/>
                    </w:rPr>
                    <w:t>本项目</w:t>
                  </w:r>
                  <w:r>
                    <w:rPr>
                      <w:rFonts w:hint="eastAsia"/>
                      <w:color w:val="auto"/>
                      <w:lang w:val="en-US" w:eastAsia="zh-CN"/>
                    </w:rPr>
                    <w:t>为塑料颗粒生产项目，</w:t>
                  </w:r>
                  <w:r>
                    <w:rPr>
                      <w:color w:val="auto"/>
                    </w:rPr>
                    <w:t>不属于</w:t>
                  </w:r>
                  <w:r>
                    <w:rPr>
                      <w:rFonts w:hint="eastAsia"/>
                      <w:color w:val="auto"/>
                    </w:rPr>
                    <w:t>码头项目</w:t>
                  </w:r>
                  <w:r>
                    <w:rPr>
                      <w:rFonts w:hint="eastAsia"/>
                      <w:color w:val="auto"/>
                      <w:lang w:eastAsia="zh-CN"/>
                    </w:rPr>
                    <w:t>。</w:t>
                  </w:r>
                </w:p>
              </w:tc>
              <w:tc>
                <w:tcPr>
                  <w:tcW w:w="301" w:type="pct"/>
                  <w:vAlign w:val="center"/>
                </w:tcPr>
                <w:p w14:paraId="61C6E9BB">
                  <w:pPr>
                    <w:pStyle w:val="53"/>
                    <w:bidi w:val="0"/>
                    <w:rPr>
                      <w:color w:val="auto"/>
                    </w:rPr>
                  </w:pPr>
                  <w:r>
                    <w:rPr>
                      <w:color w:val="auto"/>
                    </w:rPr>
                    <w:t>符合</w:t>
                  </w:r>
                </w:p>
              </w:tc>
            </w:tr>
            <w:tr w14:paraId="6698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73C19C8E">
                  <w:pPr>
                    <w:pStyle w:val="53"/>
                    <w:bidi w:val="0"/>
                    <w:rPr>
                      <w:color w:val="auto"/>
                      <w:lang w:val="en-US"/>
                    </w:rPr>
                  </w:pPr>
                  <w:r>
                    <w:rPr>
                      <w:rFonts w:hint="eastAsia"/>
                      <w:color w:val="auto"/>
                      <w:lang w:val="en-US"/>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559" w:type="pct"/>
                  <w:vMerge w:val="restart"/>
                  <w:vAlign w:val="center"/>
                </w:tcPr>
                <w:p w14:paraId="335C023E">
                  <w:pPr>
                    <w:pStyle w:val="53"/>
                    <w:bidi w:val="0"/>
                    <w:rPr>
                      <w:rFonts w:hint="eastAsia" w:eastAsia="宋体"/>
                      <w:color w:val="auto"/>
                      <w:lang w:eastAsia="zh-CN"/>
                    </w:rPr>
                  </w:pPr>
                  <w:r>
                    <w:rPr>
                      <w:rFonts w:hint="eastAsia"/>
                      <w:color w:val="auto"/>
                    </w:rPr>
                    <w:t>项目占地范围不涉及自然保护区、风景名胜区，不属于禁止建设的区域</w:t>
                  </w:r>
                  <w:r>
                    <w:rPr>
                      <w:rFonts w:hint="eastAsia"/>
                      <w:color w:val="auto"/>
                      <w:lang w:eastAsia="zh-CN"/>
                    </w:rPr>
                    <w:t>。</w:t>
                  </w:r>
                </w:p>
              </w:tc>
              <w:tc>
                <w:tcPr>
                  <w:tcW w:w="301" w:type="pct"/>
                  <w:vAlign w:val="center"/>
                </w:tcPr>
                <w:p w14:paraId="3D011390">
                  <w:pPr>
                    <w:pStyle w:val="53"/>
                    <w:bidi w:val="0"/>
                    <w:rPr>
                      <w:color w:val="auto"/>
                    </w:rPr>
                  </w:pPr>
                  <w:r>
                    <w:rPr>
                      <w:color w:val="auto"/>
                    </w:rPr>
                    <w:t>符合</w:t>
                  </w:r>
                </w:p>
              </w:tc>
            </w:tr>
            <w:tr w14:paraId="20CF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11EAD489">
                  <w:pPr>
                    <w:pStyle w:val="53"/>
                    <w:bidi w:val="0"/>
                    <w:rPr>
                      <w:color w:val="auto"/>
                      <w:lang w:val="en-US"/>
                    </w:rPr>
                  </w:pPr>
                  <w:r>
                    <w:rPr>
                      <w:rFonts w:hint="eastAsia"/>
                      <w:color w:val="auto"/>
                      <w:lang w:val="en-US"/>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559" w:type="pct"/>
                  <w:vMerge w:val="continue"/>
                  <w:vAlign w:val="center"/>
                </w:tcPr>
                <w:p w14:paraId="36D58781">
                  <w:pPr>
                    <w:pStyle w:val="53"/>
                    <w:bidi w:val="0"/>
                    <w:rPr>
                      <w:color w:val="auto"/>
                    </w:rPr>
                  </w:pPr>
                </w:p>
              </w:tc>
              <w:tc>
                <w:tcPr>
                  <w:tcW w:w="301" w:type="pct"/>
                  <w:vAlign w:val="center"/>
                </w:tcPr>
                <w:p w14:paraId="094E4C6C">
                  <w:pPr>
                    <w:pStyle w:val="53"/>
                    <w:bidi w:val="0"/>
                    <w:rPr>
                      <w:color w:val="auto"/>
                    </w:rPr>
                  </w:pPr>
                  <w:r>
                    <w:rPr>
                      <w:color w:val="auto"/>
                    </w:rPr>
                    <w:t>符合</w:t>
                  </w:r>
                </w:p>
              </w:tc>
            </w:tr>
            <w:tr w14:paraId="3760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04028AF4">
                  <w:pPr>
                    <w:pStyle w:val="53"/>
                    <w:bidi w:val="0"/>
                    <w:rPr>
                      <w:color w:val="auto"/>
                      <w:lang w:val="en-US"/>
                    </w:rPr>
                  </w:pPr>
                  <w:r>
                    <w:rPr>
                      <w:rFonts w:hint="eastAsia"/>
                      <w:color w:val="auto"/>
                      <w:lang w:val="en-US"/>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559" w:type="pct"/>
                  <w:vAlign w:val="center"/>
                </w:tcPr>
                <w:p w14:paraId="0D81B114">
                  <w:pPr>
                    <w:pStyle w:val="53"/>
                    <w:bidi w:val="0"/>
                    <w:rPr>
                      <w:rFonts w:hint="eastAsia" w:eastAsia="宋体"/>
                      <w:color w:val="auto"/>
                      <w:lang w:eastAsia="zh-CN"/>
                    </w:rPr>
                  </w:pPr>
                  <w:r>
                    <w:rPr>
                      <w:color w:val="auto"/>
                    </w:rPr>
                    <w:t>本项目不属于</w:t>
                  </w:r>
                  <w:r>
                    <w:rPr>
                      <w:rFonts w:hint="eastAsia"/>
                      <w:color w:val="auto"/>
                    </w:rPr>
                    <w:t>水产种质资源保护区，不涉及国家湿地公园</w:t>
                  </w:r>
                  <w:r>
                    <w:rPr>
                      <w:rFonts w:hint="eastAsia"/>
                      <w:color w:val="auto"/>
                      <w:lang w:eastAsia="zh-CN"/>
                    </w:rPr>
                    <w:t>。</w:t>
                  </w:r>
                </w:p>
              </w:tc>
              <w:tc>
                <w:tcPr>
                  <w:tcW w:w="301" w:type="pct"/>
                  <w:vAlign w:val="center"/>
                </w:tcPr>
                <w:p w14:paraId="365B9053">
                  <w:pPr>
                    <w:pStyle w:val="53"/>
                    <w:bidi w:val="0"/>
                    <w:rPr>
                      <w:color w:val="auto"/>
                    </w:rPr>
                  </w:pPr>
                  <w:r>
                    <w:rPr>
                      <w:color w:val="auto"/>
                    </w:rPr>
                    <w:t>符合</w:t>
                  </w:r>
                </w:p>
              </w:tc>
            </w:tr>
            <w:tr w14:paraId="79E8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355EF1C8">
                  <w:pPr>
                    <w:pStyle w:val="53"/>
                    <w:bidi w:val="0"/>
                    <w:rPr>
                      <w:color w:val="auto"/>
                      <w:lang w:val="en-US"/>
                    </w:rPr>
                  </w:pPr>
                  <w:r>
                    <w:rPr>
                      <w:rFonts w:hint="eastAsia"/>
                      <w:color w:val="auto"/>
                      <w:lang w:val="en-US"/>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559" w:type="pct"/>
                  <w:vMerge w:val="restart"/>
                  <w:vAlign w:val="center"/>
                </w:tcPr>
                <w:p w14:paraId="2092CDBD">
                  <w:pPr>
                    <w:pStyle w:val="53"/>
                    <w:bidi w:val="0"/>
                    <w:rPr>
                      <w:rFonts w:hint="eastAsia" w:eastAsia="宋体"/>
                      <w:color w:val="auto"/>
                      <w:lang w:eastAsia="zh-CN"/>
                    </w:rPr>
                  </w:pPr>
                  <w:r>
                    <w:rPr>
                      <w:color w:val="auto"/>
                    </w:rPr>
                    <w:t>本项目不属于</w:t>
                  </w:r>
                  <w:r>
                    <w:rPr>
                      <w:rFonts w:hint="eastAsia"/>
                      <w:color w:val="auto"/>
                      <w:lang w:val="en-US"/>
                    </w:rPr>
                    <w:t>金沙江岸线保护区和保留区、金沙江干流、九大高原湖泊保护区、保留区且项目废水不外排</w:t>
                  </w:r>
                  <w:r>
                    <w:rPr>
                      <w:rFonts w:hint="eastAsia"/>
                      <w:color w:val="auto"/>
                      <w:lang w:val="en-US" w:eastAsia="zh-CN"/>
                    </w:rPr>
                    <w:t>。</w:t>
                  </w:r>
                </w:p>
              </w:tc>
              <w:tc>
                <w:tcPr>
                  <w:tcW w:w="301" w:type="pct"/>
                  <w:vAlign w:val="center"/>
                </w:tcPr>
                <w:p w14:paraId="06BD68DD">
                  <w:pPr>
                    <w:pStyle w:val="53"/>
                    <w:bidi w:val="0"/>
                    <w:rPr>
                      <w:color w:val="auto"/>
                    </w:rPr>
                  </w:pPr>
                  <w:r>
                    <w:rPr>
                      <w:color w:val="auto"/>
                    </w:rPr>
                    <w:t>符合</w:t>
                  </w:r>
                </w:p>
              </w:tc>
            </w:tr>
            <w:tr w14:paraId="792B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1A867ADB">
                  <w:pPr>
                    <w:pStyle w:val="53"/>
                    <w:bidi w:val="0"/>
                    <w:rPr>
                      <w:color w:val="auto"/>
                      <w:lang w:val="en-US"/>
                    </w:rPr>
                  </w:pPr>
                  <w:r>
                    <w:rPr>
                      <w:rFonts w:hint="eastAsia"/>
                      <w:color w:val="auto"/>
                      <w:lang w:val="en-US"/>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559" w:type="pct"/>
                  <w:vMerge w:val="continue"/>
                  <w:vAlign w:val="center"/>
                </w:tcPr>
                <w:p w14:paraId="4A7F3B75">
                  <w:pPr>
                    <w:pStyle w:val="53"/>
                    <w:bidi w:val="0"/>
                    <w:rPr>
                      <w:color w:val="auto"/>
                    </w:rPr>
                  </w:pPr>
                </w:p>
              </w:tc>
              <w:tc>
                <w:tcPr>
                  <w:tcW w:w="301" w:type="pct"/>
                  <w:vAlign w:val="center"/>
                </w:tcPr>
                <w:p w14:paraId="10EBC497">
                  <w:pPr>
                    <w:pStyle w:val="53"/>
                    <w:bidi w:val="0"/>
                    <w:rPr>
                      <w:color w:val="auto"/>
                    </w:rPr>
                  </w:pPr>
                  <w:r>
                    <w:rPr>
                      <w:color w:val="auto"/>
                    </w:rPr>
                    <w:t>符合</w:t>
                  </w:r>
                </w:p>
              </w:tc>
            </w:tr>
            <w:tr w14:paraId="7F21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372EB343">
                  <w:pPr>
                    <w:pStyle w:val="53"/>
                    <w:bidi w:val="0"/>
                    <w:rPr>
                      <w:color w:val="auto"/>
                      <w:lang w:val="en-US"/>
                    </w:rPr>
                  </w:pPr>
                  <w:r>
                    <w:rPr>
                      <w:rFonts w:hint="eastAsia"/>
                      <w:color w:val="auto"/>
                      <w:lang w:val="en-US"/>
                    </w:rPr>
                    <w:t>禁止在金沙江干流、长江一级支流、水生生物保护区和长江流域禁捕水域开展天然渔业资源生产性捕捞。</w:t>
                  </w:r>
                </w:p>
              </w:tc>
              <w:tc>
                <w:tcPr>
                  <w:tcW w:w="1559" w:type="pct"/>
                  <w:vAlign w:val="center"/>
                </w:tcPr>
                <w:p w14:paraId="1E20ACDF">
                  <w:pPr>
                    <w:pStyle w:val="53"/>
                    <w:bidi w:val="0"/>
                    <w:rPr>
                      <w:rFonts w:hint="eastAsia" w:eastAsia="宋体"/>
                      <w:color w:val="auto"/>
                      <w:lang w:eastAsia="zh-CN"/>
                    </w:rPr>
                  </w:pPr>
                  <w:r>
                    <w:rPr>
                      <w:color w:val="auto"/>
                    </w:rPr>
                    <w:t>本项目为</w:t>
                  </w:r>
                  <w:r>
                    <w:rPr>
                      <w:rFonts w:hint="eastAsia"/>
                      <w:color w:val="auto"/>
                      <w:lang w:val="en-US" w:eastAsia="zh-CN"/>
                    </w:rPr>
                    <w:t>塑料颗粒生产</w:t>
                  </w:r>
                  <w:r>
                    <w:rPr>
                      <w:color w:val="auto"/>
                    </w:rPr>
                    <w:t>项目，不涉及捕捞活动</w:t>
                  </w:r>
                  <w:r>
                    <w:rPr>
                      <w:rFonts w:hint="eastAsia"/>
                      <w:color w:val="auto"/>
                      <w:lang w:eastAsia="zh-CN"/>
                    </w:rPr>
                    <w:t>。</w:t>
                  </w:r>
                </w:p>
              </w:tc>
              <w:tc>
                <w:tcPr>
                  <w:tcW w:w="301" w:type="pct"/>
                  <w:vAlign w:val="center"/>
                </w:tcPr>
                <w:p w14:paraId="205BC57D">
                  <w:pPr>
                    <w:pStyle w:val="53"/>
                    <w:bidi w:val="0"/>
                    <w:rPr>
                      <w:color w:val="auto"/>
                    </w:rPr>
                  </w:pPr>
                  <w:r>
                    <w:rPr>
                      <w:color w:val="auto"/>
                    </w:rPr>
                    <w:t>符合</w:t>
                  </w:r>
                </w:p>
              </w:tc>
            </w:tr>
            <w:tr w14:paraId="3FEC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3DBF4EBF">
                  <w:pPr>
                    <w:pStyle w:val="53"/>
                    <w:bidi w:val="0"/>
                    <w:rPr>
                      <w:color w:val="auto"/>
                      <w:lang w:val="en-US"/>
                    </w:rPr>
                  </w:pPr>
                  <w:r>
                    <w:rPr>
                      <w:rFonts w:hint="eastAsia"/>
                      <w:color w:val="auto"/>
                      <w:lang w:val="en-US"/>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559" w:type="pct"/>
                  <w:vAlign w:val="center"/>
                </w:tcPr>
                <w:p w14:paraId="218114D7">
                  <w:pPr>
                    <w:pStyle w:val="53"/>
                    <w:bidi w:val="0"/>
                    <w:rPr>
                      <w:rFonts w:hint="eastAsia" w:eastAsia="宋体"/>
                      <w:color w:val="auto"/>
                      <w:lang w:eastAsia="zh-CN"/>
                    </w:rPr>
                  </w:pPr>
                  <w:r>
                    <w:rPr>
                      <w:rFonts w:hint="eastAsia"/>
                      <w:color w:val="auto"/>
                    </w:rPr>
                    <w:t>项目地表水为南盘江</w:t>
                  </w:r>
                  <w:r>
                    <w:rPr>
                      <w:rFonts w:hint="eastAsia"/>
                      <w:color w:val="auto"/>
                      <w:lang w:eastAsia="zh-CN"/>
                    </w:rPr>
                    <w:t>，</w:t>
                  </w:r>
                  <w:r>
                    <w:rPr>
                      <w:rFonts w:hint="eastAsia"/>
                      <w:color w:val="auto"/>
                    </w:rPr>
                    <w:t>南盘江属于珠江流域，不涉及长江一级支流，也不涉及九大高原湖泊，也不在长江干流岸线三公里范围内和长江一级支流边界</w:t>
                  </w:r>
                  <w:r>
                    <w:rPr>
                      <w:rFonts w:hint="eastAsia"/>
                      <w:color w:val="auto"/>
                      <w:lang w:val="en-US" w:eastAsia="zh-CN"/>
                    </w:rPr>
                    <w:t>1</w:t>
                  </w:r>
                  <w:r>
                    <w:rPr>
                      <w:rFonts w:hint="eastAsia"/>
                      <w:color w:val="auto"/>
                    </w:rPr>
                    <w:t>公里范围内，项目也不涉及尾矿库、冶炼渣库和磷石膏库建设</w:t>
                  </w:r>
                  <w:r>
                    <w:rPr>
                      <w:rFonts w:hint="eastAsia"/>
                      <w:color w:val="auto"/>
                      <w:lang w:eastAsia="zh-CN"/>
                    </w:rPr>
                    <w:t>。</w:t>
                  </w:r>
                </w:p>
              </w:tc>
              <w:tc>
                <w:tcPr>
                  <w:tcW w:w="301" w:type="pct"/>
                  <w:vAlign w:val="center"/>
                </w:tcPr>
                <w:p w14:paraId="57C2CB5B">
                  <w:pPr>
                    <w:pStyle w:val="53"/>
                    <w:bidi w:val="0"/>
                    <w:rPr>
                      <w:color w:val="auto"/>
                    </w:rPr>
                  </w:pPr>
                  <w:r>
                    <w:rPr>
                      <w:color w:val="auto"/>
                    </w:rPr>
                    <w:t>符合</w:t>
                  </w:r>
                </w:p>
              </w:tc>
            </w:tr>
            <w:tr w14:paraId="1625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38" w:type="pct"/>
                  <w:vAlign w:val="center"/>
                </w:tcPr>
                <w:p w14:paraId="652936CF">
                  <w:pPr>
                    <w:pStyle w:val="53"/>
                    <w:bidi w:val="0"/>
                    <w:rPr>
                      <w:color w:val="auto"/>
                      <w:lang w:val="en-US"/>
                    </w:rPr>
                  </w:pPr>
                  <w:r>
                    <w:rPr>
                      <w:rFonts w:hint="eastAsia"/>
                      <w:color w:val="auto"/>
                      <w:lang w:val="en-US"/>
                    </w:rPr>
                    <w:t>禁止在合规园区外新建、扩建钢铁、石化、化工、焦化、建材、有色、制浆造纸行业中的高污染项目。</w:t>
                  </w:r>
                </w:p>
              </w:tc>
              <w:tc>
                <w:tcPr>
                  <w:tcW w:w="1559" w:type="pct"/>
                  <w:vAlign w:val="center"/>
                </w:tcPr>
                <w:p w14:paraId="645F74C1">
                  <w:pPr>
                    <w:pStyle w:val="53"/>
                    <w:bidi w:val="0"/>
                    <w:rPr>
                      <w:rFonts w:hint="eastAsia" w:eastAsia="宋体"/>
                      <w:color w:val="auto"/>
                      <w:lang w:eastAsia="zh-CN"/>
                    </w:rPr>
                  </w:pPr>
                  <w:r>
                    <w:rPr>
                      <w:rFonts w:hint="eastAsia"/>
                      <w:color w:val="auto"/>
                    </w:rPr>
                    <w:t>本项目位于云南省</w:t>
                  </w:r>
                  <w:r>
                    <w:rPr>
                      <w:rFonts w:hint="eastAsia" w:cs="Times New Roman"/>
                      <w:color w:val="auto"/>
                      <w:lang w:eastAsia="zh-CN"/>
                    </w:rPr>
                    <w:t>曲靖市麒麟区越州镇老吴村委会（原平板玻璃厂内）</w:t>
                  </w:r>
                  <w:r>
                    <w:rPr>
                      <w:rFonts w:hint="eastAsia"/>
                      <w:color w:val="auto"/>
                    </w:rPr>
                    <w:t>且不属于钢铁、石化、化工、焦化、建材、有色、制浆造纸行业等高污染项目</w:t>
                  </w:r>
                  <w:r>
                    <w:rPr>
                      <w:rFonts w:hint="eastAsia"/>
                      <w:color w:val="auto"/>
                      <w:lang w:eastAsia="zh-CN"/>
                    </w:rPr>
                    <w:t>。</w:t>
                  </w:r>
                </w:p>
              </w:tc>
              <w:tc>
                <w:tcPr>
                  <w:tcW w:w="301" w:type="pct"/>
                  <w:vAlign w:val="center"/>
                </w:tcPr>
                <w:p w14:paraId="49EBFC76">
                  <w:pPr>
                    <w:pStyle w:val="53"/>
                    <w:bidi w:val="0"/>
                    <w:rPr>
                      <w:color w:val="auto"/>
                    </w:rPr>
                  </w:pPr>
                  <w:r>
                    <w:rPr>
                      <w:color w:val="auto"/>
                    </w:rPr>
                    <w:t>符合</w:t>
                  </w:r>
                </w:p>
              </w:tc>
            </w:tr>
            <w:tr w14:paraId="084A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53DBEFB2">
                  <w:pPr>
                    <w:pStyle w:val="53"/>
                    <w:bidi w:val="0"/>
                    <w:rPr>
                      <w:color w:val="auto"/>
                      <w:lang w:val="en-US"/>
                    </w:rPr>
                  </w:pPr>
                  <w:r>
                    <w:rPr>
                      <w:rFonts w:hint="eastAsia"/>
                      <w:color w:val="auto"/>
                      <w:lang w:val="en-US"/>
                    </w:rPr>
                    <w:t>禁止新建、扩建不符合国家石化、现代煤化工等产业布局规划的项目。禁止列入《云南省城镇人口密集区危险化学品生产企业搬迁改造名单》的搬迁改造企业在原址新建、扩建危险化学品生产项目</w:t>
                  </w:r>
                </w:p>
              </w:tc>
              <w:tc>
                <w:tcPr>
                  <w:tcW w:w="1559" w:type="pct"/>
                  <w:vAlign w:val="center"/>
                </w:tcPr>
                <w:p w14:paraId="67C18BB3">
                  <w:pPr>
                    <w:pStyle w:val="53"/>
                    <w:bidi w:val="0"/>
                    <w:rPr>
                      <w:rFonts w:hint="eastAsia" w:eastAsia="宋体"/>
                      <w:color w:val="auto"/>
                      <w:lang w:eastAsia="zh-CN"/>
                    </w:rPr>
                  </w:pPr>
                  <w:r>
                    <w:rPr>
                      <w:color w:val="auto"/>
                    </w:rPr>
                    <w:t>本项目不属于</w:t>
                  </w:r>
                  <w:r>
                    <w:rPr>
                      <w:rFonts w:hint="eastAsia"/>
                      <w:color w:val="auto"/>
                      <w:lang w:val="en-US"/>
                    </w:rPr>
                    <w:t>石化、现代煤化工产业，不属于危险化学品生产项目</w:t>
                  </w:r>
                  <w:r>
                    <w:rPr>
                      <w:rFonts w:hint="eastAsia"/>
                      <w:color w:val="auto"/>
                      <w:lang w:val="en-US" w:eastAsia="zh-CN"/>
                    </w:rPr>
                    <w:t>。</w:t>
                  </w:r>
                </w:p>
              </w:tc>
              <w:tc>
                <w:tcPr>
                  <w:tcW w:w="301" w:type="pct"/>
                  <w:vAlign w:val="center"/>
                </w:tcPr>
                <w:p w14:paraId="4AC31882">
                  <w:pPr>
                    <w:pStyle w:val="53"/>
                    <w:bidi w:val="0"/>
                    <w:rPr>
                      <w:color w:val="auto"/>
                    </w:rPr>
                  </w:pPr>
                  <w:r>
                    <w:rPr>
                      <w:color w:val="auto"/>
                    </w:rPr>
                    <w:t>符合</w:t>
                  </w:r>
                </w:p>
              </w:tc>
            </w:tr>
            <w:tr w14:paraId="35DC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3138" w:type="pct"/>
                  <w:vAlign w:val="center"/>
                </w:tcPr>
                <w:p w14:paraId="0650E6AE">
                  <w:pPr>
                    <w:pStyle w:val="53"/>
                    <w:bidi w:val="0"/>
                    <w:rPr>
                      <w:color w:val="auto"/>
                      <w:lang w:val="en-US"/>
                    </w:rPr>
                  </w:pPr>
                  <w:r>
                    <w:rPr>
                      <w:rFonts w:hint="eastAsia"/>
                      <w:color w:val="auto"/>
                      <w:lang w:val="en-US"/>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559" w:type="pct"/>
                  <w:vAlign w:val="center"/>
                </w:tcPr>
                <w:p w14:paraId="666D6D73">
                  <w:pPr>
                    <w:pStyle w:val="53"/>
                    <w:bidi w:val="0"/>
                    <w:rPr>
                      <w:color w:val="auto"/>
                    </w:rPr>
                  </w:pPr>
                  <w:r>
                    <w:rPr>
                      <w:rFonts w:hint="eastAsia"/>
                      <w:color w:val="auto"/>
                    </w:rPr>
                    <w:t>对照《产业结构调整指导目录（2024年本）》，本项目建设内容不属于“限制类”和“淘汰类”生产工艺技术装备及产能。本项目不建设高毒高残留以及对环境影响大的农药原药生产装置</w:t>
                  </w:r>
                  <w:r>
                    <w:rPr>
                      <w:rFonts w:hint="eastAsia"/>
                      <w:color w:val="auto"/>
                      <w:lang w:eastAsia="zh-CN"/>
                    </w:rPr>
                    <w:t>；</w:t>
                  </w:r>
                  <w:r>
                    <w:rPr>
                      <w:rFonts w:hint="eastAsia"/>
                      <w:color w:val="auto"/>
                    </w:rPr>
                    <w:t>同时不属于尿素、磷铵、电石、焦炭、黄磷、烧碱、纯碱、聚氯乙烯等行业。</w:t>
                  </w:r>
                </w:p>
              </w:tc>
              <w:tc>
                <w:tcPr>
                  <w:tcW w:w="301" w:type="pct"/>
                  <w:vAlign w:val="center"/>
                </w:tcPr>
                <w:p w14:paraId="7A227EA2">
                  <w:pPr>
                    <w:pStyle w:val="53"/>
                    <w:bidi w:val="0"/>
                    <w:rPr>
                      <w:color w:val="auto"/>
                    </w:rPr>
                  </w:pPr>
                  <w:r>
                    <w:rPr>
                      <w:color w:val="auto"/>
                    </w:rPr>
                    <w:t>符合</w:t>
                  </w:r>
                </w:p>
              </w:tc>
            </w:tr>
          </w:tbl>
          <w:p w14:paraId="046DC09A">
            <w:pPr>
              <w:pStyle w:val="51"/>
              <w:bidi w:val="0"/>
              <w:rPr>
                <w:color w:val="auto"/>
              </w:rPr>
            </w:pPr>
            <w:r>
              <w:rPr>
                <w:rFonts w:hint="eastAsia"/>
                <w:color w:val="auto"/>
              </w:rPr>
              <w:t>综上所述，本项目符合《云南省长江经济带发展负面清单指南实施细则（试行，2022 年版）》中相关要求。</w:t>
            </w:r>
          </w:p>
          <w:p w14:paraId="48BD475E">
            <w:pPr>
              <w:pStyle w:val="51"/>
              <w:bidi w:val="0"/>
              <w:rPr>
                <w:rFonts w:hint="default" w:ascii="Times New Roman" w:hAnsi="Times New Roman" w:cs="Times New Roman"/>
                <w:b/>
                <w:bCs/>
                <w:color w:val="auto"/>
                <w:sz w:val="24"/>
                <w:szCs w:val="24"/>
                <w:highlight w:val="none"/>
              </w:rPr>
            </w:pPr>
            <w:r>
              <w:rPr>
                <w:rFonts w:hint="eastAsia" w:cs="Times New Roman"/>
                <w:b/>
                <w:bCs/>
                <w:color w:val="auto"/>
                <w:lang w:val="en-US" w:eastAsia="zh-CN"/>
              </w:rPr>
              <w:t>6、</w:t>
            </w:r>
            <w:r>
              <w:rPr>
                <w:rFonts w:hint="default" w:ascii="Times New Roman" w:hAnsi="Times New Roman" w:cs="Times New Roman"/>
                <w:b/>
                <w:bCs/>
                <w:color w:val="auto"/>
                <w:sz w:val="24"/>
                <w:szCs w:val="24"/>
                <w:highlight w:val="none"/>
              </w:rPr>
              <w:t>与《云南省重点行业挥发性有机物综合治理实施方案》（云环通〔2019〕125号）符合性分析</w:t>
            </w:r>
          </w:p>
          <w:p w14:paraId="263F4B69">
            <w:pPr>
              <w:pStyle w:val="51"/>
              <w:bidi w:val="0"/>
              <w:rPr>
                <w:rFonts w:hint="default"/>
                <w:color w:val="auto"/>
              </w:rPr>
            </w:pPr>
            <w:r>
              <w:rPr>
                <w:rFonts w:hint="default"/>
                <w:color w:val="auto"/>
              </w:rPr>
              <w:t>为了贯彻落实省人民政府印发《云南省打赢蓝天保卫战三年行动实施方案》（云政发〔2018〕44号）及生态环境部印发《重点行业挥发性有机物综合治理方案》（环大气〔2019〕53号）要求，加强对各州、市工作指导，提高挥发性有机物（VOCs）治理的科学性、针对性和有效性，协同控制温室气体排放，云南省生态环境厅制定《云南省重点行业挥发性有机物综合治理实施方案》（云环通〔2019〕125号），项目与本方案符合性分析如下：</w:t>
            </w:r>
          </w:p>
          <w:p w14:paraId="71C5ABF4">
            <w:pPr>
              <w:pStyle w:val="52"/>
              <w:bidi w:val="0"/>
              <w:rPr>
                <w:rFonts w:hint="default"/>
                <w:color w:val="auto"/>
              </w:rPr>
            </w:pPr>
            <w:r>
              <w:rPr>
                <w:rFonts w:hint="default"/>
                <w:color w:val="auto"/>
              </w:rPr>
              <w:t>表1-</w:t>
            </w:r>
            <w:r>
              <w:rPr>
                <w:rFonts w:hint="eastAsia"/>
                <w:color w:val="auto"/>
                <w:lang w:val="en-US" w:eastAsia="zh-CN"/>
              </w:rPr>
              <w:t>8</w:t>
            </w:r>
            <w:r>
              <w:rPr>
                <w:rFonts w:hint="default"/>
                <w:color w:val="auto"/>
              </w:rPr>
              <w:t xml:space="preserve">  项目与《云南省重点行业挥发性有机物综合治理实施方案》符合性分析</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4"/>
              <w:gridCol w:w="1609"/>
              <w:gridCol w:w="798"/>
            </w:tblGrid>
            <w:tr w14:paraId="4F54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97" w:type="pct"/>
                  <w:noWrap w:val="0"/>
                  <w:vAlign w:val="center"/>
                </w:tcPr>
                <w:p w14:paraId="087EE249">
                  <w:pPr>
                    <w:pStyle w:val="53"/>
                    <w:bidi w:val="0"/>
                    <w:rPr>
                      <w:rFonts w:hint="default"/>
                      <w:color w:val="auto"/>
                    </w:rPr>
                  </w:pPr>
                  <w:r>
                    <w:rPr>
                      <w:rFonts w:hint="default"/>
                      <w:color w:val="auto"/>
                    </w:rPr>
                    <w:t>云南省重点行业挥发性</w:t>
                  </w:r>
                </w:p>
                <w:p w14:paraId="1C4A4FF3">
                  <w:pPr>
                    <w:pStyle w:val="53"/>
                    <w:bidi w:val="0"/>
                    <w:rPr>
                      <w:rFonts w:hint="default"/>
                      <w:color w:val="auto"/>
                      <w:lang w:val="zh-CN"/>
                    </w:rPr>
                  </w:pPr>
                  <w:r>
                    <w:rPr>
                      <w:rFonts w:hint="default"/>
                      <w:color w:val="auto"/>
                    </w:rPr>
                    <w:t>有机物综合治理实施方案</w:t>
                  </w:r>
                </w:p>
              </w:tc>
              <w:tc>
                <w:tcPr>
                  <w:tcW w:w="1137" w:type="pct"/>
                  <w:noWrap w:val="0"/>
                  <w:vAlign w:val="center"/>
                </w:tcPr>
                <w:p w14:paraId="12DD2B67">
                  <w:pPr>
                    <w:pStyle w:val="53"/>
                    <w:bidi w:val="0"/>
                    <w:rPr>
                      <w:rFonts w:hint="default"/>
                      <w:color w:val="auto"/>
                      <w:lang w:val="zh-CN"/>
                    </w:rPr>
                  </w:pPr>
                  <w:r>
                    <w:rPr>
                      <w:rFonts w:hint="default"/>
                      <w:color w:val="auto"/>
                      <w:lang w:val="zh-CN"/>
                    </w:rPr>
                    <w:t>本项目情况</w:t>
                  </w:r>
                </w:p>
              </w:tc>
              <w:tc>
                <w:tcPr>
                  <w:tcW w:w="564" w:type="pct"/>
                  <w:noWrap w:val="0"/>
                  <w:vAlign w:val="center"/>
                </w:tcPr>
                <w:p w14:paraId="1CE61D04">
                  <w:pPr>
                    <w:pStyle w:val="53"/>
                    <w:bidi w:val="0"/>
                    <w:rPr>
                      <w:rFonts w:hint="default"/>
                      <w:color w:val="auto"/>
                      <w:lang w:val="zh-CN"/>
                    </w:rPr>
                  </w:pPr>
                  <w:r>
                    <w:rPr>
                      <w:rFonts w:hint="default"/>
                      <w:color w:val="auto"/>
                      <w:lang w:val="zh-CN"/>
                    </w:rPr>
                    <w:t>符合性</w:t>
                  </w:r>
                </w:p>
              </w:tc>
            </w:tr>
            <w:tr w14:paraId="36D4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97" w:type="pct"/>
                  <w:noWrap w:val="0"/>
                  <w:vAlign w:val="center"/>
                </w:tcPr>
                <w:p w14:paraId="4CD14553">
                  <w:pPr>
                    <w:pStyle w:val="53"/>
                    <w:bidi w:val="0"/>
                    <w:rPr>
                      <w:rFonts w:hint="eastAsia"/>
                      <w:color w:val="auto"/>
                    </w:rPr>
                  </w:pPr>
                  <w:r>
                    <w:rPr>
                      <w:rFonts w:hint="eastAsia"/>
                      <w:color w:val="auto"/>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137" w:type="pct"/>
                  <w:noWrap w:val="0"/>
                  <w:vAlign w:val="center"/>
                </w:tcPr>
                <w:p w14:paraId="32CB6942">
                  <w:pPr>
                    <w:pStyle w:val="53"/>
                    <w:bidi w:val="0"/>
                    <w:rPr>
                      <w:rFonts w:hint="default"/>
                      <w:color w:val="auto"/>
                      <w:lang w:val="en-US" w:eastAsia="zh-CN"/>
                    </w:rPr>
                  </w:pPr>
                  <w:r>
                    <w:rPr>
                      <w:rFonts w:hint="eastAsia"/>
                      <w:color w:val="auto"/>
                      <w:lang w:val="en-US" w:eastAsia="zh-CN"/>
                    </w:rPr>
                    <w:t>根据计算，项目非甲烷总烃产生浓度为58.33mg/m</w:t>
                  </w:r>
                  <w:r>
                    <w:rPr>
                      <w:rFonts w:hint="eastAsia"/>
                      <w:color w:val="auto"/>
                      <w:vertAlign w:val="superscript"/>
                      <w:lang w:val="en-US" w:eastAsia="zh-CN"/>
                    </w:rPr>
                    <w:t>3</w:t>
                  </w:r>
                  <w:r>
                    <w:rPr>
                      <w:rFonts w:hint="eastAsia"/>
                      <w:color w:val="auto"/>
                      <w:lang w:val="en-US" w:eastAsia="zh-CN"/>
                    </w:rPr>
                    <w:t>，风量10000m</w:t>
                  </w:r>
                  <w:r>
                    <w:rPr>
                      <w:rFonts w:hint="eastAsia"/>
                      <w:color w:val="auto"/>
                      <w:vertAlign w:val="superscript"/>
                      <w:lang w:val="en-US" w:eastAsia="zh-CN"/>
                    </w:rPr>
                    <w:t>3</w:t>
                  </w:r>
                  <w:r>
                    <w:rPr>
                      <w:rFonts w:hint="eastAsia"/>
                      <w:color w:val="auto"/>
                      <w:lang w:val="en-US" w:eastAsia="zh-CN"/>
                    </w:rPr>
                    <w:t>/h，挤出机上方设置集气罩，产生的废气经集气罩收集后进入三级活性炭装置（填充</w:t>
                  </w:r>
                  <w:r>
                    <w:rPr>
                      <w:rFonts w:hint="eastAsia"/>
                      <w:color w:val="auto"/>
                    </w:rPr>
                    <w:t>一次性活性炭</w:t>
                  </w:r>
                  <w:r>
                    <w:rPr>
                      <w:rFonts w:hint="eastAsia"/>
                      <w:color w:val="auto"/>
                      <w:lang w:val="en-US" w:eastAsia="zh-CN"/>
                    </w:rPr>
                    <w:t>）处理；活性炭三个月更换一次，更换的活性炭由厂家带走。</w:t>
                  </w:r>
                </w:p>
              </w:tc>
              <w:tc>
                <w:tcPr>
                  <w:tcW w:w="564" w:type="pct"/>
                  <w:noWrap w:val="0"/>
                  <w:vAlign w:val="center"/>
                </w:tcPr>
                <w:p w14:paraId="6D67F8D1">
                  <w:pPr>
                    <w:pStyle w:val="53"/>
                    <w:bidi w:val="0"/>
                    <w:rPr>
                      <w:rFonts w:hint="eastAsia" w:eastAsia="宋体"/>
                      <w:color w:val="auto"/>
                      <w:lang w:val="en-US" w:eastAsia="zh-CN"/>
                    </w:rPr>
                  </w:pPr>
                  <w:r>
                    <w:rPr>
                      <w:rFonts w:hint="eastAsia"/>
                      <w:color w:val="auto"/>
                      <w:lang w:val="en-US" w:eastAsia="zh-CN"/>
                    </w:rPr>
                    <w:t>符合</w:t>
                  </w:r>
                </w:p>
              </w:tc>
            </w:tr>
          </w:tbl>
          <w:p w14:paraId="4E2F6C98">
            <w:pPr>
              <w:pStyle w:val="51"/>
              <w:bidi w:val="0"/>
              <w:rPr>
                <w:rFonts w:hint="default"/>
                <w:color w:val="auto"/>
              </w:rPr>
            </w:pPr>
            <w:r>
              <w:rPr>
                <w:rFonts w:hint="default"/>
                <w:color w:val="auto"/>
              </w:rPr>
              <w:t>综上分析，项目建设符合《云南省重点行业挥发性有机物综合治理实施方案》中塑料制品行业管控要求。</w:t>
            </w:r>
          </w:p>
          <w:p w14:paraId="7197D6EF">
            <w:pPr>
              <w:pStyle w:val="51"/>
              <w:bidi w:val="0"/>
              <w:rPr>
                <w:rFonts w:hint="default"/>
                <w:b/>
                <w:bCs/>
                <w:color w:val="auto"/>
              </w:rPr>
            </w:pPr>
            <w:r>
              <w:rPr>
                <w:rFonts w:hint="eastAsia"/>
                <w:b/>
                <w:bCs/>
                <w:color w:val="auto"/>
                <w:lang w:val="en-US" w:eastAsia="zh-CN"/>
              </w:rPr>
              <w:t>7、</w:t>
            </w:r>
            <w:r>
              <w:rPr>
                <w:rFonts w:hint="default"/>
                <w:b/>
                <w:bCs/>
                <w:color w:val="auto"/>
              </w:rPr>
              <w:t>项目与《废塑料综合利用行业规范条件》符合性分析</w:t>
            </w:r>
          </w:p>
          <w:p w14:paraId="4049FA39">
            <w:pPr>
              <w:pStyle w:val="51"/>
              <w:bidi w:val="0"/>
              <w:rPr>
                <w:rFonts w:hint="default" w:ascii="Times New Roman" w:hAnsi="Times New Roman" w:cs="Times New Roman"/>
                <w:color w:val="auto"/>
                <w:highlight w:val="none"/>
              </w:rPr>
            </w:pPr>
            <w:r>
              <w:rPr>
                <w:rFonts w:hint="default"/>
                <w:color w:val="auto"/>
              </w:rPr>
              <w:t>项目与《废塑料综合利用行业规范条件》符合性分析，详见下表。</w:t>
            </w:r>
          </w:p>
          <w:p w14:paraId="15ED5295">
            <w:pPr>
              <w:pStyle w:val="52"/>
              <w:bidi w:val="0"/>
              <w:rPr>
                <w:rFonts w:hint="default"/>
                <w:color w:val="auto"/>
              </w:rPr>
            </w:pPr>
            <w:r>
              <w:rPr>
                <w:rFonts w:hint="default"/>
                <w:color w:val="auto"/>
              </w:rPr>
              <w:t>表</w:t>
            </w:r>
            <w:r>
              <w:rPr>
                <w:rFonts w:hint="default"/>
                <w:color w:val="auto"/>
                <w:lang w:val="en-US" w:eastAsia="zh-CN"/>
              </w:rPr>
              <w:t xml:space="preserve">1-8 </w:t>
            </w:r>
            <w:r>
              <w:rPr>
                <w:rFonts w:hint="eastAsia"/>
                <w:color w:val="auto"/>
                <w:lang w:val="en-US" w:eastAsia="zh-CN"/>
              </w:rPr>
              <w:t xml:space="preserve"> </w:t>
            </w:r>
            <w:r>
              <w:rPr>
                <w:rFonts w:hint="default"/>
                <w:color w:val="auto"/>
                <w:lang w:val="en-US" w:eastAsia="zh-CN"/>
              </w:rPr>
              <w:t xml:space="preserve"> </w:t>
            </w:r>
            <w:r>
              <w:rPr>
                <w:rFonts w:hint="default"/>
                <w:color w:val="auto"/>
              </w:rPr>
              <w:t>《废塑料综合利用行业规范条件》符合性分析表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14"/>
              <w:gridCol w:w="17"/>
              <w:gridCol w:w="3273"/>
              <w:gridCol w:w="47"/>
              <w:gridCol w:w="2396"/>
              <w:gridCol w:w="10"/>
              <w:gridCol w:w="714"/>
            </w:tblGrid>
            <w:tr w14:paraId="4DFE7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446" w:type="pct"/>
                  <w:gridSpan w:val="2"/>
                  <w:noWrap w:val="0"/>
                  <w:vAlign w:val="center"/>
                </w:tcPr>
                <w:p w14:paraId="57ED88DC">
                  <w:pPr>
                    <w:pStyle w:val="53"/>
                    <w:bidi w:val="0"/>
                    <w:rPr>
                      <w:rFonts w:hint="default"/>
                      <w:color w:val="auto"/>
                    </w:rPr>
                  </w:pPr>
                  <w:r>
                    <w:rPr>
                      <w:rFonts w:hint="default"/>
                      <w:color w:val="auto"/>
                    </w:rPr>
                    <w:t>序号</w:t>
                  </w:r>
                </w:p>
              </w:tc>
              <w:tc>
                <w:tcPr>
                  <w:tcW w:w="2347" w:type="pct"/>
                  <w:gridSpan w:val="2"/>
                  <w:noWrap w:val="0"/>
                  <w:vAlign w:val="center"/>
                </w:tcPr>
                <w:p w14:paraId="4D14FBEC">
                  <w:pPr>
                    <w:pStyle w:val="53"/>
                    <w:bidi w:val="0"/>
                    <w:rPr>
                      <w:rFonts w:hint="default"/>
                      <w:color w:val="auto"/>
                    </w:rPr>
                  </w:pPr>
                  <w:r>
                    <w:rPr>
                      <w:rFonts w:hint="default"/>
                      <w:color w:val="auto"/>
                    </w:rPr>
                    <w:t>《废塑料综合利用行业规范条件》中相关要求</w:t>
                  </w:r>
                </w:p>
              </w:tc>
              <w:tc>
                <w:tcPr>
                  <w:tcW w:w="1701" w:type="pct"/>
                  <w:gridSpan w:val="2"/>
                  <w:noWrap w:val="0"/>
                  <w:vAlign w:val="center"/>
                </w:tcPr>
                <w:p w14:paraId="1CBAA1E1">
                  <w:pPr>
                    <w:pStyle w:val="53"/>
                    <w:bidi w:val="0"/>
                    <w:rPr>
                      <w:rFonts w:hint="default"/>
                      <w:color w:val="auto"/>
                    </w:rPr>
                  </w:pPr>
                  <w:r>
                    <w:rPr>
                      <w:rFonts w:hint="default"/>
                      <w:color w:val="auto"/>
                    </w:rPr>
                    <w:t>本项目情况</w:t>
                  </w:r>
                </w:p>
              </w:tc>
              <w:tc>
                <w:tcPr>
                  <w:tcW w:w="504" w:type="pct"/>
                  <w:noWrap w:val="0"/>
                  <w:vAlign w:val="center"/>
                </w:tcPr>
                <w:p w14:paraId="4550CA68">
                  <w:pPr>
                    <w:pStyle w:val="53"/>
                    <w:bidi w:val="0"/>
                    <w:rPr>
                      <w:rFonts w:hint="default"/>
                      <w:color w:val="auto"/>
                    </w:rPr>
                  </w:pPr>
                  <w:r>
                    <w:rPr>
                      <w:rFonts w:hint="default"/>
                      <w:color w:val="auto"/>
                    </w:rPr>
                    <w:t>符合性分析</w:t>
                  </w:r>
                </w:p>
              </w:tc>
            </w:tr>
            <w:tr w14:paraId="70D3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shd w:val="clear" w:color="auto" w:fill="D9D9D9"/>
                  <w:noWrap w:val="0"/>
                  <w:vAlign w:val="center"/>
                </w:tcPr>
                <w:p w14:paraId="160F642A">
                  <w:pPr>
                    <w:pStyle w:val="53"/>
                    <w:bidi w:val="0"/>
                    <w:rPr>
                      <w:rFonts w:hint="default"/>
                      <w:color w:val="auto"/>
                    </w:rPr>
                  </w:pPr>
                  <w:r>
                    <w:rPr>
                      <w:rFonts w:hint="default"/>
                      <w:color w:val="auto"/>
                    </w:rPr>
                    <w:t>一</w:t>
                  </w:r>
                </w:p>
              </w:tc>
              <w:tc>
                <w:tcPr>
                  <w:tcW w:w="4553" w:type="pct"/>
                  <w:gridSpan w:val="5"/>
                  <w:shd w:val="clear" w:color="auto" w:fill="D9D9D9"/>
                  <w:noWrap w:val="0"/>
                  <w:vAlign w:val="center"/>
                </w:tcPr>
                <w:p w14:paraId="0E8C6F4A">
                  <w:pPr>
                    <w:pStyle w:val="53"/>
                    <w:bidi w:val="0"/>
                    <w:rPr>
                      <w:rFonts w:hint="default"/>
                      <w:color w:val="auto"/>
                    </w:rPr>
                  </w:pPr>
                  <w:r>
                    <w:rPr>
                      <w:rFonts w:hint="default"/>
                      <w:color w:val="auto"/>
                    </w:rPr>
                    <w:t>企业的设立和布局</w:t>
                  </w:r>
                </w:p>
              </w:tc>
            </w:tr>
            <w:tr w14:paraId="5D7F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0F5923EB">
                  <w:pPr>
                    <w:pStyle w:val="53"/>
                    <w:bidi w:val="0"/>
                    <w:rPr>
                      <w:rFonts w:hint="default"/>
                      <w:color w:val="auto"/>
                    </w:rPr>
                  </w:pPr>
                  <w:r>
                    <w:rPr>
                      <w:rFonts w:hint="default"/>
                      <w:color w:val="auto"/>
                    </w:rPr>
                    <w:t>1</w:t>
                  </w:r>
                </w:p>
              </w:tc>
              <w:tc>
                <w:tcPr>
                  <w:tcW w:w="2347" w:type="pct"/>
                  <w:gridSpan w:val="2"/>
                  <w:noWrap w:val="0"/>
                  <w:vAlign w:val="center"/>
                </w:tcPr>
                <w:p w14:paraId="270284E5">
                  <w:pPr>
                    <w:pStyle w:val="53"/>
                    <w:bidi w:val="0"/>
                    <w:rPr>
                      <w:rFonts w:hint="default"/>
                      <w:color w:val="auto"/>
                    </w:rPr>
                  </w:pPr>
                  <w:r>
                    <w:rPr>
                      <w:rFonts w:hint="default"/>
                      <w:color w:val="auto"/>
                    </w:rPr>
                    <w:t>废塑料综合利用企业是指采用物理机械法对热塑性废塑料进行再生加工的企业，企业类型主要包括 PET 再生瓶片类企业、废塑料破碎清洗分选类企业以及塑料再生造粒类企业；</w:t>
                  </w:r>
                </w:p>
              </w:tc>
              <w:tc>
                <w:tcPr>
                  <w:tcW w:w="1701" w:type="pct"/>
                  <w:gridSpan w:val="2"/>
                  <w:noWrap w:val="0"/>
                  <w:vAlign w:val="center"/>
                </w:tcPr>
                <w:p w14:paraId="77B875AA">
                  <w:pPr>
                    <w:pStyle w:val="53"/>
                    <w:bidi w:val="0"/>
                    <w:rPr>
                      <w:rFonts w:hint="eastAsia" w:eastAsia="宋体"/>
                      <w:color w:val="auto"/>
                      <w:lang w:eastAsia="zh-CN"/>
                    </w:rPr>
                  </w:pPr>
                  <w:r>
                    <w:rPr>
                      <w:rFonts w:hint="default"/>
                      <w:color w:val="auto"/>
                    </w:rPr>
                    <w:t>本项目</w:t>
                  </w:r>
                  <w:r>
                    <w:rPr>
                      <w:rFonts w:hint="default"/>
                      <w:color w:val="auto"/>
                      <w:lang w:val="en-US" w:eastAsia="zh-CN"/>
                    </w:rPr>
                    <w:t>不设破碎工序，</w:t>
                  </w:r>
                  <w:r>
                    <w:rPr>
                      <w:rFonts w:hint="default"/>
                      <w:color w:val="auto"/>
                    </w:rPr>
                    <w:t>塑料热熔、</w:t>
                  </w:r>
                  <w:r>
                    <w:rPr>
                      <w:rFonts w:hint="eastAsia"/>
                      <w:color w:val="auto"/>
                      <w:lang w:val="en-US" w:eastAsia="zh-CN"/>
                    </w:rPr>
                    <w:t>挤出</w:t>
                  </w:r>
                  <w:r>
                    <w:rPr>
                      <w:rFonts w:hint="default"/>
                      <w:color w:val="auto"/>
                      <w:lang w:val="en-US" w:eastAsia="zh-CN"/>
                    </w:rPr>
                    <w:t>所用</w:t>
                  </w:r>
                  <w:r>
                    <w:rPr>
                      <w:rFonts w:hint="default"/>
                      <w:color w:val="auto"/>
                    </w:rPr>
                    <w:t>设备均采用物理机械法</w:t>
                  </w:r>
                  <w:r>
                    <w:rPr>
                      <w:rFonts w:hint="eastAsia"/>
                      <w:color w:val="auto"/>
                      <w:lang w:val="en-US" w:eastAsia="zh-CN"/>
                    </w:rPr>
                    <w:t>且项目属于塑料再生造粒类企业</w:t>
                  </w:r>
                  <w:r>
                    <w:rPr>
                      <w:rFonts w:hint="eastAsia"/>
                      <w:color w:val="auto"/>
                      <w:lang w:eastAsia="zh-CN"/>
                    </w:rPr>
                    <w:t>。</w:t>
                  </w:r>
                </w:p>
              </w:tc>
              <w:tc>
                <w:tcPr>
                  <w:tcW w:w="504" w:type="pct"/>
                  <w:noWrap w:val="0"/>
                  <w:vAlign w:val="center"/>
                </w:tcPr>
                <w:p w14:paraId="3905DE8C">
                  <w:pPr>
                    <w:pStyle w:val="53"/>
                    <w:bidi w:val="0"/>
                    <w:rPr>
                      <w:rFonts w:hint="default"/>
                      <w:color w:val="auto"/>
                    </w:rPr>
                  </w:pPr>
                  <w:r>
                    <w:rPr>
                      <w:rFonts w:hint="default"/>
                      <w:color w:val="auto"/>
                    </w:rPr>
                    <w:t>符合</w:t>
                  </w:r>
                </w:p>
              </w:tc>
            </w:tr>
            <w:tr w14:paraId="7886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09465A8F">
                  <w:pPr>
                    <w:pStyle w:val="53"/>
                    <w:bidi w:val="0"/>
                    <w:rPr>
                      <w:rFonts w:hint="default"/>
                      <w:color w:val="auto"/>
                    </w:rPr>
                  </w:pPr>
                  <w:r>
                    <w:rPr>
                      <w:rFonts w:hint="default"/>
                      <w:color w:val="auto"/>
                    </w:rPr>
                    <w:t>2</w:t>
                  </w:r>
                </w:p>
              </w:tc>
              <w:tc>
                <w:tcPr>
                  <w:tcW w:w="2347" w:type="pct"/>
                  <w:gridSpan w:val="2"/>
                  <w:noWrap w:val="0"/>
                  <w:vAlign w:val="center"/>
                </w:tcPr>
                <w:p w14:paraId="678B495A">
                  <w:pPr>
                    <w:pStyle w:val="53"/>
                    <w:bidi w:val="0"/>
                    <w:rPr>
                      <w:rFonts w:hint="default"/>
                      <w:color w:val="auto"/>
                    </w:rPr>
                  </w:pPr>
                  <w:r>
                    <w:rPr>
                      <w:rFonts w:hint="default"/>
                      <w:color w:val="auto"/>
                    </w:rPr>
                    <w:t>废塑料综合利用企业所涉及的热塑性废塑料原料，不包括受到危险化学品、农药等污染的废弃塑料包装物、废弃一次性医疗用塑料制品等塑料类危险废物</w:t>
                  </w:r>
                  <w:r>
                    <w:rPr>
                      <w:rFonts w:hint="eastAsia"/>
                      <w:color w:val="auto"/>
                      <w:lang w:eastAsia="zh-CN"/>
                    </w:rPr>
                    <w:t>，</w:t>
                  </w:r>
                  <w:r>
                    <w:rPr>
                      <w:rFonts w:hint="default"/>
                      <w:color w:val="auto"/>
                    </w:rPr>
                    <w:t>以及氟塑料等特种工程塑料；</w:t>
                  </w:r>
                </w:p>
              </w:tc>
              <w:tc>
                <w:tcPr>
                  <w:tcW w:w="1701" w:type="pct"/>
                  <w:gridSpan w:val="2"/>
                  <w:noWrap w:val="0"/>
                  <w:vAlign w:val="center"/>
                </w:tcPr>
                <w:p w14:paraId="0577FE84">
                  <w:pPr>
                    <w:pStyle w:val="53"/>
                    <w:bidi w:val="0"/>
                    <w:rPr>
                      <w:rFonts w:hint="eastAsia" w:eastAsia="宋体"/>
                      <w:color w:val="auto"/>
                      <w:lang w:eastAsia="zh-CN"/>
                    </w:rPr>
                  </w:pPr>
                  <w:r>
                    <w:rPr>
                      <w:rFonts w:hint="default"/>
                      <w:color w:val="auto"/>
                    </w:rPr>
                    <w:t>项目</w:t>
                  </w:r>
                  <w:r>
                    <w:rPr>
                      <w:rFonts w:hint="eastAsia"/>
                      <w:color w:val="auto"/>
                      <w:lang w:val="en-US" w:eastAsia="zh-CN"/>
                    </w:rPr>
                    <w:t>原料为现有项目已破碎的废塑料瓶碎片，</w:t>
                  </w:r>
                  <w:r>
                    <w:rPr>
                      <w:rFonts w:hint="default"/>
                      <w:color w:val="auto"/>
                      <w:lang w:val="en-US" w:eastAsia="zh-CN"/>
                    </w:rPr>
                    <w:t>直接用于</w:t>
                  </w:r>
                  <w:r>
                    <w:rPr>
                      <w:rFonts w:hint="default"/>
                      <w:color w:val="auto"/>
                      <w:lang w:val="en-US"/>
                    </w:rPr>
                    <w:t>造粒后</w:t>
                  </w:r>
                  <w:r>
                    <w:rPr>
                      <w:rFonts w:hint="default"/>
                      <w:color w:val="auto"/>
                      <w:lang w:val="en-US" w:eastAsia="zh-CN"/>
                    </w:rPr>
                    <w:t>售卖</w:t>
                  </w:r>
                  <w:r>
                    <w:rPr>
                      <w:rFonts w:hint="default"/>
                      <w:color w:val="auto"/>
                      <w:lang w:val="en-US"/>
                    </w:rPr>
                    <w:t>，加工废料</w:t>
                  </w:r>
                  <w:r>
                    <w:rPr>
                      <w:rFonts w:hint="default"/>
                      <w:color w:val="auto"/>
                    </w:rPr>
                    <w:t>不包括受到危险化学品、农药等污染的废弃塑料包装物、废弃一次性医疗用塑料制品等塑料类危险废物，以及氟塑料等特种工程塑料</w:t>
                  </w:r>
                  <w:r>
                    <w:rPr>
                      <w:rFonts w:hint="eastAsia"/>
                      <w:color w:val="auto"/>
                      <w:lang w:eastAsia="zh-CN"/>
                    </w:rPr>
                    <w:t>。</w:t>
                  </w:r>
                </w:p>
              </w:tc>
              <w:tc>
                <w:tcPr>
                  <w:tcW w:w="504" w:type="pct"/>
                  <w:noWrap w:val="0"/>
                  <w:vAlign w:val="center"/>
                </w:tcPr>
                <w:p w14:paraId="555C6657">
                  <w:pPr>
                    <w:pStyle w:val="53"/>
                    <w:bidi w:val="0"/>
                    <w:rPr>
                      <w:rFonts w:hint="default"/>
                      <w:color w:val="auto"/>
                    </w:rPr>
                  </w:pPr>
                  <w:r>
                    <w:rPr>
                      <w:rFonts w:hint="default"/>
                      <w:color w:val="auto"/>
                    </w:rPr>
                    <w:t>符合</w:t>
                  </w:r>
                </w:p>
              </w:tc>
            </w:tr>
            <w:tr w14:paraId="7D834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0739FAB3">
                  <w:pPr>
                    <w:pStyle w:val="53"/>
                    <w:bidi w:val="0"/>
                    <w:rPr>
                      <w:rFonts w:hint="default"/>
                      <w:color w:val="auto"/>
                    </w:rPr>
                  </w:pPr>
                  <w:r>
                    <w:rPr>
                      <w:rFonts w:hint="default"/>
                      <w:color w:val="auto"/>
                    </w:rPr>
                    <w:t>3</w:t>
                  </w:r>
                </w:p>
              </w:tc>
              <w:tc>
                <w:tcPr>
                  <w:tcW w:w="2347" w:type="pct"/>
                  <w:gridSpan w:val="2"/>
                  <w:noWrap w:val="0"/>
                  <w:vAlign w:val="center"/>
                </w:tcPr>
                <w:p w14:paraId="31548D50">
                  <w:pPr>
                    <w:pStyle w:val="53"/>
                    <w:bidi w:val="0"/>
                    <w:rPr>
                      <w:rFonts w:hint="default"/>
                      <w:color w:val="auto"/>
                    </w:rPr>
                  </w:pPr>
                  <w:r>
                    <w:rPr>
                      <w:rFonts w:hint="default"/>
                      <w:color w:val="auto"/>
                    </w:rPr>
                    <w:t>新建及改造、扩建废塑料加工企业应符合国家产业政策及所在地区土地利用总体规划、城乡建设规划、环境保护、污染防治规划。企业建设应有规范化设计要求，采用节能环保技术及生产装备；</w:t>
                  </w:r>
                </w:p>
              </w:tc>
              <w:tc>
                <w:tcPr>
                  <w:tcW w:w="1701" w:type="pct"/>
                  <w:gridSpan w:val="2"/>
                  <w:noWrap w:val="0"/>
                  <w:vAlign w:val="center"/>
                </w:tcPr>
                <w:p w14:paraId="77A423C5">
                  <w:pPr>
                    <w:pStyle w:val="53"/>
                    <w:bidi w:val="0"/>
                    <w:rPr>
                      <w:rFonts w:hint="eastAsia" w:eastAsia="宋体"/>
                      <w:color w:val="auto"/>
                      <w:lang w:eastAsia="zh-CN"/>
                    </w:rPr>
                  </w:pPr>
                  <w:r>
                    <w:rPr>
                      <w:rFonts w:hint="default"/>
                      <w:color w:val="auto"/>
                    </w:rPr>
                    <w:t>项目用地性质为</w:t>
                  </w:r>
                  <w:r>
                    <w:rPr>
                      <w:rFonts w:hint="eastAsia"/>
                      <w:color w:val="auto"/>
                      <w:lang w:val="en-US" w:eastAsia="zh-CN"/>
                    </w:rPr>
                    <w:t>工业</w:t>
                  </w:r>
                  <w:r>
                    <w:rPr>
                      <w:rFonts w:hint="default"/>
                      <w:color w:val="auto"/>
                    </w:rPr>
                    <w:t>用地，</w:t>
                  </w:r>
                  <w:r>
                    <w:rPr>
                      <w:rFonts w:hint="eastAsia"/>
                      <w:color w:val="auto"/>
                      <w:lang w:eastAsia="zh-CN"/>
                    </w:rPr>
                    <w:t>与</w:t>
                  </w:r>
                  <w:r>
                    <w:rPr>
                      <w:rFonts w:hint="eastAsia"/>
                      <w:color w:val="auto"/>
                      <w:lang w:val="en-US" w:eastAsia="zh-CN"/>
                    </w:rPr>
                    <w:t>麒麟区</w:t>
                  </w:r>
                  <w:r>
                    <w:rPr>
                      <w:rFonts w:hint="default"/>
                      <w:color w:val="auto"/>
                      <w:lang w:val="en-US"/>
                    </w:rPr>
                    <w:t>土地利用</w:t>
                  </w:r>
                  <w:r>
                    <w:rPr>
                      <w:rFonts w:hint="default"/>
                      <w:color w:val="auto"/>
                    </w:rPr>
                    <w:t>总体规划要求</w:t>
                  </w:r>
                  <w:r>
                    <w:rPr>
                      <w:rFonts w:hint="eastAsia"/>
                      <w:color w:val="auto"/>
                      <w:lang w:val="en-US" w:eastAsia="zh-CN"/>
                    </w:rPr>
                    <w:t>不冲突</w:t>
                  </w:r>
                  <w:r>
                    <w:rPr>
                      <w:rFonts w:hint="default"/>
                      <w:color w:val="auto"/>
                    </w:rPr>
                    <w:t>，同时配套各项环保措施，保证污染物达标排放</w:t>
                  </w:r>
                  <w:r>
                    <w:rPr>
                      <w:rFonts w:hint="eastAsia"/>
                      <w:color w:val="auto"/>
                      <w:lang w:eastAsia="zh-CN"/>
                    </w:rPr>
                    <w:t>。</w:t>
                  </w:r>
                </w:p>
              </w:tc>
              <w:tc>
                <w:tcPr>
                  <w:tcW w:w="504" w:type="pct"/>
                  <w:noWrap w:val="0"/>
                  <w:vAlign w:val="center"/>
                </w:tcPr>
                <w:p w14:paraId="4C92B704">
                  <w:pPr>
                    <w:pStyle w:val="53"/>
                    <w:bidi w:val="0"/>
                    <w:rPr>
                      <w:rFonts w:hint="default"/>
                      <w:color w:val="auto"/>
                    </w:rPr>
                  </w:pPr>
                  <w:r>
                    <w:rPr>
                      <w:rFonts w:hint="default"/>
                      <w:color w:val="auto"/>
                    </w:rPr>
                    <w:t>符合</w:t>
                  </w:r>
                </w:p>
              </w:tc>
            </w:tr>
            <w:tr w14:paraId="4B6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0CA553DA">
                  <w:pPr>
                    <w:pStyle w:val="53"/>
                    <w:bidi w:val="0"/>
                    <w:rPr>
                      <w:rFonts w:hint="default"/>
                      <w:color w:val="auto"/>
                    </w:rPr>
                  </w:pPr>
                  <w:r>
                    <w:rPr>
                      <w:rFonts w:hint="default"/>
                      <w:color w:val="auto"/>
                    </w:rPr>
                    <w:t>4</w:t>
                  </w:r>
                </w:p>
              </w:tc>
              <w:tc>
                <w:tcPr>
                  <w:tcW w:w="2347" w:type="pct"/>
                  <w:gridSpan w:val="2"/>
                  <w:noWrap w:val="0"/>
                  <w:vAlign w:val="center"/>
                </w:tcPr>
                <w:p w14:paraId="7FC1DB72">
                  <w:pPr>
                    <w:pStyle w:val="53"/>
                    <w:bidi w:val="0"/>
                    <w:rPr>
                      <w:rFonts w:hint="default"/>
                      <w:color w:val="auto"/>
                    </w:rPr>
                  </w:pPr>
                  <w:r>
                    <w:rPr>
                      <w:rFonts w:hint="default"/>
                      <w:color w:val="auto"/>
                    </w:rPr>
                    <w:t>在国家</w:t>
                  </w:r>
                  <w:r>
                    <w:rPr>
                      <w:rFonts w:hint="eastAsia"/>
                      <w:color w:val="auto"/>
                      <w:lang w:eastAsia="zh-CN"/>
                    </w:rPr>
                    <w:t>法律法规</w:t>
                  </w:r>
                  <w:r>
                    <w:rPr>
                      <w:rFonts w:hint="default"/>
                      <w:color w:val="auto"/>
                    </w:rPr>
                    <w:t>、规章和规划确定或县级及以上人民政府规定的自然保护区、风景名胜区、饮用水源保护区、基本农田保护区和其他需要特别保护的区域内，不得新建废塑料综合利用企业；已在上述区域投产运营的废塑料综合利用企业，要根据该区域规划要求，依法通过搬迁、转产等方式逐步退出。</w:t>
                  </w:r>
                </w:p>
              </w:tc>
              <w:tc>
                <w:tcPr>
                  <w:tcW w:w="1701" w:type="pct"/>
                  <w:gridSpan w:val="2"/>
                  <w:noWrap w:val="0"/>
                  <w:vAlign w:val="center"/>
                </w:tcPr>
                <w:p w14:paraId="6C91AD00">
                  <w:pPr>
                    <w:pStyle w:val="53"/>
                    <w:bidi w:val="0"/>
                    <w:rPr>
                      <w:rFonts w:hint="default"/>
                      <w:color w:val="auto"/>
                    </w:rPr>
                  </w:pPr>
                  <w:r>
                    <w:rPr>
                      <w:rFonts w:hint="default"/>
                      <w:color w:val="auto"/>
                    </w:rPr>
                    <w:t>项目选址位于</w:t>
                  </w:r>
                  <w:r>
                    <w:rPr>
                      <w:rFonts w:hint="eastAsia" w:cs="Times New Roman"/>
                      <w:color w:val="auto"/>
                      <w:lang w:eastAsia="zh-CN"/>
                    </w:rPr>
                    <w:t>曲靖市麒麟区越州镇老吴村委会（原平板玻璃厂内）</w:t>
                  </w:r>
                  <w:r>
                    <w:rPr>
                      <w:rFonts w:hint="default"/>
                      <w:color w:val="auto"/>
                      <w:lang w:val="en-US"/>
                    </w:rPr>
                    <w:t>，项目</w:t>
                  </w:r>
                  <w:r>
                    <w:rPr>
                      <w:rFonts w:hint="default"/>
                      <w:color w:val="auto"/>
                    </w:rPr>
                    <w:t>周边不涉及自然保护区、风景名胜区、饮用水源保护区、基本农田保护区和其他需要特别保护的区域等。</w:t>
                  </w:r>
                </w:p>
              </w:tc>
              <w:tc>
                <w:tcPr>
                  <w:tcW w:w="504" w:type="pct"/>
                  <w:noWrap w:val="0"/>
                  <w:vAlign w:val="center"/>
                </w:tcPr>
                <w:p w14:paraId="4FCF8ACF">
                  <w:pPr>
                    <w:pStyle w:val="53"/>
                    <w:bidi w:val="0"/>
                    <w:rPr>
                      <w:rFonts w:hint="default"/>
                      <w:color w:val="auto"/>
                    </w:rPr>
                  </w:pPr>
                  <w:r>
                    <w:rPr>
                      <w:rFonts w:hint="default"/>
                      <w:color w:val="auto"/>
                    </w:rPr>
                    <w:t>符合</w:t>
                  </w:r>
                </w:p>
              </w:tc>
            </w:tr>
            <w:tr w14:paraId="367B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446" w:type="pct"/>
                  <w:gridSpan w:val="2"/>
                  <w:shd w:val="clear" w:color="auto" w:fill="D9D9D9"/>
                  <w:noWrap w:val="0"/>
                  <w:vAlign w:val="center"/>
                </w:tcPr>
                <w:p w14:paraId="45D3C20A">
                  <w:pPr>
                    <w:pStyle w:val="53"/>
                    <w:bidi w:val="0"/>
                    <w:rPr>
                      <w:rFonts w:hint="default"/>
                      <w:color w:val="auto"/>
                    </w:rPr>
                  </w:pPr>
                  <w:r>
                    <w:rPr>
                      <w:rFonts w:hint="default"/>
                      <w:color w:val="auto"/>
                    </w:rPr>
                    <w:t>二</w:t>
                  </w:r>
                </w:p>
              </w:tc>
              <w:tc>
                <w:tcPr>
                  <w:tcW w:w="4553" w:type="pct"/>
                  <w:gridSpan w:val="5"/>
                  <w:shd w:val="clear" w:color="auto" w:fill="D9D9D9"/>
                  <w:noWrap w:val="0"/>
                  <w:vAlign w:val="center"/>
                </w:tcPr>
                <w:p w14:paraId="5AD648DE">
                  <w:pPr>
                    <w:pStyle w:val="53"/>
                    <w:bidi w:val="0"/>
                    <w:rPr>
                      <w:rFonts w:hint="default"/>
                      <w:color w:val="auto"/>
                    </w:rPr>
                  </w:pPr>
                  <w:r>
                    <w:rPr>
                      <w:rFonts w:hint="default"/>
                      <w:color w:val="auto"/>
                    </w:rPr>
                    <w:t>生产经营规模</w:t>
                  </w:r>
                </w:p>
              </w:tc>
            </w:tr>
            <w:tr w14:paraId="3C7C9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62FB066E">
                  <w:pPr>
                    <w:pStyle w:val="53"/>
                    <w:bidi w:val="0"/>
                    <w:rPr>
                      <w:rFonts w:hint="default"/>
                      <w:color w:val="auto"/>
                    </w:rPr>
                  </w:pPr>
                  <w:r>
                    <w:rPr>
                      <w:rFonts w:hint="default"/>
                      <w:color w:val="auto"/>
                    </w:rPr>
                    <w:t>1</w:t>
                  </w:r>
                </w:p>
              </w:tc>
              <w:tc>
                <w:tcPr>
                  <w:tcW w:w="2347" w:type="pct"/>
                  <w:gridSpan w:val="2"/>
                  <w:noWrap w:val="0"/>
                  <w:vAlign w:val="center"/>
                </w:tcPr>
                <w:p w14:paraId="458FEA9B">
                  <w:pPr>
                    <w:pStyle w:val="53"/>
                    <w:bidi w:val="0"/>
                    <w:rPr>
                      <w:rFonts w:hint="default"/>
                      <w:color w:val="auto"/>
                    </w:rPr>
                  </w:pPr>
                  <w:r>
                    <w:rPr>
                      <w:rFonts w:hint="default"/>
                      <w:color w:val="auto"/>
                    </w:rPr>
                    <w:t>塑料再生造粒类企业：新建企业年废塑料处理能力不低于5000吨；已建企业年废塑料处理能力不低于3000吨；</w:t>
                  </w:r>
                </w:p>
              </w:tc>
              <w:tc>
                <w:tcPr>
                  <w:tcW w:w="1701" w:type="pct"/>
                  <w:gridSpan w:val="2"/>
                  <w:noWrap w:val="0"/>
                  <w:vAlign w:val="center"/>
                </w:tcPr>
                <w:p w14:paraId="22892160">
                  <w:pPr>
                    <w:pStyle w:val="53"/>
                    <w:bidi w:val="0"/>
                    <w:rPr>
                      <w:rFonts w:hint="eastAsia" w:eastAsia="宋体"/>
                      <w:color w:val="auto"/>
                      <w:lang w:eastAsia="zh-CN"/>
                    </w:rPr>
                  </w:pPr>
                  <w:r>
                    <w:rPr>
                      <w:rFonts w:hint="eastAsia"/>
                      <w:color w:val="auto"/>
                      <w:lang w:val="en-US" w:eastAsia="zh-CN"/>
                    </w:rPr>
                    <w:t>项目为扩建项目，年废塑料颗粒生产能力为10</w:t>
                  </w:r>
                  <w:r>
                    <w:rPr>
                      <w:rFonts w:hint="default"/>
                      <w:color w:val="auto"/>
                      <w:lang w:val="en-US"/>
                    </w:rPr>
                    <w:t>000吨</w:t>
                  </w:r>
                  <w:r>
                    <w:rPr>
                      <w:rFonts w:hint="eastAsia"/>
                      <w:color w:val="auto"/>
                      <w:lang w:val="en-US" w:eastAsia="zh-CN"/>
                    </w:rPr>
                    <w:t>。</w:t>
                  </w:r>
                </w:p>
              </w:tc>
              <w:tc>
                <w:tcPr>
                  <w:tcW w:w="504" w:type="pct"/>
                  <w:noWrap w:val="0"/>
                  <w:vAlign w:val="center"/>
                </w:tcPr>
                <w:p w14:paraId="707184E3">
                  <w:pPr>
                    <w:pStyle w:val="53"/>
                    <w:bidi w:val="0"/>
                    <w:rPr>
                      <w:rFonts w:hint="default"/>
                      <w:color w:val="auto"/>
                    </w:rPr>
                  </w:pPr>
                  <w:r>
                    <w:rPr>
                      <w:rFonts w:hint="default"/>
                      <w:color w:val="auto"/>
                    </w:rPr>
                    <w:t>符合</w:t>
                  </w:r>
                </w:p>
              </w:tc>
            </w:tr>
            <w:tr w14:paraId="1AE9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22E9BEBF">
                  <w:pPr>
                    <w:pStyle w:val="53"/>
                    <w:bidi w:val="0"/>
                    <w:rPr>
                      <w:rFonts w:hint="default"/>
                      <w:color w:val="auto"/>
                    </w:rPr>
                  </w:pPr>
                  <w:r>
                    <w:rPr>
                      <w:rFonts w:hint="default"/>
                      <w:color w:val="auto"/>
                    </w:rPr>
                    <w:t>2</w:t>
                  </w:r>
                </w:p>
              </w:tc>
              <w:tc>
                <w:tcPr>
                  <w:tcW w:w="2347" w:type="pct"/>
                  <w:gridSpan w:val="2"/>
                  <w:noWrap w:val="0"/>
                  <w:vAlign w:val="center"/>
                </w:tcPr>
                <w:p w14:paraId="3C13B813">
                  <w:pPr>
                    <w:pStyle w:val="53"/>
                    <w:bidi w:val="0"/>
                    <w:rPr>
                      <w:rFonts w:hint="default"/>
                      <w:color w:val="auto"/>
                    </w:rPr>
                  </w:pPr>
                  <w:r>
                    <w:rPr>
                      <w:rFonts w:hint="default"/>
                      <w:color w:val="auto"/>
                    </w:rPr>
                    <w:t>企业应具有与生产能力相匹配的厂区作业场地面积。</w:t>
                  </w:r>
                </w:p>
              </w:tc>
              <w:tc>
                <w:tcPr>
                  <w:tcW w:w="1701" w:type="pct"/>
                  <w:gridSpan w:val="2"/>
                  <w:noWrap w:val="0"/>
                  <w:vAlign w:val="center"/>
                </w:tcPr>
                <w:p w14:paraId="2D0894E5">
                  <w:pPr>
                    <w:pStyle w:val="53"/>
                    <w:bidi w:val="0"/>
                    <w:rPr>
                      <w:rFonts w:hint="default"/>
                      <w:color w:val="auto"/>
                    </w:rPr>
                  </w:pPr>
                  <w:r>
                    <w:rPr>
                      <w:rFonts w:hint="default"/>
                      <w:color w:val="auto"/>
                    </w:rPr>
                    <w:t>项目占地面积</w:t>
                  </w:r>
                  <w:r>
                    <w:rPr>
                      <w:rFonts w:hint="eastAsia"/>
                      <w:color w:val="auto"/>
                      <w:lang w:val="en-US" w:eastAsia="zh-CN"/>
                    </w:rPr>
                    <w:t>560</w:t>
                  </w:r>
                  <w:r>
                    <w:rPr>
                      <w:rFonts w:hint="default"/>
                      <w:color w:val="auto"/>
                      <w:lang w:val="en-US"/>
                    </w:rPr>
                    <w:t>m</w:t>
                  </w:r>
                  <w:r>
                    <w:rPr>
                      <w:rFonts w:hint="default"/>
                      <w:color w:val="auto"/>
                      <w:vertAlign w:val="superscript"/>
                      <w:lang w:val="en-US"/>
                    </w:rPr>
                    <w:t>2</w:t>
                  </w:r>
                  <w:r>
                    <w:rPr>
                      <w:rFonts w:hint="default"/>
                      <w:color w:val="auto"/>
                      <w:lang w:val="en-US"/>
                    </w:rPr>
                    <w:t>，</w:t>
                  </w:r>
                  <w:r>
                    <w:rPr>
                      <w:rFonts w:hint="default"/>
                      <w:color w:val="auto"/>
                    </w:rPr>
                    <w:t>建筑面积</w:t>
                  </w:r>
                  <w:r>
                    <w:rPr>
                      <w:rFonts w:hint="eastAsia"/>
                      <w:color w:val="auto"/>
                      <w:lang w:val="en-US" w:eastAsia="zh-CN"/>
                    </w:rPr>
                    <w:t>560</w:t>
                  </w:r>
                  <w:r>
                    <w:rPr>
                      <w:rFonts w:hint="default"/>
                      <w:color w:val="auto"/>
                    </w:rPr>
                    <w:t>m</w:t>
                  </w:r>
                  <w:r>
                    <w:rPr>
                      <w:rFonts w:hint="default"/>
                      <w:color w:val="auto"/>
                      <w:vertAlign w:val="superscript"/>
                    </w:rPr>
                    <w:t>2</w:t>
                  </w:r>
                  <w:r>
                    <w:rPr>
                      <w:rFonts w:hint="default"/>
                      <w:color w:val="auto"/>
                    </w:rPr>
                    <w:t>；能够满足</w:t>
                  </w:r>
                  <w:r>
                    <w:rPr>
                      <w:rFonts w:hint="default"/>
                      <w:color w:val="auto"/>
                      <w:lang w:val="en-US"/>
                    </w:rPr>
                    <w:t>项目加工</w:t>
                  </w:r>
                  <w:r>
                    <w:rPr>
                      <w:rFonts w:hint="default"/>
                      <w:color w:val="auto"/>
                    </w:rPr>
                    <w:t>要求。</w:t>
                  </w:r>
                </w:p>
              </w:tc>
              <w:tc>
                <w:tcPr>
                  <w:tcW w:w="504" w:type="pct"/>
                  <w:noWrap w:val="0"/>
                  <w:vAlign w:val="center"/>
                </w:tcPr>
                <w:p w14:paraId="0F7DB4FE">
                  <w:pPr>
                    <w:pStyle w:val="53"/>
                    <w:bidi w:val="0"/>
                    <w:rPr>
                      <w:rFonts w:hint="default"/>
                      <w:color w:val="auto"/>
                    </w:rPr>
                  </w:pPr>
                </w:p>
                <w:p w14:paraId="4EB87E6E">
                  <w:pPr>
                    <w:pStyle w:val="53"/>
                    <w:bidi w:val="0"/>
                    <w:rPr>
                      <w:rFonts w:hint="default"/>
                      <w:color w:val="auto"/>
                    </w:rPr>
                  </w:pPr>
                  <w:r>
                    <w:rPr>
                      <w:rFonts w:hint="default"/>
                      <w:color w:val="auto"/>
                    </w:rPr>
                    <w:t>符合</w:t>
                  </w:r>
                </w:p>
              </w:tc>
            </w:tr>
            <w:tr w14:paraId="00D4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shd w:val="clear" w:color="auto" w:fill="D9D9D9"/>
                  <w:noWrap w:val="0"/>
                  <w:vAlign w:val="center"/>
                </w:tcPr>
                <w:p w14:paraId="792B985C">
                  <w:pPr>
                    <w:pStyle w:val="53"/>
                    <w:bidi w:val="0"/>
                    <w:rPr>
                      <w:rFonts w:hint="default"/>
                      <w:color w:val="auto"/>
                    </w:rPr>
                  </w:pPr>
                  <w:r>
                    <w:rPr>
                      <w:rFonts w:hint="default"/>
                      <w:color w:val="auto"/>
                    </w:rPr>
                    <w:t>三</w:t>
                  </w:r>
                </w:p>
              </w:tc>
              <w:tc>
                <w:tcPr>
                  <w:tcW w:w="4553" w:type="pct"/>
                  <w:gridSpan w:val="5"/>
                  <w:shd w:val="clear" w:color="auto" w:fill="D9D9D9"/>
                  <w:noWrap w:val="0"/>
                  <w:vAlign w:val="center"/>
                </w:tcPr>
                <w:p w14:paraId="3C5B4EEE">
                  <w:pPr>
                    <w:pStyle w:val="53"/>
                    <w:bidi w:val="0"/>
                    <w:rPr>
                      <w:rFonts w:hint="default"/>
                      <w:color w:val="auto"/>
                    </w:rPr>
                  </w:pPr>
                  <w:r>
                    <w:rPr>
                      <w:rFonts w:hint="default"/>
                      <w:color w:val="auto"/>
                    </w:rPr>
                    <w:t>资源综合利用及能耗</w:t>
                  </w:r>
                </w:p>
              </w:tc>
            </w:tr>
            <w:tr w14:paraId="6803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2873F0D4">
                  <w:pPr>
                    <w:pStyle w:val="53"/>
                    <w:bidi w:val="0"/>
                    <w:rPr>
                      <w:rFonts w:hint="default"/>
                      <w:color w:val="auto"/>
                    </w:rPr>
                  </w:pPr>
                  <w:r>
                    <w:rPr>
                      <w:rFonts w:hint="default"/>
                      <w:color w:val="auto"/>
                    </w:rPr>
                    <w:t>1</w:t>
                  </w:r>
                </w:p>
              </w:tc>
              <w:tc>
                <w:tcPr>
                  <w:tcW w:w="2314" w:type="pct"/>
                  <w:noWrap w:val="0"/>
                  <w:vAlign w:val="center"/>
                </w:tcPr>
                <w:p w14:paraId="4A9A6A5B">
                  <w:pPr>
                    <w:pStyle w:val="53"/>
                    <w:bidi w:val="0"/>
                    <w:rPr>
                      <w:rFonts w:hint="default"/>
                      <w:color w:val="auto"/>
                    </w:rPr>
                  </w:pPr>
                  <w:r>
                    <w:rPr>
                      <w:rFonts w:hint="default"/>
                      <w:color w:val="auto"/>
                    </w:rPr>
                    <w:t>企业应对收集的废塑料进行充分利用，提高资源回收利用效率，不得倾倒、焚烧与填埋；</w:t>
                  </w:r>
                </w:p>
              </w:tc>
              <w:tc>
                <w:tcPr>
                  <w:tcW w:w="1727" w:type="pct"/>
                  <w:gridSpan w:val="2"/>
                  <w:noWrap w:val="0"/>
                  <w:vAlign w:val="center"/>
                </w:tcPr>
                <w:p w14:paraId="57263583">
                  <w:pPr>
                    <w:pStyle w:val="53"/>
                    <w:bidi w:val="0"/>
                    <w:rPr>
                      <w:rFonts w:hint="default"/>
                      <w:color w:val="auto"/>
                    </w:rPr>
                  </w:pPr>
                  <w:r>
                    <w:rPr>
                      <w:rFonts w:hint="default"/>
                      <w:color w:val="auto"/>
                    </w:rPr>
                    <w:t>项目</w:t>
                  </w:r>
                  <w:r>
                    <w:rPr>
                      <w:rFonts w:hint="default"/>
                      <w:color w:val="auto"/>
                      <w:lang w:val="en-US"/>
                    </w:rPr>
                    <w:t>塑料</w:t>
                  </w:r>
                  <w:r>
                    <w:rPr>
                      <w:rFonts w:hint="eastAsia"/>
                      <w:color w:val="auto"/>
                      <w:lang w:val="en-US" w:eastAsia="zh-CN"/>
                    </w:rPr>
                    <w:t>颗粒</w:t>
                  </w:r>
                  <w:r>
                    <w:rPr>
                      <w:rFonts w:hint="default"/>
                      <w:color w:val="auto"/>
                      <w:lang w:val="en-US"/>
                    </w:rPr>
                    <w:t>生产线主要</w:t>
                  </w:r>
                  <w:r>
                    <w:rPr>
                      <w:rFonts w:hint="default"/>
                      <w:color w:val="auto"/>
                      <w:lang w:val="en-US" w:eastAsia="zh-CN"/>
                    </w:rPr>
                    <w:t>原料</w:t>
                  </w:r>
                  <w:r>
                    <w:rPr>
                      <w:rFonts w:hint="default"/>
                      <w:color w:val="auto"/>
                      <w:lang w:val="en-US"/>
                    </w:rPr>
                    <w:t>为</w:t>
                  </w:r>
                  <w:r>
                    <w:rPr>
                      <w:rFonts w:hint="eastAsia"/>
                      <w:color w:val="auto"/>
                      <w:lang w:val="en-US" w:eastAsia="zh-CN"/>
                    </w:rPr>
                    <w:t>现有项目已破碎的废塑料瓶碎片</w:t>
                  </w:r>
                  <w:r>
                    <w:rPr>
                      <w:rFonts w:hint="default"/>
                      <w:color w:val="auto"/>
                      <w:lang w:val="en-US"/>
                    </w:rPr>
                    <w:t>，造粒后</w:t>
                  </w:r>
                  <w:r>
                    <w:rPr>
                      <w:rFonts w:hint="default"/>
                      <w:color w:val="auto"/>
                      <w:lang w:val="en-US" w:eastAsia="zh-CN"/>
                    </w:rPr>
                    <w:t>直接进行售卖。</w:t>
                  </w:r>
                </w:p>
              </w:tc>
              <w:tc>
                <w:tcPr>
                  <w:tcW w:w="511" w:type="pct"/>
                  <w:gridSpan w:val="2"/>
                  <w:noWrap w:val="0"/>
                  <w:vAlign w:val="center"/>
                </w:tcPr>
                <w:p w14:paraId="52EC8885">
                  <w:pPr>
                    <w:pStyle w:val="53"/>
                    <w:bidi w:val="0"/>
                    <w:rPr>
                      <w:rFonts w:hint="default"/>
                      <w:color w:val="auto"/>
                    </w:rPr>
                  </w:pPr>
                  <w:r>
                    <w:rPr>
                      <w:rFonts w:hint="default"/>
                      <w:color w:val="auto"/>
                    </w:rPr>
                    <w:t>符合</w:t>
                  </w:r>
                </w:p>
              </w:tc>
            </w:tr>
            <w:tr w14:paraId="2A1D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46" w:type="pct"/>
                  <w:gridSpan w:val="2"/>
                  <w:noWrap w:val="0"/>
                  <w:vAlign w:val="center"/>
                </w:tcPr>
                <w:p w14:paraId="144256A5">
                  <w:pPr>
                    <w:pStyle w:val="53"/>
                    <w:bidi w:val="0"/>
                    <w:rPr>
                      <w:rFonts w:hint="default"/>
                      <w:color w:val="auto"/>
                    </w:rPr>
                  </w:pPr>
                  <w:r>
                    <w:rPr>
                      <w:rFonts w:hint="default"/>
                      <w:color w:val="auto"/>
                    </w:rPr>
                    <w:t>2</w:t>
                  </w:r>
                </w:p>
              </w:tc>
              <w:tc>
                <w:tcPr>
                  <w:tcW w:w="2347" w:type="pct"/>
                  <w:gridSpan w:val="2"/>
                  <w:noWrap w:val="0"/>
                  <w:vAlign w:val="center"/>
                </w:tcPr>
                <w:p w14:paraId="4FB00428">
                  <w:pPr>
                    <w:pStyle w:val="53"/>
                    <w:bidi w:val="0"/>
                    <w:rPr>
                      <w:rFonts w:hint="default"/>
                      <w:color w:val="auto"/>
                    </w:rPr>
                  </w:pPr>
                  <w:r>
                    <w:rPr>
                      <w:rFonts w:hint="default"/>
                      <w:color w:val="auto"/>
                    </w:rPr>
                    <w:t>塑料再生加工相关生产环节的综合电耗低于500 千瓦时/吨废塑料；</w:t>
                  </w:r>
                </w:p>
              </w:tc>
              <w:tc>
                <w:tcPr>
                  <w:tcW w:w="1694" w:type="pct"/>
                  <w:noWrap w:val="0"/>
                  <w:vAlign w:val="center"/>
                </w:tcPr>
                <w:p w14:paraId="450B6A0C">
                  <w:pPr>
                    <w:pStyle w:val="53"/>
                    <w:bidi w:val="0"/>
                    <w:rPr>
                      <w:rFonts w:hint="eastAsia" w:eastAsia="宋体"/>
                      <w:color w:val="auto"/>
                      <w:lang w:eastAsia="zh-CN"/>
                    </w:rPr>
                  </w:pPr>
                  <w:r>
                    <w:rPr>
                      <w:rFonts w:hint="default"/>
                      <w:color w:val="auto"/>
                    </w:rPr>
                    <w:t>项目综合电耗约</w:t>
                  </w:r>
                  <w:r>
                    <w:rPr>
                      <w:rFonts w:hint="eastAsia"/>
                      <w:color w:val="auto"/>
                      <w:lang w:val="en-US" w:eastAsia="zh-CN"/>
                    </w:rPr>
                    <w:t>1</w:t>
                  </w:r>
                  <w:r>
                    <w:rPr>
                      <w:rFonts w:hint="default"/>
                      <w:color w:val="auto"/>
                      <w:highlight w:val="none"/>
                      <w:lang w:val="en-US"/>
                    </w:rPr>
                    <w:t>00</w:t>
                  </w:r>
                  <w:r>
                    <w:rPr>
                      <w:rFonts w:hint="default"/>
                      <w:color w:val="auto"/>
                      <w:highlight w:val="none"/>
                    </w:rPr>
                    <w:t>千瓦时/吨废塑料</w:t>
                  </w:r>
                  <w:r>
                    <w:rPr>
                      <w:rFonts w:hint="eastAsia"/>
                      <w:color w:val="auto"/>
                      <w:highlight w:val="none"/>
                      <w:lang w:eastAsia="zh-CN"/>
                    </w:rPr>
                    <w:t>。</w:t>
                  </w:r>
                </w:p>
              </w:tc>
              <w:tc>
                <w:tcPr>
                  <w:tcW w:w="511" w:type="pct"/>
                  <w:gridSpan w:val="2"/>
                  <w:noWrap w:val="0"/>
                  <w:vAlign w:val="center"/>
                </w:tcPr>
                <w:p w14:paraId="3D83C254">
                  <w:pPr>
                    <w:pStyle w:val="53"/>
                    <w:bidi w:val="0"/>
                    <w:rPr>
                      <w:rFonts w:hint="default"/>
                      <w:color w:val="auto"/>
                    </w:rPr>
                  </w:pPr>
                  <w:r>
                    <w:rPr>
                      <w:rFonts w:hint="default"/>
                      <w:color w:val="auto"/>
                    </w:rPr>
                    <w:t>符合</w:t>
                  </w:r>
                </w:p>
              </w:tc>
            </w:tr>
            <w:tr w14:paraId="4C203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shd w:val="clear" w:color="auto" w:fill="D9D9D9"/>
                  <w:noWrap w:val="0"/>
                  <w:vAlign w:val="center"/>
                </w:tcPr>
                <w:p w14:paraId="49F07611">
                  <w:pPr>
                    <w:pStyle w:val="53"/>
                    <w:bidi w:val="0"/>
                    <w:rPr>
                      <w:rFonts w:hint="default"/>
                      <w:color w:val="auto"/>
                    </w:rPr>
                  </w:pPr>
                  <w:r>
                    <w:rPr>
                      <w:rFonts w:hint="default"/>
                      <w:color w:val="auto"/>
                    </w:rPr>
                    <w:t>四</w:t>
                  </w:r>
                </w:p>
              </w:tc>
              <w:tc>
                <w:tcPr>
                  <w:tcW w:w="4553" w:type="pct"/>
                  <w:gridSpan w:val="5"/>
                  <w:shd w:val="clear" w:color="auto" w:fill="D9D9D9"/>
                  <w:noWrap w:val="0"/>
                  <w:vAlign w:val="center"/>
                </w:tcPr>
                <w:p w14:paraId="5E25628C">
                  <w:pPr>
                    <w:pStyle w:val="53"/>
                    <w:bidi w:val="0"/>
                    <w:rPr>
                      <w:rFonts w:hint="default"/>
                      <w:color w:val="auto"/>
                    </w:rPr>
                  </w:pPr>
                  <w:r>
                    <w:rPr>
                      <w:rFonts w:hint="default"/>
                      <w:color w:val="auto"/>
                    </w:rPr>
                    <w:t>工艺与装备</w:t>
                  </w:r>
                </w:p>
              </w:tc>
            </w:tr>
            <w:tr w14:paraId="5832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3C8592AC">
                  <w:pPr>
                    <w:pStyle w:val="53"/>
                    <w:bidi w:val="0"/>
                    <w:rPr>
                      <w:rFonts w:hint="default"/>
                      <w:color w:val="auto"/>
                    </w:rPr>
                  </w:pPr>
                  <w:r>
                    <w:rPr>
                      <w:rFonts w:hint="default"/>
                      <w:color w:val="auto"/>
                    </w:rPr>
                    <w:t>1</w:t>
                  </w:r>
                </w:p>
              </w:tc>
              <w:tc>
                <w:tcPr>
                  <w:tcW w:w="2347" w:type="pct"/>
                  <w:gridSpan w:val="2"/>
                  <w:noWrap w:val="0"/>
                  <w:vAlign w:val="center"/>
                </w:tcPr>
                <w:p w14:paraId="59B73AEA">
                  <w:pPr>
                    <w:pStyle w:val="53"/>
                    <w:bidi w:val="0"/>
                    <w:rPr>
                      <w:rFonts w:hint="default"/>
                      <w:color w:val="auto"/>
                    </w:rPr>
                  </w:pPr>
                  <w:r>
                    <w:rPr>
                      <w:rFonts w:hint="default"/>
                      <w:color w:val="auto"/>
                    </w:rPr>
                    <w:t>塑料再生造粒类企业。应具有与加工利用能力相适应的预处理设备和造粒设备。其中，造粒设备应具有强制排气系统，通过集气装置实现废气的集中处理；过滤装置的废弃过滤网应按照环境保护有关规定处理，禁止露天焚烧。</w:t>
                  </w:r>
                </w:p>
              </w:tc>
              <w:tc>
                <w:tcPr>
                  <w:tcW w:w="1694" w:type="pct"/>
                  <w:noWrap w:val="0"/>
                  <w:vAlign w:val="center"/>
                </w:tcPr>
                <w:p w14:paraId="54E9DC5C">
                  <w:pPr>
                    <w:pStyle w:val="53"/>
                    <w:bidi w:val="0"/>
                    <w:rPr>
                      <w:rFonts w:hint="default"/>
                      <w:color w:val="auto"/>
                    </w:rPr>
                  </w:pPr>
                  <w:r>
                    <w:rPr>
                      <w:rFonts w:hint="default"/>
                      <w:color w:val="auto"/>
                    </w:rPr>
                    <w:t>项目</w:t>
                  </w:r>
                  <w:r>
                    <w:rPr>
                      <w:rFonts w:hint="default"/>
                      <w:color w:val="auto"/>
                      <w:lang w:val="en-US"/>
                    </w:rPr>
                    <w:t>熔融挤出</w:t>
                  </w:r>
                  <w:r>
                    <w:rPr>
                      <w:rFonts w:hint="default"/>
                      <w:color w:val="auto"/>
                    </w:rPr>
                    <w:t>废气通过集</w:t>
                  </w:r>
                  <w:r>
                    <w:rPr>
                      <w:rFonts w:hint="default"/>
                      <w:color w:val="auto"/>
                      <w:lang w:val="en-US" w:eastAsia="zh-CN"/>
                    </w:rPr>
                    <w:t>气罩</w:t>
                  </w:r>
                  <w:r>
                    <w:rPr>
                      <w:rFonts w:hint="default"/>
                      <w:color w:val="auto"/>
                    </w:rPr>
                    <w:t>收集</w:t>
                  </w:r>
                  <w:r>
                    <w:rPr>
                      <w:rFonts w:hint="eastAsia"/>
                      <w:color w:val="auto"/>
                      <w:lang w:val="en-US" w:eastAsia="zh-CN"/>
                    </w:rPr>
                    <w:t>后</w:t>
                  </w:r>
                  <w:r>
                    <w:rPr>
                      <w:rFonts w:hint="default"/>
                      <w:color w:val="auto"/>
                    </w:rPr>
                    <w:t>，采用“</w:t>
                  </w:r>
                  <w:r>
                    <w:rPr>
                      <w:rFonts w:hint="eastAsia"/>
                      <w:color w:val="auto"/>
                      <w:lang w:val="en-US" w:eastAsia="zh-CN"/>
                    </w:rPr>
                    <w:t>三级活性炭</w:t>
                  </w:r>
                  <w:r>
                    <w:rPr>
                      <w:rFonts w:hint="default"/>
                      <w:color w:val="auto"/>
                    </w:rPr>
                    <w:t>”对废气进行集中处理，</w:t>
                  </w:r>
                  <w:r>
                    <w:rPr>
                      <w:rFonts w:hint="default"/>
                      <w:color w:val="auto"/>
                      <w:lang w:val="en-US"/>
                    </w:rPr>
                    <w:t>废活性炭</w:t>
                  </w:r>
                  <w:r>
                    <w:rPr>
                      <w:rFonts w:hint="eastAsia"/>
                      <w:color w:val="auto"/>
                      <w:lang w:val="en-US" w:eastAsia="zh-CN"/>
                    </w:rPr>
                    <w:t>由厂家更换带走，废过滤网</w:t>
                  </w:r>
                  <w:r>
                    <w:rPr>
                      <w:rFonts w:hint="default"/>
                      <w:color w:val="auto"/>
                    </w:rPr>
                    <w:t>委托</w:t>
                  </w:r>
                  <w:r>
                    <w:rPr>
                      <w:rFonts w:hint="default"/>
                      <w:color w:val="auto"/>
                      <w:lang w:val="en-US"/>
                    </w:rPr>
                    <w:t>有资质</w:t>
                  </w:r>
                  <w:r>
                    <w:rPr>
                      <w:rFonts w:hint="default"/>
                      <w:color w:val="auto"/>
                    </w:rPr>
                    <w:t>单位处置。</w:t>
                  </w:r>
                </w:p>
              </w:tc>
              <w:tc>
                <w:tcPr>
                  <w:tcW w:w="511" w:type="pct"/>
                  <w:gridSpan w:val="2"/>
                  <w:noWrap w:val="0"/>
                  <w:vAlign w:val="center"/>
                </w:tcPr>
                <w:p w14:paraId="0156E172">
                  <w:pPr>
                    <w:pStyle w:val="53"/>
                    <w:bidi w:val="0"/>
                    <w:rPr>
                      <w:rFonts w:hint="default"/>
                      <w:color w:val="auto"/>
                    </w:rPr>
                  </w:pPr>
                  <w:r>
                    <w:rPr>
                      <w:rFonts w:hint="default"/>
                      <w:color w:val="auto"/>
                    </w:rPr>
                    <w:t>符合</w:t>
                  </w:r>
                </w:p>
              </w:tc>
            </w:tr>
            <w:tr w14:paraId="7F80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shd w:val="clear" w:color="auto" w:fill="D9D9D9"/>
                  <w:noWrap w:val="0"/>
                  <w:vAlign w:val="center"/>
                </w:tcPr>
                <w:p w14:paraId="682A96FC">
                  <w:pPr>
                    <w:pStyle w:val="53"/>
                    <w:bidi w:val="0"/>
                    <w:rPr>
                      <w:rFonts w:hint="default"/>
                      <w:color w:val="auto"/>
                    </w:rPr>
                  </w:pPr>
                  <w:r>
                    <w:rPr>
                      <w:rFonts w:hint="default"/>
                      <w:color w:val="auto"/>
                    </w:rPr>
                    <w:t>五</w:t>
                  </w:r>
                </w:p>
              </w:tc>
              <w:tc>
                <w:tcPr>
                  <w:tcW w:w="4553" w:type="pct"/>
                  <w:gridSpan w:val="5"/>
                  <w:shd w:val="clear" w:color="auto" w:fill="D9D9D9"/>
                  <w:noWrap w:val="0"/>
                  <w:vAlign w:val="center"/>
                </w:tcPr>
                <w:p w14:paraId="08E15FDB">
                  <w:pPr>
                    <w:pStyle w:val="53"/>
                    <w:bidi w:val="0"/>
                    <w:rPr>
                      <w:rFonts w:hint="default"/>
                      <w:color w:val="auto"/>
                    </w:rPr>
                  </w:pPr>
                  <w:r>
                    <w:rPr>
                      <w:rFonts w:hint="default"/>
                      <w:color w:val="auto"/>
                    </w:rPr>
                    <w:t>环境保护</w:t>
                  </w:r>
                </w:p>
              </w:tc>
            </w:tr>
            <w:tr w14:paraId="57932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1E462791">
                  <w:pPr>
                    <w:pStyle w:val="53"/>
                    <w:bidi w:val="0"/>
                    <w:rPr>
                      <w:rFonts w:hint="default"/>
                      <w:color w:val="auto"/>
                    </w:rPr>
                  </w:pPr>
                  <w:r>
                    <w:rPr>
                      <w:rFonts w:hint="default"/>
                      <w:color w:val="auto"/>
                    </w:rPr>
                    <w:t>1</w:t>
                  </w:r>
                </w:p>
              </w:tc>
              <w:tc>
                <w:tcPr>
                  <w:tcW w:w="2347" w:type="pct"/>
                  <w:gridSpan w:val="2"/>
                  <w:noWrap w:val="0"/>
                  <w:vAlign w:val="center"/>
                </w:tcPr>
                <w:p w14:paraId="5E60D9D6">
                  <w:pPr>
                    <w:pStyle w:val="53"/>
                    <w:bidi w:val="0"/>
                    <w:rPr>
                      <w:rFonts w:hint="default"/>
                      <w:color w:val="auto"/>
                    </w:rPr>
                  </w:pPr>
                  <w:r>
                    <w:rPr>
                      <w:rFonts w:hint="default"/>
                      <w:color w:val="auto"/>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1694" w:type="pct"/>
                  <w:noWrap w:val="0"/>
                  <w:vAlign w:val="center"/>
                </w:tcPr>
                <w:p w14:paraId="780A0824">
                  <w:pPr>
                    <w:pStyle w:val="53"/>
                    <w:bidi w:val="0"/>
                    <w:rPr>
                      <w:rFonts w:hint="default"/>
                      <w:color w:val="auto"/>
                    </w:rPr>
                  </w:pPr>
                  <w:r>
                    <w:rPr>
                      <w:rFonts w:hint="default"/>
                      <w:color w:val="auto"/>
                    </w:rPr>
                    <w:t>项目已开展环境影响评价；环境影响评价提出编制环境风险应急预案的要求，列入项目竣工环境保护验收内容。</w:t>
                  </w:r>
                </w:p>
              </w:tc>
              <w:tc>
                <w:tcPr>
                  <w:tcW w:w="511" w:type="pct"/>
                  <w:gridSpan w:val="2"/>
                  <w:noWrap w:val="0"/>
                  <w:vAlign w:val="center"/>
                </w:tcPr>
                <w:p w14:paraId="3E3E1F97">
                  <w:pPr>
                    <w:pStyle w:val="53"/>
                    <w:bidi w:val="0"/>
                    <w:rPr>
                      <w:rFonts w:hint="default"/>
                      <w:color w:val="auto"/>
                    </w:rPr>
                  </w:pPr>
                  <w:r>
                    <w:rPr>
                      <w:rFonts w:hint="default"/>
                      <w:color w:val="auto"/>
                    </w:rPr>
                    <w:t>符合</w:t>
                  </w:r>
                </w:p>
              </w:tc>
            </w:tr>
            <w:tr w14:paraId="5944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6A836C17">
                  <w:pPr>
                    <w:pStyle w:val="53"/>
                    <w:bidi w:val="0"/>
                    <w:rPr>
                      <w:rFonts w:hint="default"/>
                      <w:color w:val="auto"/>
                    </w:rPr>
                  </w:pPr>
                  <w:r>
                    <w:rPr>
                      <w:rFonts w:hint="default"/>
                      <w:color w:val="auto"/>
                    </w:rPr>
                    <w:t>2</w:t>
                  </w:r>
                </w:p>
              </w:tc>
              <w:tc>
                <w:tcPr>
                  <w:tcW w:w="2347" w:type="pct"/>
                  <w:gridSpan w:val="2"/>
                  <w:noWrap w:val="0"/>
                  <w:vAlign w:val="center"/>
                </w:tcPr>
                <w:p w14:paraId="2418D980">
                  <w:pPr>
                    <w:pStyle w:val="53"/>
                    <w:bidi w:val="0"/>
                    <w:rPr>
                      <w:rFonts w:hint="default"/>
                      <w:color w:val="auto"/>
                    </w:rPr>
                  </w:pPr>
                  <w:r>
                    <w:rPr>
                      <w:rFonts w:hint="default"/>
                      <w:color w:val="auto"/>
                    </w:rPr>
                    <w:t>企业加工存储场地应建有围墙，在园区内的企业可为单独厂房，地面全部硬化且无明显破损现象；</w:t>
                  </w:r>
                </w:p>
              </w:tc>
              <w:tc>
                <w:tcPr>
                  <w:tcW w:w="1694" w:type="pct"/>
                  <w:vMerge w:val="restart"/>
                  <w:noWrap w:val="0"/>
                  <w:vAlign w:val="center"/>
                </w:tcPr>
                <w:p w14:paraId="16872672">
                  <w:pPr>
                    <w:pStyle w:val="53"/>
                    <w:bidi w:val="0"/>
                    <w:rPr>
                      <w:rFonts w:hint="eastAsia"/>
                      <w:color w:val="auto"/>
                      <w:lang w:val="en-US" w:eastAsia="zh-CN"/>
                    </w:rPr>
                  </w:pPr>
                  <w:r>
                    <w:rPr>
                      <w:rFonts w:hint="default"/>
                      <w:color w:val="auto"/>
                    </w:rPr>
                    <w:t>项目生产车间为单独厂房，地面</w:t>
                  </w:r>
                  <w:r>
                    <w:rPr>
                      <w:rFonts w:hint="eastAsia"/>
                      <w:color w:val="auto"/>
                      <w:lang w:val="en-US" w:eastAsia="zh-CN"/>
                    </w:rPr>
                    <w:t>全部</w:t>
                  </w:r>
                  <w:r>
                    <w:rPr>
                      <w:rFonts w:hint="default"/>
                      <w:color w:val="auto"/>
                    </w:rPr>
                    <w:t>硬化。厂房具有防雨、防风等功能；</w:t>
                  </w:r>
                  <w:r>
                    <w:rPr>
                      <w:rFonts w:hint="eastAsia"/>
                      <w:color w:val="auto"/>
                      <w:lang w:val="en-US" w:eastAsia="zh-CN"/>
                    </w:rPr>
                    <w:t>项目运营期间实现雨污分流制，冷却塔冷却水循环使用不外排</w:t>
                  </w:r>
                  <w:r>
                    <w:rPr>
                      <w:rFonts w:hint="eastAsia"/>
                      <w:color w:val="auto"/>
                      <w:lang w:eastAsia="zh-CN"/>
                    </w:rPr>
                    <w:t>，</w:t>
                  </w:r>
                  <w:r>
                    <w:rPr>
                      <w:rFonts w:hint="eastAsia" w:ascii="Times New Roman" w:hAnsi="Times New Roman" w:eastAsia="宋体" w:cs="Times New Roman"/>
                      <w:color w:val="auto"/>
                      <w:sz w:val="21"/>
                      <w:szCs w:val="21"/>
                      <w:highlight w:val="none"/>
                      <w:lang w:val="en-US" w:eastAsia="zh-CN"/>
                    </w:rPr>
                    <w:t>生活污水经化粪池收集后委托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olor w:val="auto"/>
                      <w:lang w:eastAsia="zh-CN"/>
                    </w:rPr>
                    <w:t>。</w:t>
                  </w:r>
                </w:p>
              </w:tc>
              <w:tc>
                <w:tcPr>
                  <w:tcW w:w="511" w:type="pct"/>
                  <w:gridSpan w:val="2"/>
                  <w:vMerge w:val="restart"/>
                  <w:noWrap w:val="0"/>
                  <w:vAlign w:val="center"/>
                </w:tcPr>
                <w:p w14:paraId="32953523">
                  <w:pPr>
                    <w:pStyle w:val="53"/>
                    <w:bidi w:val="0"/>
                    <w:rPr>
                      <w:rFonts w:hint="default"/>
                      <w:color w:val="auto"/>
                    </w:rPr>
                  </w:pPr>
                  <w:r>
                    <w:rPr>
                      <w:rFonts w:hint="default"/>
                      <w:color w:val="auto"/>
                    </w:rPr>
                    <w:t>符合</w:t>
                  </w:r>
                </w:p>
              </w:tc>
            </w:tr>
            <w:tr w14:paraId="71D6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41E44689">
                  <w:pPr>
                    <w:pStyle w:val="53"/>
                    <w:bidi w:val="0"/>
                    <w:rPr>
                      <w:rFonts w:hint="default"/>
                      <w:color w:val="auto"/>
                    </w:rPr>
                  </w:pPr>
                  <w:r>
                    <w:rPr>
                      <w:rFonts w:hint="default"/>
                      <w:color w:val="auto"/>
                    </w:rPr>
                    <w:t>3</w:t>
                  </w:r>
                </w:p>
              </w:tc>
              <w:tc>
                <w:tcPr>
                  <w:tcW w:w="2347" w:type="pct"/>
                  <w:gridSpan w:val="2"/>
                  <w:noWrap w:val="0"/>
                  <w:vAlign w:val="center"/>
                </w:tcPr>
                <w:p w14:paraId="66DEC893">
                  <w:pPr>
                    <w:pStyle w:val="53"/>
                    <w:bidi w:val="0"/>
                    <w:rPr>
                      <w:rFonts w:hint="eastAsia" w:eastAsia="宋体"/>
                      <w:color w:val="auto"/>
                      <w:lang w:eastAsia="zh-CN"/>
                    </w:rPr>
                  </w:pPr>
                  <w:r>
                    <w:rPr>
                      <w:rFonts w:hint="default"/>
                      <w:color w:val="auto"/>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r>
                    <w:rPr>
                      <w:rFonts w:hint="eastAsia"/>
                      <w:color w:val="auto"/>
                      <w:lang w:eastAsia="zh-CN"/>
                    </w:rPr>
                    <w:t>。</w:t>
                  </w:r>
                </w:p>
              </w:tc>
              <w:tc>
                <w:tcPr>
                  <w:tcW w:w="1694" w:type="pct"/>
                  <w:vMerge w:val="continue"/>
                  <w:noWrap w:val="0"/>
                  <w:vAlign w:val="center"/>
                </w:tcPr>
                <w:p w14:paraId="4E021F4A">
                  <w:pPr>
                    <w:pStyle w:val="53"/>
                    <w:bidi w:val="0"/>
                    <w:rPr>
                      <w:rFonts w:hint="default"/>
                      <w:color w:val="auto"/>
                    </w:rPr>
                  </w:pPr>
                </w:p>
              </w:tc>
              <w:tc>
                <w:tcPr>
                  <w:tcW w:w="511" w:type="pct"/>
                  <w:gridSpan w:val="2"/>
                  <w:vMerge w:val="continue"/>
                  <w:noWrap w:val="0"/>
                  <w:vAlign w:val="center"/>
                </w:tcPr>
                <w:p w14:paraId="55DA7D4E">
                  <w:pPr>
                    <w:pStyle w:val="53"/>
                    <w:bidi w:val="0"/>
                    <w:rPr>
                      <w:rFonts w:hint="default"/>
                      <w:color w:val="auto"/>
                    </w:rPr>
                  </w:pPr>
                </w:p>
              </w:tc>
            </w:tr>
            <w:tr w14:paraId="2F3DE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23FD0558">
                  <w:pPr>
                    <w:pStyle w:val="53"/>
                    <w:bidi w:val="0"/>
                    <w:rPr>
                      <w:rFonts w:hint="default"/>
                      <w:color w:val="auto"/>
                    </w:rPr>
                  </w:pPr>
                  <w:r>
                    <w:rPr>
                      <w:rFonts w:hint="default"/>
                      <w:color w:val="auto"/>
                    </w:rPr>
                    <w:t>4</w:t>
                  </w:r>
                </w:p>
              </w:tc>
              <w:tc>
                <w:tcPr>
                  <w:tcW w:w="2347" w:type="pct"/>
                  <w:gridSpan w:val="2"/>
                  <w:noWrap w:val="0"/>
                  <w:vAlign w:val="center"/>
                </w:tcPr>
                <w:p w14:paraId="7C85E74B">
                  <w:pPr>
                    <w:pStyle w:val="53"/>
                    <w:bidi w:val="0"/>
                    <w:rPr>
                      <w:rFonts w:hint="default"/>
                      <w:color w:val="auto"/>
                    </w:rPr>
                  </w:pPr>
                  <w:r>
                    <w:rPr>
                      <w:rFonts w:hint="default"/>
                      <w:color w:val="auto"/>
                    </w:rPr>
                    <w:t>企业对收集的废塑料中的金属、橡胶、纤维、渣土、油脂、添加物等夹杂物，应采取相应的处理措施。如企业不具备处理条件，应委托其他具有处理能力的企业处理，不得擅自丢弃、倾倒、焚烧与填埋。</w:t>
                  </w:r>
                </w:p>
              </w:tc>
              <w:tc>
                <w:tcPr>
                  <w:tcW w:w="1694" w:type="pct"/>
                  <w:noWrap w:val="0"/>
                  <w:vAlign w:val="center"/>
                </w:tcPr>
                <w:p w14:paraId="4523A914">
                  <w:pPr>
                    <w:pStyle w:val="53"/>
                    <w:bidi w:val="0"/>
                    <w:rPr>
                      <w:rFonts w:hint="default"/>
                      <w:color w:val="auto"/>
                      <w:lang w:val="en-US" w:eastAsia="zh-CN"/>
                    </w:rPr>
                  </w:pPr>
                  <w:r>
                    <w:rPr>
                      <w:rFonts w:hint="eastAsia"/>
                      <w:color w:val="auto"/>
                      <w:lang w:val="en-US" w:eastAsia="zh-CN"/>
                    </w:rPr>
                    <w:t>项目所用废塑料碎片为现有项目清洗、破碎后的碎片，不包含其余废弃夹杂物。</w:t>
                  </w:r>
                </w:p>
              </w:tc>
              <w:tc>
                <w:tcPr>
                  <w:tcW w:w="511" w:type="pct"/>
                  <w:gridSpan w:val="2"/>
                  <w:noWrap w:val="0"/>
                  <w:vAlign w:val="center"/>
                </w:tcPr>
                <w:p w14:paraId="2DF2A519">
                  <w:pPr>
                    <w:pStyle w:val="53"/>
                    <w:bidi w:val="0"/>
                    <w:rPr>
                      <w:rFonts w:hint="default"/>
                      <w:color w:val="auto"/>
                    </w:rPr>
                  </w:pPr>
                  <w:r>
                    <w:rPr>
                      <w:rFonts w:hint="default"/>
                      <w:color w:val="auto"/>
                    </w:rPr>
                    <w:t>符合</w:t>
                  </w:r>
                </w:p>
              </w:tc>
            </w:tr>
            <w:tr w14:paraId="0AEC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46" w:type="pct"/>
                  <w:gridSpan w:val="2"/>
                  <w:noWrap w:val="0"/>
                  <w:vAlign w:val="center"/>
                </w:tcPr>
                <w:p w14:paraId="60C83C60">
                  <w:pPr>
                    <w:pStyle w:val="53"/>
                    <w:bidi w:val="0"/>
                    <w:rPr>
                      <w:rFonts w:hint="default"/>
                      <w:color w:val="auto"/>
                    </w:rPr>
                  </w:pPr>
                  <w:r>
                    <w:rPr>
                      <w:rFonts w:hint="default"/>
                      <w:color w:val="auto"/>
                    </w:rPr>
                    <w:t>5</w:t>
                  </w:r>
                </w:p>
              </w:tc>
              <w:tc>
                <w:tcPr>
                  <w:tcW w:w="2347" w:type="pct"/>
                  <w:gridSpan w:val="2"/>
                  <w:noWrap w:val="0"/>
                  <w:vAlign w:val="center"/>
                </w:tcPr>
                <w:p w14:paraId="5D74CBD8">
                  <w:pPr>
                    <w:pStyle w:val="53"/>
                    <w:bidi w:val="0"/>
                    <w:rPr>
                      <w:rFonts w:hint="default"/>
                      <w:color w:val="auto"/>
                    </w:rPr>
                  </w:pPr>
                  <w:r>
                    <w:rPr>
                      <w:rFonts w:hint="default"/>
                      <w:color w:val="auto"/>
                    </w:rPr>
                    <w:t>企业应具有与加工利用能力相适应的废水处理设施，中水回用率必须符合环评文件的有关要求。废水处理后需要外排的废水，必须经处理后达标排放。企业应采用高效节能环保的污泥处理工艺</w:t>
                  </w:r>
                  <w:r>
                    <w:rPr>
                      <w:rFonts w:hint="eastAsia"/>
                      <w:color w:val="auto"/>
                      <w:lang w:eastAsia="zh-CN"/>
                    </w:rPr>
                    <w:t>，</w:t>
                  </w:r>
                  <w:r>
                    <w:rPr>
                      <w:rFonts w:hint="default"/>
                      <w:color w:val="auto"/>
                    </w:rPr>
                    <w:t>或交由具有处理资格的废物处理 机构</w:t>
                  </w:r>
                  <w:r>
                    <w:rPr>
                      <w:rFonts w:hint="eastAsia"/>
                      <w:color w:val="auto"/>
                      <w:lang w:eastAsia="zh-CN"/>
                    </w:rPr>
                    <w:t>，</w:t>
                  </w:r>
                  <w:r>
                    <w:rPr>
                      <w:rFonts w:hint="default"/>
                      <w:color w:val="auto"/>
                    </w:rPr>
                    <w:t>实现污泥无害化处理。除具有获批建设、验收合格的专业盐卤废水处理设施，禁止使用盐卤分选工艺。</w:t>
                  </w:r>
                </w:p>
              </w:tc>
              <w:tc>
                <w:tcPr>
                  <w:tcW w:w="1701" w:type="pct"/>
                  <w:gridSpan w:val="2"/>
                  <w:noWrap w:val="0"/>
                  <w:vAlign w:val="center"/>
                </w:tcPr>
                <w:p w14:paraId="61425586">
                  <w:pPr>
                    <w:pStyle w:val="53"/>
                    <w:bidi w:val="0"/>
                    <w:rPr>
                      <w:rFonts w:hint="default"/>
                      <w:color w:val="auto"/>
                    </w:rPr>
                  </w:pPr>
                  <w:r>
                    <w:rPr>
                      <w:rFonts w:hint="default"/>
                      <w:color w:val="auto"/>
                      <w:lang w:val="en-US"/>
                    </w:rPr>
                    <w:t>冷却用水经循环</w:t>
                  </w:r>
                  <w:r>
                    <w:rPr>
                      <w:rFonts w:hint="eastAsia"/>
                      <w:color w:val="auto"/>
                      <w:lang w:val="en-US" w:eastAsia="zh-CN"/>
                    </w:rPr>
                    <w:t>水收集箱</w:t>
                  </w:r>
                  <w:r>
                    <w:rPr>
                      <w:rFonts w:hint="default"/>
                      <w:color w:val="auto"/>
                      <w:lang w:val="en-US"/>
                    </w:rPr>
                    <w:t>循环使用，不外排；</w:t>
                  </w:r>
                  <w:r>
                    <w:rPr>
                      <w:rFonts w:hint="eastAsia" w:ascii="Times New Roman" w:hAnsi="Times New Roman" w:eastAsia="宋体" w:cs="Times New Roman"/>
                      <w:color w:val="auto"/>
                      <w:sz w:val="21"/>
                      <w:szCs w:val="21"/>
                      <w:highlight w:val="none"/>
                      <w:lang w:val="en-US" w:eastAsia="zh-CN"/>
                    </w:rPr>
                    <w:t>生活污水经化粪池收集后委托</w:t>
                  </w:r>
                  <w:r>
                    <w:rPr>
                      <w:rFonts w:hint="eastAsia" w:cs="Times New Roman"/>
                      <w:color w:val="auto"/>
                      <w:sz w:val="21"/>
                      <w:szCs w:val="21"/>
                      <w:highlight w:val="none"/>
                      <w:lang w:val="en-US" w:eastAsia="zh-CN"/>
                    </w:rPr>
                    <w:t>周边农户</w:t>
                  </w:r>
                  <w:r>
                    <w:rPr>
                      <w:rFonts w:hint="eastAsia" w:ascii="Times New Roman" w:hAnsi="Times New Roman" w:eastAsia="宋体" w:cs="Times New Roman"/>
                      <w:color w:val="auto"/>
                      <w:sz w:val="21"/>
                      <w:szCs w:val="21"/>
                      <w:highlight w:val="none"/>
                      <w:lang w:val="en-US" w:eastAsia="zh-CN"/>
                    </w:rPr>
                    <w:t>定期清掏</w:t>
                  </w:r>
                  <w:r>
                    <w:rPr>
                      <w:rFonts w:hint="eastAsia" w:cs="Times New Roman"/>
                      <w:color w:val="auto"/>
                      <w:sz w:val="21"/>
                      <w:szCs w:val="21"/>
                      <w:highlight w:val="none"/>
                      <w:lang w:val="en-US" w:eastAsia="zh-CN"/>
                    </w:rPr>
                    <w:t>作农肥使用</w:t>
                  </w:r>
                  <w:r>
                    <w:rPr>
                      <w:rFonts w:hint="eastAsia" w:ascii="Times New Roman" w:hAnsi="Times New Roman" w:eastAsia="宋体" w:cs="Times New Roman"/>
                      <w:color w:val="auto"/>
                      <w:sz w:val="21"/>
                      <w:szCs w:val="21"/>
                      <w:highlight w:val="none"/>
                      <w:lang w:val="en-US" w:eastAsia="zh-CN"/>
                    </w:rPr>
                    <w:t>，不外排</w:t>
                  </w:r>
                  <w:r>
                    <w:rPr>
                      <w:rFonts w:hint="eastAsia"/>
                      <w:color w:val="auto"/>
                      <w:lang w:val="en-US" w:eastAsia="zh-CN"/>
                    </w:rPr>
                    <w:t>，</w:t>
                  </w:r>
                  <w:r>
                    <w:rPr>
                      <w:rFonts w:hint="default"/>
                      <w:color w:val="auto"/>
                      <w:lang w:val="en-US"/>
                    </w:rPr>
                    <w:t>对区域地表水环境影响不大。</w:t>
                  </w:r>
                </w:p>
              </w:tc>
              <w:tc>
                <w:tcPr>
                  <w:tcW w:w="504" w:type="pct"/>
                  <w:noWrap w:val="0"/>
                  <w:vAlign w:val="center"/>
                </w:tcPr>
                <w:p w14:paraId="155BD2B2">
                  <w:pPr>
                    <w:pStyle w:val="53"/>
                    <w:bidi w:val="0"/>
                    <w:rPr>
                      <w:rFonts w:hint="default"/>
                      <w:color w:val="auto"/>
                    </w:rPr>
                  </w:pPr>
                  <w:r>
                    <w:rPr>
                      <w:rFonts w:hint="default"/>
                      <w:color w:val="auto"/>
                    </w:rPr>
                    <w:t>符合</w:t>
                  </w:r>
                </w:p>
              </w:tc>
            </w:tr>
            <w:tr w14:paraId="2BCA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4" w:type="pct"/>
                  <w:noWrap w:val="0"/>
                  <w:vAlign w:val="center"/>
                </w:tcPr>
                <w:p w14:paraId="4CA66FC7">
                  <w:pPr>
                    <w:pStyle w:val="53"/>
                    <w:bidi w:val="0"/>
                    <w:rPr>
                      <w:rFonts w:hint="default"/>
                      <w:color w:val="auto"/>
                    </w:rPr>
                  </w:pPr>
                  <w:r>
                    <w:rPr>
                      <w:rFonts w:hint="default"/>
                      <w:color w:val="auto"/>
                    </w:rPr>
                    <w:t>6</w:t>
                  </w:r>
                </w:p>
              </w:tc>
              <w:tc>
                <w:tcPr>
                  <w:tcW w:w="2358" w:type="pct"/>
                  <w:gridSpan w:val="3"/>
                  <w:noWrap w:val="0"/>
                  <w:vAlign w:val="center"/>
                </w:tcPr>
                <w:p w14:paraId="5D70E441">
                  <w:pPr>
                    <w:pStyle w:val="53"/>
                    <w:bidi w:val="0"/>
                    <w:rPr>
                      <w:rFonts w:hint="default"/>
                      <w:color w:val="auto"/>
                    </w:rPr>
                  </w:pPr>
                  <w:r>
                    <w:rPr>
                      <w:rFonts w:hint="default"/>
                      <w:color w:val="auto"/>
                    </w:rPr>
                    <w:t>再生加工过程中产生废气、粉尘的加工车间应设置废气、粉尘收集处理设施，通过净化处理，达标后排放；</w:t>
                  </w:r>
                </w:p>
              </w:tc>
              <w:tc>
                <w:tcPr>
                  <w:tcW w:w="1701" w:type="pct"/>
                  <w:gridSpan w:val="2"/>
                  <w:noWrap w:val="0"/>
                  <w:vAlign w:val="center"/>
                </w:tcPr>
                <w:p w14:paraId="46278193">
                  <w:pPr>
                    <w:pStyle w:val="53"/>
                    <w:bidi w:val="0"/>
                    <w:rPr>
                      <w:rFonts w:hint="eastAsia" w:eastAsia="宋体"/>
                      <w:color w:val="auto"/>
                      <w:lang w:eastAsia="zh-CN"/>
                    </w:rPr>
                  </w:pPr>
                  <w:r>
                    <w:rPr>
                      <w:rFonts w:hint="default"/>
                      <w:color w:val="auto"/>
                      <w:lang w:val="en-US"/>
                    </w:rPr>
                    <w:t>熔融挤出</w:t>
                  </w:r>
                  <w:r>
                    <w:rPr>
                      <w:rFonts w:hint="default"/>
                      <w:color w:val="auto"/>
                    </w:rPr>
                    <w:t>过程产生废气采用“</w:t>
                  </w:r>
                  <w:r>
                    <w:rPr>
                      <w:rFonts w:hint="eastAsia"/>
                      <w:color w:val="auto"/>
                      <w:lang w:val="en-US" w:eastAsia="zh-CN"/>
                    </w:rPr>
                    <w:t>三级</w:t>
                  </w:r>
                  <w:r>
                    <w:rPr>
                      <w:rFonts w:hint="default"/>
                      <w:color w:val="auto"/>
                    </w:rPr>
                    <w:t>活性炭</w:t>
                  </w:r>
                  <w:r>
                    <w:rPr>
                      <w:rFonts w:hint="default"/>
                      <w:color w:val="auto"/>
                      <w:lang w:val="en-US"/>
                    </w:rPr>
                    <w:t>吸附装置</w:t>
                  </w:r>
                  <w:r>
                    <w:rPr>
                      <w:rFonts w:hint="default"/>
                      <w:color w:val="auto"/>
                    </w:rPr>
                    <w:t>”处理</w:t>
                  </w:r>
                  <w:r>
                    <w:rPr>
                      <w:rFonts w:hint="eastAsia"/>
                      <w:color w:val="auto"/>
                      <w:lang w:eastAsia="zh-CN"/>
                    </w:rPr>
                    <w:t>，</w:t>
                  </w:r>
                  <w:r>
                    <w:rPr>
                      <w:rFonts w:hint="default"/>
                      <w:color w:val="auto"/>
                    </w:rPr>
                    <w:t>处理后的废气能达标排放</w:t>
                  </w:r>
                  <w:r>
                    <w:rPr>
                      <w:rFonts w:hint="eastAsia"/>
                      <w:color w:val="auto"/>
                      <w:lang w:eastAsia="zh-CN"/>
                    </w:rPr>
                    <w:t>。</w:t>
                  </w:r>
                </w:p>
              </w:tc>
              <w:tc>
                <w:tcPr>
                  <w:tcW w:w="504" w:type="pct"/>
                  <w:noWrap w:val="0"/>
                  <w:vAlign w:val="center"/>
                </w:tcPr>
                <w:p w14:paraId="7E848E7D">
                  <w:pPr>
                    <w:pStyle w:val="53"/>
                    <w:bidi w:val="0"/>
                    <w:rPr>
                      <w:rFonts w:hint="default"/>
                      <w:color w:val="auto"/>
                    </w:rPr>
                  </w:pPr>
                  <w:r>
                    <w:rPr>
                      <w:rFonts w:hint="default"/>
                      <w:color w:val="auto"/>
                    </w:rPr>
                    <w:t>符合</w:t>
                  </w:r>
                </w:p>
              </w:tc>
            </w:tr>
            <w:tr w14:paraId="26CE4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34" w:type="pct"/>
                  <w:noWrap w:val="0"/>
                  <w:vAlign w:val="center"/>
                </w:tcPr>
                <w:p w14:paraId="1B1780D1">
                  <w:pPr>
                    <w:pStyle w:val="53"/>
                    <w:bidi w:val="0"/>
                    <w:rPr>
                      <w:rFonts w:hint="default"/>
                      <w:color w:val="auto"/>
                    </w:rPr>
                  </w:pPr>
                  <w:r>
                    <w:rPr>
                      <w:rFonts w:hint="default"/>
                      <w:color w:val="auto"/>
                    </w:rPr>
                    <w:t>7</w:t>
                  </w:r>
                </w:p>
              </w:tc>
              <w:tc>
                <w:tcPr>
                  <w:tcW w:w="2358" w:type="pct"/>
                  <w:gridSpan w:val="3"/>
                  <w:noWrap w:val="0"/>
                  <w:vAlign w:val="center"/>
                </w:tcPr>
                <w:p w14:paraId="55791C1A">
                  <w:pPr>
                    <w:pStyle w:val="53"/>
                    <w:bidi w:val="0"/>
                    <w:rPr>
                      <w:rFonts w:hint="default"/>
                      <w:color w:val="auto"/>
                    </w:rPr>
                  </w:pPr>
                  <w:r>
                    <w:rPr>
                      <w:rFonts w:hint="default"/>
                      <w:color w:val="auto"/>
                    </w:rPr>
                    <w:t>对于加工过程中</w:t>
                  </w:r>
                  <w:r>
                    <w:rPr>
                      <w:rFonts w:hint="eastAsia"/>
                      <w:color w:val="auto"/>
                      <w:lang w:eastAsia="zh-CN"/>
                    </w:rPr>
                    <w:t>噪声</w:t>
                  </w:r>
                  <w:r>
                    <w:rPr>
                      <w:rFonts w:hint="default"/>
                      <w:color w:val="auto"/>
                    </w:rPr>
                    <w:t>污染大的设备，必须采取降噪和隔音措施，企业噪声应达到《工业企业厂界环境噪声排放标准》；</w:t>
                  </w:r>
                </w:p>
              </w:tc>
              <w:tc>
                <w:tcPr>
                  <w:tcW w:w="1701" w:type="pct"/>
                  <w:gridSpan w:val="2"/>
                  <w:noWrap w:val="0"/>
                  <w:vAlign w:val="center"/>
                </w:tcPr>
                <w:p w14:paraId="35393129">
                  <w:pPr>
                    <w:pStyle w:val="53"/>
                    <w:bidi w:val="0"/>
                    <w:rPr>
                      <w:rFonts w:hint="default"/>
                      <w:color w:val="auto"/>
                    </w:rPr>
                  </w:pPr>
                  <w:r>
                    <w:rPr>
                      <w:rFonts w:hint="default"/>
                      <w:color w:val="auto"/>
                    </w:rPr>
                    <w:t>项目设备均选用低噪声设备，并采用降噪、减振、隔音等措施，确保厂界噪声达标。</w:t>
                  </w:r>
                </w:p>
              </w:tc>
              <w:tc>
                <w:tcPr>
                  <w:tcW w:w="504" w:type="pct"/>
                  <w:noWrap w:val="0"/>
                  <w:vAlign w:val="center"/>
                </w:tcPr>
                <w:p w14:paraId="56B1BFDD">
                  <w:pPr>
                    <w:pStyle w:val="53"/>
                    <w:bidi w:val="0"/>
                    <w:rPr>
                      <w:rFonts w:hint="default"/>
                      <w:color w:val="auto"/>
                    </w:rPr>
                  </w:pPr>
                  <w:r>
                    <w:rPr>
                      <w:rFonts w:hint="default"/>
                      <w:color w:val="auto"/>
                    </w:rPr>
                    <w:t>符合</w:t>
                  </w:r>
                </w:p>
              </w:tc>
            </w:tr>
          </w:tbl>
          <w:p w14:paraId="3D232398">
            <w:p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综上，项目符合《废塑料综合利用行业规范条件》</w:t>
            </w:r>
            <w:r>
              <w:rPr>
                <w:rFonts w:hint="eastAsia" w:cs="Times New Roman"/>
                <w:color w:val="auto"/>
                <w:sz w:val="24"/>
                <w:highlight w:val="none"/>
                <w:lang w:val="en-US" w:eastAsia="zh-CN"/>
              </w:rPr>
              <w:t>的相关要求</w:t>
            </w:r>
            <w:r>
              <w:rPr>
                <w:rFonts w:hint="default" w:ascii="Times New Roman" w:hAnsi="Times New Roman" w:cs="Times New Roman"/>
                <w:color w:val="auto"/>
                <w:sz w:val="24"/>
                <w:highlight w:val="none"/>
              </w:rPr>
              <w:t>。</w:t>
            </w:r>
          </w:p>
          <w:p w14:paraId="15C5386E">
            <w:pPr>
              <w:pStyle w:val="51"/>
              <w:ind w:firstLine="482"/>
              <w:rPr>
                <w:rFonts w:hint="default" w:ascii="Times New Roman" w:hAnsi="Times New Roman" w:cs="Times New Roman"/>
                <w:b/>
                <w:color w:val="auto"/>
              </w:rPr>
            </w:pPr>
            <w:r>
              <w:rPr>
                <w:rFonts w:hint="eastAsia" w:cs="Times New Roman"/>
                <w:b/>
                <w:color w:val="auto"/>
                <w:lang w:val="en-US" w:eastAsia="zh-CN"/>
              </w:rPr>
              <w:t>8</w:t>
            </w:r>
            <w:r>
              <w:rPr>
                <w:rFonts w:hint="default" w:ascii="Times New Roman" w:hAnsi="Times New Roman" w:cs="Times New Roman"/>
                <w:b/>
                <w:color w:val="auto"/>
              </w:rPr>
              <w:t>、</w:t>
            </w:r>
            <w:r>
              <w:rPr>
                <w:rFonts w:hint="eastAsia"/>
                <w:b/>
                <w:bCs/>
                <w:color w:val="auto"/>
                <w:lang w:val="en-US" w:eastAsia="zh-CN"/>
              </w:rPr>
              <w:t>与《废塑料加工利用污染防治管理规定》符合性分析</w:t>
            </w:r>
          </w:p>
          <w:p w14:paraId="7B62C284">
            <w:pPr>
              <w:pStyle w:val="51"/>
              <w:bidi w:val="0"/>
              <w:rPr>
                <w:rFonts w:hint="eastAsia"/>
                <w:color w:val="auto"/>
                <w:lang w:val="en-US" w:eastAsia="zh-CN"/>
              </w:rPr>
            </w:pPr>
            <w:r>
              <w:rPr>
                <w:rFonts w:hint="eastAsia"/>
                <w:color w:val="auto"/>
                <w:lang w:val="en-US" w:eastAsia="zh-CN"/>
              </w:rPr>
              <w:t>本项目与《废塑料加工利用污染防治管理规定》相符性分析见下表。</w:t>
            </w:r>
          </w:p>
          <w:p w14:paraId="7F00E016">
            <w:pPr>
              <w:pStyle w:val="52"/>
              <w:bidi w:val="0"/>
              <w:rPr>
                <w:rFonts w:hint="default"/>
                <w:color w:val="auto"/>
                <w:lang w:val="en-US" w:eastAsia="zh-CN"/>
              </w:rPr>
            </w:pPr>
            <w:r>
              <w:rPr>
                <w:rFonts w:hint="eastAsia"/>
                <w:color w:val="auto"/>
                <w:lang w:val="en-US" w:eastAsia="zh-CN"/>
              </w:rPr>
              <w:t>表1-9     项目与《废塑料加工利用污染防治管理规定》相符性分析表</w:t>
            </w:r>
          </w:p>
          <w:tbl>
            <w:tblPr>
              <w:tblStyle w:val="2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26"/>
              <w:gridCol w:w="3611"/>
              <w:gridCol w:w="2311"/>
              <w:gridCol w:w="709"/>
            </w:tblGrid>
            <w:tr w14:paraId="2F2062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96" w:hRule="atLeast"/>
                <w:jc w:val="center"/>
              </w:trPr>
              <w:tc>
                <w:tcPr>
                  <w:tcW w:w="301" w:type="pct"/>
                  <w:tcBorders>
                    <w:tl2br w:val="nil"/>
                    <w:tr2bl w:val="nil"/>
                  </w:tcBorders>
                  <w:noWrap w:val="0"/>
                  <w:vAlign w:val="center"/>
                </w:tcPr>
                <w:p w14:paraId="7B96E172">
                  <w:pPr>
                    <w:pStyle w:val="53"/>
                    <w:bidi w:val="0"/>
                    <w:rPr>
                      <w:rFonts w:hint="default"/>
                      <w:color w:val="auto"/>
                    </w:rPr>
                  </w:pPr>
                  <w:r>
                    <w:rPr>
                      <w:rFonts w:hint="default"/>
                      <w:color w:val="auto"/>
                    </w:rPr>
                    <w:t>序号</w:t>
                  </w:r>
                </w:p>
              </w:tc>
              <w:tc>
                <w:tcPr>
                  <w:tcW w:w="2558" w:type="pct"/>
                  <w:tcBorders>
                    <w:tl2br w:val="nil"/>
                    <w:tr2bl w:val="nil"/>
                  </w:tcBorders>
                  <w:noWrap w:val="0"/>
                  <w:vAlign w:val="center"/>
                </w:tcPr>
                <w:p w14:paraId="4F3BB553">
                  <w:pPr>
                    <w:pStyle w:val="53"/>
                    <w:bidi w:val="0"/>
                    <w:rPr>
                      <w:rFonts w:hint="default"/>
                      <w:color w:val="auto"/>
                    </w:rPr>
                  </w:pPr>
                  <w:r>
                    <w:rPr>
                      <w:rFonts w:hint="default"/>
                      <w:color w:val="auto"/>
                    </w:rPr>
                    <w:t>《废塑料加工利用污染防治管理规定》</w:t>
                  </w:r>
                </w:p>
              </w:tc>
              <w:tc>
                <w:tcPr>
                  <w:tcW w:w="1637" w:type="pct"/>
                  <w:tcBorders>
                    <w:tl2br w:val="nil"/>
                    <w:tr2bl w:val="nil"/>
                  </w:tcBorders>
                  <w:noWrap w:val="0"/>
                  <w:vAlign w:val="center"/>
                </w:tcPr>
                <w:p w14:paraId="0C58EEAC">
                  <w:pPr>
                    <w:pStyle w:val="53"/>
                    <w:bidi w:val="0"/>
                    <w:rPr>
                      <w:rFonts w:hint="default"/>
                      <w:color w:val="auto"/>
                    </w:rPr>
                  </w:pPr>
                  <w:r>
                    <w:rPr>
                      <w:rFonts w:hint="default"/>
                      <w:color w:val="auto"/>
                    </w:rPr>
                    <w:t>本项目</w:t>
                  </w:r>
                </w:p>
              </w:tc>
              <w:tc>
                <w:tcPr>
                  <w:tcW w:w="502" w:type="pct"/>
                  <w:tcBorders>
                    <w:tl2br w:val="nil"/>
                    <w:tr2bl w:val="nil"/>
                  </w:tcBorders>
                  <w:noWrap w:val="0"/>
                  <w:vAlign w:val="center"/>
                </w:tcPr>
                <w:p w14:paraId="7152F728">
                  <w:pPr>
                    <w:pStyle w:val="53"/>
                    <w:bidi w:val="0"/>
                    <w:rPr>
                      <w:rFonts w:hint="default"/>
                      <w:color w:val="auto"/>
                      <w:lang w:val="en-US" w:eastAsia="zh-CN"/>
                    </w:rPr>
                  </w:pPr>
                  <w:r>
                    <w:rPr>
                      <w:rFonts w:hint="eastAsia"/>
                      <w:color w:val="auto"/>
                      <w:lang w:val="en-US" w:eastAsia="zh-CN"/>
                    </w:rPr>
                    <w:t>相符性</w:t>
                  </w:r>
                </w:p>
              </w:tc>
            </w:tr>
            <w:tr w14:paraId="5E6A3F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97" w:hRule="atLeast"/>
                <w:jc w:val="center"/>
              </w:trPr>
              <w:tc>
                <w:tcPr>
                  <w:tcW w:w="301" w:type="pct"/>
                  <w:tcBorders>
                    <w:tl2br w:val="nil"/>
                    <w:tr2bl w:val="nil"/>
                  </w:tcBorders>
                  <w:noWrap w:val="0"/>
                  <w:vAlign w:val="center"/>
                </w:tcPr>
                <w:p w14:paraId="0E616D8E">
                  <w:pPr>
                    <w:pStyle w:val="53"/>
                    <w:bidi w:val="0"/>
                    <w:rPr>
                      <w:rFonts w:hint="default"/>
                      <w:color w:val="auto"/>
                    </w:rPr>
                  </w:pPr>
                  <w:r>
                    <w:rPr>
                      <w:rFonts w:hint="default"/>
                      <w:color w:val="auto"/>
                    </w:rPr>
                    <w:t>1</w:t>
                  </w:r>
                </w:p>
              </w:tc>
              <w:tc>
                <w:tcPr>
                  <w:tcW w:w="2558" w:type="pct"/>
                  <w:tcBorders>
                    <w:tl2br w:val="nil"/>
                    <w:tr2bl w:val="nil"/>
                  </w:tcBorders>
                  <w:noWrap w:val="0"/>
                  <w:vAlign w:val="center"/>
                </w:tcPr>
                <w:p w14:paraId="60065CB2">
                  <w:pPr>
                    <w:pStyle w:val="53"/>
                    <w:bidi w:val="0"/>
                    <w:rPr>
                      <w:rFonts w:hint="default"/>
                      <w:color w:val="auto"/>
                    </w:rPr>
                  </w:pPr>
                  <w:r>
                    <w:rPr>
                      <w:rFonts w:hint="default"/>
                      <w:color w:val="auto"/>
                    </w:rPr>
                    <w:t>禁止在居民区加工利用废塑料。禁止利用废塑料生产厚度小于0.025mm的超薄塑料购物袋和厚度小于0.015mm超薄塑料袋。禁止利用废塑料生产食品用塑料袋。禁止无危险废物经营许可证从事废塑料类危险废物的回收利用活动，包括被危险化学品、农药等污染的废弃塑料包装物，废弃的一次性医疗用塑料制品（如输液器、血袋）等。</w:t>
                  </w:r>
                </w:p>
              </w:tc>
              <w:tc>
                <w:tcPr>
                  <w:tcW w:w="1637" w:type="pct"/>
                  <w:tcBorders>
                    <w:tl2br w:val="nil"/>
                    <w:tr2bl w:val="nil"/>
                  </w:tcBorders>
                  <w:noWrap w:val="0"/>
                  <w:vAlign w:val="center"/>
                </w:tcPr>
                <w:p w14:paraId="1D3D5573">
                  <w:pPr>
                    <w:pStyle w:val="53"/>
                    <w:bidi w:val="0"/>
                    <w:rPr>
                      <w:rFonts w:hint="eastAsia"/>
                      <w:color w:val="auto"/>
                      <w:lang w:eastAsia="zh-CN"/>
                    </w:rPr>
                  </w:pPr>
                  <w:r>
                    <w:rPr>
                      <w:rFonts w:hint="default"/>
                      <w:color w:val="auto"/>
                    </w:rPr>
                    <w:t>本项目</w:t>
                  </w:r>
                  <w:r>
                    <w:rPr>
                      <w:rFonts w:hint="eastAsia"/>
                      <w:color w:val="auto"/>
                      <w:lang w:val="en-US" w:eastAsia="zh-CN"/>
                    </w:rPr>
                    <w:t>厂址500m范围内的居民点为220m的老吴新村、</w:t>
                  </w:r>
                  <w:r>
                    <w:rPr>
                      <w:rFonts w:hint="eastAsia" w:cs="Times New Roman"/>
                      <w:color w:val="auto"/>
                      <w:kern w:val="0"/>
                      <w:lang w:val="en-US" w:eastAsia="zh-CN"/>
                    </w:rPr>
                    <w:t>西侧30</w:t>
                  </w:r>
                  <w:r>
                    <w:rPr>
                      <w:rFonts w:hint="default" w:ascii="Times New Roman" w:hAnsi="Times New Roman" w:cs="Times New Roman"/>
                      <w:color w:val="auto"/>
                      <w:kern w:val="0"/>
                    </w:rPr>
                    <w:t>米</w:t>
                  </w:r>
                  <w:r>
                    <w:rPr>
                      <w:rFonts w:hint="eastAsia" w:cs="Times New Roman"/>
                      <w:color w:val="auto"/>
                      <w:lang w:val="en-US" w:eastAsia="zh-CN"/>
                    </w:rPr>
                    <w:t>老吴新村散户、西侧120m处的老吴新村</w:t>
                  </w:r>
                  <w:r>
                    <w:rPr>
                      <w:rFonts w:hint="eastAsia"/>
                      <w:color w:val="auto"/>
                      <w:lang w:val="en-US" w:eastAsia="zh-CN"/>
                    </w:rPr>
                    <w:t>，</w:t>
                  </w:r>
                  <w:r>
                    <w:rPr>
                      <w:rFonts w:hint="default"/>
                      <w:color w:val="auto"/>
                    </w:rPr>
                    <w:t>原材料</w:t>
                  </w:r>
                  <w:r>
                    <w:rPr>
                      <w:rFonts w:hint="default"/>
                      <w:color w:val="auto"/>
                      <w:lang w:eastAsia="zh-CN"/>
                    </w:rPr>
                    <w:t>主要为</w:t>
                  </w:r>
                  <w:r>
                    <w:rPr>
                      <w:rFonts w:hint="eastAsia"/>
                      <w:color w:val="auto"/>
                      <w:lang w:val="en-US" w:eastAsia="zh-CN"/>
                    </w:rPr>
                    <w:t>废塑料瓶碎片，不涉及</w:t>
                  </w:r>
                  <w:r>
                    <w:rPr>
                      <w:rFonts w:hint="default"/>
                      <w:color w:val="auto"/>
                    </w:rPr>
                    <w:t>被危险化学品、农药等污染的废弃塑料包装物，废弃的一次性医疗用塑料制品（如输液器、血袋）等</w:t>
                  </w:r>
                  <w:r>
                    <w:rPr>
                      <w:rFonts w:hint="eastAsia"/>
                      <w:color w:val="auto"/>
                      <w:lang w:eastAsia="zh-CN"/>
                    </w:rPr>
                    <w:t>，</w:t>
                  </w:r>
                  <w:r>
                    <w:rPr>
                      <w:rFonts w:hint="eastAsia"/>
                      <w:color w:val="auto"/>
                      <w:lang w:val="en-US" w:eastAsia="zh-CN"/>
                    </w:rPr>
                    <w:t>项目为塑料颗粒生产项目</w:t>
                  </w:r>
                  <w:r>
                    <w:rPr>
                      <w:rFonts w:hint="eastAsia"/>
                      <w:color w:val="auto"/>
                      <w:lang w:eastAsia="zh-CN"/>
                    </w:rPr>
                    <w:t>。</w:t>
                  </w:r>
                </w:p>
              </w:tc>
              <w:tc>
                <w:tcPr>
                  <w:tcW w:w="502" w:type="pct"/>
                  <w:tcBorders>
                    <w:tl2br w:val="nil"/>
                    <w:tr2bl w:val="nil"/>
                  </w:tcBorders>
                  <w:noWrap w:val="0"/>
                  <w:vAlign w:val="center"/>
                </w:tcPr>
                <w:p w14:paraId="7EB151F9">
                  <w:pPr>
                    <w:pStyle w:val="53"/>
                    <w:bidi w:val="0"/>
                    <w:rPr>
                      <w:rFonts w:hint="default"/>
                      <w:color w:val="auto"/>
                    </w:rPr>
                  </w:pPr>
                  <w:r>
                    <w:rPr>
                      <w:rFonts w:hint="default"/>
                      <w:color w:val="auto"/>
                    </w:rPr>
                    <w:t>符合</w:t>
                  </w:r>
                </w:p>
              </w:tc>
            </w:tr>
            <w:tr w14:paraId="37E914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01" w:type="pct"/>
                  <w:tcBorders>
                    <w:tl2br w:val="nil"/>
                    <w:tr2bl w:val="nil"/>
                  </w:tcBorders>
                  <w:noWrap w:val="0"/>
                  <w:vAlign w:val="center"/>
                </w:tcPr>
                <w:p w14:paraId="22A5A701">
                  <w:pPr>
                    <w:pStyle w:val="53"/>
                    <w:bidi w:val="0"/>
                    <w:rPr>
                      <w:rFonts w:hint="default"/>
                      <w:color w:val="auto"/>
                    </w:rPr>
                  </w:pPr>
                  <w:r>
                    <w:rPr>
                      <w:rFonts w:hint="default"/>
                      <w:color w:val="auto"/>
                    </w:rPr>
                    <w:t>2</w:t>
                  </w:r>
                </w:p>
              </w:tc>
              <w:tc>
                <w:tcPr>
                  <w:tcW w:w="2558" w:type="pct"/>
                  <w:tcBorders>
                    <w:tl2br w:val="nil"/>
                    <w:tr2bl w:val="nil"/>
                  </w:tcBorders>
                  <w:noWrap w:val="0"/>
                  <w:vAlign w:val="center"/>
                </w:tcPr>
                <w:p w14:paraId="18716414">
                  <w:pPr>
                    <w:pStyle w:val="53"/>
                    <w:bidi w:val="0"/>
                    <w:rPr>
                      <w:rFonts w:hint="eastAsia" w:eastAsia="宋体"/>
                      <w:color w:val="auto"/>
                      <w:lang w:eastAsia="zh-CN"/>
                    </w:rPr>
                  </w:pPr>
                  <w:r>
                    <w:rPr>
                      <w:rFonts w:hint="default"/>
                      <w:color w:val="auto"/>
                    </w:rPr>
                    <w:t>废塑料加工利用单位应当以环境无害化方式处理废塑料加工利用过程产生的残余垃圾、滤网；</w:t>
                  </w:r>
                  <w:r>
                    <w:rPr>
                      <w:rFonts w:hint="eastAsia"/>
                      <w:color w:val="auto"/>
                      <w:lang w:eastAsia="zh-CN"/>
                    </w:rPr>
                    <w:t>禁止</w:t>
                  </w:r>
                  <w:r>
                    <w:rPr>
                      <w:rFonts w:hint="default"/>
                      <w:color w:val="auto"/>
                    </w:rPr>
                    <w:t>不符合环保要求的单位或个人处置。禁止露天焚烧废塑料及加工利用过程产生的残余垃圾、滤网</w:t>
                  </w:r>
                  <w:r>
                    <w:rPr>
                      <w:rFonts w:hint="eastAsia"/>
                      <w:color w:val="auto"/>
                      <w:lang w:eastAsia="zh-CN"/>
                    </w:rPr>
                    <w:t>。</w:t>
                  </w:r>
                </w:p>
              </w:tc>
              <w:tc>
                <w:tcPr>
                  <w:tcW w:w="1637" w:type="pct"/>
                  <w:tcBorders>
                    <w:tl2br w:val="nil"/>
                    <w:tr2bl w:val="nil"/>
                  </w:tcBorders>
                  <w:noWrap w:val="0"/>
                  <w:vAlign w:val="center"/>
                </w:tcPr>
                <w:p w14:paraId="57AD401B">
                  <w:pPr>
                    <w:pStyle w:val="53"/>
                    <w:bidi w:val="0"/>
                    <w:rPr>
                      <w:rFonts w:hint="default"/>
                      <w:color w:val="auto"/>
                      <w:lang w:val="en-US"/>
                    </w:rPr>
                  </w:pPr>
                  <w:r>
                    <w:rPr>
                      <w:rFonts w:hint="default"/>
                      <w:color w:val="auto"/>
                    </w:rPr>
                    <w:t>本项目</w:t>
                  </w:r>
                  <w:r>
                    <w:rPr>
                      <w:rFonts w:hint="eastAsia"/>
                      <w:color w:val="auto"/>
                      <w:lang w:val="en-US" w:eastAsia="zh-CN"/>
                    </w:rPr>
                    <w:t>产生的废过滤网采用真空烧网炉处理</w:t>
                  </w:r>
                  <w:r>
                    <w:rPr>
                      <w:rFonts w:hint="eastAsia"/>
                      <w:color w:val="auto"/>
                      <w:lang w:eastAsia="zh-CN"/>
                    </w:rPr>
                    <w:t>，</w:t>
                  </w:r>
                  <w:r>
                    <w:rPr>
                      <w:rFonts w:hint="eastAsia"/>
                      <w:color w:val="auto"/>
                      <w:lang w:val="en-US" w:eastAsia="zh-CN"/>
                    </w:rPr>
                    <w:t>真空烧网炉位于车间内，不属于露天焚烧。</w:t>
                  </w:r>
                </w:p>
              </w:tc>
              <w:tc>
                <w:tcPr>
                  <w:tcW w:w="502" w:type="pct"/>
                  <w:tcBorders>
                    <w:tl2br w:val="nil"/>
                    <w:tr2bl w:val="nil"/>
                  </w:tcBorders>
                  <w:noWrap w:val="0"/>
                  <w:vAlign w:val="center"/>
                </w:tcPr>
                <w:p w14:paraId="1088A82F">
                  <w:pPr>
                    <w:pStyle w:val="53"/>
                    <w:bidi w:val="0"/>
                    <w:rPr>
                      <w:rFonts w:hint="default"/>
                      <w:color w:val="auto"/>
                    </w:rPr>
                  </w:pPr>
                  <w:r>
                    <w:rPr>
                      <w:rFonts w:hint="default"/>
                      <w:color w:val="auto"/>
                    </w:rPr>
                    <w:t>符合</w:t>
                  </w:r>
                </w:p>
              </w:tc>
            </w:tr>
            <w:tr w14:paraId="360BC8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301" w:type="pct"/>
                  <w:tcBorders>
                    <w:tl2br w:val="nil"/>
                    <w:tr2bl w:val="nil"/>
                  </w:tcBorders>
                  <w:noWrap w:val="0"/>
                  <w:vAlign w:val="center"/>
                </w:tcPr>
                <w:p w14:paraId="007F8355">
                  <w:pPr>
                    <w:pStyle w:val="53"/>
                    <w:bidi w:val="0"/>
                    <w:rPr>
                      <w:rFonts w:hint="default"/>
                      <w:color w:val="auto"/>
                    </w:rPr>
                  </w:pPr>
                  <w:r>
                    <w:rPr>
                      <w:rFonts w:hint="default"/>
                      <w:color w:val="auto"/>
                    </w:rPr>
                    <w:t>3</w:t>
                  </w:r>
                </w:p>
              </w:tc>
              <w:tc>
                <w:tcPr>
                  <w:tcW w:w="2558" w:type="pct"/>
                  <w:tcBorders>
                    <w:tl2br w:val="nil"/>
                    <w:tr2bl w:val="nil"/>
                  </w:tcBorders>
                  <w:noWrap w:val="0"/>
                  <w:vAlign w:val="center"/>
                </w:tcPr>
                <w:p w14:paraId="5D18F706">
                  <w:pPr>
                    <w:pStyle w:val="53"/>
                    <w:bidi w:val="0"/>
                    <w:rPr>
                      <w:rFonts w:hint="eastAsia"/>
                      <w:color w:val="auto"/>
                      <w:lang w:val="en-US" w:eastAsia="zh-CN"/>
                    </w:rPr>
                  </w:pPr>
                  <w:r>
                    <w:rPr>
                      <w:rFonts w:hint="default"/>
                      <w:color w:val="auto"/>
                    </w:rPr>
                    <w:t>进口废塑料加工利用企业应当符合《固体废物进口管理办法》以及</w:t>
                  </w:r>
                  <w:r>
                    <w:rPr>
                      <w:rFonts w:hint="eastAsia"/>
                      <w:color w:val="auto"/>
                      <w:lang w:val="en-US" w:eastAsia="zh-CN"/>
                    </w:rPr>
                    <w:t>生态环境</w:t>
                  </w:r>
                  <w:bookmarkStart w:id="7" w:name="_GoBack"/>
                  <w:bookmarkEnd w:id="7"/>
                  <w:r>
                    <w:rPr>
                      <w:rFonts w:hint="default"/>
                      <w:color w:val="auto"/>
                    </w:rPr>
                    <w:t>部关于进口可用作原料的固体废物和废塑料环境保护管理相关规定</w:t>
                  </w:r>
                  <w:r>
                    <w:rPr>
                      <w:rFonts w:hint="eastAsia"/>
                      <w:color w:val="auto"/>
                      <w:lang w:eastAsia="zh-CN"/>
                    </w:rPr>
                    <w:t>。</w:t>
                  </w:r>
                </w:p>
              </w:tc>
              <w:tc>
                <w:tcPr>
                  <w:tcW w:w="1637" w:type="pct"/>
                  <w:tcBorders>
                    <w:tl2br w:val="nil"/>
                    <w:tr2bl w:val="nil"/>
                  </w:tcBorders>
                  <w:noWrap w:val="0"/>
                  <w:vAlign w:val="center"/>
                </w:tcPr>
                <w:p w14:paraId="38D88E56">
                  <w:pPr>
                    <w:pStyle w:val="53"/>
                    <w:bidi w:val="0"/>
                    <w:rPr>
                      <w:rFonts w:hint="eastAsia" w:eastAsia="宋体"/>
                      <w:color w:val="auto"/>
                      <w:lang w:val="en-US" w:eastAsia="zh-CN"/>
                    </w:rPr>
                  </w:pPr>
                  <w:r>
                    <w:rPr>
                      <w:rFonts w:hint="default"/>
                      <w:color w:val="auto"/>
                    </w:rPr>
                    <w:t>本项目原材料不涉及进口废塑料</w:t>
                  </w:r>
                  <w:r>
                    <w:rPr>
                      <w:rFonts w:hint="eastAsia"/>
                      <w:color w:val="auto"/>
                      <w:lang w:eastAsia="zh-CN"/>
                    </w:rPr>
                    <w:t>。</w:t>
                  </w:r>
                </w:p>
              </w:tc>
              <w:tc>
                <w:tcPr>
                  <w:tcW w:w="502" w:type="pct"/>
                  <w:tcBorders>
                    <w:tl2br w:val="nil"/>
                    <w:tr2bl w:val="nil"/>
                  </w:tcBorders>
                  <w:noWrap w:val="0"/>
                  <w:vAlign w:val="center"/>
                </w:tcPr>
                <w:p w14:paraId="45450335">
                  <w:pPr>
                    <w:pStyle w:val="53"/>
                    <w:bidi w:val="0"/>
                    <w:rPr>
                      <w:rFonts w:hint="default"/>
                      <w:color w:val="auto"/>
                    </w:rPr>
                  </w:pPr>
                  <w:r>
                    <w:rPr>
                      <w:rFonts w:hint="default"/>
                      <w:color w:val="auto"/>
                    </w:rPr>
                    <w:t>符合</w:t>
                  </w:r>
                </w:p>
              </w:tc>
            </w:tr>
          </w:tbl>
          <w:p w14:paraId="7EFC9322">
            <w:pPr>
              <w:pStyle w:val="51"/>
              <w:bidi w:val="0"/>
              <w:rPr>
                <w:rFonts w:hint="eastAsia"/>
                <w:color w:val="auto"/>
                <w:lang w:eastAsia="zh-CN"/>
              </w:rPr>
            </w:pPr>
            <w:r>
              <w:rPr>
                <w:rFonts w:hint="eastAsia"/>
                <w:color w:val="auto"/>
                <w:lang w:val="en-US" w:eastAsia="zh-CN"/>
              </w:rPr>
              <w:t>综上，</w:t>
            </w:r>
            <w:r>
              <w:rPr>
                <w:rFonts w:hint="default"/>
                <w:color w:val="auto"/>
                <w:lang w:val="en-US" w:eastAsia="zh-CN"/>
              </w:rPr>
              <w:t>本项目</w:t>
            </w:r>
            <w:r>
              <w:rPr>
                <w:rFonts w:hint="default"/>
                <w:color w:val="auto"/>
                <w:lang w:eastAsia="zh-CN"/>
              </w:rPr>
              <w:t>的</w:t>
            </w:r>
            <w:r>
              <w:rPr>
                <w:rFonts w:hint="default"/>
                <w:color w:val="auto"/>
              </w:rPr>
              <w:t>建设符合</w:t>
            </w:r>
            <w:r>
              <w:rPr>
                <w:rFonts w:hint="eastAsia"/>
                <w:color w:val="auto"/>
              </w:rPr>
              <w:t>《废塑料加工利用污染防治管理规定》</w:t>
            </w:r>
            <w:r>
              <w:rPr>
                <w:rFonts w:hint="default"/>
                <w:color w:val="auto"/>
                <w:lang w:eastAsia="zh-CN"/>
              </w:rPr>
              <w:t>的</w:t>
            </w:r>
            <w:r>
              <w:rPr>
                <w:rFonts w:hint="default"/>
                <w:color w:val="auto"/>
              </w:rPr>
              <w:t>相关</w:t>
            </w:r>
            <w:r>
              <w:rPr>
                <w:rFonts w:hint="default"/>
                <w:color w:val="auto"/>
                <w:lang w:eastAsia="zh-CN"/>
              </w:rPr>
              <w:t>要求</w:t>
            </w:r>
            <w:r>
              <w:rPr>
                <w:rFonts w:hint="eastAsia"/>
                <w:color w:val="auto"/>
                <w:lang w:eastAsia="zh-CN"/>
              </w:rPr>
              <w:t>。</w:t>
            </w:r>
          </w:p>
          <w:p w14:paraId="0E4CC86E">
            <w:pPr>
              <w:pStyle w:val="51"/>
              <w:bidi w:val="0"/>
              <w:rPr>
                <w:rFonts w:hint="default" w:ascii="Times New Roman" w:hAnsi="Times New Roman" w:eastAsia="宋体" w:cs="Times New Roman"/>
                <w:b/>
                <w:bCs w:val="0"/>
                <w:color w:val="auto"/>
                <w:lang w:val="en-US" w:eastAsia="zh-CN"/>
              </w:rPr>
            </w:pPr>
            <w:r>
              <w:rPr>
                <w:rFonts w:hint="eastAsia" w:cs="Times New Roman"/>
                <w:b/>
                <w:bCs w:val="0"/>
                <w:color w:val="auto"/>
                <w:lang w:val="en-US" w:eastAsia="zh-CN"/>
              </w:rPr>
              <w:t>9、</w:t>
            </w:r>
            <w:r>
              <w:rPr>
                <w:rFonts w:hint="eastAsia"/>
                <w:b/>
                <w:bCs w:val="0"/>
                <w:color w:val="auto"/>
                <w:lang w:val="en-US" w:eastAsia="zh-CN"/>
              </w:rPr>
              <w:t>与《云南省空气质量持续改善行动实施方案》符合性分析</w:t>
            </w:r>
          </w:p>
          <w:p w14:paraId="39F8975E">
            <w:pPr>
              <w:pStyle w:val="51"/>
              <w:bidi w:val="0"/>
              <w:rPr>
                <w:rFonts w:hint="eastAsia"/>
                <w:color w:val="auto"/>
                <w:lang w:val="en-US" w:eastAsia="zh-CN"/>
              </w:rPr>
            </w:pPr>
            <w:r>
              <w:rPr>
                <w:rFonts w:hint="eastAsia"/>
                <w:color w:val="auto"/>
                <w:lang w:val="en-US" w:eastAsia="zh-CN"/>
              </w:rPr>
              <w:t>本项目与《云南省空气质量持续改善行动实施方案》相符性分析见下表。</w:t>
            </w:r>
          </w:p>
          <w:p w14:paraId="38A96438">
            <w:pPr>
              <w:pStyle w:val="52"/>
              <w:bidi w:val="0"/>
              <w:rPr>
                <w:rFonts w:hint="default"/>
                <w:color w:val="auto"/>
                <w:lang w:val="en-US" w:eastAsia="zh-CN"/>
              </w:rPr>
            </w:pPr>
            <w:r>
              <w:rPr>
                <w:rFonts w:hint="eastAsia"/>
                <w:color w:val="auto"/>
                <w:lang w:val="en-US" w:eastAsia="zh-CN"/>
              </w:rPr>
              <w:t>表1-10    项目与《</w:t>
            </w:r>
            <w:r>
              <w:rPr>
                <w:rFonts w:hint="eastAsia"/>
                <w:b/>
                <w:bCs w:val="0"/>
                <w:color w:val="auto"/>
                <w:lang w:val="en-US" w:eastAsia="zh-CN"/>
              </w:rPr>
              <w:t>云南省空气质量持续改善行动实施方案</w:t>
            </w:r>
            <w:r>
              <w:rPr>
                <w:rFonts w:hint="eastAsia"/>
                <w:color w:val="auto"/>
                <w:lang w:val="en-US" w:eastAsia="zh-CN"/>
              </w:rPr>
              <w:t xml:space="preserve">》相符性分析表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7"/>
              <w:gridCol w:w="2687"/>
              <w:gridCol w:w="877"/>
            </w:tblGrid>
            <w:tr w14:paraId="4DB0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7" w:type="dxa"/>
                  <w:vAlign w:val="center"/>
                </w:tcPr>
                <w:p w14:paraId="1625308A">
                  <w:pPr>
                    <w:pStyle w:val="53"/>
                    <w:bidi w:val="0"/>
                    <w:jc w:val="center"/>
                    <w:rPr>
                      <w:rFonts w:hint="eastAsia" w:eastAsia="宋体"/>
                      <w:color w:val="auto"/>
                      <w:lang w:val="en-US" w:eastAsia="zh-CN"/>
                    </w:rPr>
                  </w:pPr>
                  <w:r>
                    <w:rPr>
                      <w:rFonts w:hint="eastAsia"/>
                      <w:color w:val="auto"/>
                      <w:lang w:val="en-US" w:eastAsia="zh-CN"/>
                    </w:rPr>
                    <w:t>实施方案</w:t>
                  </w:r>
                </w:p>
              </w:tc>
              <w:tc>
                <w:tcPr>
                  <w:tcW w:w="2687" w:type="dxa"/>
                  <w:vAlign w:val="center"/>
                </w:tcPr>
                <w:p w14:paraId="3D0ED7DD">
                  <w:pPr>
                    <w:pStyle w:val="53"/>
                    <w:bidi w:val="0"/>
                    <w:jc w:val="center"/>
                    <w:rPr>
                      <w:rFonts w:hint="eastAsia" w:eastAsia="宋体"/>
                      <w:color w:val="auto"/>
                      <w:lang w:val="en-US" w:eastAsia="zh-CN"/>
                    </w:rPr>
                  </w:pPr>
                  <w:r>
                    <w:rPr>
                      <w:rFonts w:hint="eastAsia"/>
                      <w:color w:val="auto"/>
                      <w:lang w:val="en-US" w:eastAsia="zh-CN"/>
                    </w:rPr>
                    <w:t>项目情况</w:t>
                  </w:r>
                </w:p>
              </w:tc>
              <w:tc>
                <w:tcPr>
                  <w:tcW w:w="877" w:type="dxa"/>
                  <w:vAlign w:val="center"/>
                </w:tcPr>
                <w:p w14:paraId="135D61EA">
                  <w:pPr>
                    <w:pStyle w:val="53"/>
                    <w:bidi w:val="0"/>
                    <w:jc w:val="center"/>
                    <w:rPr>
                      <w:rFonts w:hint="eastAsia" w:eastAsia="宋体"/>
                      <w:color w:val="auto"/>
                      <w:lang w:val="en-US" w:eastAsia="zh-CN"/>
                    </w:rPr>
                  </w:pPr>
                  <w:r>
                    <w:rPr>
                      <w:rFonts w:hint="eastAsia"/>
                      <w:color w:val="auto"/>
                      <w:lang w:val="en-US" w:eastAsia="zh-CN"/>
                    </w:rPr>
                    <w:t>符合性</w:t>
                  </w:r>
                </w:p>
              </w:tc>
            </w:tr>
            <w:tr w14:paraId="4633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7" w:type="dxa"/>
                  <w:vAlign w:val="center"/>
                </w:tcPr>
                <w:p w14:paraId="2B1D5EFC">
                  <w:pPr>
                    <w:pStyle w:val="53"/>
                    <w:bidi w:val="0"/>
                    <w:jc w:val="center"/>
                    <w:rPr>
                      <w:rFonts w:hint="default"/>
                      <w:color w:val="auto"/>
                    </w:rPr>
                  </w:pPr>
                  <w:r>
                    <w:rPr>
                      <w:color w:val="auto"/>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2687" w:type="dxa"/>
                  <w:vAlign w:val="center"/>
                </w:tcPr>
                <w:p w14:paraId="1DEF661A">
                  <w:pPr>
                    <w:pStyle w:val="53"/>
                    <w:bidi w:val="0"/>
                    <w:jc w:val="center"/>
                    <w:rPr>
                      <w:rFonts w:hint="default" w:eastAsia="宋体"/>
                      <w:color w:val="auto"/>
                      <w:lang w:val="en-US" w:eastAsia="zh-CN"/>
                    </w:rPr>
                  </w:pPr>
                  <w:r>
                    <w:rPr>
                      <w:rFonts w:hint="eastAsia"/>
                      <w:color w:val="auto"/>
                      <w:lang w:val="en-US" w:eastAsia="zh-CN"/>
                    </w:rPr>
                    <w:t>本项目为塑料颗粒生产项目，生产的塑料颗粒符合国家质量标准，不属于限制类行业。</w:t>
                  </w:r>
                </w:p>
              </w:tc>
              <w:tc>
                <w:tcPr>
                  <w:tcW w:w="877" w:type="dxa"/>
                  <w:vAlign w:val="center"/>
                </w:tcPr>
                <w:p w14:paraId="7CD0011B">
                  <w:pPr>
                    <w:pStyle w:val="53"/>
                    <w:bidi w:val="0"/>
                    <w:jc w:val="center"/>
                    <w:rPr>
                      <w:rFonts w:hint="eastAsia" w:eastAsia="宋体"/>
                      <w:color w:val="auto"/>
                      <w:lang w:val="en-US" w:eastAsia="zh-CN"/>
                    </w:rPr>
                  </w:pPr>
                  <w:r>
                    <w:rPr>
                      <w:rFonts w:hint="eastAsia"/>
                      <w:color w:val="auto"/>
                      <w:lang w:val="en-US" w:eastAsia="zh-CN"/>
                    </w:rPr>
                    <w:t>符合</w:t>
                  </w:r>
                </w:p>
              </w:tc>
            </w:tr>
          </w:tbl>
          <w:p w14:paraId="16680372">
            <w:pPr>
              <w:pStyle w:val="51"/>
              <w:bidi w:val="0"/>
              <w:rPr>
                <w:rFonts w:hint="eastAsia"/>
                <w:color w:val="auto"/>
                <w:lang w:eastAsia="zh-CN"/>
              </w:rPr>
            </w:pPr>
            <w:r>
              <w:rPr>
                <w:rFonts w:hint="eastAsia"/>
                <w:color w:val="auto"/>
                <w:lang w:val="en-US" w:eastAsia="zh-CN"/>
              </w:rPr>
              <w:t>综上，</w:t>
            </w:r>
            <w:r>
              <w:rPr>
                <w:rFonts w:hint="default"/>
                <w:color w:val="auto"/>
                <w:lang w:val="en-US" w:eastAsia="zh-CN"/>
              </w:rPr>
              <w:t>本项目</w:t>
            </w:r>
            <w:r>
              <w:rPr>
                <w:rFonts w:hint="default"/>
                <w:color w:val="auto"/>
                <w:lang w:eastAsia="zh-CN"/>
              </w:rPr>
              <w:t>的</w:t>
            </w:r>
            <w:r>
              <w:rPr>
                <w:rFonts w:hint="default"/>
                <w:color w:val="auto"/>
              </w:rPr>
              <w:t>建设符合</w:t>
            </w:r>
            <w:r>
              <w:rPr>
                <w:rFonts w:hint="eastAsia"/>
                <w:color w:val="auto"/>
              </w:rPr>
              <w:t>《</w:t>
            </w:r>
            <w:r>
              <w:rPr>
                <w:rFonts w:hint="eastAsia"/>
                <w:color w:val="auto"/>
                <w:lang w:val="en-US" w:eastAsia="zh-CN"/>
              </w:rPr>
              <w:t>云南省空气质量持续改善行动实施方案</w:t>
            </w:r>
            <w:r>
              <w:rPr>
                <w:rFonts w:hint="eastAsia"/>
                <w:color w:val="auto"/>
              </w:rPr>
              <w:t>》</w:t>
            </w:r>
            <w:r>
              <w:rPr>
                <w:rFonts w:hint="default"/>
                <w:color w:val="auto"/>
                <w:lang w:eastAsia="zh-CN"/>
              </w:rPr>
              <w:t>的</w:t>
            </w:r>
            <w:r>
              <w:rPr>
                <w:rFonts w:hint="default"/>
                <w:color w:val="auto"/>
              </w:rPr>
              <w:t>相关</w:t>
            </w:r>
            <w:r>
              <w:rPr>
                <w:rFonts w:hint="default"/>
                <w:color w:val="auto"/>
                <w:lang w:eastAsia="zh-CN"/>
              </w:rPr>
              <w:t>要求</w:t>
            </w:r>
            <w:r>
              <w:rPr>
                <w:rFonts w:hint="eastAsia"/>
                <w:color w:val="auto"/>
                <w:lang w:eastAsia="zh-CN"/>
              </w:rPr>
              <w:t>。</w:t>
            </w:r>
          </w:p>
          <w:p w14:paraId="4235000A">
            <w:pPr>
              <w:pStyle w:val="51"/>
              <w:numPr>
                <w:ilvl w:val="0"/>
                <w:numId w:val="0"/>
              </w:numPr>
              <w:ind w:firstLine="482" w:firstLineChars="200"/>
              <w:rPr>
                <w:rFonts w:hint="default" w:ascii="Times New Roman" w:hAnsi="Times New Roman" w:cs="Times New Roman"/>
                <w:b/>
                <w:color w:val="auto"/>
              </w:rPr>
            </w:pPr>
            <w:r>
              <w:rPr>
                <w:rFonts w:hint="default" w:ascii="Times New Roman" w:hAnsi="Times New Roman" w:eastAsia="宋体" w:cs="Times New Roman"/>
                <w:b/>
                <w:color w:val="auto"/>
                <w:kern w:val="2"/>
                <w:sz w:val="24"/>
                <w:szCs w:val="21"/>
                <w:lang w:val="en-US" w:eastAsia="zh-CN" w:bidi="ar-SA"/>
              </w:rPr>
              <w:t>10、</w:t>
            </w:r>
            <w:r>
              <w:rPr>
                <w:rFonts w:hint="default" w:ascii="Times New Roman" w:hAnsi="Times New Roman" w:cs="Times New Roman"/>
                <w:b/>
                <w:color w:val="auto"/>
              </w:rPr>
              <w:t>与《中共云南省委、云南省人民政府关于深入打好污染防治攻坚战的实施意见》符合性分析</w:t>
            </w:r>
          </w:p>
          <w:p w14:paraId="42EE5C31">
            <w:pPr>
              <w:pStyle w:val="51"/>
              <w:bidi w:val="0"/>
              <w:rPr>
                <w:rFonts w:hint="default" w:eastAsia="宋体"/>
                <w:b w:val="0"/>
                <w:bCs/>
                <w:color w:val="auto"/>
                <w:lang w:val="en-US" w:eastAsia="zh-CN"/>
              </w:rPr>
            </w:pPr>
            <w:r>
              <w:rPr>
                <w:rFonts w:hint="eastAsia"/>
                <w:color w:val="auto"/>
                <w:lang w:val="en-US" w:eastAsia="zh-CN"/>
              </w:rPr>
              <w:t>项目与</w:t>
            </w:r>
            <w:r>
              <w:rPr>
                <w:rFonts w:hint="default" w:ascii="Times New Roman" w:hAnsi="Times New Roman" w:cs="Times New Roman"/>
                <w:b w:val="0"/>
                <w:bCs/>
                <w:color w:val="auto"/>
              </w:rPr>
              <w:t>《中共云南省委、云南省人民政府关于深入打好污染防治攻坚战的实施意见》</w:t>
            </w:r>
            <w:r>
              <w:rPr>
                <w:rFonts w:hint="eastAsia" w:cs="Times New Roman"/>
                <w:b w:val="0"/>
                <w:bCs/>
                <w:color w:val="auto"/>
                <w:lang w:val="en-US" w:eastAsia="zh-CN"/>
              </w:rPr>
              <w:t>的符合性分析见下表。</w:t>
            </w:r>
          </w:p>
          <w:p w14:paraId="4778A260">
            <w:pPr>
              <w:pStyle w:val="52"/>
              <w:rPr>
                <w:rFonts w:hint="eastAsia" w:ascii="Times New Roman" w:hAnsi="Times New Roman" w:eastAsia="宋体" w:cs="Times New Roman"/>
                <w:color w:val="auto"/>
                <w:lang w:val="en-US" w:eastAsia="zh-CN"/>
              </w:rPr>
            </w:pPr>
            <w:r>
              <w:rPr>
                <w:rFonts w:hint="default" w:ascii="Times New Roman" w:hAnsi="Times New Roman" w:cs="Times New Roman"/>
                <w:color w:val="auto"/>
              </w:rPr>
              <w:t>表1-</w:t>
            </w:r>
            <w:r>
              <w:rPr>
                <w:rFonts w:hint="eastAsia" w:cs="Times New Roman"/>
                <w:color w:val="auto"/>
                <w:lang w:val="en-US" w:eastAsia="zh-CN"/>
              </w:rPr>
              <w:t>11</w:t>
            </w:r>
            <w:r>
              <w:rPr>
                <w:rFonts w:hint="default" w:ascii="Times New Roman" w:hAnsi="Times New Roman" w:cs="Times New Roman"/>
                <w:color w:val="auto"/>
              </w:rPr>
              <w:t xml:space="preserve">     项目与《中共云南省委、云南省人民政府关于深入打好污染防治攻坚战的实施意见》符合性分析</w:t>
            </w:r>
            <w:r>
              <w:rPr>
                <w:rFonts w:hint="eastAsia" w:cs="Times New Roman"/>
                <w:color w:val="auto"/>
                <w:lang w:val="en-US" w:eastAsia="zh-CN"/>
              </w:rPr>
              <w:t>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4"/>
              <w:gridCol w:w="1560"/>
              <w:gridCol w:w="942"/>
            </w:tblGrid>
            <w:tr w14:paraId="65F5B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vAlign w:val="center"/>
                </w:tcPr>
                <w:p w14:paraId="70418705">
                  <w:pPr>
                    <w:pStyle w:val="53"/>
                    <w:rPr>
                      <w:rFonts w:hint="default" w:ascii="Times New Roman" w:hAnsi="Times New Roman" w:cs="Times New Roman"/>
                      <w:color w:val="auto"/>
                    </w:rPr>
                  </w:pPr>
                  <w:r>
                    <w:rPr>
                      <w:rFonts w:hint="default" w:ascii="Times New Roman" w:hAnsi="Times New Roman" w:cs="Times New Roman"/>
                      <w:color w:val="auto"/>
                    </w:rPr>
                    <w:t>实施意见要求</w:t>
                  </w:r>
                </w:p>
              </w:tc>
              <w:tc>
                <w:tcPr>
                  <w:tcW w:w="1560" w:type="dxa"/>
                  <w:vAlign w:val="center"/>
                </w:tcPr>
                <w:p w14:paraId="69411F2F">
                  <w:pPr>
                    <w:pStyle w:val="53"/>
                    <w:rPr>
                      <w:rFonts w:hint="default" w:ascii="Times New Roman" w:hAnsi="Times New Roman" w:cs="Times New Roman"/>
                      <w:color w:val="auto"/>
                    </w:rPr>
                  </w:pPr>
                  <w:r>
                    <w:rPr>
                      <w:rFonts w:hint="default" w:ascii="Times New Roman" w:hAnsi="Times New Roman" w:cs="Times New Roman"/>
                      <w:color w:val="auto"/>
                    </w:rPr>
                    <w:t>项目情况</w:t>
                  </w:r>
                </w:p>
              </w:tc>
              <w:tc>
                <w:tcPr>
                  <w:tcW w:w="942" w:type="dxa"/>
                  <w:vAlign w:val="center"/>
                </w:tcPr>
                <w:p w14:paraId="218D027D">
                  <w:pPr>
                    <w:pStyle w:val="53"/>
                    <w:rPr>
                      <w:rFonts w:hint="default" w:ascii="Times New Roman" w:hAnsi="Times New Roman" w:cs="Times New Roman"/>
                      <w:color w:val="auto"/>
                    </w:rPr>
                  </w:pPr>
                  <w:r>
                    <w:rPr>
                      <w:rFonts w:hint="default" w:ascii="Times New Roman" w:hAnsi="Times New Roman" w:cs="Times New Roman"/>
                      <w:color w:val="auto"/>
                    </w:rPr>
                    <w:t>符合性</w:t>
                  </w:r>
                </w:p>
              </w:tc>
            </w:tr>
            <w:tr w14:paraId="637C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4" w:type="dxa"/>
                  <w:vAlign w:val="center"/>
                </w:tcPr>
                <w:p w14:paraId="47010ECD">
                  <w:pPr>
                    <w:pStyle w:val="53"/>
                    <w:rPr>
                      <w:rFonts w:hint="default" w:ascii="Times New Roman" w:hAnsi="Times New Roman" w:cs="Times New Roman"/>
                      <w:color w:val="auto"/>
                    </w:rPr>
                  </w:pPr>
                  <w:r>
                    <w:rPr>
                      <w:rFonts w:hint="default" w:ascii="Times New Roman" w:hAnsi="Times New Roman" w:cs="Times New Roman"/>
                      <w:color w:val="auto"/>
                    </w:rPr>
                    <w:t>加强生态环境分区管控。优化生态环境分区管控格局，不断完善“三线一单”生态环境分区管控体系。开展重大经济技术政策的生态环境影响分析和重大生态环境政策的社会经济影响评估。</w:t>
                  </w:r>
                </w:p>
              </w:tc>
              <w:tc>
                <w:tcPr>
                  <w:tcW w:w="1560" w:type="dxa"/>
                  <w:vAlign w:val="center"/>
                </w:tcPr>
                <w:p w14:paraId="76130BD8">
                  <w:pPr>
                    <w:pStyle w:val="53"/>
                    <w:rPr>
                      <w:rFonts w:hint="default" w:ascii="Times New Roman" w:hAnsi="Times New Roman" w:cs="Times New Roman"/>
                      <w:color w:val="auto"/>
                    </w:rPr>
                  </w:pPr>
                  <w:r>
                    <w:rPr>
                      <w:rFonts w:hint="default" w:ascii="Times New Roman" w:hAnsi="Times New Roman" w:cs="Times New Roman"/>
                      <w:color w:val="auto"/>
                    </w:rPr>
                    <w:t>根据“三线一单”符合性分析</w:t>
                  </w:r>
                  <w:r>
                    <w:rPr>
                      <w:rFonts w:hint="eastAsia" w:cs="Times New Roman"/>
                      <w:color w:val="auto"/>
                      <w:lang w:eastAsia="zh-CN"/>
                    </w:rPr>
                    <w:t>：</w:t>
                  </w:r>
                  <w:r>
                    <w:rPr>
                      <w:rFonts w:hint="default" w:ascii="Times New Roman" w:hAnsi="Times New Roman" w:cs="Times New Roman"/>
                      <w:color w:val="auto"/>
                    </w:rPr>
                    <w:t>项目符合“三线一单”</w:t>
                  </w:r>
                  <w:r>
                    <w:rPr>
                      <w:rFonts w:hint="eastAsia" w:cs="Times New Roman"/>
                      <w:color w:val="auto"/>
                      <w:lang w:val="en-US" w:eastAsia="zh-CN"/>
                    </w:rPr>
                    <w:t>的</w:t>
                  </w:r>
                  <w:r>
                    <w:rPr>
                      <w:rFonts w:hint="default" w:ascii="Times New Roman" w:hAnsi="Times New Roman" w:cs="Times New Roman"/>
                      <w:color w:val="auto"/>
                    </w:rPr>
                    <w:t>相关要求。</w:t>
                  </w:r>
                </w:p>
              </w:tc>
              <w:tc>
                <w:tcPr>
                  <w:tcW w:w="942" w:type="dxa"/>
                  <w:vAlign w:val="center"/>
                </w:tcPr>
                <w:p w14:paraId="1397441F">
                  <w:pPr>
                    <w:pStyle w:val="53"/>
                    <w:rPr>
                      <w:rFonts w:hint="default" w:ascii="Times New Roman" w:hAnsi="Times New Roman" w:cs="Times New Roman"/>
                      <w:color w:val="auto"/>
                    </w:rPr>
                  </w:pPr>
                  <w:r>
                    <w:rPr>
                      <w:rFonts w:hint="default" w:ascii="Times New Roman" w:hAnsi="Times New Roman" w:cs="Times New Roman"/>
                      <w:color w:val="auto"/>
                    </w:rPr>
                    <w:t>符合</w:t>
                  </w:r>
                </w:p>
              </w:tc>
            </w:tr>
          </w:tbl>
          <w:p w14:paraId="37F61441">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综上所述，项目符合《中共云南省委、云南省人民政府关于深入打好污染防治攻坚战的实施意见》的相关要求。</w:t>
            </w:r>
          </w:p>
          <w:p w14:paraId="3863D054">
            <w:pPr>
              <w:pStyle w:val="51"/>
              <w:numPr>
                <w:ilvl w:val="0"/>
                <w:numId w:val="0"/>
              </w:numPr>
              <w:bidi w:val="0"/>
              <w:ind w:left="0" w:leftChars="0" w:firstLine="482" w:firstLineChars="200"/>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11、与《国家发展</w:t>
            </w:r>
            <w:r>
              <w:rPr>
                <w:rFonts w:hint="eastAsia" w:ascii="Times New Roman" w:hAnsi="Times New Roman" w:cs="Times New Roman"/>
                <w:b/>
                <w:bCs/>
                <w:color w:val="auto"/>
                <w:kern w:val="0"/>
                <w:sz w:val="24"/>
                <w:szCs w:val="24"/>
                <w:lang w:val="en-US" w:eastAsia="zh-CN" w:bidi="ar"/>
              </w:rPr>
              <w:t>和</w:t>
            </w:r>
            <w:r>
              <w:rPr>
                <w:rFonts w:hint="eastAsia" w:ascii="Times New Roman" w:hAnsi="Times New Roman" w:eastAsia="宋体" w:cs="Times New Roman"/>
                <w:b/>
                <w:bCs/>
                <w:color w:val="auto"/>
                <w:kern w:val="0"/>
                <w:sz w:val="24"/>
                <w:szCs w:val="24"/>
                <w:lang w:val="en-US" w:eastAsia="zh-CN" w:bidi="ar"/>
              </w:rPr>
              <w:t>改革</w:t>
            </w:r>
            <w:r>
              <w:rPr>
                <w:rFonts w:hint="eastAsia" w:ascii="Times New Roman" w:hAnsi="Times New Roman" w:cs="Times New Roman"/>
                <w:b/>
                <w:bCs/>
                <w:color w:val="auto"/>
                <w:kern w:val="0"/>
                <w:sz w:val="24"/>
                <w:szCs w:val="24"/>
                <w:lang w:val="en-US" w:eastAsia="zh-CN" w:bidi="ar"/>
              </w:rPr>
              <w:t>委员会</w:t>
            </w:r>
            <w:r>
              <w:rPr>
                <w:rFonts w:hint="eastAsia" w:ascii="Times New Roman" w:hAnsi="Times New Roman" w:eastAsia="宋体" w:cs="Times New Roman"/>
                <w:b/>
                <w:bCs/>
                <w:color w:val="auto"/>
                <w:kern w:val="0"/>
                <w:sz w:val="24"/>
                <w:szCs w:val="24"/>
                <w:lang w:val="en-US" w:eastAsia="zh-CN" w:bidi="ar"/>
              </w:rPr>
              <w:t xml:space="preserve"> 生态环境部关于印发“十四五”塑料污染治理行动方案的通知》（发改环资〔2021〕1298号）符合性分析</w:t>
            </w:r>
          </w:p>
          <w:p w14:paraId="744B8C7E">
            <w:pPr>
              <w:pStyle w:val="51"/>
              <w:bidi w:val="0"/>
              <w:rPr>
                <w:rFonts w:hint="default"/>
                <w:b w:val="0"/>
                <w:bCs w:val="0"/>
                <w:color w:val="auto"/>
                <w:lang w:val="en-US" w:eastAsia="zh-CN"/>
              </w:rPr>
            </w:pPr>
            <w:r>
              <w:rPr>
                <w:rFonts w:hint="eastAsia"/>
                <w:color w:val="auto"/>
                <w:lang w:val="en-US" w:eastAsia="zh-CN"/>
              </w:rPr>
              <w:t>项目与</w:t>
            </w:r>
            <w:r>
              <w:rPr>
                <w:rFonts w:hint="eastAsia" w:ascii="Times New Roman" w:hAnsi="Times New Roman" w:eastAsia="宋体" w:cs="Times New Roman"/>
                <w:b w:val="0"/>
                <w:bCs w:val="0"/>
                <w:color w:val="auto"/>
                <w:kern w:val="0"/>
                <w:sz w:val="24"/>
                <w:szCs w:val="24"/>
                <w:lang w:val="en-US" w:eastAsia="zh-CN" w:bidi="ar"/>
              </w:rPr>
              <w:t>《国家发展</w:t>
            </w:r>
            <w:r>
              <w:rPr>
                <w:rFonts w:hint="eastAsia" w:ascii="Times New Roman" w:hAnsi="Times New Roman" w:cs="Times New Roman"/>
                <w:b w:val="0"/>
                <w:bCs w:val="0"/>
                <w:color w:val="auto"/>
                <w:kern w:val="0"/>
                <w:sz w:val="24"/>
                <w:szCs w:val="24"/>
                <w:lang w:val="en-US" w:eastAsia="zh-CN" w:bidi="ar"/>
              </w:rPr>
              <w:t>和</w:t>
            </w:r>
            <w:r>
              <w:rPr>
                <w:rFonts w:hint="eastAsia" w:ascii="Times New Roman" w:hAnsi="Times New Roman" w:eastAsia="宋体" w:cs="Times New Roman"/>
                <w:b w:val="0"/>
                <w:bCs w:val="0"/>
                <w:color w:val="auto"/>
                <w:kern w:val="0"/>
                <w:sz w:val="24"/>
                <w:szCs w:val="24"/>
                <w:lang w:val="en-US" w:eastAsia="zh-CN" w:bidi="ar"/>
              </w:rPr>
              <w:t>改革</w:t>
            </w:r>
            <w:r>
              <w:rPr>
                <w:rFonts w:hint="eastAsia" w:ascii="Times New Roman" w:hAnsi="Times New Roman" w:cs="Times New Roman"/>
                <w:b w:val="0"/>
                <w:bCs w:val="0"/>
                <w:color w:val="auto"/>
                <w:kern w:val="0"/>
                <w:sz w:val="24"/>
                <w:szCs w:val="24"/>
                <w:lang w:val="en-US" w:eastAsia="zh-CN" w:bidi="ar"/>
              </w:rPr>
              <w:t>委员会</w:t>
            </w:r>
            <w:r>
              <w:rPr>
                <w:rFonts w:hint="eastAsia" w:ascii="Times New Roman" w:hAnsi="Times New Roman" w:eastAsia="宋体" w:cs="Times New Roman"/>
                <w:b w:val="0"/>
                <w:bCs w:val="0"/>
                <w:color w:val="auto"/>
                <w:kern w:val="0"/>
                <w:sz w:val="24"/>
                <w:szCs w:val="24"/>
                <w:lang w:val="en-US" w:eastAsia="zh-CN" w:bidi="ar"/>
              </w:rPr>
              <w:t xml:space="preserve"> 生态环境部关于印发“十四五”塑料污染治理行动方案的通知》（发改环资〔2021〕1298号）</w:t>
            </w:r>
            <w:r>
              <w:rPr>
                <w:rFonts w:hint="eastAsia" w:cs="Times New Roman"/>
                <w:b w:val="0"/>
                <w:bCs w:val="0"/>
                <w:color w:val="auto"/>
                <w:kern w:val="0"/>
                <w:sz w:val="24"/>
                <w:szCs w:val="24"/>
                <w:lang w:val="en-US" w:eastAsia="zh-CN" w:bidi="ar"/>
              </w:rPr>
              <w:t>的符合性分析见下表。</w:t>
            </w:r>
          </w:p>
          <w:p w14:paraId="7D1C9D0F">
            <w:pPr>
              <w:pStyle w:val="52"/>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表1-</w:t>
            </w:r>
            <w:r>
              <w:rPr>
                <w:rFonts w:hint="eastAsia" w:ascii="Times New Roman" w:hAnsi="Times New Roman" w:eastAsia="宋体" w:cs="Times New Roman"/>
                <w:color w:val="auto"/>
                <w:lang w:val="en-US" w:eastAsia="zh-CN"/>
              </w:rPr>
              <w:t>1</w:t>
            </w:r>
            <w:r>
              <w:rPr>
                <w:rFonts w:hint="eastAsia" w:cs="Times New Roman"/>
                <w:color w:val="auto"/>
                <w:lang w:val="en-US" w:eastAsia="zh-CN"/>
              </w:rPr>
              <w:t>2</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 xml:space="preserve"> 与塑料污染治理行动方案相符性分析一览表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8"/>
              <w:gridCol w:w="4069"/>
              <w:gridCol w:w="1773"/>
              <w:gridCol w:w="627"/>
            </w:tblGrid>
            <w:tr w14:paraId="62062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0456264">
                  <w:pPr>
                    <w:pStyle w:val="53"/>
                    <w:bidi w:val="0"/>
                    <w:rPr>
                      <w:rFonts w:hint="default"/>
                      <w:color w:val="auto"/>
                      <w:lang w:val="en-US" w:eastAsia="zh-CN"/>
                    </w:rPr>
                  </w:pPr>
                  <w:r>
                    <w:rPr>
                      <w:rFonts w:hint="default"/>
                      <w:color w:val="auto"/>
                      <w:lang w:val="en-US" w:eastAsia="zh-CN"/>
                    </w:rPr>
                    <w:t>序号</w:t>
                  </w:r>
                </w:p>
              </w:tc>
              <w:tc>
                <w:tcPr>
                  <w:tcW w:w="28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B48AB6">
                  <w:pPr>
                    <w:pStyle w:val="53"/>
                    <w:bidi w:val="0"/>
                    <w:rPr>
                      <w:rFonts w:hint="default"/>
                      <w:color w:val="auto"/>
                      <w:lang w:val="en-US" w:eastAsia="zh-CN"/>
                    </w:rPr>
                  </w:pPr>
                  <w:r>
                    <w:rPr>
                      <w:rFonts w:hint="default"/>
                      <w:color w:val="auto"/>
                      <w:lang w:val="en-US" w:eastAsia="zh-CN"/>
                    </w:rPr>
                    <w:t>塑料污染治理行动方案</w:t>
                  </w:r>
                </w:p>
              </w:tc>
              <w:tc>
                <w:tcPr>
                  <w:tcW w:w="1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2BBD69">
                  <w:pPr>
                    <w:pStyle w:val="53"/>
                    <w:bidi w:val="0"/>
                    <w:rPr>
                      <w:rFonts w:hint="default"/>
                      <w:color w:val="auto"/>
                      <w:lang w:val="en-US" w:eastAsia="zh-CN"/>
                    </w:rPr>
                  </w:pPr>
                  <w:r>
                    <w:rPr>
                      <w:rFonts w:hint="default"/>
                      <w:color w:val="auto"/>
                      <w:lang w:val="en-US" w:eastAsia="zh-CN"/>
                    </w:rPr>
                    <w:t>项目情况</w:t>
                  </w:r>
                </w:p>
              </w:tc>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9DF951">
                  <w:pPr>
                    <w:pStyle w:val="53"/>
                    <w:bidi w:val="0"/>
                    <w:rPr>
                      <w:rFonts w:hint="default"/>
                      <w:color w:val="auto"/>
                      <w:lang w:val="en-US" w:eastAsia="zh-CN"/>
                    </w:rPr>
                  </w:pPr>
                  <w:r>
                    <w:rPr>
                      <w:rFonts w:hint="default"/>
                      <w:color w:val="auto"/>
                      <w:lang w:val="en-US" w:eastAsia="zh-CN"/>
                    </w:rPr>
                    <w:t>相符性</w:t>
                  </w:r>
                </w:p>
              </w:tc>
            </w:tr>
            <w:tr w14:paraId="403D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428D08">
                  <w:pPr>
                    <w:pStyle w:val="53"/>
                    <w:bidi w:val="0"/>
                    <w:rPr>
                      <w:rFonts w:hint="default"/>
                      <w:color w:val="auto"/>
                      <w:lang w:val="en-US" w:eastAsia="zh-CN"/>
                    </w:rPr>
                  </w:pPr>
                  <w:r>
                    <w:rPr>
                      <w:rFonts w:hint="default"/>
                      <w:color w:val="auto"/>
                      <w:lang w:val="en-US" w:eastAsia="zh-CN"/>
                    </w:rPr>
                    <w:t>1</w:t>
                  </w:r>
                </w:p>
              </w:tc>
              <w:tc>
                <w:tcPr>
                  <w:tcW w:w="287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A127B5A">
                  <w:pPr>
                    <w:pStyle w:val="53"/>
                    <w:bidi w:val="0"/>
                    <w:rPr>
                      <w:rFonts w:hint="default"/>
                      <w:color w:val="auto"/>
                      <w:lang w:val="en-US" w:eastAsia="zh-CN"/>
                    </w:rPr>
                  </w:pPr>
                  <w:r>
                    <w:rPr>
                      <w:rFonts w:hint="default"/>
                      <w:color w:val="auto"/>
                      <w:lang w:val="en-US" w:eastAsia="zh-CN"/>
                    </w:rPr>
                    <w:t>加强塑料废弃物规范回收和清运。结合生活垃圾分类，推进城市再生资源 回收网点与生活垃圾分类网点融合，在大型社区、写字楼、商场、医院、学校、场馆等地，合理布局生活垃圾分类收集设施设备，提高塑料废弃物收集转运效率，提升塑料废弃物回收规范化水平。</w:t>
                  </w:r>
                </w:p>
              </w:tc>
              <w:tc>
                <w:tcPr>
                  <w:tcW w:w="1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BDF117">
                  <w:pPr>
                    <w:pStyle w:val="53"/>
                    <w:bidi w:val="0"/>
                    <w:rPr>
                      <w:rFonts w:hint="eastAsia"/>
                      <w:color w:val="auto"/>
                      <w:lang w:val="en-US" w:eastAsia="zh-CN"/>
                    </w:rPr>
                  </w:pPr>
                  <w:r>
                    <w:rPr>
                      <w:rFonts w:hint="eastAsia"/>
                      <w:color w:val="auto"/>
                      <w:lang w:val="en-US" w:eastAsia="zh-CN"/>
                    </w:rPr>
                    <w:t>项目主要进行再生塑料颗粒生产，原料为废塑料片，项目的建设有利于提升塑料废弃物回收规范化水平。</w:t>
                  </w:r>
                </w:p>
              </w:tc>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C8F951">
                  <w:pPr>
                    <w:pStyle w:val="53"/>
                    <w:bidi w:val="0"/>
                    <w:rPr>
                      <w:rFonts w:hint="default"/>
                      <w:color w:val="auto"/>
                      <w:lang w:val="en-US" w:eastAsia="zh-CN"/>
                    </w:rPr>
                  </w:pPr>
                  <w:r>
                    <w:rPr>
                      <w:rFonts w:hint="default"/>
                      <w:color w:val="auto"/>
                      <w:lang w:val="en-US" w:eastAsia="zh-CN"/>
                    </w:rPr>
                    <w:t>相符</w:t>
                  </w:r>
                </w:p>
              </w:tc>
            </w:tr>
            <w:tr w14:paraId="52E8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BBF486">
                  <w:pPr>
                    <w:pStyle w:val="53"/>
                    <w:bidi w:val="0"/>
                    <w:rPr>
                      <w:rFonts w:hint="default"/>
                      <w:color w:val="auto"/>
                      <w:lang w:val="en-US" w:eastAsia="zh-CN"/>
                    </w:rPr>
                  </w:pPr>
                  <w:r>
                    <w:rPr>
                      <w:rFonts w:hint="eastAsia"/>
                      <w:color w:val="auto"/>
                      <w:lang w:val="en-US" w:eastAsia="zh-CN"/>
                    </w:rPr>
                    <w:t>2</w:t>
                  </w:r>
                </w:p>
              </w:tc>
              <w:tc>
                <w:tcPr>
                  <w:tcW w:w="2878" w:type="pct"/>
                  <w:tcBorders>
                    <w:top w:val="single" w:color="auto" w:sz="4" w:space="0"/>
                    <w:left w:val="single" w:color="auto" w:sz="4" w:space="0"/>
                    <w:bottom w:val="single" w:color="auto" w:sz="4" w:space="0"/>
                    <w:right w:val="single" w:color="auto" w:sz="4" w:space="0"/>
                    <w:tl2br w:val="nil"/>
                    <w:tr2bl w:val="nil"/>
                  </w:tcBorders>
                  <w:noWrap w:val="0"/>
                  <w:vAlign w:val="top"/>
                </w:tcPr>
                <w:p w14:paraId="58C49200">
                  <w:pPr>
                    <w:pStyle w:val="53"/>
                    <w:bidi w:val="0"/>
                    <w:rPr>
                      <w:rFonts w:hint="default"/>
                      <w:color w:val="auto"/>
                      <w:lang w:val="en-US" w:eastAsia="zh-CN"/>
                    </w:rPr>
                  </w:pPr>
                  <w:r>
                    <w:rPr>
                      <w:rFonts w:hint="default"/>
                      <w:color w:val="auto"/>
                      <w:lang w:val="en-US" w:eastAsia="zh-CN"/>
                    </w:rPr>
                    <w:t>加大塑料废弃物再生利用。支持塑料废弃物再生利用项目建设，发布废塑 料综合利用规范企业名单，引导相关项目向资源循环利用基地、工业资源综合利用基地等园区集聚，推动塑料废弃物再生利用产业规模化、规范化、清洁化发展。</w:t>
                  </w:r>
                </w:p>
              </w:tc>
              <w:tc>
                <w:tcPr>
                  <w:tcW w:w="12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429CF1">
                  <w:pPr>
                    <w:pStyle w:val="53"/>
                    <w:bidi w:val="0"/>
                    <w:rPr>
                      <w:rFonts w:hint="default"/>
                      <w:color w:val="auto"/>
                      <w:lang w:val="en-US" w:eastAsia="zh-CN"/>
                    </w:rPr>
                  </w:pPr>
                  <w:r>
                    <w:rPr>
                      <w:rFonts w:hint="default"/>
                      <w:color w:val="auto"/>
                      <w:lang w:val="en-US" w:eastAsia="zh-CN"/>
                    </w:rPr>
                    <w:t>项目主要进行再生塑料颗粒生产，项目的建设有利于加大塑料废弃物再生利用。</w:t>
                  </w:r>
                </w:p>
              </w:tc>
              <w:tc>
                <w:tcPr>
                  <w:tcW w:w="44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027F17">
                  <w:pPr>
                    <w:pStyle w:val="53"/>
                    <w:bidi w:val="0"/>
                    <w:rPr>
                      <w:rFonts w:hint="default"/>
                      <w:color w:val="auto"/>
                      <w:lang w:val="en-US" w:eastAsia="zh-CN"/>
                    </w:rPr>
                  </w:pPr>
                  <w:r>
                    <w:rPr>
                      <w:rFonts w:hint="default"/>
                      <w:color w:val="auto"/>
                      <w:lang w:val="en-US" w:eastAsia="zh-CN"/>
                    </w:rPr>
                    <w:t>相符</w:t>
                  </w:r>
                </w:p>
              </w:tc>
            </w:tr>
          </w:tbl>
          <w:p w14:paraId="5ED42045">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综上所述，项目符合</w:t>
            </w:r>
            <w:r>
              <w:rPr>
                <w:rFonts w:hint="eastAsia" w:ascii="Times New Roman" w:hAnsi="Times New Roman" w:eastAsia="宋体" w:cs="Times New Roman"/>
                <w:color w:val="auto"/>
                <w:lang w:val="en-US" w:eastAsia="zh-CN"/>
              </w:rPr>
              <w:t>《国家发展和改革委员会 生态环境部关于印发“十四五”塑料污染治理行动方案的通知》（发改环资〔2021〕1298号）</w:t>
            </w:r>
            <w:r>
              <w:rPr>
                <w:rFonts w:hint="default" w:ascii="Times New Roman" w:hAnsi="Times New Roman" w:cs="Times New Roman"/>
                <w:color w:val="auto"/>
              </w:rPr>
              <w:t>的相关要求。</w:t>
            </w:r>
          </w:p>
          <w:p w14:paraId="06AABC40">
            <w:pPr>
              <w:pStyle w:val="51"/>
              <w:bidi w:val="0"/>
              <w:rPr>
                <w:rFonts w:hint="default"/>
                <w:b/>
                <w:bCs/>
                <w:color w:val="auto"/>
                <w:lang w:val="en-US" w:eastAsia="zh-CN"/>
              </w:rPr>
            </w:pPr>
            <w:r>
              <w:rPr>
                <w:rFonts w:hint="eastAsia"/>
                <w:b/>
                <w:bCs/>
                <w:color w:val="auto"/>
                <w:lang w:val="en-US" w:eastAsia="zh-CN"/>
              </w:rPr>
              <w:t>12、与《挥发性有机物（VOCs）污染防治技术政策》的符合性分析</w:t>
            </w:r>
          </w:p>
          <w:p w14:paraId="59C5113D">
            <w:pPr>
              <w:pStyle w:val="52"/>
              <w:bidi w:val="0"/>
              <w:rPr>
                <w:rFonts w:hint="default"/>
                <w:color w:val="auto"/>
                <w:lang w:val="en-US" w:eastAsia="zh-CN"/>
              </w:rPr>
            </w:pPr>
            <w:r>
              <w:rPr>
                <w:rFonts w:hint="eastAsia"/>
                <w:color w:val="auto"/>
                <w:lang w:val="en-US" w:eastAsia="zh-CN"/>
              </w:rPr>
              <w:t>表1-13     项目与《挥发性有机物（VOCs）污染防治技术政策》符合性分析一览表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7"/>
              <w:gridCol w:w="4154"/>
              <w:gridCol w:w="1851"/>
              <w:gridCol w:w="625"/>
            </w:tblGrid>
            <w:tr w14:paraId="4F1D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1" w:hRule="atLeast"/>
                <w:jc w:val="center"/>
              </w:trPr>
              <w:tc>
                <w:tcPr>
                  <w:tcW w:w="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46A2EC">
                  <w:pPr>
                    <w:pStyle w:val="53"/>
                    <w:bidi w:val="0"/>
                    <w:rPr>
                      <w:rFonts w:hint="default"/>
                      <w:color w:val="auto"/>
                      <w:lang w:val="en-US" w:eastAsia="zh-CN"/>
                    </w:rPr>
                  </w:pPr>
                  <w:r>
                    <w:rPr>
                      <w:rFonts w:hint="default"/>
                      <w:color w:val="auto"/>
                      <w:lang w:val="en-US" w:eastAsia="zh-CN"/>
                    </w:rPr>
                    <w:t>序号</w:t>
                  </w:r>
                </w:p>
              </w:tc>
              <w:tc>
                <w:tcPr>
                  <w:tcW w:w="29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20E54F">
                  <w:pPr>
                    <w:pStyle w:val="53"/>
                    <w:bidi w:val="0"/>
                    <w:rPr>
                      <w:rFonts w:hint="default"/>
                      <w:color w:val="auto"/>
                      <w:lang w:val="en-US" w:eastAsia="zh-CN"/>
                    </w:rPr>
                  </w:pPr>
                  <w:r>
                    <w:rPr>
                      <w:rFonts w:hint="eastAsia"/>
                      <w:color w:val="auto"/>
                      <w:lang w:val="en-US" w:eastAsia="zh-CN"/>
                    </w:rPr>
                    <w:t>《挥发性有机物（VOCs）污染防治技术政策》</w:t>
                  </w:r>
                </w:p>
              </w:tc>
              <w:tc>
                <w:tcPr>
                  <w:tcW w:w="1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AB5B98">
                  <w:pPr>
                    <w:pStyle w:val="53"/>
                    <w:bidi w:val="0"/>
                    <w:rPr>
                      <w:rFonts w:hint="default"/>
                      <w:color w:val="auto"/>
                      <w:lang w:val="en-US" w:eastAsia="zh-CN"/>
                    </w:rPr>
                  </w:pPr>
                  <w:r>
                    <w:rPr>
                      <w:rFonts w:hint="default"/>
                      <w:color w:val="auto"/>
                      <w:lang w:val="en-US" w:eastAsia="zh-CN"/>
                    </w:rPr>
                    <w:t>项目情况</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7DEF4E5">
                  <w:pPr>
                    <w:pStyle w:val="53"/>
                    <w:bidi w:val="0"/>
                    <w:rPr>
                      <w:rFonts w:hint="default"/>
                      <w:color w:val="auto"/>
                      <w:lang w:val="en-US" w:eastAsia="zh-CN"/>
                    </w:rPr>
                  </w:pPr>
                  <w:r>
                    <w:rPr>
                      <w:rFonts w:hint="eastAsia"/>
                      <w:color w:val="auto"/>
                      <w:lang w:val="en-US" w:eastAsia="zh-CN"/>
                    </w:rPr>
                    <w:t>符合性</w:t>
                  </w:r>
                </w:p>
              </w:tc>
            </w:tr>
            <w:tr w14:paraId="3FB4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6E72BC0">
                  <w:pPr>
                    <w:pStyle w:val="53"/>
                    <w:bidi w:val="0"/>
                    <w:rPr>
                      <w:rFonts w:hint="default"/>
                      <w:color w:val="auto"/>
                      <w:lang w:val="en-US" w:eastAsia="zh-CN"/>
                    </w:rPr>
                  </w:pPr>
                  <w:r>
                    <w:rPr>
                      <w:rFonts w:hint="default"/>
                      <w:color w:val="auto"/>
                      <w:lang w:val="en-US" w:eastAsia="zh-CN"/>
                    </w:rPr>
                    <w:t>1</w:t>
                  </w:r>
                </w:p>
              </w:tc>
              <w:tc>
                <w:tcPr>
                  <w:tcW w:w="29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138B6F">
                  <w:pPr>
                    <w:pStyle w:val="53"/>
                    <w:bidi w:val="0"/>
                    <w:rPr>
                      <w:rFonts w:hint="eastAsia" w:eastAsia="微软雅黑"/>
                      <w:color w:val="auto"/>
                      <w:lang w:val="en-US" w:eastAsia="zh-CN"/>
                    </w:rPr>
                  </w:pPr>
                  <w:r>
                    <w:rPr>
                      <w:color w:val="auto"/>
                    </w:rPr>
                    <w:t>三、末端治理与综合利用</w:t>
                  </w:r>
                  <w:r>
                    <w:rPr>
                      <w:rFonts w:hint="eastAsia"/>
                      <w:color w:val="auto"/>
                      <w:lang w:eastAsia="zh-CN"/>
                    </w:rPr>
                    <w:t>：</w:t>
                  </w:r>
                  <w:r>
                    <w:rPr>
                      <w:color w:val="auto"/>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CF178D">
                  <w:pPr>
                    <w:pStyle w:val="53"/>
                    <w:bidi w:val="0"/>
                    <w:rPr>
                      <w:rFonts w:hint="default"/>
                      <w:color w:val="auto"/>
                      <w:lang w:val="en-US" w:eastAsia="zh-CN"/>
                    </w:rPr>
                  </w:pPr>
                  <w:r>
                    <w:rPr>
                      <w:rFonts w:hint="eastAsia"/>
                      <w:color w:val="auto"/>
                      <w:lang w:val="en-US" w:eastAsia="zh-CN"/>
                    </w:rPr>
                    <w:t>项目产生的非甲烷总烃经三级活性炭装置处理后由15m高排气筒排放。</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6F02E5">
                  <w:pPr>
                    <w:pStyle w:val="53"/>
                    <w:bidi w:val="0"/>
                    <w:rPr>
                      <w:rFonts w:hint="default"/>
                      <w:color w:val="auto"/>
                      <w:lang w:val="en-US" w:eastAsia="zh-CN"/>
                    </w:rPr>
                  </w:pPr>
                  <w:r>
                    <w:rPr>
                      <w:rFonts w:hint="eastAsia"/>
                      <w:color w:val="auto"/>
                      <w:lang w:val="en-US" w:eastAsia="zh-CN"/>
                    </w:rPr>
                    <w:t>符合</w:t>
                  </w:r>
                </w:p>
              </w:tc>
            </w:tr>
            <w:tr w14:paraId="2500B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61C3D6">
                  <w:pPr>
                    <w:pStyle w:val="53"/>
                    <w:bidi w:val="0"/>
                    <w:rPr>
                      <w:rFonts w:hint="default"/>
                      <w:color w:val="auto"/>
                      <w:lang w:val="en-US" w:eastAsia="zh-CN"/>
                    </w:rPr>
                  </w:pPr>
                  <w:r>
                    <w:rPr>
                      <w:rFonts w:hint="eastAsia"/>
                      <w:color w:val="auto"/>
                      <w:lang w:val="en-US" w:eastAsia="zh-CN"/>
                    </w:rPr>
                    <w:t>2</w:t>
                  </w:r>
                </w:p>
              </w:tc>
              <w:tc>
                <w:tcPr>
                  <w:tcW w:w="293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3B45C0">
                  <w:pPr>
                    <w:pStyle w:val="53"/>
                    <w:bidi w:val="0"/>
                    <w:rPr>
                      <w:rFonts w:hint="eastAsia"/>
                      <w:color w:val="auto"/>
                      <w:lang w:eastAsia="zh-CN"/>
                    </w:rPr>
                  </w:pPr>
                  <w:r>
                    <w:rPr>
                      <w:color w:val="auto"/>
                    </w:rPr>
                    <w:t>五、运行与监测</w:t>
                  </w:r>
                  <w:r>
                    <w:rPr>
                      <w:rFonts w:hint="eastAsia"/>
                      <w:color w:val="auto"/>
                      <w:lang w:eastAsia="zh-CN"/>
                    </w:rPr>
                    <w:t>：</w:t>
                  </w:r>
                  <w:r>
                    <w:rPr>
                      <w:color w:val="auto"/>
                    </w:rPr>
                    <w:t>（二十六）企业应建立健全VOCs治理设施的运行维护规程</w:t>
                  </w:r>
                  <w:r>
                    <w:rPr>
                      <w:rFonts w:hint="eastAsia"/>
                      <w:color w:val="auto"/>
                      <w:lang w:eastAsia="zh-CN"/>
                    </w:rPr>
                    <w:t>和台账</w:t>
                  </w:r>
                  <w:r>
                    <w:rPr>
                      <w:color w:val="auto"/>
                    </w:rPr>
                    <w:t>等日常管理制度，并根据工艺要求定期对各类设备、电气、自控仪表等进行检修维护，确保设施的稳定运行。</w:t>
                  </w:r>
                </w:p>
              </w:tc>
              <w:tc>
                <w:tcPr>
                  <w:tcW w:w="130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5483DF2">
                  <w:pPr>
                    <w:pStyle w:val="53"/>
                    <w:bidi w:val="0"/>
                    <w:rPr>
                      <w:rFonts w:hint="default" w:eastAsia="宋体"/>
                      <w:color w:val="auto"/>
                      <w:lang w:val="en-US" w:eastAsia="zh-CN"/>
                    </w:rPr>
                  </w:pPr>
                  <w:r>
                    <w:rPr>
                      <w:rFonts w:hint="default" w:ascii="Times New Roman" w:hAnsi="Times New Roman" w:eastAsia="宋体" w:cs="Times New Roman"/>
                      <w:color w:val="auto"/>
                      <w:kern w:val="0"/>
                      <w:sz w:val="21"/>
                      <w:szCs w:val="21"/>
                      <w:lang w:val="en-US" w:eastAsia="zh-CN" w:bidi="ar"/>
                    </w:rPr>
                    <w:t>要求企业运行期建立健全VOCs治理设施的运行维护规程</w:t>
                  </w:r>
                  <w:r>
                    <w:rPr>
                      <w:rFonts w:hint="eastAsia" w:ascii="Times New Roman" w:hAnsi="Times New Roman" w:eastAsia="宋体" w:cs="Times New Roman"/>
                      <w:color w:val="auto"/>
                      <w:kern w:val="0"/>
                      <w:sz w:val="21"/>
                      <w:szCs w:val="21"/>
                      <w:lang w:val="en-US" w:eastAsia="zh-CN" w:bidi="ar"/>
                    </w:rPr>
                    <w:t>和台账</w:t>
                  </w:r>
                  <w:r>
                    <w:rPr>
                      <w:rFonts w:hint="default" w:ascii="Times New Roman" w:hAnsi="Times New Roman" w:eastAsia="宋体" w:cs="Times New Roman"/>
                      <w:color w:val="auto"/>
                      <w:kern w:val="0"/>
                      <w:sz w:val="21"/>
                      <w:szCs w:val="21"/>
                      <w:lang w:val="en-US" w:eastAsia="zh-CN" w:bidi="ar"/>
                    </w:rPr>
                    <w:t>等日常管理制度，定期对各类设备、电气、自控仪表等进行检修维护，确保设施的稳定运行。</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811E738">
                  <w:pPr>
                    <w:pStyle w:val="53"/>
                    <w:bidi w:val="0"/>
                    <w:rPr>
                      <w:rFonts w:hint="eastAsia"/>
                      <w:color w:val="auto"/>
                      <w:lang w:val="en-US" w:eastAsia="zh-CN"/>
                    </w:rPr>
                  </w:pPr>
                  <w:r>
                    <w:rPr>
                      <w:rFonts w:hint="eastAsia"/>
                      <w:color w:val="auto"/>
                      <w:lang w:val="en-US" w:eastAsia="zh-CN"/>
                    </w:rPr>
                    <w:t>符合</w:t>
                  </w:r>
                </w:p>
              </w:tc>
            </w:tr>
          </w:tbl>
          <w:p w14:paraId="0581D2A8">
            <w:pPr>
              <w:pStyle w:val="51"/>
              <w:bidi w:val="0"/>
              <w:rPr>
                <w:rFonts w:hint="default"/>
                <w:color w:val="auto"/>
                <w:lang w:val="en-US" w:eastAsia="zh-CN"/>
              </w:rPr>
            </w:pPr>
            <w:r>
              <w:rPr>
                <w:rFonts w:hint="eastAsia"/>
                <w:color w:val="auto"/>
                <w:lang w:val="en-US" w:eastAsia="zh-CN"/>
              </w:rPr>
              <w:t>综上所述，项目与《挥发性有机物（VOCs）污染防治技术政策》相关要求相符。</w:t>
            </w:r>
          </w:p>
          <w:p w14:paraId="5F9F3C36">
            <w:pPr>
              <w:pStyle w:val="51"/>
              <w:ind w:firstLine="480"/>
              <w:rPr>
                <w:rFonts w:hint="default"/>
                <w:b/>
                <w:bCs/>
                <w:color w:val="auto"/>
                <w:lang w:val="en-US" w:eastAsia="zh-CN"/>
              </w:rPr>
            </w:pPr>
            <w:r>
              <w:rPr>
                <w:rFonts w:hint="eastAsia" w:cs="Times New Roman"/>
                <w:b/>
                <w:bCs/>
                <w:color w:val="auto"/>
                <w:lang w:val="en-US" w:eastAsia="zh-CN"/>
              </w:rPr>
              <w:t>13、</w:t>
            </w:r>
            <w:r>
              <w:rPr>
                <w:rFonts w:hint="eastAsia"/>
                <w:b/>
                <w:bCs/>
                <w:color w:val="auto"/>
                <w:lang w:val="en-US" w:eastAsia="zh-CN"/>
              </w:rPr>
              <w:t>与《重点行业挥发性有机物综合治理方案》（环大气〔2019〕53号）的符合性分析</w:t>
            </w:r>
          </w:p>
          <w:p w14:paraId="539446EF">
            <w:pPr>
              <w:pStyle w:val="51"/>
              <w:ind w:firstLine="480"/>
              <w:rPr>
                <w:rFonts w:hint="default" w:cs="Times New Roman"/>
                <w:color w:val="auto"/>
                <w:lang w:val="en-US" w:eastAsia="zh-CN"/>
              </w:rPr>
            </w:pPr>
            <w:r>
              <w:rPr>
                <w:rFonts w:hint="eastAsia" w:cs="Times New Roman"/>
                <w:color w:val="auto"/>
                <w:lang w:val="en-US" w:eastAsia="zh-CN"/>
              </w:rPr>
              <w:t>项目与《重点行业挥发性有机物综合治理方案》的符合性分析见下表。</w:t>
            </w:r>
          </w:p>
          <w:p w14:paraId="0EBFA8C5">
            <w:pPr>
              <w:pStyle w:val="52"/>
              <w:bidi w:val="0"/>
              <w:rPr>
                <w:rFonts w:hint="default"/>
                <w:color w:val="auto"/>
                <w:lang w:val="en-US" w:eastAsia="zh-CN"/>
              </w:rPr>
            </w:pPr>
            <w:r>
              <w:rPr>
                <w:rFonts w:hint="eastAsia"/>
                <w:color w:val="auto"/>
                <w:lang w:val="en-US" w:eastAsia="zh-CN"/>
              </w:rPr>
              <w:t>表1-14    项目与《重点行业挥发性有机物综合治理方案》的符合性分析一览表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98"/>
              <w:gridCol w:w="4504"/>
              <w:gridCol w:w="1340"/>
              <w:gridCol w:w="625"/>
            </w:tblGrid>
            <w:tr w14:paraId="26C0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CA6ACCB">
                  <w:pPr>
                    <w:pStyle w:val="53"/>
                    <w:bidi w:val="0"/>
                    <w:rPr>
                      <w:rFonts w:hint="default"/>
                      <w:color w:val="auto"/>
                      <w:lang w:val="en-US" w:eastAsia="zh-CN"/>
                    </w:rPr>
                  </w:pPr>
                  <w:r>
                    <w:rPr>
                      <w:rFonts w:hint="default"/>
                      <w:color w:val="auto"/>
                      <w:lang w:val="en-US" w:eastAsia="zh-CN"/>
                    </w:rPr>
                    <w:t>序号</w:t>
                  </w:r>
                </w:p>
              </w:tc>
              <w:tc>
                <w:tcPr>
                  <w:tcW w:w="31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72A5B0">
                  <w:pPr>
                    <w:pStyle w:val="53"/>
                    <w:bidi w:val="0"/>
                    <w:rPr>
                      <w:rFonts w:hint="default"/>
                      <w:color w:val="auto"/>
                      <w:lang w:val="en-US" w:eastAsia="zh-CN"/>
                    </w:rPr>
                  </w:pPr>
                  <w:r>
                    <w:rPr>
                      <w:rFonts w:hint="eastAsia"/>
                      <w:color w:val="auto"/>
                      <w:lang w:val="en-US" w:eastAsia="zh-CN"/>
                    </w:rPr>
                    <w:t>《重点行业挥发性有机物综合治理方案》</w:t>
                  </w:r>
                </w:p>
              </w:tc>
              <w:tc>
                <w:tcPr>
                  <w:tcW w:w="9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2474C94">
                  <w:pPr>
                    <w:pStyle w:val="53"/>
                    <w:bidi w:val="0"/>
                    <w:rPr>
                      <w:rFonts w:hint="default"/>
                      <w:color w:val="auto"/>
                      <w:lang w:val="en-US" w:eastAsia="zh-CN"/>
                    </w:rPr>
                  </w:pPr>
                  <w:r>
                    <w:rPr>
                      <w:rFonts w:hint="default"/>
                      <w:color w:val="auto"/>
                      <w:lang w:val="en-US" w:eastAsia="zh-CN"/>
                    </w:rPr>
                    <w:t>项目情况</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7470ED">
                  <w:pPr>
                    <w:pStyle w:val="53"/>
                    <w:bidi w:val="0"/>
                    <w:rPr>
                      <w:rFonts w:hint="default"/>
                      <w:color w:val="auto"/>
                      <w:lang w:val="en-US" w:eastAsia="zh-CN"/>
                    </w:rPr>
                  </w:pPr>
                  <w:r>
                    <w:rPr>
                      <w:rFonts w:hint="eastAsia"/>
                      <w:color w:val="auto"/>
                      <w:lang w:val="en-US" w:eastAsia="zh-CN"/>
                    </w:rPr>
                    <w:t>符合性</w:t>
                  </w:r>
                </w:p>
              </w:tc>
            </w:tr>
            <w:tr w14:paraId="4E13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42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3CDDEF">
                  <w:pPr>
                    <w:pStyle w:val="53"/>
                    <w:bidi w:val="0"/>
                    <w:rPr>
                      <w:rFonts w:hint="default"/>
                      <w:color w:val="auto"/>
                      <w:lang w:val="en-US" w:eastAsia="zh-CN"/>
                    </w:rPr>
                  </w:pPr>
                  <w:r>
                    <w:rPr>
                      <w:rFonts w:hint="default"/>
                      <w:color w:val="auto"/>
                      <w:lang w:val="en-US" w:eastAsia="zh-CN"/>
                    </w:rPr>
                    <w:t>1</w:t>
                  </w:r>
                </w:p>
              </w:tc>
              <w:tc>
                <w:tcPr>
                  <w:tcW w:w="318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0C5503">
                  <w:pPr>
                    <w:pStyle w:val="53"/>
                    <w:bidi w:val="0"/>
                    <w:rPr>
                      <w:rFonts w:hint="eastAsia"/>
                      <w:color w:val="auto"/>
                      <w:lang w:val="en-US" w:eastAsia="zh-CN"/>
                    </w:rPr>
                  </w:pPr>
                  <w:r>
                    <w:rPr>
                      <w:color w:val="auto"/>
                    </w:rPr>
                    <w:t>三、控制思路与要求</w:t>
                  </w:r>
                  <w:r>
                    <w:rPr>
                      <w:rFonts w:hint="eastAsia"/>
                      <w:color w:val="auto"/>
                      <w:lang w:eastAsia="zh-CN"/>
                    </w:rPr>
                    <w:t>：</w:t>
                  </w:r>
                  <w:r>
                    <w:rPr>
                      <w:color w:val="auto"/>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94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0B2DD7">
                  <w:pPr>
                    <w:pStyle w:val="53"/>
                    <w:bidi w:val="0"/>
                    <w:rPr>
                      <w:rFonts w:hint="default"/>
                      <w:color w:val="auto"/>
                      <w:lang w:val="en-US" w:eastAsia="zh-CN"/>
                    </w:rPr>
                  </w:pPr>
                  <w:r>
                    <w:rPr>
                      <w:rFonts w:hint="eastAsia"/>
                      <w:color w:val="auto"/>
                      <w:lang w:val="en-US" w:eastAsia="zh-CN"/>
                    </w:rPr>
                    <w:t>项目产生的非甲烷总烃经三级活性炭装置处理后由15m高排气筒排放；活性炭三个月更换一次，更换的活性炭由厂家带走。</w:t>
                  </w:r>
                </w:p>
              </w:tc>
              <w:tc>
                <w:tcPr>
                  <w:tcW w:w="44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806967">
                  <w:pPr>
                    <w:pStyle w:val="53"/>
                    <w:bidi w:val="0"/>
                    <w:rPr>
                      <w:rFonts w:hint="default"/>
                      <w:color w:val="auto"/>
                      <w:lang w:val="en-US" w:eastAsia="zh-CN"/>
                    </w:rPr>
                  </w:pPr>
                  <w:r>
                    <w:rPr>
                      <w:rFonts w:hint="eastAsia"/>
                      <w:color w:val="auto"/>
                      <w:lang w:val="en-US" w:eastAsia="zh-CN"/>
                    </w:rPr>
                    <w:t>符合</w:t>
                  </w:r>
                </w:p>
              </w:tc>
            </w:tr>
          </w:tbl>
          <w:p w14:paraId="479D0329">
            <w:pPr>
              <w:pStyle w:val="51"/>
              <w:ind w:firstLine="480"/>
              <w:rPr>
                <w:rFonts w:hint="default" w:ascii="Times New Roman" w:hAnsi="Times New Roman" w:cs="Times New Roman"/>
                <w:color w:val="auto"/>
              </w:rPr>
            </w:pPr>
            <w:r>
              <w:rPr>
                <w:rFonts w:hint="eastAsia" w:cs="Times New Roman"/>
                <w:color w:val="auto"/>
                <w:lang w:val="en-US" w:eastAsia="zh-CN"/>
              </w:rPr>
              <w:t>综上所述，项目与《重点行业挥发性有机物综合治理方案》的相关要求相符。</w:t>
            </w:r>
          </w:p>
          <w:p w14:paraId="1DDE41BA">
            <w:pPr>
              <w:pStyle w:val="51"/>
              <w:ind w:firstLine="482"/>
              <w:rPr>
                <w:rFonts w:hint="default" w:ascii="Times New Roman" w:hAnsi="Times New Roman" w:cs="Times New Roman"/>
                <w:b/>
                <w:color w:val="auto"/>
                <w:kern w:val="0"/>
              </w:rPr>
            </w:pPr>
            <w:r>
              <w:rPr>
                <w:rFonts w:hint="eastAsia" w:cs="Times New Roman"/>
                <w:b/>
                <w:color w:val="auto"/>
                <w:kern w:val="0"/>
                <w:lang w:val="en-US" w:eastAsia="zh-CN"/>
              </w:rPr>
              <w:t>14、</w:t>
            </w:r>
            <w:r>
              <w:rPr>
                <w:rFonts w:hint="default" w:ascii="Times New Roman" w:hAnsi="Times New Roman" w:cs="Times New Roman"/>
                <w:b/>
                <w:color w:val="auto"/>
                <w:kern w:val="0"/>
              </w:rPr>
              <w:t>项目选址合理性分析</w:t>
            </w:r>
          </w:p>
          <w:p w14:paraId="0D9C8882">
            <w:pPr>
              <w:pStyle w:val="51"/>
              <w:ind w:firstLine="480"/>
              <w:rPr>
                <w:rFonts w:hint="eastAsia" w:cs="Times New Roman"/>
                <w:color w:val="auto"/>
                <w:lang w:val="en-US" w:eastAsia="zh-CN"/>
              </w:rPr>
            </w:pPr>
            <w:r>
              <w:rPr>
                <w:rFonts w:hint="default" w:ascii="Times New Roman" w:hAnsi="Times New Roman" w:cs="Times New Roman"/>
                <w:color w:val="auto"/>
              </w:rPr>
              <w:t>项目位于</w:t>
            </w:r>
            <w:r>
              <w:rPr>
                <w:rFonts w:hint="eastAsia" w:cs="Times New Roman"/>
                <w:color w:val="auto"/>
                <w:lang w:eastAsia="zh-CN"/>
              </w:rPr>
              <w:t>曲靖市麒麟区越州镇老吴村委会（原平板玻璃厂内），</w:t>
            </w:r>
            <w:r>
              <w:rPr>
                <w:rFonts w:hint="eastAsia" w:cs="Times New Roman"/>
                <w:color w:val="auto"/>
                <w:lang w:val="en-US" w:eastAsia="zh-CN"/>
              </w:rPr>
              <w:t>用地类型为工业用地，项目周边企业为泡沫箱生产企业、冷库。项目</w:t>
            </w:r>
            <w:r>
              <w:rPr>
                <w:rFonts w:hint="default" w:ascii="Times New Roman" w:hAnsi="Times New Roman" w:cs="Times New Roman"/>
                <w:color w:val="auto"/>
              </w:rPr>
              <w:t>厂址不涉及生态保护区、自然保护区、饮用水水源保护区、基本农田，</w:t>
            </w:r>
            <w:r>
              <w:rPr>
                <w:rFonts w:hint="default" w:ascii="Times New Roman" w:hAnsi="Times New Roman" w:cs="Times New Roman"/>
                <w:color w:val="auto"/>
                <w:szCs w:val="24"/>
              </w:rPr>
              <w:t>不在</w:t>
            </w:r>
            <w:r>
              <w:rPr>
                <w:rFonts w:hint="eastAsia" w:cs="Times New Roman"/>
                <w:color w:val="auto"/>
                <w:szCs w:val="24"/>
                <w:lang w:eastAsia="zh-CN"/>
              </w:rPr>
              <w:t>生态保护红线</w:t>
            </w:r>
            <w:r>
              <w:rPr>
                <w:rFonts w:hint="default" w:ascii="Times New Roman" w:hAnsi="Times New Roman" w:cs="Times New Roman"/>
                <w:color w:val="auto"/>
                <w:szCs w:val="24"/>
              </w:rPr>
              <w:t>范围内</w:t>
            </w:r>
            <w:r>
              <w:rPr>
                <w:rFonts w:hint="default" w:ascii="Times New Roman" w:hAnsi="Times New Roman" w:cs="Times New Roman"/>
                <w:color w:val="auto"/>
              </w:rPr>
              <w:t>；根据现场调查，项目区内无国家规定的保护动植物</w:t>
            </w:r>
            <w:r>
              <w:rPr>
                <w:rFonts w:hint="eastAsia" w:cs="Times New Roman"/>
                <w:color w:val="auto"/>
                <w:lang w:eastAsia="zh-CN"/>
              </w:rPr>
              <w:t>；</w:t>
            </w:r>
            <w:r>
              <w:rPr>
                <w:rFonts w:hint="eastAsia" w:cs="Times New Roman"/>
                <w:color w:val="auto"/>
                <w:lang w:val="en-US" w:eastAsia="zh-CN"/>
              </w:rPr>
              <w:t>项目为塑料颗粒生产项目，产品生产对外环境无特殊要求，排放的废气污染物为颗粒物、非甲烷总烃，对周边企业生产环境影响小。</w:t>
            </w:r>
          </w:p>
          <w:p w14:paraId="55B62B74">
            <w:pPr>
              <w:pStyle w:val="51"/>
              <w:ind w:firstLine="480"/>
              <w:rPr>
                <w:rFonts w:hint="default" w:cs="Times New Roman"/>
                <w:color w:val="auto"/>
                <w:lang w:val="en-US" w:eastAsia="zh-CN"/>
              </w:rPr>
            </w:pPr>
            <w:r>
              <w:rPr>
                <w:rStyle w:val="58"/>
                <w:color w:val="auto"/>
              </w:rPr>
              <w:t>项目所在区域为大气环境质量达标区域，大气环境质量现状能满足《环境空气质量标准》（GB3095-2012）二级标准要求；为地表水环境质量达标区域，地表水环境质量现状能满足《地表水环境质量标准》（GB3838-2002</w:t>
            </w:r>
            <w:r>
              <w:rPr>
                <w:rStyle w:val="58"/>
                <w:rFonts w:hint="eastAsia"/>
                <w:color w:val="auto"/>
              </w:rPr>
              <w:t>）Ⅲ</w:t>
            </w:r>
            <w:r>
              <w:rPr>
                <w:rStyle w:val="58"/>
                <w:color w:val="auto"/>
              </w:rPr>
              <w:t>类水质标准要求；项目所在区域声环境质量能满足《声环境质量标准》（GB3096-2008）2类区标准要求</w:t>
            </w:r>
            <w:r>
              <w:rPr>
                <w:rStyle w:val="58"/>
                <w:rFonts w:hint="eastAsia"/>
                <w:color w:val="auto"/>
              </w:rPr>
              <w:t>。</w:t>
            </w:r>
            <w:r>
              <w:rPr>
                <w:rFonts w:hint="default" w:ascii="Times New Roman" w:hAnsi="Times New Roman" w:cs="Times New Roman"/>
                <w:color w:val="auto"/>
              </w:rPr>
              <w:t>项目运营期间产生的废水、废气、噪声、固废等各项污染物通过采取本环评提</w:t>
            </w:r>
            <w:r>
              <w:rPr>
                <w:rFonts w:hint="eastAsia" w:cs="Times New Roman"/>
                <w:color w:val="auto"/>
                <w:lang w:eastAsia="zh-CN"/>
              </w:rPr>
              <w:t>出的</w:t>
            </w:r>
            <w:r>
              <w:rPr>
                <w:rFonts w:hint="default" w:ascii="Times New Roman" w:hAnsi="Times New Roman" w:cs="Times New Roman"/>
                <w:color w:val="auto"/>
              </w:rPr>
              <w:t>相应治理措施后均可达标排放或得到合理处置</w:t>
            </w:r>
            <w:r>
              <w:rPr>
                <w:rFonts w:hint="eastAsia" w:cs="Times New Roman"/>
                <w:color w:val="auto"/>
                <w:lang w:eastAsia="zh-CN"/>
              </w:rPr>
              <w:t>；</w:t>
            </w:r>
            <w:r>
              <w:rPr>
                <w:rFonts w:hint="eastAsia" w:cs="Times New Roman"/>
                <w:color w:val="auto"/>
                <w:lang w:val="en-US" w:eastAsia="zh-CN"/>
              </w:rPr>
              <w:t>距离较近的环境保护目标为老吴新村，项目排放废气、噪声均能达标排放，对周边环境和环境保护目标影响小，</w:t>
            </w:r>
            <w:r>
              <w:rPr>
                <w:color w:val="auto"/>
                <w:sz w:val="24"/>
              </w:rPr>
              <w:t>项目选址符合相关环保政策要求。</w:t>
            </w:r>
          </w:p>
          <w:p w14:paraId="701A55D5">
            <w:pPr>
              <w:pStyle w:val="51"/>
              <w:ind w:firstLine="480"/>
              <w:rPr>
                <w:rFonts w:hint="default" w:ascii="Times New Roman" w:hAnsi="Times New Roman" w:cs="Times New Roman"/>
                <w:color w:val="auto"/>
                <w:kern w:val="0"/>
              </w:rPr>
            </w:pPr>
            <w:r>
              <w:rPr>
                <w:rFonts w:hint="default" w:ascii="Times New Roman" w:hAnsi="Times New Roman" w:cs="Times New Roman"/>
                <w:color w:val="auto"/>
                <w:kern w:val="0"/>
              </w:rPr>
              <w:t>综上所述，项目选址合理。</w:t>
            </w:r>
          </w:p>
          <w:p w14:paraId="7AE785C4">
            <w:pPr>
              <w:pStyle w:val="51"/>
              <w:ind w:left="0" w:leftChars="0" w:firstLine="0" w:firstLineChars="0"/>
              <w:rPr>
                <w:rFonts w:hint="default" w:ascii="Times New Roman" w:hAnsi="Times New Roman" w:cs="Times New Roman"/>
                <w:color w:val="auto"/>
                <w:kern w:val="0"/>
              </w:rPr>
            </w:pPr>
          </w:p>
          <w:p w14:paraId="54115214">
            <w:pPr>
              <w:pStyle w:val="51"/>
              <w:ind w:left="0" w:leftChars="0" w:firstLine="0" w:firstLineChars="0"/>
              <w:rPr>
                <w:rFonts w:hint="default" w:ascii="Times New Roman" w:hAnsi="Times New Roman" w:cs="Times New Roman"/>
                <w:color w:val="auto"/>
                <w:kern w:val="0"/>
              </w:rPr>
            </w:pPr>
          </w:p>
          <w:p w14:paraId="13BB18E2">
            <w:pPr>
              <w:pStyle w:val="51"/>
              <w:ind w:left="0" w:leftChars="0" w:firstLine="0" w:firstLineChars="0"/>
              <w:rPr>
                <w:rFonts w:hint="default" w:ascii="Times New Roman" w:hAnsi="Times New Roman" w:cs="Times New Roman"/>
                <w:color w:val="auto"/>
                <w:kern w:val="0"/>
              </w:rPr>
            </w:pPr>
          </w:p>
          <w:p w14:paraId="3E8099C5">
            <w:pPr>
              <w:pStyle w:val="51"/>
              <w:ind w:left="0" w:leftChars="0" w:firstLine="0" w:firstLineChars="0"/>
              <w:rPr>
                <w:rFonts w:hint="default" w:ascii="Times New Roman" w:hAnsi="Times New Roman" w:cs="Times New Roman"/>
                <w:color w:val="auto"/>
                <w:kern w:val="0"/>
              </w:rPr>
            </w:pPr>
          </w:p>
          <w:p w14:paraId="6033850D">
            <w:pPr>
              <w:pStyle w:val="51"/>
              <w:ind w:left="0" w:leftChars="0" w:firstLine="0" w:firstLineChars="0"/>
              <w:rPr>
                <w:rFonts w:hint="default" w:ascii="Times New Roman" w:hAnsi="Times New Roman" w:cs="Times New Roman"/>
                <w:color w:val="auto"/>
                <w:kern w:val="0"/>
              </w:rPr>
            </w:pPr>
          </w:p>
          <w:p w14:paraId="5C76C6BC">
            <w:pPr>
              <w:pStyle w:val="51"/>
              <w:ind w:left="0" w:leftChars="0" w:firstLine="0" w:firstLineChars="0"/>
              <w:rPr>
                <w:rFonts w:hint="default" w:ascii="Times New Roman" w:hAnsi="Times New Roman" w:cs="Times New Roman"/>
                <w:color w:val="auto"/>
                <w:kern w:val="0"/>
              </w:rPr>
            </w:pPr>
          </w:p>
          <w:p w14:paraId="63C17E9C">
            <w:pPr>
              <w:pStyle w:val="51"/>
              <w:ind w:left="0" w:leftChars="0" w:firstLine="0" w:firstLineChars="0"/>
              <w:rPr>
                <w:rFonts w:hint="default" w:ascii="Times New Roman" w:hAnsi="Times New Roman" w:cs="Times New Roman"/>
                <w:color w:val="auto"/>
                <w:kern w:val="0"/>
              </w:rPr>
            </w:pPr>
          </w:p>
          <w:p w14:paraId="739B21CD">
            <w:pPr>
              <w:pStyle w:val="51"/>
              <w:ind w:left="0" w:leftChars="0" w:firstLine="0" w:firstLineChars="0"/>
              <w:rPr>
                <w:rFonts w:hint="default" w:ascii="Times New Roman" w:hAnsi="Times New Roman" w:cs="Times New Roman"/>
                <w:color w:val="auto"/>
                <w:kern w:val="0"/>
              </w:rPr>
            </w:pPr>
          </w:p>
          <w:p w14:paraId="47F43E59">
            <w:pPr>
              <w:pStyle w:val="51"/>
              <w:ind w:left="0" w:leftChars="0" w:firstLine="0" w:firstLineChars="0"/>
              <w:rPr>
                <w:rFonts w:hint="default" w:ascii="Times New Roman" w:hAnsi="Times New Roman" w:cs="Times New Roman"/>
                <w:color w:val="auto"/>
                <w:kern w:val="0"/>
              </w:rPr>
            </w:pPr>
          </w:p>
          <w:p w14:paraId="1E34241C">
            <w:pPr>
              <w:pStyle w:val="51"/>
              <w:ind w:left="0" w:leftChars="0" w:firstLine="0" w:firstLineChars="0"/>
              <w:rPr>
                <w:rFonts w:hint="default" w:ascii="Times New Roman" w:hAnsi="Times New Roman" w:cs="Times New Roman"/>
                <w:color w:val="auto"/>
                <w:kern w:val="0"/>
              </w:rPr>
            </w:pPr>
          </w:p>
          <w:p w14:paraId="540701E8">
            <w:pPr>
              <w:pStyle w:val="51"/>
              <w:ind w:left="0" w:leftChars="0" w:firstLine="0" w:firstLineChars="0"/>
              <w:rPr>
                <w:rFonts w:hint="default" w:ascii="Times New Roman" w:hAnsi="Times New Roman" w:cs="Times New Roman"/>
                <w:color w:val="auto"/>
                <w:kern w:val="0"/>
              </w:rPr>
            </w:pPr>
          </w:p>
          <w:p w14:paraId="5DE1A27C">
            <w:pPr>
              <w:pStyle w:val="51"/>
              <w:ind w:left="0" w:leftChars="0" w:firstLine="0" w:firstLineChars="0"/>
              <w:rPr>
                <w:rFonts w:hint="default" w:ascii="Times New Roman" w:hAnsi="Times New Roman" w:cs="Times New Roman"/>
                <w:color w:val="auto"/>
                <w:kern w:val="0"/>
              </w:rPr>
            </w:pPr>
          </w:p>
          <w:p w14:paraId="6B99C133">
            <w:pPr>
              <w:pStyle w:val="51"/>
              <w:ind w:left="0" w:leftChars="0" w:firstLine="0" w:firstLineChars="0"/>
              <w:rPr>
                <w:rFonts w:hint="default" w:ascii="Times New Roman" w:hAnsi="Times New Roman" w:cs="Times New Roman"/>
                <w:color w:val="auto"/>
                <w:kern w:val="0"/>
              </w:rPr>
            </w:pPr>
          </w:p>
          <w:p w14:paraId="241737CB">
            <w:pPr>
              <w:pStyle w:val="51"/>
              <w:ind w:left="0" w:leftChars="0" w:firstLine="0" w:firstLineChars="0"/>
              <w:rPr>
                <w:rFonts w:hint="default" w:ascii="Times New Roman" w:hAnsi="Times New Roman" w:cs="Times New Roman"/>
                <w:color w:val="auto"/>
                <w:kern w:val="0"/>
              </w:rPr>
            </w:pPr>
          </w:p>
          <w:p w14:paraId="0C6E5574">
            <w:pPr>
              <w:pStyle w:val="51"/>
              <w:ind w:left="0" w:leftChars="0" w:firstLine="0" w:firstLineChars="0"/>
              <w:rPr>
                <w:rFonts w:hint="default" w:ascii="Times New Roman" w:hAnsi="Times New Roman" w:cs="Times New Roman"/>
                <w:color w:val="auto"/>
                <w:kern w:val="0"/>
              </w:rPr>
            </w:pPr>
          </w:p>
          <w:p w14:paraId="743F3CD8">
            <w:pPr>
              <w:pStyle w:val="51"/>
              <w:ind w:left="0" w:leftChars="0" w:firstLine="0" w:firstLineChars="0"/>
              <w:rPr>
                <w:rFonts w:hint="default" w:ascii="Times New Roman" w:hAnsi="Times New Roman" w:cs="Times New Roman"/>
                <w:color w:val="auto"/>
                <w:kern w:val="0"/>
              </w:rPr>
            </w:pPr>
          </w:p>
        </w:tc>
      </w:tr>
    </w:tbl>
    <w:p w14:paraId="2B618FB4">
      <w:pPr>
        <w:spacing w:line="360" w:lineRule="auto"/>
        <w:outlineLvl w:val="0"/>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166F3498">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635"/>
      </w:tblGrid>
      <w:tr w14:paraId="3D1639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0" w:hRule="atLeast"/>
          <w:jc w:val="center"/>
        </w:trPr>
        <w:tc>
          <w:tcPr>
            <w:tcW w:w="823" w:type="dxa"/>
            <w:vAlign w:val="center"/>
          </w:tcPr>
          <w:p w14:paraId="16D4BC5B">
            <w:pPr>
              <w:pStyle w:val="1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161" w:type="dxa"/>
          </w:tcPr>
          <w:p w14:paraId="52C08F4A">
            <w:pPr>
              <w:pStyle w:val="51"/>
              <w:ind w:firstLine="482"/>
              <w:rPr>
                <w:rFonts w:hint="default" w:ascii="Times New Roman" w:hAnsi="Times New Roman" w:cs="Times New Roman"/>
                <w:b/>
                <w:bCs/>
                <w:color w:val="auto"/>
              </w:rPr>
            </w:pPr>
            <w:r>
              <w:rPr>
                <w:rFonts w:hint="default" w:ascii="Times New Roman" w:hAnsi="Times New Roman" w:cs="Times New Roman"/>
                <w:b/>
                <w:bCs/>
                <w:color w:val="auto"/>
              </w:rPr>
              <w:t>1、项目由来</w:t>
            </w:r>
          </w:p>
          <w:p w14:paraId="1A5F581A">
            <w:pPr>
              <w:pStyle w:val="51"/>
              <w:ind w:firstLine="480"/>
              <w:rPr>
                <w:rFonts w:hint="default" w:hAnsi="Times New Roman" w:eastAsia="宋体"/>
                <w:color w:val="auto"/>
                <w:lang w:val="en-US" w:eastAsia="zh-CN"/>
              </w:rPr>
            </w:pPr>
            <w:r>
              <w:rPr>
                <w:rFonts w:hint="eastAsia" w:cs="Times New Roman"/>
                <w:color w:val="auto"/>
                <w:lang w:val="en-US" w:eastAsia="zh-CN"/>
              </w:rPr>
              <w:t>2020年</w:t>
            </w:r>
            <w:r>
              <w:rPr>
                <w:rFonts w:hint="default" w:ascii="Times New Roman" w:hAnsi="Times New Roman" w:cs="Times New Roman"/>
                <w:color w:val="auto"/>
              </w:rPr>
              <w:t>曲靖银栖废旧物资回收利用有限公司</w:t>
            </w:r>
            <w:r>
              <w:rPr>
                <w:rFonts w:hint="eastAsia" w:cs="Times New Roman"/>
                <w:color w:val="auto"/>
                <w:lang w:val="en-US" w:eastAsia="zh-CN"/>
              </w:rPr>
              <w:t>租赁原平板玻璃厂用地建设</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default" w:ascii="Times New Roman" w:hAnsi="Times New Roman" w:cs="Times New Roman"/>
                <w:color w:val="auto"/>
              </w:rPr>
              <w:t>，建设废旧日用包装物破碎洗涤生产线及污水处理设施等，一期建设面积10000m</w:t>
            </w:r>
            <w:r>
              <w:rPr>
                <w:rFonts w:hint="default" w:ascii="Times New Roman" w:hAnsi="Times New Roman" w:cs="Times New Roman"/>
                <w:color w:val="auto"/>
                <w:vertAlign w:val="superscript"/>
              </w:rPr>
              <w:t>2</w:t>
            </w:r>
            <w:r>
              <w:rPr>
                <w:rFonts w:hint="default" w:ascii="Times New Roman" w:hAnsi="Times New Roman" w:cs="Times New Roman"/>
                <w:color w:val="auto"/>
              </w:rPr>
              <w:t>，年回收3万吨废旧包装物</w:t>
            </w:r>
            <w:r>
              <w:rPr>
                <w:rFonts w:hint="eastAsia" w:cs="Times New Roman"/>
                <w:color w:val="auto"/>
                <w:lang w:eastAsia="zh-CN"/>
              </w:rPr>
              <w:t>（</w:t>
            </w:r>
            <w:r>
              <w:rPr>
                <w:rFonts w:hint="default" w:ascii="Times New Roman" w:hAnsi="Times New Roman" w:cs="Times New Roman"/>
                <w:color w:val="auto"/>
              </w:rPr>
              <w:t>矿泉水瓶、饮料瓶、油瓶</w:t>
            </w:r>
            <w:r>
              <w:rPr>
                <w:rFonts w:hint="eastAsia" w:cs="Times New Roman"/>
                <w:color w:val="auto"/>
                <w:lang w:eastAsia="zh-CN"/>
              </w:rPr>
              <w:t>）</w:t>
            </w:r>
            <w:r>
              <w:rPr>
                <w:rFonts w:hint="default" w:ascii="Times New Roman" w:hAnsi="Times New Roman" w:cs="Times New Roman"/>
                <w:color w:val="auto"/>
              </w:rPr>
              <w:t>，建设破碎洗涤生产线及相应环保设施，年生产碎塑料3万吨</w:t>
            </w:r>
            <w:r>
              <w:rPr>
                <w:rFonts w:hint="eastAsia" w:cs="Times New Roman"/>
                <w:color w:val="auto"/>
                <w:lang w:eastAsia="zh-CN"/>
              </w:rPr>
              <w:t>，</w:t>
            </w:r>
            <w:r>
              <w:rPr>
                <w:rFonts w:hint="eastAsia" w:cs="Times New Roman"/>
                <w:color w:val="auto"/>
                <w:lang w:val="en-US" w:eastAsia="zh-CN"/>
              </w:rPr>
              <w:t>生产工艺为：原料入库→湿式破碎→粗洗→二次清洗→甩干→包装→成品。</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cs="Times New Roman"/>
                <w:color w:val="auto"/>
                <w:lang w:val="en-US" w:eastAsia="zh-CN"/>
              </w:rPr>
              <w:t>2020年10月开始施工建设、2021年6月竣工并进行调试，调试后进行竣工环境保护验收，并于2021年10月8日取得了排污许可证；</w:t>
            </w:r>
            <w:r>
              <w:rPr>
                <w:rFonts w:hint="eastAsia" w:hAnsi="Times New Roman"/>
                <w:color w:val="auto"/>
                <w:lang w:val="en-US" w:eastAsia="zh-CN"/>
              </w:rPr>
              <w:t>2022年1月15日进行了</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竣工环境保护验收，形成了验收意见</w:t>
            </w:r>
            <w:r>
              <w:rPr>
                <w:rFonts w:hint="eastAsia" w:hAnsi="Times New Roman"/>
                <w:color w:val="auto"/>
              </w:rPr>
              <w:t>。</w:t>
            </w:r>
            <w:r>
              <w:rPr>
                <w:rFonts w:hint="eastAsia"/>
                <w:color w:val="auto"/>
                <w:lang w:val="en-US" w:eastAsia="zh-CN"/>
              </w:rPr>
              <w:t>根据现场踏勘，</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）现在</w:t>
            </w:r>
            <w:r>
              <w:rPr>
                <w:rFonts w:hint="eastAsia" w:cs="Times New Roman"/>
                <w:color w:val="auto"/>
                <w:lang w:val="en-US" w:eastAsia="zh-CN"/>
              </w:rPr>
              <w:t>正常生产运行中。</w:t>
            </w:r>
          </w:p>
          <w:p w14:paraId="64F29B64">
            <w:pPr>
              <w:pStyle w:val="51"/>
              <w:bidi w:val="0"/>
              <w:rPr>
                <w:rFonts w:hint="eastAsia"/>
                <w:color w:val="auto"/>
                <w:lang w:val="en-US" w:eastAsia="zh-CN"/>
              </w:rPr>
            </w:pPr>
            <w:r>
              <w:rPr>
                <w:rFonts w:hint="eastAsia"/>
                <w:color w:val="auto"/>
                <w:lang w:val="en-US" w:eastAsia="zh-CN"/>
              </w:rPr>
              <w:t>本项目在一期项目（现有项目）场地内进行建设，建设年产10000吨塑料颗粒生产线，生产用原料为现有项目已清洗、破碎的废塑料瓶碎片成品。</w:t>
            </w:r>
          </w:p>
          <w:p w14:paraId="79C93DDC">
            <w:pPr>
              <w:pStyle w:val="51"/>
              <w:bidi w:val="0"/>
              <w:rPr>
                <w:rFonts w:hint="default" w:ascii="Times New Roman" w:hAnsi="Times New Roman" w:cs="Times New Roman"/>
                <w:color w:val="auto"/>
              </w:rPr>
            </w:pPr>
            <w:r>
              <w:rPr>
                <w:rFonts w:hint="default"/>
                <w:color w:val="auto"/>
              </w:rPr>
              <w:t>根据《中华人民共和国环境保护法</w:t>
            </w:r>
            <w:r>
              <w:rPr>
                <w:rFonts w:hint="eastAsia"/>
                <w:color w:val="auto"/>
                <w:lang w:eastAsia="zh-CN"/>
              </w:rPr>
              <w:t>》《</w:t>
            </w:r>
            <w:r>
              <w:rPr>
                <w:rFonts w:hint="default"/>
                <w:color w:val="auto"/>
              </w:rPr>
              <w:t>中华人民共和国环境影响评价法》和《</w:t>
            </w:r>
            <w:r>
              <w:rPr>
                <w:rFonts w:hint="eastAsia"/>
                <w:color w:val="auto"/>
                <w:lang w:val="en-US" w:eastAsia="zh-CN"/>
              </w:rPr>
              <w:t>建设项目环境保护管理条例</w:t>
            </w:r>
            <w:r>
              <w:rPr>
                <w:rFonts w:hint="default"/>
                <w:color w:val="auto"/>
              </w:rPr>
              <w:t>》的规定，本项目</w:t>
            </w:r>
            <w:r>
              <w:rPr>
                <w:rFonts w:hint="default" w:ascii="Times New Roman" w:hAnsi="Times New Roman" w:cs="Times New Roman"/>
                <w:color w:val="auto"/>
                <w:szCs w:val="24"/>
                <w:highlight w:val="none"/>
              </w:rPr>
              <w:t>应开展环境影响评价工作。根据《建设项目环境影响评价分类管理名录》（2021年版）中三十九、废弃资源综合利用业</w:t>
            </w:r>
            <w:r>
              <w:rPr>
                <w:rFonts w:hint="eastAsia" w:cs="Times New Roman"/>
                <w:color w:val="auto"/>
                <w:szCs w:val="24"/>
                <w:highlight w:val="none"/>
                <w:lang w:eastAsia="zh-CN"/>
              </w:rPr>
              <w:t>：</w:t>
            </w:r>
            <w:r>
              <w:rPr>
                <w:rFonts w:hint="default" w:ascii="Times New Roman" w:hAnsi="Times New Roman" w:cs="Times New Roman"/>
                <w:color w:val="auto"/>
                <w:szCs w:val="24"/>
                <w:highlight w:val="none"/>
              </w:rPr>
              <w:t>非金属废料和碎屑加工处理422（不含原料为危险废物的，均不含仅分拣、破碎的）中的“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rFonts w:hint="default"/>
                <w:color w:val="auto"/>
              </w:rPr>
              <w:t>，</w:t>
            </w:r>
            <w:r>
              <w:rPr>
                <w:rFonts w:hint="default" w:ascii="Times New Roman" w:hAnsi="Times New Roman" w:cs="Times New Roman"/>
                <w:color w:val="auto"/>
              </w:rPr>
              <w:t>需编制环境影响报告表。受</w:t>
            </w:r>
            <w:r>
              <w:rPr>
                <w:rFonts w:hint="eastAsia" w:cs="Times New Roman"/>
                <w:color w:val="auto"/>
                <w:lang w:eastAsia="zh-CN"/>
              </w:rPr>
              <w:t>曲靖银栖废旧物资回收利用有限公司</w:t>
            </w:r>
            <w:r>
              <w:rPr>
                <w:rFonts w:hint="default" w:ascii="Times New Roman" w:hAnsi="Times New Roman" w:cs="Times New Roman"/>
                <w:color w:val="auto"/>
              </w:rPr>
              <w:t>的委托，我单位（曲靖市子锋环评咨询有限公司）承担了该项目环境影响报告表的编制工作，并组织人员到现场进行踏勘。经过现场勘查</w:t>
            </w:r>
            <w:r>
              <w:rPr>
                <w:rFonts w:hint="eastAsia" w:cs="Times New Roman"/>
                <w:color w:val="auto"/>
                <w:lang w:eastAsia="zh-CN"/>
              </w:rPr>
              <w:t>、</w:t>
            </w:r>
            <w:r>
              <w:rPr>
                <w:rFonts w:hint="default" w:ascii="Times New Roman" w:hAnsi="Times New Roman" w:cs="Times New Roman"/>
                <w:color w:val="auto"/>
              </w:rPr>
              <w:t>收集相关资料后，编制了《</w:t>
            </w:r>
            <w:r>
              <w:rPr>
                <w:rFonts w:hint="eastAsia" w:cs="Times New Roman"/>
                <w:color w:val="auto"/>
                <w:lang w:eastAsia="zh-CN"/>
              </w:rPr>
              <w:t>曲靖银栖废旧物资回收利用有限公司10万吨/年废旧包装物回收利用扩建项目</w:t>
            </w:r>
            <w:r>
              <w:rPr>
                <w:rFonts w:hint="default" w:ascii="Times New Roman" w:hAnsi="Times New Roman" w:cs="Times New Roman"/>
                <w:color w:val="auto"/>
              </w:rPr>
              <w:t>环境影响报告表》，供建设单位上报审批。</w:t>
            </w:r>
          </w:p>
          <w:p w14:paraId="04AC26C4">
            <w:pPr>
              <w:pStyle w:val="51"/>
              <w:ind w:firstLine="482"/>
              <w:rPr>
                <w:rFonts w:hint="default" w:ascii="Times New Roman" w:hAnsi="Times New Roman" w:cs="Times New Roman"/>
                <w:b/>
                <w:color w:val="auto"/>
              </w:rPr>
            </w:pPr>
            <w:r>
              <w:rPr>
                <w:rFonts w:hint="default" w:ascii="Times New Roman" w:hAnsi="Times New Roman" w:cs="Times New Roman"/>
                <w:b/>
                <w:color w:val="auto"/>
              </w:rPr>
              <w:t>2、项目概况</w:t>
            </w:r>
          </w:p>
          <w:p w14:paraId="4247EEE6">
            <w:pPr>
              <w:pStyle w:val="51"/>
              <w:ind w:firstLine="480"/>
              <w:rPr>
                <w:rFonts w:hint="default" w:ascii="Times New Roman" w:hAnsi="Times New Roman" w:cs="Times New Roman"/>
                <w:color w:val="auto"/>
              </w:rPr>
            </w:pPr>
            <w:r>
              <w:rPr>
                <w:rFonts w:hint="default" w:ascii="Times New Roman" w:hAnsi="Times New Roman" w:cs="Times New Roman"/>
                <w:color w:val="auto"/>
              </w:rPr>
              <w:t>项目名称：</w:t>
            </w:r>
            <w:r>
              <w:rPr>
                <w:rFonts w:hint="eastAsia" w:cs="Times New Roman"/>
                <w:color w:val="auto"/>
                <w:lang w:eastAsia="zh-CN"/>
              </w:rPr>
              <w:t>曲靖银栖废旧物资回收利用有限公司10万吨/年废旧包装物回收利用扩建项目</w:t>
            </w:r>
          </w:p>
          <w:p w14:paraId="4E681701">
            <w:pPr>
              <w:pStyle w:val="51"/>
              <w:ind w:firstLine="480"/>
              <w:rPr>
                <w:rFonts w:hint="default" w:ascii="Times New Roman" w:hAnsi="Times New Roman" w:cs="Times New Roman"/>
                <w:color w:val="auto"/>
              </w:rPr>
            </w:pPr>
            <w:r>
              <w:rPr>
                <w:rFonts w:hint="default" w:ascii="Times New Roman" w:hAnsi="Times New Roman" w:cs="Times New Roman"/>
                <w:color w:val="auto"/>
              </w:rPr>
              <w:t>建设单位：</w:t>
            </w:r>
            <w:r>
              <w:rPr>
                <w:rFonts w:hint="eastAsia" w:cs="Times New Roman"/>
                <w:color w:val="auto"/>
                <w:lang w:eastAsia="zh-CN"/>
              </w:rPr>
              <w:t>曲靖银栖废旧物资回收利用有限公司</w:t>
            </w:r>
            <w:r>
              <w:rPr>
                <w:rFonts w:hint="default" w:ascii="Times New Roman" w:hAnsi="Times New Roman" w:cs="Times New Roman"/>
                <w:color w:val="auto"/>
              </w:rPr>
              <w:t>；</w:t>
            </w:r>
          </w:p>
          <w:p w14:paraId="66DF8D06">
            <w:pPr>
              <w:pStyle w:val="51"/>
              <w:ind w:firstLine="480"/>
              <w:rPr>
                <w:rFonts w:hint="default" w:ascii="Times New Roman" w:hAnsi="Times New Roman" w:cs="Times New Roman"/>
                <w:color w:val="auto"/>
              </w:rPr>
            </w:pPr>
            <w:r>
              <w:rPr>
                <w:rFonts w:hint="default" w:ascii="Times New Roman" w:hAnsi="Times New Roman" w:cs="Times New Roman"/>
                <w:color w:val="auto"/>
              </w:rPr>
              <w:t>建设地点：</w:t>
            </w:r>
            <w:r>
              <w:rPr>
                <w:rFonts w:hint="eastAsia" w:cs="Times New Roman"/>
                <w:color w:val="auto"/>
                <w:szCs w:val="21"/>
                <w:lang w:eastAsia="zh-CN"/>
              </w:rPr>
              <w:t>曲靖市麒麟区越州镇老吴村委会（原平板玻璃厂内）</w:t>
            </w:r>
            <w:r>
              <w:rPr>
                <w:rFonts w:hint="default" w:ascii="Times New Roman" w:hAnsi="Times New Roman" w:cs="Times New Roman"/>
                <w:color w:val="auto"/>
              </w:rPr>
              <w:t>；</w:t>
            </w:r>
          </w:p>
          <w:p w14:paraId="4DEB82EB">
            <w:pPr>
              <w:pStyle w:val="51"/>
              <w:ind w:firstLine="480"/>
              <w:rPr>
                <w:rFonts w:hint="default" w:ascii="Times New Roman" w:hAnsi="Times New Roman" w:cs="Times New Roman"/>
                <w:color w:val="auto"/>
              </w:rPr>
            </w:pPr>
            <w:r>
              <w:rPr>
                <w:rFonts w:hint="default" w:ascii="Times New Roman" w:hAnsi="Times New Roman" w:cs="Times New Roman"/>
                <w:color w:val="auto"/>
              </w:rPr>
              <w:t>建设性质：</w:t>
            </w:r>
            <w:r>
              <w:rPr>
                <w:rFonts w:hint="eastAsia" w:cs="Times New Roman"/>
                <w:color w:val="auto"/>
                <w:lang w:val="en-US" w:eastAsia="zh-CN"/>
              </w:rPr>
              <w:t>扩建</w:t>
            </w:r>
            <w:r>
              <w:rPr>
                <w:rFonts w:hint="default" w:ascii="Times New Roman" w:hAnsi="Times New Roman" w:cs="Times New Roman"/>
                <w:color w:val="auto"/>
              </w:rPr>
              <w:t>；</w:t>
            </w:r>
          </w:p>
          <w:p w14:paraId="28DDC473">
            <w:pPr>
              <w:pStyle w:val="51"/>
              <w:ind w:firstLine="480"/>
              <w:rPr>
                <w:rFonts w:hint="default" w:ascii="Times New Roman" w:hAnsi="Times New Roman" w:cs="Times New Roman"/>
                <w:color w:val="auto"/>
              </w:rPr>
            </w:pPr>
            <w:r>
              <w:rPr>
                <w:rFonts w:hint="default" w:ascii="Times New Roman" w:hAnsi="Times New Roman" w:cs="Times New Roman"/>
                <w:color w:val="auto"/>
              </w:rPr>
              <w:t>占地面积：</w:t>
            </w:r>
            <w:r>
              <w:rPr>
                <w:rFonts w:hint="eastAsia" w:cs="Times New Roman"/>
                <w:color w:val="auto"/>
                <w:lang w:val="en-US" w:eastAsia="zh-CN"/>
              </w:rPr>
              <w:t>560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14:paraId="26258ABB">
            <w:pPr>
              <w:pStyle w:val="51"/>
              <w:ind w:firstLine="480"/>
              <w:rPr>
                <w:rFonts w:hint="default" w:ascii="Times New Roman" w:hAnsi="Times New Roman" w:cs="Times New Roman"/>
                <w:color w:val="auto"/>
              </w:rPr>
            </w:pPr>
            <w:r>
              <w:rPr>
                <w:rFonts w:hint="default" w:ascii="Times New Roman" w:hAnsi="Times New Roman" w:cs="Times New Roman"/>
                <w:color w:val="auto"/>
              </w:rPr>
              <w:t>总投资：</w:t>
            </w:r>
            <w:r>
              <w:rPr>
                <w:rFonts w:hint="eastAsia" w:cs="Times New Roman"/>
                <w:color w:val="auto"/>
                <w:lang w:val="en-US" w:eastAsia="zh-CN"/>
              </w:rPr>
              <w:t>200</w:t>
            </w:r>
            <w:r>
              <w:rPr>
                <w:rFonts w:hint="default" w:ascii="Times New Roman" w:hAnsi="Times New Roman" w:cs="Times New Roman"/>
                <w:color w:val="auto"/>
              </w:rPr>
              <w:t>万元；</w:t>
            </w:r>
          </w:p>
          <w:p w14:paraId="70B118B0">
            <w:pPr>
              <w:pStyle w:val="51"/>
              <w:ind w:firstLine="480"/>
              <w:rPr>
                <w:rFonts w:hint="default" w:ascii="Times New Roman" w:hAnsi="Times New Roman" w:cs="Times New Roman"/>
                <w:color w:val="auto"/>
              </w:rPr>
            </w:pPr>
            <w:r>
              <w:rPr>
                <w:rFonts w:hint="default" w:ascii="Times New Roman" w:hAnsi="Times New Roman" w:cs="Times New Roman"/>
                <w:color w:val="auto"/>
              </w:rPr>
              <w:t>主要建设内容：</w:t>
            </w:r>
            <w:r>
              <w:rPr>
                <w:rFonts w:hint="eastAsia" w:cs="Times New Roman"/>
                <w:color w:val="auto"/>
                <w:lang w:val="en-US" w:eastAsia="zh-CN"/>
              </w:rPr>
              <w:t>扩建一条规模为1万吨/年塑料颗粒生产线，以及设备购置、配套设施建设等。</w:t>
            </w:r>
          </w:p>
          <w:p w14:paraId="4DB7520E">
            <w:pPr>
              <w:pStyle w:val="51"/>
              <w:ind w:firstLine="482"/>
              <w:rPr>
                <w:rFonts w:hint="default" w:ascii="Times New Roman" w:hAnsi="Times New Roman" w:cs="Times New Roman"/>
                <w:b/>
                <w:color w:val="auto"/>
              </w:rPr>
            </w:pPr>
            <w:r>
              <w:rPr>
                <w:rFonts w:hint="default" w:ascii="Times New Roman" w:hAnsi="Times New Roman" w:cs="Times New Roman"/>
                <w:b/>
                <w:color w:val="auto"/>
              </w:rPr>
              <w:t>3、建设内容及规模</w:t>
            </w:r>
          </w:p>
          <w:p w14:paraId="143779E4">
            <w:pPr>
              <w:pStyle w:val="51"/>
              <w:ind w:firstLine="480"/>
              <w:rPr>
                <w:rFonts w:hint="default" w:ascii="Times New Roman" w:hAnsi="Times New Roman" w:cs="Times New Roman"/>
                <w:color w:val="auto"/>
              </w:rPr>
            </w:pPr>
            <w:r>
              <w:rPr>
                <w:rFonts w:hint="default" w:ascii="Times New Roman" w:hAnsi="Times New Roman" w:cs="Times New Roman"/>
                <w:color w:val="auto"/>
              </w:rPr>
              <w:t>项目工程内容见表2-1。</w:t>
            </w:r>
          </w:p>
          <w:p w14:paraId="7044892B">
            <w:pPr>
              <w:pStyle w:val="52"/>
              <w:rPr>
                <w:rFonts w:hint="default" w:ascii="Times New Roman" w:hAnsi="Times New Roman" w:cs="Times New Roman"/>
                <w:color w:val="auto"/>
              </w:rPr>
            </w:pPr>
            <w:r>
              <w:rPr>
                <w:rFonts w:hint="default" w:ascii="Times New Roman" w:hAnsi="Times New Roman" w:cs="Times New Roman"/>
                <w:color w:val="auto"/>
              </w:rPr>
              <w:t>表2-1    建设项目组成一览表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060"/>
              <w:gridCol w:w="5393"/>
              <w:gridCol w:w="1082"/>
            </w:tblGrid>
            <w:tr w14:paraId="7E881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4E72F69F">
                  <w:pPr>
                    <w:pStyle w:val="53"/>
                    <w:rPr>
                      <w:rFonts w:hint="default" w:ascii="Times New Roman" w:hAnsi="Times New Roman" w:cs="Times New Roman"/>
                      <w:color w:val="auto"/>
                    </w:rPr>
                  </w:pPr>
                  <w:r>
                    <w:rPr>
                      <w:rFonts w:hint="default" w:ascii="Times New Roman" w:hAnsi="Times New Roman" w:cs="Times New Roman"/>
                      <w:color w:val="auto"/>
                    </w:rPr>
                    <w:t>工程类别</w:t>
                  </w:r>
                </w:p>
              </w:tc>
              <w:tc>
                <w:tcPr>
                  <w:tcW w:w="3836" w:type="pct"/>
                  <w:gridSpan w:val="2"/>
                  <w:vAlign w:val="center"/>
                </w:tcPr>
                <w:p w14:paraId="1EF86E11">
                  <w:pPr>
                    <w:pStyle w:val="53"/>
                    <w:rPr>
                      <w:rFonts w:hint="default" w:ascii="Times New Roman" w:hAnsi="Times New Roman" w:cs="Times New Roman"/>
                      <w:color w:val="auto"/>
                    </w:rPr>
                  </w:pPr>
                  <w:r>
                    <w:rPr>
                      <w:rFonts w:hint="default" w:ascii="Times New Roman" w:hAnsi="Times New Roman" w:cs="Times New Roman"/>
                      <w:color w:val="auto"/>
                    </w:rPr>
                    <w:t>工程内容</w:t>
                  </w:r>
                </w:p>
              </w:tc>
              <w:tc>
                <w:tcPr>
                  <w:tcW w:w="643" w:type="pct"/>
                  <w:vAlign w:val="center"/>
                </w:tcPr>
                <w:p w14:paraId="14C97B84">
                  <w:pPr>
                    <w:pStyle w:val="53"/>
                    <w:rPr>
                      <w:rFonts w:hint="default" w:ascii="Times New Roman" w:hAnsi="Times New Roman" w:cs="Times New Roman"/>
                      <w:color w:val="auto"/>
                    </w:rPr>
                  </w:pPr>
                  <w:r>
                    <w:rPr>
                      <w:rFonts w:hint="default" w:ascii="Times New Roman" w:hAnsi="Times New Roman" w:cs="Times New Roman"/>
                      <w:color w:val="auto"/>
                    </w:rPr>
                    <w:t>备注</w:t>
                  </w:r>
                </w:p>
              </w:tc>
            </w:tr>
            <w:tr w14:paraId="13D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Align w:val="center"/>
                </w:tcPr>
                <w:p w14:paraId="0E671DEF">
                  <w:pPr>
                    <w:pStyle w:val="53"/>
                    <w:rPr>
                      <w:rFonts w:hint="default" w:ascii="Times New Roman" w:hAnsi="Times New Roman" w:cs="Times New Roman"/>
                      <w:color w:val="auto"/>
                    </w:rPr>
                  </w:pPr>
                  <w:r>
                    <w:rPr>
                      <w:rFonts w:hint="default" w:ascii="Times New Roman" w:hAnsi="Times New Roman" w:cs="Times New Roman"/>
                      <w:color w:val="auto"/>
                    </w:rPr>
                    <w:t>主体工程</w:t>
                  </w:r>
                </w:p>
              </w:tc>
              <w:tc>
                <w:tcPr>
                  <w:tcW w:w="630" w:type="pct"/>
                  <w:vAlign w:val="center"/>
                </w:tcPr>
                <w:p w14:paraId="3B3BCFE8">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生产车间</w:t>
                  </w:r>
                </w:p>
              </w:tc>
              <w:tc>
                <w:tcPr>
                  <w:tcW w:w="3205" w:type="pct"/>
                  <w:vAlign w:val="center"/>
                </w:tcPr>
                <w:p w14:paraId="257FC041">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占地面积560m</w:t>
                  </w:r>
                  <w:r>
                    <w:rPr>
                      <w:rFonts w:hint="eastAsia" w:cs="Times New Roman"/>
                      <w:color w:val="auto"/>
                      <w:vertAlign w:val="superscript"/>
                      <w:lang w:val="en-US" w:eastAsia="zh-CN"/>
                    </w:rPr>
                    <w:t>2</w:t>
                  </w:r>
                  <w:r>
                    <w:rPr>
                      <w:rFonts w:hint="eastAsia" w:cs="Times New Roman"/>
                      <w:color w:val="auto"/>
                      <w:lang w:val="en-US" w:eastAsia="zh-CN"/>
                    </w:rPr>
                    <w:t>，钢架结构，全封闭生产车间，厂房高8m，车间地面进行硬化；现有项目已建设。</w:t>
                  </w:r>
                </w:p>
              </w:tc>
              <w:tc>
                <w:tcPr>
                  <w:tcW w:w="643" w:type="pct"/>
                  <w:vAlign w:val="center"/>
                </w:tcPr>
                <w:p w14:paraId="3D2097F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利用</w:t>
                  </w:r>
                </w:p>
              </w:tc>
            </w:tr>
            <w:tr w14:paraId="4970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restart"/>
                  <w:vAlign w:val="center"/>
                </w:tcPr>
                <w:p w14:paraId="1368FB7A">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储运工程</w:t>
                  </w:r>
                </w:p>
              </w:tc>
              <w:tc>
                <w:tcPr>
                  <w:tcW w:w="630" w:type="pct"/>
                  <w:vAlign w:val="center"/>
                </w:tcPr>
                <w:p w14:paraId="1585865E">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原料区</w:t>
                  </w:r>
                </w:p>
              </w:tc>
              <w:tc>
                <w:tcPr>
                  <w:tcW w:w="3205" w:type="pct"/>
                  <w:vAlign w:val="center"/>
                </w:tcPr>
                <w:p w14:paraId="2278B622">
                  <w:pPr>
                    <w:pStyle w:val="53"/>
                    <w:rPr>
                      <w:rFonts w:hint="eastAsia" w:ascii="Times New Roman" w:hAnsi="Times New Roman" w:eastAsia="宋体" w:cs="Times New Roman"/>
                      <w:color w:val="auto"/>
                      <w:kern w:val="0"/>
                      <w:lang w:val="en-US" w:eastAsia="zh-CN"/>
                    </w:rPr>
                  </w:pPr>
                  <w:r>
                    <w:rPr>
                      <w:rFonts w:hint="eastAsia" w:cs="Times New Roman"/>
                      <w:color w:val="auto"/>
                      <w:kern w:val="0"/>
                      <w:lang w:val="en-US" w:eastAsia="zh-CN"/>
                    </w:rPr>
                    <w:t>不设置原料区，设置2个2m×1.6m的圆柱形料仓，原料由现有项目成品区输送过来</w:t>
                  </w:r>
                  <w:r>
                    <w:rPr>
                      <w:rFonts w:hint="eastAsia" w:cs="Times New Roman"/>
                      <w:color w:val="auto"/>
                      <w:lang w:val="en-US" w:eastAsia="zh-CN"/>
                    </w:rPr>
                    <w:t>。</w:t>
                  </w:r>
                </w:p>
              </w:tc>
              <w:tc>
                <w:tcPr>
                  <w:tcW w:w="643" w:type="pct"/>
                  <w:vAlign w:val="center"/>
                </w:tcPr>
                <w:p w14:paraId="11E38F6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新建</w:t>
                  </w:r>
                </w:p>
              </w:tc>
            </w:tr>
            <w:tr w14:paraId="5666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520" w:type="pct"/>
                  <w:vMerge w:val="continue"/>
                  <w:vAlign w:val="center"/>
                </w:tcPr>
                <w:p w14:paraId="0A76B554">
                  <w:pPr>
                    <w:pStyle w:val="53"/>
                    <w:rPr>
                      <w:rFonts w:hint="eastAsia" w:cs="Times New Roman"/>
                      <w:color w:val="auto"/>
                      <w:lang w:val="en-US" w:eastAsia="zh-CN"/>
                    </w:rPr>
                  </w:pPr>
                </w:p>
              </w:tc>
              <w:tc>
                <w:tcPr>
                  <w:tcW w:w="630" w:type="pct"/>
                  <w:vAlign w:val="center"/>
                </w:tcPr>
                <w:p w14:paraId="00EF7CFC">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成品区</w:t>
                  </w:r>
                </w:p>
              </w:tc>
              <w:tc>
                <w:tcPr>
                  <w:tcW w:w="3205" w:type="pct"/>
                  <w:vAlign w:val="center"/>
                </w:tcPr>
                <w:p w14:paraId="471814C0">
                  <w:pPr>
                    <w:pStyle w:val="53"/>
                    <w:rPr>
                      <w:rFonts w:hint="default" w:ascii="Times New Roman" w:hAnsi="Times New Roman" w:cs="Times New Roman"/>
                      <w:color w:val="auto"/>
                      <w:kern w:val="0"/>
                      <w:lang w:val="en-US"/>
                    </w:rPr>
                  </w:pPr>
                  <w:r>
                    <w:rPr>
                      <w:rFonts w:hint="eastAsia" w:cs="Times New Roman"/>
                      <w:color w:val="auto"/>
                      <w:kern w:val="0"/>
                      <w:lang w:val="en-US" w:eastAsia="zh-CN"/>
                    </w:rPr>
                    <w:t>依托使用现有项目已建的成品区，占地面积600</w:t>
                  </w:r>
                  <w:r>
                    <w:rPr>
                      <w:rFonts w:hint="eastAsia" w:cs="Times New Roman"/>
                      <w:color w:val="auto"/>
                      <w:lang w:val="en-US" w:eastAsia="zh-CN"/>
                    </w:rPr>
                    <w:t>m</w:t>
                  </w:r>
                  <w:r>
                    <w:rPr>
                      <w:rFonts w:hint="eastAsia" w:cs="Times New Roman"/>
                      <w:color w:val="auto"/>
                      <w:vertAlign w:val="superscript"/>
                      <w:lang w:val="en-US" w:eastAsia="zh-CN"/>
                    </w:rPr>
                    <w:t>2</w:t>
                  </w:r>
                  <w:r>
                    <w:rPr>
                      <w:rFonts w:hint="eastAsia" w:cs="Times New Roman"/>
                      <w:color w:val="auto"/>
                      <w:lang w:val="en-US" w:eastAsia="zh-CN"/>
                    </w:rPr>
                    <w:t>。</w:t>
                  </w:r>
                </w:p>
              </w:tc>
              <w:tc>
                <w:tcPr>
                  <w:tcW w:w="643" w:type="pct"/>
                  <w:vAlign w:val="center"/>
                </w:tcPr>
                <w:p w14:paraId="0E1D0767">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依托使用</w:t>
                  </w:r>
                </w:p>
              </w:tc>
            </w:tr>
            <w:tr w14:paraId="2B58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restart"/>
                  <w:vAlign w:val="center"/>
                </w:tcPr>
                <w:p w14:paraId="278A572A">
                  <w:pPr>
                    <w:pStyle w:val="53"/>
                    <w:rPr>
                      <w:rFonts w:hint="default" w:ascii="Times New Roman" w:hAnsi="Times New Roman" w:cs="Times New Roman"/>
                      <w:color w:val="auto"/>
                    </w:rPr>
                  </w:pPr>
                  <w:r>
                    <w:rPr>
                      <w:rFonts w:hint="default" w:ascii="Times New Roman" w:hAnsi="Times New Roman" w:cs="Times New Roman"/>
                      <w:color w:val="auto"/>
                    </w:rPr>
                    <w:t>公用工程</w:t>
                  </w:r>
                </w:p>
              </w:tc>
              <w:tc>
                <w:tcPr>
                  <w:tcW w:w="630" w:type="pct"/>
                  <w:vAlign w:val="center"/>
                </w:tcPr>
                <w:p w14:paraId="3F7EEE58">
                  <w:pPr>
                    <w:pStyle w:val="53"/>
                    <w:ind w:firstLine="0" w:firstLineChars="0"/>
                    <w:rPr>
                      <w:rFonts w:hint="default" w:ascii="Times New Roman" w:hAnsi="Times New Roman" w:cs="Times New Roman"/>
                      <w:color w:val="auto"/>
                    </w:rPr>
                  </w:pPr>
                  <w:r>
                    <w:rPr>
                      <w:rFonts w:hint="eastAsia" w:cs="Times New Roman"/>
                      <w:color w:val="auto"/>
                      <w:lang w:val="en-US" w:eastAsia="zh-CN"/>
                    </w:rPr>
                    <w:t>办公区</w:t>
                  </w:r>
                </w:p>
              </w:tc>
              <w:tc>
                <w:tcPr>
                  <w:tcW w:w="3205" w:type="pct"/>
                  <w:vAlign w:val="center"/>
                </w:tcPr>
                <w:p w14:paraId="3CB0F5E9">
                  <w:pPr>
                    <w:pStyle w:val="53"/>
                    <w:ind w:firstLine="0" w:firstLineChars="0"/>
                    <w:rPr>
                      <w:rFonts w:hint="default" w:ascii="Times New Roman" w:hAnsi="Times New Roman" w:cs="Times New Roman"/>
                      <w:color w:val="auto"/>
                      <w:lang w:val="en-US"/>
                    </w:rPr>
                  </w:pPr>
                  <w:r>
                    <w:rPr>
                      <w:rFonts w:hint="eastAsia" w:cs="Times New Roman"/>
                      <w:color w:val="auto"/>
                      <w:lang w:val="en-US" w:eastAsia="zh-CN"/>
                    </w:rPr>
                    <w:t>依托使用现有办公区</w:t>
                  </w:r>
                </w:p>
              </w:tc>
              <w:tc>
                <w:tcPr>
                  <w:tcW w:w="643" w:type="pct"/>
                  <w:vAlign w:val="center"/>
                </w:tcPr>
                <w:p w14:paraId="27B13BBD">
                  <w:pPr>
                    <w:ind w:firstLine="0" w:firstLineChars="0"/>
                    <w:jc w:val="center"/>
                    <w:rPr>
                      <w:rFonts w:hint="default" w:ascii="Times New Roman" w:hAnsi="Times New Roman" w:cs="Times New Roman"/>
                      <w:color w:val="auto"/>
                    </w:rPr>
                  </w:pPr>
                  <w:r>
                    <w:rPr>
                      <w:rFonts w:hint="eastAsia" w:cs="Times New Roman"/>
                      <w:color w:val="auto"/>
                      <w:lang w:val="en-US" w:eastAsia="zh-CN"/>
                    </w:rPr>
                    <w:t>依托使用</w:t>
                  </w:r>
                </w:p>
              </w:tc>
            </w:tr>
            <w:tr w14:paraId="3CAB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7F0D63E8">
                  <w:pPr>
                    <w:pStyle w:val="53"/>
                    <w:rPr>
                      <w:rFonts w:hint="default" w:ascii="Times New Roman" w:hAnsi="Times New Roman" w:cs="Times New Roman"/>
                      <w:color w:val="auto"/>
                    </w:rPr>
                  </w:pPr>
                </w:p>
              </w:tc>
              <w:tc>
                <w:tcPr>
                  <w:tcW w:w="630" w:type="pct"/>
                  <w:vAlign w:val="center"/>
                </w:tcPr>
                <w:p w14:paraId="78746C05">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供电</w:t>
                  </w:r>
                </w:p>
              </w:tc>
              <w:tc>
                <w:tcPr>
                  <w:tcW w:w="3205" w:type="pct"/>
                  <w:vAlign w:val="center"/>
                </w:tcPr>
                <w:p w14:paraId="4120CC3C">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项目供电依托现有供电系统接入。</w:t>
                  </w:r>
                </w:p>
              </w:tc>
              <w:tc>
                <w:tcPr>
                  <w:tcW w:w="643" w:type="pct"/>
                  <w:vAlign w:val="center"/>
                </w:tcPr>
                <w:p w14:paraId="664FF065">
                  <w:pPr>
                    <w:ind w:firstLine="0" w:firstLineChars="0"/>
                    <w:jc w:val="center"/>
                    <w:rPr>
                      <w:rFonts w:hint="default" w:ascii="Times New Roman" w:hAnsi="Times New Roman" w:cs="Times New Roman"/>
                      <w:color w:val="auto"/>
                    </w:rPr>
                  </w:pPr>
                  <w:r>
                    <w:rPr>
                      <w:rFonts w:hint="eastAsia" w:cs="Times New Roman"/>
                      <w:color w:val="auto"/>
                      <w:lang w:val="en-US" w:eastAsia="zh-CN"/>
                    </w:rPr>
                    <w:t>依托使用</w:t>
                  </w:r>
                </w:p>
              </w:tc>
            </w:tr>
            <w:tr w14:paraId="4621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60CE3283">
                  <w:pPr>
                    <w:pStyle w:val="53"/>
                    <w:rPr>
                      <w:rFonts w:hint="default" w:ascii="Times New Roman" w:hAnsi="Times New Roman" w:cs="Times New Roman"/>
                      <w:color w:val="auto"/>
                    </w:rPr>
                  </w:pPr>
                </w:p>
              </w:tc>
              <w:tc>
                <w:tcPr>
                  <w:tcW w:w="630" w:type="pct"/>
                  <w:vAlign w:val="center"/>
                </w:tcPr>
                <w:p w14:paraId="0EE7F24A">
                  <w:pPr>
                    <w:pStyle w:val="53"/>
                    <w:rPr>
                      <w:rFonts w:hint="default" w:ascii="Times New Roman" w:hAnsi="Times New Roman" w:cs="Times New Roman"/>
                      <w:color w:val="auto"/>
                    </w:rPr>
                  </w:pPr>
                  <w:r>
                    <w:rPr>
                      <w:rFonts w:hint="default" w:ascii="Times New Roman" w:hAnsi="Times New Roman" w:cs="Times New Roman"/>
                      <w:color w:val="auto"/>
                    </w:rPr>
                    <w:t>供水</w:t>
                  </w:r>
                </w:p>
              </w:tc>
              <w:tc>
                <w:tcPr>
                  <w:tcW w:w="3205" w:type="pct"/>
                  <w:vAlign w:val="center"/>
                </w:tcPr>
                <w:p w14:paraId="46BE8C2D">
                  <w:pPr>
                    <w:pStyle w:val="53"/>
                    <w:rPr>
                      <w:rFonts w:hint="default" w:ascii="Times New Roman" w:hAnsi="Times New Roman" w:cs="Times New Roman"/>
                      <w:color w:val="auto"/>
                    </w:rPr>
                  </w:pPr>
                  <w:r>
                    <w:rPr>
                      <w:rFonts w:hint="default" w:ascii="Times New Roman" w:hAnsi="Times New Roman" w:cs="Times New Roman"/>
                      <w:color w:val="auto"/>
                    </w:rPr>
                    <w:t>项目用水依托使用现有供水管网。</w:t>
                  </w:r>
                </w:p>
              </w:tc>
              <w:tc>
                <w:tcPr>
                  <w:tcW w:w="643" w:type="pct"/>
                  <w:vAlign w:val="center"/>
                </w:tcPr>
                <w:p w14:paraId="2B0817C0">
                  <w:pPr>
                    <w:jc w:val="center"/>
                    <w:rPr>
                      <w:rFonts w:hint="default" w:ascii="Times New Roman" w:hAnsi="Times New Roman" w:cs="Times New Roman"/>
                      <w:color w:val="auto"/>
                    </w:rPr>
                  </w:pPr>
                  <w:r>
                    <w:rPr>
                      <w:rFonts w:hint="eastAsia" w:cs="Times New Roman"/>
                      <w:color w:val="auto"/>
                      <w:lang w:val="en-US" w:eastAsia="zh-CN"/>
                    </w:rPr>
                    <w:t>依托使用</w:t>
                  </w:r>
                </w:p>
              </w:tc>
            </w:tr>
            <w:tr w14:paraId="3C9C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474F420A">
                  <w:pPr>
                    <w:pStyle w:val="53"/>
                    <w:rPr>
                      <w:rFonts w:hint="default" w:ascii="Times New Roman" w:hAnsi="Times New Roman" w:cs="Times New Roman"/>
                      <w:color w:val="auto"/>
                    </w:rPr>
                  </w:pPr>
                </w:p>
              </w:tc>
              <w:tc>
                <w:tcPr>
                  <w:tcW w:w="630" w:type="pct"/>
                  <w:vAlign w:val="center"/>
                </w:tcPr>
                <w:p w14:paraId="43A054B9">
                  <w:pPr>
                    <w:pStyle w:val="53"/>
                    <w:rPr>
                      <w:rFonts w:hint="default" w:ascii="Times New Roman" w:hAnsi="Times New Roman" w:cs="Times New Roman"/>
                      <w:color w:val="auto"/>
                    </w:rPr>
                  </w:pPr>
                  <w:r>
                    <w:rPr>
                      <w:rFonts w:hint="default" w:ascii="Times New Roman" w:hAnsi="Times New Roman" w:cs="Times New Roman"/>
                      <w:color w:val="auto"/>
                    </w:rPr>
                    <w:t>排水</w:t>
                  </w:r>
                </w:p>
              </w:tc>
              <w:tc>
                <w:tcPr>
                  <w:tcW w:w="3205" w:type="pct"/>
                  <w:vAlign w:val="center"/>
                </w:tcPr>
                <w:p w14:paraId="0F4149F1">
                  <w:pPr>
                    <w:pStyle w:val="53"/>
                    <w:rPr>
                      <w:rFonts w:hint="default" w:ascii="Times New Roman" w:hAnsi="Times New Roman" w:cs="Times New Roman"/>
                      <w:color w:val="auto"/>
                    </w:rPr>
                  </w:pPr>
                  <w:r>
                    <w:rPr>
                      <w:rFonts w:hint="default" w:ascii="Times New Roman" w:hAnsi="Times New Roman" w:cs="Times New Roman"/>
                      <w:color w:val="auto"/>
                    </w:rPr>
                    <w:t>项目区采用雨污分流制</w:t>
                  </w:r>
                </w:p>
              </w:tc>
              <w:tc>
                <w:tcPr>
                  <w:tcW w:w="643" w:type="pct"/>
                  <w:vAlign w:val="center"/>
                </w:tcPr>
                <w:p w14:paraId="5286A05E">
                  <w:pPr>
                    <w:pStyle w:val="53"/>
                    <w:rPr>
                      <w:rFonts w:hint="default" w:ascii="Times New Roman" w:hAnsi="Times New Roman" w:cs="Times New Roman"/>
                      <w:color w:val="auto"/>
                    </w:rPr>
                  </w:pPr>
                  <w:r>
                    <w:rPr>
                      <w:rFonts w:hint="eastAsia" w:cs="Times New Roman"/>
                      <w:color w:val="auto"/>
                      <w:lang w:val="en-US" w:eastAsia="zh-CN"/>
                    </w:rPr>
                    <w:t>依托使用</w:t>
                  </w:r>
                </w:p>
              </w:tc>
            </w:tr>
            <w:tr w14:paraId="5397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restart"/>
                  <w:vAlign w:val="center"/>
                </w:tcPr>
                <w:p w14:paraId="00E75736">
                  <w:pPr>
                    <w:pStyle w:val="53"/>
                    <w:rPr>
                      <w:rFonts w:hint="default" w:ascii="Times New Roman" w:hAnsi="Times New Roman" w:cs="Times New Roman"/>
                      <w:color w:val="auto"/>
                    </w:rPr>
                  </w:pPr>
                  <w:r>
                    <w:rPr>
                      <w:rFonts w:hint="default" w:ascii="Times New Roman" w:hAnsi="Times New Roman" w:cs="Times New Roman"/>
                      <w:color w:val="auto"/>
                    </w:rPr>
                    <w:t>环保工程</w:t>
                  </w:r>
                </w:p>
              </w:tc>
              <w:tc>
                <w:tcPr>
                  <w:tcW w:w="630" w:type="pct"/>
                  <w:vAlign w:val="center"/>
                </w:tcPr>
                <w:p w14:paraId="657014C2">
                  <w:pPr>
                    <w:pStyle w:val="53"/>
                    <w:rPr>
                      <w:rFonts w:hint="default" w:ascii="Times New Roman" w:hAnsi="Times New Roman" w:cs="Times New Roman"/>
                      <w:color w:val="auto"/>
                    </w:rPr>
                  </w:pPr>
                  <w:r>
                    <w:rPr>
                      <w:rFonts w:hint="default" w:ascii="Times New Roman" w:hAnsi="Times New Roman" w:cs="Times New Roman"/>
                      <w:color w:val="auto"/>
                    </w:rPr>
                    <w:t>废气</w:t>
                  </w:r>
                </w:p>
              </w:tc>
              <w:tc>
                <w:tcPr>
                  <w:tcW w:w="3205" w:type="pct"/>
                  <w:vAlign w:val="center"/>
                </w:tcPr>
                <w:p w14:paraId="3E6671E9">
                  <w:pPr>
                    <w:pStyle w:val="53"/>
                    <w:ind w:firstLine="0" w:firstLineChars="0"/>
                    <w:rPr>
                      <w:rFonts w:hint="default" w:ascii="Times New Roman" w:hAnsi="Times New Roman" w:cs="Times New Roman"/>
                      <w:color w:val="auto"/>
                    </w:rPr>
                  </w:pPr>
                  <w:r>
                    <w:rPr>
                      <w:rFonts w:hint="eastAsia"/>
                      <w:color w:val="auto"/>
                      <w:lang w:val="en-US" w:eastAsia="zh-CN"/>
                    </w:rPr>
                    <w:t>挤出机上方共设置3个集气罩（单个集气面积1m</w:t>
                  </w:r>
                  <w:r>
                    <w:rPr>
                      <w:rFonts w:hint="eastAsia"/>
                      <w:color w:val="auto"/>
                      <w:vertAlign w:val="superscript"/>
                      <w:lang w:val="en-US" w:eastAsia="zh-CN"/>
                    </w:rPr>
                    <w:t>2</w:t>
                  </w:r>
                  <w:r>
                    <w:rPr>
                      <w:rFonts w:hint="eastAsia"/>
                      <w:color w:val="auto"/>
                      <w:lang w:val="en-US" w:eastAsia="zh-CN"/>
                    </w:rPr>
                    <w:t>）</w:t>
                  </w:r>
                  <w:r>
                    <w:rPr>
                      <w:rFonts w:hint="default"/>
                      <w:color w:val="auto"/>
                    </w:rPr>
                    <w:t>收集</w:t>
                  </w:r>
                  <w:r>
                    <w:rPr>
                      <w:rFonts w:hint="eastAsia"/>
                      <w:color w:val="auto"/>
                      <w:lang w:val="en-US" w:eastAsia="zh-CN"/>
                    </w:rPr>
                    <w:t>挤出废气，挤出废气中的非甲烷总烃经一套</w:t>
                  </w:r>
                  <w:r>
                    <w:rPr>
                      <w:rFonts w:hint="eastAsia"/>
                      <w:color w:val="auto"/>
                      <w:lang w:eastAsia="zh-CN"/>
                    </w:rPr>
                    <w:t>三级活性炭</w:t>
                  </w:r>
                  <w:r>
                    <w:rPr>
                      <w:rFonts w:hint="default"/>
                      <w:color w:val="auto"/>
                    </w:rPr>
                    <w:t>吸附装置处</w:t>
                  </w:r>
                  <w:r>
                    <w:rPr>
                      <w:rFonts w:hint="eastAsia"/>
                      <w:color w:val="auto"/>
                      <w:lang w:val="en-US" w:eastAsia="zh-CN"/>
                    </w:rPr>
                    <w:t>理</w:t>
                  </w:r>
                  <w:r>
                    <w:rPr>
                      <w:rFonts w:hint="default"/>
                      <w:color w:val="auto"/>
                    </w:rPr>
                    <w:t>后</w:t>
                  </w:r>
                  <w:r>
                    <w:rPr>
                      <w:rFonts w:hint="eastAsia"/>
                      <w:color w:val="auto"/>
                      <w:lang w:eastAsia="zh-CN"/>
                    </w:rPr>
                    <w:t>，</w:t>
                  </w:r>
                  <w:r>
                    <w:rPr>
                      <w:rFonts w:hint="eastAsia"/>
                      <w:color w:val="auto"/>
                      <w:lang w:val="en-US" w:eastAsia="zh-CN"/>
                    </w:rPr>
                    <w:t>由一根</w:t>
                  </w:r>
                  <w:r>
                    <w:rPr>
                      <w:rFonts w:hint="default"/>
                      <w:color w:val="auto"/>
                    </w:rPr>
                    <w:t>15m高排气筒</w:t>
                  </w:r>
                  <w:r>
                    <w:rPr>
                      <w:rFonts w:hint="eastAsia"/>
                      <w:color w:val="auto"/>
                      <w:lang w:val="en-US" w:eastAsia="zh-CN"/>
                    </w:rPr>
                    <w:t>（DA001）</w:t>
                  </w:r>
                  <w:r>
                    <w:rPr>
                      <w:rFonts w:hint="default"/>
                      <w:color w:val="auto"/>
                    </w:rPr>
                    <w:t>排放</w:t>
                  </w:r>
                  <w:r>
                    <w:rPr>
                      <w:rFonts w:hint="eastAsia"/>
                      <w:color w:val="auto"/>
                      <w:lang w:eastAsia="zh-CN"/>
                    </w:rPr>
                    <w:t>；</w:t>
                  </w:r>
                  <w:r>
                    <w:rPr>
                      <w:rFonts w:hint="eastAsia"/>
                      <w:color w:val="auto"/>
                    </w:rPr>
                    <w:t>按照《排污口规范化整治技术要求</w:t>
                  </w:r>
                  <w:r>
                    <w:rPr>
                      <w:rFonts w:hint="eastAsia"/>
                      <w:color w:val="auto"/>
                      <w:lang w:eastAsia="zh-CN"/>
                    </w:rPr>
                    <w:t>》《</w:t>
                  </w:r>
                  <w:r>
                    <w:rPr>
                      <w:rFonts w:ascii="微软雅黑" w:hAnsi="微软雅黑" w:eastAsia="微软雅黑" w:cs="微软雅黑"/>
                      <w:i w:val="0"/>
                      <w:iCs w:val="0"/>
                      <w:caps w:val="0"/>
                      <w:color w:val="auto"/>
                      <w:spacing w:val="0"/>
                      <w:sz w:val="27"/>
                      <w:szCs w:val="27"/>
                      <w:shd w:val="clear" w:fill="FFFFFF"/>
                    </w:rPr>
                    <w:t> </w:t>
                  </w:r>
                  <w:r>
                    <w:rPr>
                      <w:rFonts w:hint="eastAsia" w:ascii="Times New Roman" w:hAnsi="Times New Roman" w:eastAsia="宋体" w:cs="宋体"/>
                      <w:color w:val="auto"/>
                      <w:u w:val="none"/>
                    </w:rPr>
                    <w:t>排污单位污染物排放口监测点位设置技术规范</w:t>
                  </w:r>
                  <w:r>
                    <w:rPr>
                      <w:rFonts w:hint="eastAsia"/>
                      <w:color w:val="auto"/>
                      <w:lang w:eastAsia="zh-CN"/>
                    </w:rPr>
                    <w:t>》</w:t>
                  </w:r>
                  <w:r>
                    <w:rPr>
                      <w:rFonts w:hint="eastAsia"/>
                      <w:color w:val="auto"/>
                    </w:rPr>
                    <w:t>规范设置采样口及采样平台</w:t>
                  </w:r>
                  <w:r>
                    <w:rPr>
                      <w:rFonts w:hint="eastAsia"/>
                      <w:color w:val="auto"/>
                      <w:lang w:eastAsia="zh-CN"/>
                    </w:rPr>
                    <w:t>。</w:t>
                  </w:r>
                </w:p>
              </w:tc>
              <w:tc>
                <w:tcPr>
                  <w:tcW w:w="643" w:type="pct"/>
                  <w:vAlign w:val="center"/>
                </w:tcPr>
                <w:p w14:paraId="18D3568F">
                  <w:pPr>
                    <w:pStyle w:val="53"/>
                    <w:ind w:firstLine="0" w:firstLineChars="0"/>
                    <w:rPr>
                      <w:rFonts w:hint="default" w:ascii="Times New Roman" w:hAnsi="Times New Roman" w:cs="Times New Roman"/>
                      <w:color w:val="auto"/>
                    </w:rPr>
                  </w:pPr>
                  <w:r>
                    <w:rPr>
                      <w:rFonts w:hint="eastAsia" w:cs="Times New Roman"/>
                      <w:color w:val="auto"/>
                      <w:lang w:val="en-US" w:eastAsia="zh-CN"/>
                    </w:rPr>
                    <w:t>新建</w:t>
                  </w:r>
                </w:p>
              </w:tc>
            </w:tr>
            <w:tr w14:paraId="1F844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00296CD7">
                  <w:pPr>
                    <w:pStyle w:val="53"/>
                    <w:rPr>
                      <w:rFonts w:hint="default" w:ascii="Times New Roman" w:hAnsi="Times New Roman" w:cs="Times New Roman"/>
                      <w:color w:val="auto"/>
                    </w:rPr>
                  </w:pPr>
                </w:p>
              </w:tc>
              <w:tc>
                <w:tcPr>
                  <w:tcW w:w="630" w:type="pct"/>
                  <w:vMerge w:val="restart"/>
                  <w:vAlign w:val="center"/>
                </w:tcPr>
                <w:p w14:paraId="401912E3">
                  <w:pPr>
                    <w:pStyle w:val="53"/>
                    <w:rPr>
                      <w:rFonts w:hint="default" w:ascii="Times New Roman" w:hAnsi="Times New Roman" w:cs="Times New Roman"/>
                      <w:color w:val="auto"/>
                    </w:rPr>
                  </w:pPr>
                  <w:r>
                    <w:rPr>
                      <w:rFonts w:hint="default" w:ascii="Times New Roman" w:hAnsi="Times New Roman" w:cs="Times New Roman"/>
                      <w:color w:val="auto"/>
                    </w:rPr>
                    <w:t>废水</w:t>
                  </w:r>
                </w:p>
              </w:tc>
              <w:tc>
                <w:tcPr>
                  <w:tcW w:w="3205" w:type="pct"/>
                  <w:vAlign w:val="center"/>
                </w:tcPr>
                <w:p w14:paraId="43C01AD6">
                  <w:pPr>
                    <w:pStyle w:val="53"/>
                    <w:jc w:val="both"/>
                    <w:rPr>
                      <w:rFonts w:hint="default" w:ascii="Times New Roman" w:hAnsi="Times New Roman" w:eastAsia="宋体" w:cs="Times New Roman"/>
                      <w:color w:val="auto"/>
                      <w:lang w:val="en-US" w:eastAsia="zh-CN"/>
                    </w:rPr>
                  </w:pPr>
                  <w:r>
                    <w:rPr>
                      <w:rFonts w:hint="eastAsia" w:cs="Times New Roman"/>
                      <w:color w:val="auto"/>
                      <w:lang w:val="en-US" w:eastAsia="zh-CN"/>
                    </w:rPr>
                    <w:t>产生的生活污水</w:t>
                  </w:r>
                  <w:r>
                    <w:rPr>
                      <w:rFonts w:hint="eastAsia" w:cs="Times New Roman"/>
                      <w:color w:val="auto"/>
                      <w:szCs w:val="21"/>
                      <w:lang w:val="en-US" w:eastAsia="zh-CN"/>
                    </w:rPr>
                    <w:t>进入化粪池处理，依托使用现有项目已建化粪池（</w:t>
                  </w:r>
                  <w:r>
                    <w:rPr>
                      <w:rFonts w:hint="eastAsia" w:ascii="Times New Roman" w:hAnsi="Times New Roman" w:eastAsia="宋体" w:cs="Times New Roman"/>
                      <w:color w:val="auto"/>
                      <w:szCs w:val="21"/>
                      <w:lang w:val="en-US" w:eastAsia="zh-CN"/>
                    </w:rPr>
                    <w:t>设置3个化粪池、单个容积7.5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，总容积22.5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r>
                    <w:rPr>
                      <w:rFonts w:hint="eastAsia" w:eastAsia="宋体" w:cs="Times New Roman"/>
                      <w:color w:val="auto"/>
                      <w:szCs w:val="21"/>
                      <w:lang w:val="en-US" w:eastAsia="zh-CN"/>
                    </w:rPr>
                    <w:t>；</w:t>
                  </w:r>
                  <w:r>
                    <w:rPr>
                      <w:rFonts w:hint="eastAsia" w:cs="Times New Roman"/>
                      <w:color w:val="auto"/>
                      <w:szCs w:val="21"/>
                      <w:lang w:val="en-US" w:eastAsia="zh-CN"/>
                    </w:rPr>
                    <w:t>化粪池每15天清掏一次作为农肥使用；废水不外排。</w:t>
                  </w:r>
                </w:p>
              </w:tc>
              <w:tc>
                <w:tcPr>
                  <w:tcW w:w="643" w:type="pct"/>
                  <w:vAlign w:val="center"/>
                </w:tcPr>
                <w:p w14:paraId="0B1BE1D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依托使用</w:t>
                  </w:r>
                </w:p>
              </w:tc>
            </w:tr>
            <w:tr w14:paraId="32A9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2F9656D6">
                  <w:pPr>
                    <w:pStyle w:val="53"/>
                    <w:rPr>
                      <w:rFonts w:hint="default" w:ascii="Times New Roman" w:hAnsi="Times New Roman" w:cs="Times New Roman"/>
                      <w:color w:val="auto"/>
                    </w:rPr>
                  </w:pPr>
                </w:p>
              </w:tc>
              <w:tc>
                <w:tcPr>
                  <w:tcW w:w="630" w:type="pct"/>
                  <w:vMerge w:val="continue"/>
                  <w:vAlign w:val="center"/>
                </w:tcPr>
                <w:p w14:paraId="623F0D7B">
                  <w:pPr>
                    <w:pStyle w:val="53"/>
                    <w:rPr>
                      <w:rFonts w:hint="default" w:ascii="Times New Roman" w:hAnsi="Times New Roman" w:cs="Times New Roman"/>
                      <w:color w:val="auto"/>
                    </w:rPr>
                  </w:pPr>
                </w:p>
              </w:tc>
              <w:tc>
                <w:tcPr>
                  <w:tcW w:w="3205" w:type="pct"/>
                  <w:vAlign w:val="center"/>
                </w:tcPr>
                <w:p w14:paraId="3A5ABD74">
                  <w:pPr>
                    <w:pStyle w:val="53"/>
                    <w:jc w:val="both"/>
                    <w:rPr>
                      <w:rFonts w:hint="eastAsia" w:cs="Times New Roman"/>
                      <w:color w:val="auto"/>
                      <w:lang w:val="en-US" w:eastAsia="zh-CN"/>
                    </w:rPr>
                  </w:pPr>
                  <w:r>
                    <w:rPr>
                      <w:rFonts w:hint="eastAsia"/>
                      <w:color w:val="auto"/>
                      <w:lang w:val="en-US" w:eastAsia="zh-CN"/>
                    </w:rPr>
                    <w:t>冷却</w:t>
                  </w:r>
                  <w:r>
                    <w:rPr>
                      <w:rFonts w:hint="eastAsia"/>
                      <w:color w:val="auto"/>
                    </w:rPr>
                    <w:t>水：</w:t>
                  </w:r>
                  <w:r>
                    <w:rPr>
                      <w:rFonts w:hint="eastAsia"/>
                      <w:color w:val="auto"/>
                      <w:lang w:val="en-US" w:eastAsia="zh-CN"/>
                    </w:rPr>
                    <w:t>设冷却塔和5</w:t>
                  </w:r>
                  <w:r>
                    <w:rPr>
                      <w:rFonts w:hint="eastAsia"/>
                      <w:color w:val="auto"/>
                    </w:rPr>
                    <w:t>m</w:t>
                  </w:r>
                  <w:r>
                    <w:rPr>
                      <w:rFonts w:hint="eastAsia"/>
                      <w:color w:val="auto"/>
                      <w:vertAlign w:val="superscript"/>
                    </w:rPr>
                    <w:t>3</w:t>
                  </w:r>
                  <w:r>
                    <w:rPr>
                      <w:rFonts w:hint="eastAsia"/>
                      <w:color w:val="auto"/>
                      <w:vertAlign w:val="baseline"/>
                      <w:lang w:val="en-US" w:eastAsia="zh-CN"/>
                    </w:rPr>
                    <w:t>循环水收集箱，冷却水循环使用不外排</w:t>
                  </w:r>
                  <w:r>
                    <w:rPr>
                      <w:rFonts w:hint="eastAsia"/>
                      <w:color w:val="auto"/>
                    </w:rPr>
                    <w:t>。</w:t>
                  </w:r>
                </w:p>
              </w:tc>
              <w:tc>
                <w:tcPr>
                  <w:tcW w:w="643" w:type="pct"/>
                  <w:vAlign w:val="center"/>
                </w:tcPr>
                <w:p w14:paraId="0E9F38D2">
                  <w:pPr>
                    <w:pStyle w:val="53"/>
                    <w:rPr>
                      <w:rFonts w:hint="default" w:cs="Times New Roman"/>
                      <w:color w:val="auto"/>
                      <w:lang w:val="en-US" w:eastAsia="zh-CN"/>
                    </w:rPr>
                  </w:pPr>
                  <w:r>
                    <w:rPr>
                      <w:rFonts w:hint="eastAsia" w:cs="Times New Roman"/>
                      <w:color w:val="auto"/>
                      <w:lang w:val="en-US" w:eastAsia="zh-CN"/>
                    </w:rPr>
                    <w:t>新建</w:t>
                  </w:r>
                </w:p>
              </w:tc>
            </w:tr>
            <w:tr w14:paraId="2446E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0" w:type="pct"/>
                  <w:vMerge w:val="continue"/>
                  <w:vAlign w:val="center"/>
                </w:tcPr>
                <w:p w14:paraId="7002B043">
                  <w:pPr>
                    <w:pStyle w:val="53"/>
                    <w:rPr>
                      <w:rFonts w:hint="default" w:ascii="Times New Roman" w:hAnsi="Times New Roman" w:cs="Times New Roman"/>
                      <w:color w:val="auto"/>
                    </w:rPr>
                  </w:pPr>
                </w:p>
              </w:tc>
              <w:tc>
                <w:tcPr>
                  <w:tcW w:w="630" w:type="pct"/>
                  <w:vAlign w:val="center"/>
                </w:tcPr>
                <w:p w14:paraId="1284760F">
                  <w:pPr>
                    <w:pStyle w:val="53"/>
                    <w:rPr>
                      <w:rFonts w:hint="default" w:ascii="Times New Roman" w:hAnsi="Times New Roman" w:cs="Times New Roman"/>
                      <w:color w:val="auto"/>
                    </w:rPr>
                  </w:pPr>
                  <w:r>
                    <w:rPr>
                      <w:rFonts w:hint="default" w:ascii="Times New Roman" w:hAnsi="Times New Roman" w:cs="Times New Roman"/>
                      <w:color w:val="auto"/>
                    </w:rPr>
                    <w:t>噪声</w:t>
                  </w:r>
                </w:p>
              </w:tc>
              <w:tc>
                <w:tcPr>
                  <w:tcW w:w="3205" w:type="pct"/>
                  <w:vAlign w:val="center"/>
                </w:tcPr>
                <w:p w14:paraId="47AB3683">
                  <w:pPr>
                    <w:pStyle w:val="53"/>
                    <w:rPr>
                      <w:rFonts w:hint="eastAsia" w:ascii="Times New Roman" w:hAnsi="Times New Roman" w:eastAsia="宋体" w:cs="Times New Roman"/>
                      <w:color w:val="auto"/>
                      <w:lang w:eastAsia="zh-CN"/>
                    </w:rPr>
                  </w:pPr>
                  <w:r>
                    <w:rPr>
                      <w:rFonts w:hint="default" w:ascii="Times New Roman" w:hAnsi="Times New Roman" w:cs="Times New Roman"/>
                      <w:color w:val="auto"/>
                      <w:szCs w:val="21"/>
                      <w:highlight w:val="none"/>
                    </w:rPr>
                    <w:t>产噪设备合理布局，设备基础减震</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定期检查，维修设备，使设备处于良好的运行状态</w:t>
                  </w:r>
                  <w:r>
                    <w:rPr>
                      <w:rFonts w:hint="eastAsia" w:cs="Times New Roman"/>
                      <w:color w:val="auto"/>
                      <w:szCs w:val="21"/>
                      <w:highlight w:val="none"/>
                      <w:lang w:eastAsia="zh-CN"/>
                    </w:rPr>
                    <w:t>。</w:t>
                  </w:r>
                </w:p>
              </w:tc>
              <w:tc>
                <w:tcPr>
                  <w:tcW w:w="643" w:type="pct"/>
                  <w:vAlign w:val="center"/>
                </w:tcPr>
                <w:p w14:paraId="2F8C1712">
                  <w:pPr>
                    <w:pStyle w:val="53"/>
                    <w:rPr>
                      <w:rFonts w:hint="default" w:ascii="Times New Roman" w:hAnsi="Times New Roman" w:cs="Times New Roman"/>
                      <w:color w:val="auto"/>
                    </w:rPr>
                  </w:pPr>
                  <w:r>
                    <w:rPr>
                      <w:rFonts w:hint="default" w:ascii="Times New Roman" w:hAnsi="Times New Roman" w:cs="Times New Roman"/>
                      <w:color w:val="auto"/>
                    </w:rPr>
                    <w:t>新建</w:t>
                  </w:r>
                </w:p>
              </w:tc>
            </w:tr>
            <w:tr w14:paraId="1B57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4B75FBC1">
                  <w:pPr>
                    <w:pStyle w:val="53"/>
                    <w:rPr>
                      <w:rFonts w:hint="default" w:ascii="Times New Roman" w:hAnsi="Times New Roman" w:cs="Times New Roman"/>
                      <w:color w:val="auto"/>
                    </w:rPr>
                  </w:pPr>
                </w:p>
              </w:tc>
              <w:tc>
                <w:tcPr>
                  <w:tcW w:w="630" w:type="pct"/>
                  <w:vAlign w:val="center"/>
                </w:tcPr>
                <w:p w14:paraId="0FB1EFFB">
                  <w:pPr>
                    <w:pStyle w:val="53"/>
                    <w:rPr>
                      <w:rFonts w:hint="default" w:ascii="Times New Roman" w:hAnsi="Times New Roman" w:cs="Times New Roman"/>
                      <w:color w:val="auto"/>
                    </w:rPr>
                  </w:pPr>
                  <w:r>
                    <w:rPr>
                      <w:rFonts w:hint="default" w:ascii="Times New Roman" w:hAnsi="Times New Roman" w:cs="Times New Roman"/>
                      <w:color w:val="auto"/>
                    </w:rPr>
                    <w:t>固废</w:t>
                  </w:r>
                </w:p>
              </w:tc>
              <w:tc>
                <w:tcPr>
                  <w:tcW w:w="3205" w:type="pct"/>
                  <w:vAlign w:val="center"/>
                </w:tcPr>
                <w:p w14:paraId="089C636C">
                  <w:pPr>
                    <w:pStyle w:val="53"/>
                    <w:ind w:firstLine="0" w:firstLineChars="0"/>
                    <w:rPr>
                      <w:rFonts w:hint="default" w:ascii="Times New Roman" w:hAnsi="Times New Roman" w:cs="Times New Roman"/>
                      <w:color w:val="auto"/>
                    </w:rPr>
                  </w:pPr>
                  <w:r>
                    <w:rPr>
                      <w:rFonts w:hint="eastAsia"/>
                      <w:color w:val="auto"/>
                    </w:rPr>
                    <w:t>设置1个危废暂存间，占地面积5m</w:t>
                  </w:r>
                  <w:r>
                    <w:rPr>
                      <w:rFonts w:hint="eastAsia"/>
                      <w:color w:val="auto"/>
                      <w:vertAlign w:val="superscript"/>
                    </w:rPr>
                    <w:t>2</w:t>
                  </w:r>
                  <w:r>
                    <w:rPr>
                      <w:rFonts w:hint="eastAsia"/>
                      <w:color w:val="auto"/>
                    </w:rPr>
                    <w:t>，按照《危险废物贮存污染控制标准》（GB18597-2023）要求，</w:t>
                  </w:r>
                  <w:r>
                    <w:rPr>
                      <w:rFonts w:hint="eastAsia"/>
                      <w:color w:val="auto"/>
                      <w:lang w:val="en-US" w:eastAsia="zh-CN"/>
                    </w:rPr>
                    <w:t>设置导流沟及收集池，</w:t>
                  </w:r>
                  <w:r>
                    <w:rPr>
                      <w:rFonts w:hint="eastAsia"/>
                      <w:color w:val="auto"/>
                    </w:rPr>
                    <w:t>贮存设施地面与裙脚应采取表面防渗措施；表面防渗材料应与所接触的物料或污染物相容，可采用抗渗混凝土、高密度聚乙烯膜、钠基膨润土防水毯或其他防渗性能等效的材料。根据《危险废物识别标志设置技术规范》（HJ1276-2022），项目应设置危险废物标签、危险废物贮存库标志</w:t>
                  </w:r>
                  <w:r>
                    <w:rPr>
                      <w:rFonts w:hint="eastAsia"/>
                      <w:color w:val="auto"/>
                      <w:lang w:eastAsia="zh-CN"/>
                    </w:rPr>
                    <w:t>。</w:t>
                  </w:r>
                </w:p>
              </w:tc>
              <w:tc>
                <w:tcPr>
                  <w:tcW w:w="643" w:type="pct"/>
                  <w:vAlign w:val="center"/>
                </w:tcPr>
                <w:p w14:paraId="5CBB3DA7">
                  <w:pPr>
                    <w:pStyle w:val="53"/>
                    <w:ind w:firstLine="0" w:firstLineChars="0"/>
                    <w:rPr>
                      <w:rFonts w:hint="default" w:ascii="Times New Roman" w:hAnsi="Times New Roman" w:cs="Times New Roman"/>
                      <w:color w:val="auto"/>
                    </w:rPr>
                  </w:pPr>
                  <w:r>
                    <w:rPr>
                      <w:rFonts w:hint="eastAsia"/>
                      <w:color w:val="auto"/>
                    </w:rPr>
                    <w:t>新建</w:t>
                  </w:r>
                </w:p>
              </w:tc>
            </w:tr>
            <w:tr w14:paraId="1DA9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restart"/>
                  <w:vAlign w:val="center"/>
                </w:tcPr>
                <w:p w14:paraId="7414087C">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依托工程</w:t>
                  </w:r>
                </w:p>
              </w:tc>
              <w:tc>
                <w:tcPr>
                  <w:tcW w:w="630" w:type="pct"/>
                  <w:vAlign w:val="center"/>
                </w:tcPr>
                <w:p w14:paraId="4D75775E">
                  <w:pPr>
                    <w:pStyle w:val="53"/>
                    <w:ind w:firstLine="0" w:firstLineChars="0"/>
                    <w:rPr>
                      <w:rFonts w:hint="default" w:ascii="Times New Roman" w:hAnsi="Times New Roman" w:cs="Times New Roman"/>
                      <w:color w:val="auto"/>
                    </w:rPr>
                  </w:pPr>
                  <w:r>
                    <w:rPr>
                      <w:rFonts w:hint="eastAsia" w:cs="Times New Roman"/>
                      <w:color w:val="auto"/>
                      <w:lang w:val="en-US" w:eastAsia="zh-CN"/>
                    </w:rPr>
                    <w:t>成品区</w:t>
                  </w:r>
                </w:p>
              </w:tc>
              <w:tc>
                <w:tcPr>
                  <w:tcW w:w="3205" w:type="pct"/>
                  <w:vAlign w:val="center"/>
                </w:tcPr>
                <w:p w14:paraId="1EBFB9A7">
                  <w:pPr>
                    <w:pStyle w:val="53"/>
                    <w:ind w:firstLine="0" w:firstLineChars="0"/>
                    <w:rPr>
                      <w:rFonts w:hint="eastAsia"/>
                      <w:color w:val="auto"/>
                    </w:rPr>
                  </w:pPr>
                  <w:r>
                    <w:rPr>
                      <w:rFonts w:hint="eastAsia" w:cs="Times New Roman"/>
                      <w:color w:val="auto"/>
                      <w:kern w:val="0"/>
                      <w:lang w:val="en-US" w:eastAsia="zh-CN"/>
                    </w:rPr>
                    <w:t>依托使用现有项目已建的成品区，占地面积600</w:t>
                  </w:r>
                  <w:r>
                    <w:rPr>
                      <w:rFonts w:hint="eastAsia" w:cs="Times New Roman"/>
                      <w:color w:val="auto"/>
                      <w:lang w:val="en-US" w:eastAsia="zh-CN"/>
                    </w:rPr>
                    <w:t>m</w:t>
                  </w:r>
                  <w:r>
                    <w:rPr>
                      <w:rFonts w:hint="eastAsia" w:cs="Times New Roman"/>
                      <w:color w:val="auto"/>
                      <w:vertAlign w:val="superscript"/>
                      <w:lang w:val="en-US" w:eastAsia="zh-CN"/>
                    </w:rPr>
                    <w:t>2</w:t>
                  </w:r>
                  <w:r>
                    <w:rPr>
                      <w:rFonts w:hint="eastAsia" w:cs="Times New Roman"/>
                      <w:color w:val="auto"/>
                      <w:lang w:val="en-US" w:eastAsia="zh-CN"/>
                    </w:rPr>
                    <w:t>。</w:t>
                  </w:r>
                </w:p>
              </w:tc>
              <w:tc>
                <w:tcPr>
                  <w:tcW w:w="643" w:type="pct"/>
                  <w:vMerge w:val="restart"/>
                  <w:vAlign w:val="center"/>
                </w:tcPr>
                <w:p w14:paraId="1B7E096E">
                  <w:pPr>
                    <w:pStyle w:val="53"/>
                    <w:ind w:firstLine="0" w:firstLineChars="0"/>
                    <w:rPr>
                      <w:rFonts w:hint="eastAsia" w:eastAsia="宋体"/>
                      <w:color w:val="auto"/>
                      <w:lang w:val="en-US" w:eastAsia="zh-CN"/>
                    </w:rPr>
                  </w:pPr>
                  <w:r>
                    <w:rPr>
                      <w:rFonts w:hint="eastAsia"/>
                      <w:color w:val="auto"/>
                      <w:lang w:val="en-US" w:eastAsia="zh-CN"/>
                    </w:rPr>
                    <w:t>依托使用</w:t>
                  </w:r>
                </w:p>
              </w:tc>
            </w:tr>
            <w:tr w14:paraId="4A27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5E8498B5">
                  <w:pPr>
                    <w:pStyle w:val="53"/>
                    <w:rPr>
                      <w:rFonts w:hint="default" w:ascii="Times New Roman" w:hAnsi="Times New Roman" w:cs="Times New Roman"/>
                      <w:color w:val="auto"/>
                    </w:rPr>
                  </w:pPr>
                </w:p>
              </w:tc>
              <w:tc>
                <w:tcPr>
                  <w:tcW w:w="630" w:type="pct"/>
                  <w:vAlign w:val="center"/>
                </w:tcPr>
                <w:p w14:paraId="6A216BF0">
                  <w:pPr>
                    <w:pStyle w:val="53"/>
                    <w:ind w:firstLine="0" w:firstLineChars="0"/>
                    <w:rPr>
                      <w:rFonts w:hint="default" w:ascii="Times New Roman" w:hAnsi="Times New Roman" w:cs="Times New Roman"/>
                      <w:color w:val="auto"/>
                    </w:rPr>
                  </w:pPr>
                  <w:r>
                    <w:rPr>
                      <w:rFonts w:hint="eastAsia" w:cs="Times New Roman"/>
                      <w:color w:val="auto"/>
                      <w:lang w:val="en-US" w:eastAsia="zh-CN"/>
                    </w:rPr>
                    <w:t>办公区</w:t>
                  </w:r>
                </w:p>
              </w:tc>
              <w:tc>
                <w:tcPr>
                  <w:tcW w:w="3205" w:type="pct"/>
                  <w:vAlign w:val="center"/>
                </w:tcPr>
                <w:p w14:paraId="2FC29E5C">
                  <w:pPr>
                    <w:pStyle w:val="53"/>
                    <w:ind w:firstLine="0" w:firstLineChars="0"/>
                    <w:rPr>
                      <w:rFonts w:hint="eastAsia"/>
                      <w:color w:val="auto"/>
                    </w:rPr>
                  </w:pPr>
                  <w:r>
                    <w:rPr>
                      <w:rFonts w:hint="eastAsia" w:cs="Times New Roman"/>
                      <w:color w:val="auto"/>
                      <w:lang w:val="en-US" w:eastAsia="zh-CN"/>
                    </w:rPr>
                    <w:t>依托使用现有办公区</w:t>
                  </w:r>
                </w:p>
              </w:tc>
              <w:tc>
                <w:tcPr>
                  <w:tcW w:w="643" w:type="pct"/>
                  <w:vMerge w:val="continue"/>
                  <w:vAlign w:val="center"/>
                </w:tcPr>
                <w:p w14:paraId="36E8BA02">
                  <w:pPr>
                    <w:pStyle w:val="53"/>
                    <w:ind w:firstLine="0" w:firstLineChars="0"/>
                    <w:rPr>
                      <w:rFonts w:hint="eastAsia"/>
                      <w:color w:val="auto"/>
                    </w:rPr>
                  </w:pPr>
                </w:p>
              </w:tc>
            </w:tr>
            <w:tr w14:paraId="0EDE3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2EBD99F4">
                  <w:pPr>
                    <w:pStyle w:val="53"/>
                    <w:rPr>
                      <w:rFonts w:hint="default" w:ascii="Times New Roman" w:hAnsi="Times New Roman" w:cs="Times New Roman"/>
                      <w:color w:val="auto"/>
                    </w:rPr>
                  </w:pPr>
                </w:p>
              </w:tc>
              <w:tc>
                <w:tcPr>
                  <w:tcW w:w="630" w:type="pct"/>
                  <w:vAlign w:val="center"/>
                </w:tcPr>
                <w:p w14:paraId="47EC3062">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供电</w:t>
                  </w:r>
                </w:p>
              </w:tc>
              <w:tc>
                <w:tcPr>
                  <w:tcW w:w="3205" w:type="pct"/>
                  <w:vAlign w:val="center"/>
                </w:tcPr>
                <w:p w14:paraId="3C8AFAE5">
                  <w:pPr>
                    <w:pStyle w:val="53"/>
                    <w:ind w:firstLine="0" w:firstLineChars="0"/>
                    <w:rPr>
                      <w:rFonts w:hint="eastAsia"/>
                      <w:color w:val="auto"/>
                    </w:rPr>
                  </w:pPr>
                  <w:r>
                    <w:rPr>
                      <w:rFonts w:hint="default" w:ascii="Times New Roman" w:hAnsi="Times New Roman" w:cs="Times New Roman"/>
                      <w:color w:val="auto"/>
                    </w:rPr>
                    <w:t>项目供电依托现有供电系统接入</w:t>
                  </w:r>
                </w:p>
              </w:tc>
              <w:tc>
                <w:tcPr>
                  <w:tcW w:w="643" w:type="pct"/>
                  <w:vMerge w:val="continue"/>
                  <w:vAlign w:val="center"/>
                </w:tcPr>
                <w:p w14:paraId="7E8E9076">
                  <w:pPr>
                    <w:pStyle w:val="53"/>
                    <w:ind w:firstLine="0" w:firstLineChars="0"/>
                    <w:rPr>
                      <w:rFonts w:hint="eastAsia"/>
                      <w:color w:val="auto"/>
                    </w:rPr>
                  </w:pPr>
                </w:p>
              </w:tc>
            </w:tr>
            <w:tr w14:paraId="15B9C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74FE82B1">
                  <w:pPr>
                    <w:pStyle w:val="53"/>
                    <w:rPr>
                      <w:rFonts w:hint="default" w:ascii="Times New Roman" w:hAnsi="Times New Roman" w:cs="Times New Roman"/>
                      <w:color w:val="auto"/>
                    </w:rPr>
                  </w:pPr>
                </w:p>
              </w:tc>
              <w:tc>
                <w:tcPr>
                  <w:tcW w:w="630" w:type="pct"/>
                  <w:vAlign w:val="center"/>
                </w:tcPr>
                <w:p w14:paraId="0AFAC757">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供水</w:t>
                  </w:r>
                </w:p>
              </w:tc>
              <w:tc>
                <w:tcPr>
                  <w:tcW w:w="3205" w:type="pct"/>
                  <w:vAlign w:val="center"/>
                </w:tcPr>
                <w:p w14:paraId="43C804F2">
                  <w:pPr>
                    <w:pStyle w:val="53"/>
                    <w:ind w:firstLine="0" w:firstLineChars="0"/>
                    <w:rPr>
                      <w:rFonts w:hint="eastAsia"/>
                      <w:color w:val="auto"/>
                    </w:rPr>
                  </w:pPr>
                  <w:r>
                    <w:rPr>
                      <w:rFonts w:hint="default" w:ascii="Times New Roman" w:hAnsi="Times New Roman" w:cs="Times New Roman"/>
                      <w:color w:val="auto"/>
                    </w:rPr>
                    <w:t>项目用水依托使用现有供水管网</w:t>
                  </w:r>
                </w:p>
              </w:tc>
              <w:tc>
                <w:tcPr>
                  <w:tcW w:w="643" w:type="pct"/>
                  <w:vMerge w:val="continue"/>
                  <w:vAlign w:val="center"/>
                </w:tcPr>
                <w:p w14:paraId="175693E6">
                  <w:pPr>
                    <w:pStyle w:val="53"/>
                    <w:ind w:firstLine="0" w:firstLineChars="0"/>
                    <w:rPr>
                      <w:rFonts w:hint="eastAsia"/>
                      <w:color w:val="auto"/>
                    </w:rPr>
                  </w:pPr>
                </w:p>
              </w:tc>
            </w:tr>
            <w:tr w14:paraId="00FD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7D1D2BEE">
                  <w:pPr>
                    <w:pStyle w:val="53"/>
                    <w:rPr>
                      <w:rFonts w:hint="default" w:ascii="Times New Roman" w:hAnsi="Times New Roman" w:cs="Times New Roman"/>
                      <w:color w:val="auto"/>
                    </w:rPr>
                  </w:pPr>
                </w:p>
              </w:tc>
              <w:tc>
                <w:tcPr>
                  <w:tcW w:w="630" w:type="pct"/>
                  <w:vAlign w:val="center"/>
                </w:tcPr>
                <w:p w14:paraId="702CC75F">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排水</w:t>
                  </w:r>
                </w:p>
              </w:tc>
              <w:tc>
                <w:tcPr>
                  <w:tcW w:w="3205" w:type="pct"/>
                  <w:vAlign w:val="center"/>
                </w:tcPr>
                <w:p w14:paraId="14EA47E6">
                  <w:pPr>
                    <w:pStyle w:val="53"/>
                    <w:ind w:firstLine="0" w:firstLineChars="0"/>
                    <w:rPr>
                      <w:rFonts w:hint="eastAsia"/>
                      <w:color w:val="auto"/>
                    </w:rPr>
                  </w:pPr>
                  <w:r>
                    <w:rPr>
                      <w:rFonts w:hint="default" w:ascii="Times New Roman" w:hAnsi="Times New Roman" w:cs="Times New Roman"/>
                      <w:color w:val="auto"/>
                    </w:rPr>
                    <w:t>项目区采用雨污分流制</w:t>
                  </w:r>
                </w:p>
              </w:tc>
              <w:tc>
                <w:tcPr>
                  <w:tcW w:w="643" w:type="pct"/>
                  <w:vMerge w:val="continue"/>
                  <w:vAlign w:val="center"/>
                </w:tcPr>
                <w:p w14:paraId="0C15ECAD">
                  <w:pPr>
                    <w:pStyle w:val="53"/>
                    <w:ind w:firstLine="0" w:firstLineChars="0"/>
                    <w:rPr>
                      <w:rFonts w:hint="eastAsia"/>
                      <w:color w:val="auto"/>
                    </w:rPr>
                  </w:pPr>
                </w:p>
              </w:tc>
            </w:tr>
            <w:tr w14:paraId="1148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0" w:type="pct"/>
                  <w:vMerge w:val="continue"/>
                  <w:vAlign w:val="center"/>
                </w:tcPr>
                <w:p w14:paraId="0A40E099">
                  <w:pPr>
                    <w:pStyle w:val="53"/>
                    <w:rPr>
                      <w:rFonts w:hint="default" w:ascii="Times New Roman" w:hAnsi="Times New Roman" w:cs="Times New Roman"/>
                      <w:color w:val="auto"/>
                    </w:rPr>
                  </w:pPr>
                </w:p>
              </w:tc>
              <w:tc>
                <w:tcPr>
                  <w:tcW w:w="630" w:type="pct"/>
                  <w:vAlign w:val="center"/>
                </w:tcPr>
                <w:p w14:paraId="0BD7F9FF">
                  <w:pPr>
                    <w:pStyle w:val="53"/>
                    <w:rPr>
                      <w:rFonts w:hint="default" w:ascii="Times New Roman" w:hAnsi="Times New Roman" w:cs="Times New Roman"/>
                      <w:color w:val="auto"/>
                    </w:rPr>
                  </w:pPr>
                  <w:r>
                    <w:rPr>
                      <w:rFonts w:hint="default" w:ascii="Times New Roman" w:hAnsi="Times New Roman" w:cs="Times New Roman"/>
                      <w:color w:val="auto"/>
                    </w:rPr>
                    <w:t>废水</w:t>
                  </w:r>
                </w:p>
              </w:tc>
              <w:tc>
                <w:tcPr>
                  <w:tcW w:w="3205" w:type="pct"/>
                  <w:vAlign w:val="center"/>
                </w:tcPr>
                <w:p w14:paraId="44DDC736">
                  <w:pPr>
                    <w:pStyle w:val="53"/>
                    <w:ind w:firstLine="0" w:firstLineChars="0"/>
                    <w:rPr>
                      <w:rFonts w:hint="eastAsia"/>
                      <w:color w:val="auto"/>
                    </w:rPr>
                  </w:pPr>
                  <w:r>
                    <w:rPr>
                      <w:rFonts w:hint="eastAsia" w:cs="Times New Roman"/>
                      <w:color w:val="auto"/>
                      <w:lang w:val="en-US" w:eastAsia="zh-CN"/>
                    </w:rPr>
                    <w:t>产生的生活污水</w:t>
                  </w:r>
                  <w:r>
                    <w:rPr>
                      <w:rFonts w:hint="eastAsia" w:cs="Times New Roman"/>
                      <w:color w:val="auto"/>
                      <w:szCs w:val="21"/>
                      <w:lang w:val="en-US" w:eastAsia="zh-CN"/>
                    </w:rPr>
                    <w:t>进入化粪池处理，依托使用现有项目已建化粪池（</w:t>
                  </w:r>
                  <w:r>
                    <w:rPr>
                      <w:rFonts w:hint="eastAsia" w:ascii="Times New Roman" w:hAnsi="Times New Roman" w:eastAsia="宋体" w:cs="Times New Roman"/>
                      <w:color w:val="auto"/>
                      <w:szCs w:val="21"/>
                      <w:lang w:val="en-US" w:eastAsia="zh-CN"/>
                    </w:rPr>
                    <w:t>设置3个化粪池、单个容积7.5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，总容积22.5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w:t>
                  </w:r>
                </w:p>
              </w:tc>
              <w:tc>
                <w:tcPr>
                  <w:tcW w:w="643" w:type="pct"/>
                  <w:vMerge w:val="continue"/>
                  <w:vAlign w:val="center"/>
                </w:tcPr>
                <w:p w14:paraId="59B0CE45">
                  <w:pPr>
                    <w:pStyle w:val="53"/>
                    <w:ind w:firstLine="0" w:firstLineChars="0"/>
                    <w:rPr>
                      <w:rFonts w:hint="eastAsia"/>
                      <w:color w:val="auto"/>
                    </w:rPr>
                  </w:pPr>
                </w:p>
              </w:tc>
            </w:tr>
          </w:tbl>
          <w:p w14:paraId="742E0C87">
            <w:pPr>
              <w:pStyle w:val="51"/>
              <w:ind w:firstLine="482"/>
              <w:rPr>
                <w:rFonts w:hint="default" w:ascii="Times New Roman" w:hAnsi="Times New Roman" w:eastAsia="宋体" w:cs="Times New Roman"/>
                <w:b/>
                <w:bCs w:val="0"/>
                <w:color w:val="auto"/>
                <w:lang w:val="en-US" w:eastAsia="zh-CN"/>
              </w:rPr>
            </w:pPr>
            <w:r>
              <w:rPr>
                <w:rFonts w:hint="eastAsia" w:cs="Times New Roman"/>
                <w:b/>
                <w:bCs w:val="0"/>
                <w:color w:val="auto"/>
                <w:lang w:val="en-US" w:eastAsia="zh-CN"/>
              </w:rPr>
              <w:t>4、依托工程可行性分析</w:t>
            </w:r>
          </w:p>
          <w:p w14:paraId="631E1D72">
            <w:pPr>
              <w:pStyle w:val="51"/>
              <w:bidi w:val="0"/>
              <w:rPr>
                <w:rFonts w:hint="default" w:ascii="Times New Roman" w:hAnsi="Times New Roman" w:eastAsia="宋体" w:cs="Times New Roman"/>
                <w:b w:val="0"/>
                <w:bCs/>
                <w:color w:val="auto"/>
                <w:lang w:val="en-US" w:eastAsia="zh-CN"/>
              </w:rPr>
            </w:pPr>
            <w:r>
              <w:rPr>
                <w:rFonts w:hint="eastAsia" w:cs="Times New Roman"/>
                <w:b w:val="0"/>
                <w:bCs/>
                <w:color w:val="auto"/>
                <w:lang w:val="en-US" w:eastAsia="zh-CN"/>
              </w:rPr>
              <w:t>项目依托使用已建成品区、办公区、供水</w:t>
            </w:r>
            <w:r>
              <w:rPr>
                <w:rFonts w:hint="eastAsia" w:ascii="Times New Roman" w:hAnsi="Times New Roman" w:eastAsia="宋体" w:cs="Times New Roman"/>
                <w:b w:val="0"/>
                <w:bCs/>
                <w:color w:val="auto"/>
                <w:lang w:val="en-US" w:eastAsia="zh-CN"/>
              </w:rPr>
              <w:t>系统、供电系统、化粪池，厂区</w:t>
            </w:r>
            <w:r>
              <w:rPr>
                <w:rFonts w:hint="eastAsia" w:cs="Times New Roman"/>
                <w:b w:val="0"/>
                <w:bCs/>
                <w:color w:val="auto"/>
                <w:lang w:val="en-US" w:eastAsia="zh-CN"/>
              </w:rPr>
              <w:t>实行雨污分流。根据现场踏勘及建设单位提供资料，</w:t>
            </w:r>
            <w:r>
              <w:rPr>
                <w:rFonts w:hint="eastAsia" w:ascii="Times New Roman" w:hAnsi="Times New Roman" w:eastAsia="宋体" w:cs="Times New Roman"/>
                <w:b w:val="0"/>
                <w:bCs/>
                <w:color w:val="auto"/>
                <w:lang w:val="en-US" w:eastAsia="zh-CN"/>
              </w:rPr>
              <w:t>成品区占地面积约600m</w:t>
            </w:r>
            <w:r>
              <w:rPr>
                <w:rFonts w:hint="eastAsia" w:ascii="Times New Roman" w:hAnsi="Times New Roman" w:eastAsia="宋体" w:cs="Times New Roman"/>
                <w:b w:val="0"/>
                <w:bCs/>
                <w:color w:val="auto"/>
                <w:vertAlign w:val="superscript"/>
                <w:lang w:val="en-US" w:eastAsia="zh-CN"/>
              </w:rPr>
              <w:t>2</w:t>
            </w:r>
            <w:r>
              <w:rPr>
                <w:color w:val="auto"/>
                <w:spacing w:val="4"/>
                <w:position w:val="1"/>
                <w:sz w:val="20"/>
                <w:szCs w:val="20"/>
              </w:rPr>
              <w:t>，</w:t>
            </w:r>
            <w:r>
              <w:rPr>
                <w:rFonts w:hint="eastAsia" w:ascii="Times New Roman" w:hAnsi="Times New Roman" w:eastAsia="宋体" w:cs="Times New Roman"/>
                <w:b w:val="0"/>
                <w:bCs/>
                <w:color w:val="auto"/>
                <w:lang w:val="en-US" w:eastAsia="zh-CN"/>
              </w:rPr>
              <w:t>废塑料片生产过程中最大储存量约50t，本项目建设运营后，废塑料片作为本项目的原料进行生产、储存量减少，储存塑料颗粒成品量约50t，现有的成品区能满足废塑料片、塑料颗粒存储要求，依托使用已建成品区可行。</w:t>
            </w:r>
          </w:p>
          <w:p w14:paraId="0A8F1CE7">
            <w:pPr>
              <w:pStyle w:val="51"/>
              <w:ind w:firstLine="482"/>
              <w:rPr>
                <w:rFonts w:hint="default" w:ascii="Times New Roman" w:hAnsi="Times New Roman" w:cs="Times New Roman"/>
                <w:b w:val="0"/>
                <w:bCs/>
                <w:color w:val="auto"/>
              </w:rPr>
            </w:pPr>
            <w:r>
              <w:rPr>
                <w:rFonts w:hint="eastAsia" w:cs="Times New Roman"/>
                <w:color w:val="auto"/>
                <w:lang w:val="en-US" w:eastAsia="zh-CN"/>
              </w:rPr>
              <w:t>现有项目生活污水产生量为1.292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387</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a，设置3个化粪池，单个容积7.5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，总容积22.5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vertAlign w:val="baseline"/>
                <w:lang w:val="en-US" w:eastAsia="zh-CN"/>
              </w:rPr>
              <w:t>；</w:t>
            </w:r>
            <w:r>
              <w:rPr>
                <w:rFonts w:hint="eastAsia" w:ascii="Times New Roman" w:hAnsi="Times New Roman" w:cs="Times New Roman"/>
                <w:color w:val="auto"/>
                <w:sz w:val="24"/>
                <w:highlight w:val="none"/>
                <w:lang w:val="en-US" w:eastAsia="zh-CN"/>
              </w:rPr>
              <w:t>本项目生活污水产生量为</w:t>
            </w:r>
            <w:r>
              <w:rPr>
                <w:rFonts w:hint="default" w:ascii="Times New Roman" w:hAnsi="Times New Roman" w:cs="Times New Roman"/>
                <w:color w:val="auto"/>
                <w:sz w:val="24"/>
                <w:highlight w:val="none"/>
                <w:lang w:val="en-US" w:eastAsia="zh-CN"/>
              </w:rPr>
              <w:t>0.</w:t>
            </w:r>
            <w:r>
              <w:rPr>
                <w:rFonts w:hint="eastAsia" w:cs="Times New Roman"/>
                <w:color w:val="auto"/>
                <w:sz w:val="24"/>
                <w:highlight w:val="none"/>
                <w:lang w:val="en-US" w:eastAsia="zh-CN"/>
              </w:rPr>
              <w:t>0996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ascii="Times New Roman" w:hAnsi="Times New Roman" w:cs="Times New Roman"/>
                <w:color w:val="auto"/>
                <w:sz w:val="24"/>
                <w:highlight w:val="none"/>
                <w:lang w:val="en-US" w:eastAsia="zh-CN"/>
              </w:rPr>
              <w:t>则进入化粪池总污水量为</w:t>
            </w:r>
            <w:r>
              <w:rPr>
                <w:rFonts w:hint="eastAsia" w:cs="Times New Roman"/>
                <w:color w:val="auto"/>
                <w:sz w:val="24"/>
                <w:highlight w:val="none"/>
                <w:lang w:val="en-US" w:eastAsia="zh-CN"/>
              </w:rPr>
              <w:t>1.3916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olor w:val="auto"/>
                <w:sz w:val="24"/>
                <w:szCs w:val="24"/>
                <w:lang w:eastAsia="zh-CN"/>
              </w:rPr>
              <w:t>满足</w:t>
            </w:r>
            <w:r>
              <w:rPr>
                <w:rFonts w:hint="eastAsia"/>
                <w:color w:val="auto"/>
                <w:sz w:val="24"/>
                <w:szCs w:val="32"/>
                <w:lang w:val="en-US" w:eastAsia="zh-CN"/>
              </w:rPr>
              <w:t>15天生活污水处理需求；依托使用已建化粪池处理项目产生的生活污水可行。</w:t>
            </w:r>
          </w:p>
          <w:p w14:paraId="6DCE813F">
            <w:pPr>
              <w:pStyle w:val="51"/>
              <w:ind w:firstLine="482"/>
              <w:rPr>
                <w:rFonts w:hint="default" w:ascii="Times New Roman" w:hAnsi="Times New Roman" w:cs="Times New Roman"/>
                <w:b/>
                <w:color w:val="auto"/>
              </w:rPr>
            </w:pPr>
            <w:r>
              <w:rPr>
                <w:rFonts w:hint="default" w:ascii="Times New Roman" w:hAnsi="Times New Roman" w:cs="Times New Roman"/>
                <w:b/>
                <w:color w:val="auto"/>
              </w:rPr>
              <w:t>5、主要产品产能</w:t>
            </w:r>
          </w:p>
          <w:p w14:paraId="58B27080">
            <w:pPr>
              <w:pStyle w:val="51"/>
              <w:ind w:firstLine="482"/>
              <w:rPr>
                <w:rFonts w:hint="eastAsia" w:cs="Times New Roman"/>
                <w:b w:val="0"/>
                <w:bCs/>
                <w:color w:val="auto"/>
                <w:lang w:val="en-US" w:eastAsia="zh-CN"/>
              </w:rPr>
            </w:pPr>
            <w:r>
              <w:rPr>
                <w:rFonts w:hint="eastAsia" w:cs="Times New Roman"/>
                <w:b w:val="0"/>
                <w:bCs/>
                <w:color w:val="auto"/>
                <w:lang w:val="en-US" w:eastAsia="zh-CN"/>
              </w:rPr>
              <w:t>本项目年产10000吨塑料颗粒，项目产品方案见下表。</w:t>
            </w:r>
          </w:p>
          <w:p w14:paraId="68173C96">
            <w:pPr>
              <w:pStyle w:val="52"/>
              <w:bidi w:val="0"/>
              <w:rPr>
                <w:rFonts w:hint="default"/>
                <w:color w:val="auto"/>
                <w:lang w:val="en-US" w:eastAsia="zh-CN"/>
              </w:rPr>
            </w:pPr>
            <w:r>
              <w:rPr>
                <w:rFonts w:hint="eastAsia"/>
                <w:color w:val="auto"/>
                <w:lang w:val="en-US" w:eastAsia="zh-CN"/>
              </w:rPr>
              <w:t>表2-3    项目产品方案一览表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2371"/>
              <w:gridCol w:w="1801"/>
              <w:gridCol w:w="2855"/>
            </w:tblGrid>
            <w:tr w14:paraId="4830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820" w:type="pct"/>
                  <w:noWrap w:val="0"/>
                  <w:vAlign w:val="center"/>
                </w:tcPr>
                <w:p w14:paraId="483048E0">
                  <w:pPr>
                    <w:pStyle w:val="53"/>
                    <w:bidi w:val="0"/>
                    <w:rPr>
                      <w:rFonts w:hint="default"/>
                      <w:color w:val="auto"/>
                    </w:rPr>
                  </w:pPr>
                  <w:r>
                    <w:rPr>
                      <w:rFonts w:hint="default"/>
                      <w:color w:val="auto"/>
                    </w:rPr>
                    <w:t>序号</w:t>
                  </w:r>
                </w:p>
              </w:tc>
              <w:tc>
                <w:tcPr>
                  <w:tcW w:w="1410" w:type="pct"/>
                  <w:noWrap w:val="0"/>
                  <w:vAlign w:val="center"/>
                </w:tcPr>
                <w:p w14:paraId="7D387B6E">
                  <w:pPr>
                    <w:pStyle w:val="53"/>
                    <w:bidi w:val="0"/>
                    <w:rPr>
                      <w:rFonts w:hint="default"/>
                      <w:color w:val="auto"/>
                    </w:rPr>
                  </w:pPr>
                  <w:r>
                    <w:rPr>
                      <w:rFonts w:hint="default"/>
                      <w:color w:val="auto"/>
                    </w:rPr>
                    <w:t>产品名称</w:t>
                  </w:r>
                </w:p>
              </w:tc>
              <w:tc>
                <w:tcPr>
                  <w:tcW w:w="1071" w:type="pct"/>
                  <w:noWrap w:val="0"/>
                  <w:vAlign w:val="center"/>
                </w:tcPr>
                <w:p w14:paraId="1DF40C97">
                  <w:pPr>
                    <w:pStyle w:val="53"/>
                    <w:bidi w:val="0"/>
                    <w:rPr>
                      <w:rFonts w:hint="default"/>
                      <w:color w:val="auto"/>
                    </w:rPr>
                  </w:pPr>
                  <w:r>
                    <w:rPr>
                      <w:rFonts w:hint="default"/>
                      <w:color w:val="auto"/>
                    </w:rPr>
                    <w:t>产量（t/a）</w:t>
                  </w:r>
                </w:p>
              </w:tc>
              <w:tc>
                <w:tcPr>
                  <w:tcW w:w="1698" w:type="pct"/>
                  <w:noWrap w:val="0"/>
                  <w:vAlign w:val="center"/>
                </w:tcPr>
                <w:p w14:paraId="0F57BFEF">
                  <w:pPr>
                    <w:pStyle w:val="53"/>
                    <w:bidi w:val="0"/>
                    <w:rPr>
                      <w:rFonts w:hint="default"/>
                      <w:color w:val="auto"/>
                    </w:rPr>
                  </w:pPr>
                  <w:r>
                    <w:rPr>
                      <w:rFonts w:hint="default"/>
                      <w:color w:val="auto"/>
                    </w:rPr>
                    <w:t>备注</w:t>
                  </w:r>
                </w:p>
              </w:tc>
            </w:tr>
            <w:tr w14:paraId="0591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pct"/>
                  <w:noWrap w:val="0"/>
                  <w:vAlign w:val="center"/>
                </w:tcPr>
                <w:p w14:paraId="096494CA">
                  <w:pPr>
                    <w:pStyle w:val="53"/>
                    <w:bidi w:val="0"/>
                    <w:rPr>
                      <w:rFonts w:hint="default"/>
                      <w:color w:val="auto"/>
                    </w:rPr>
                  </w:pPr>
                  <w:r>
                    <w:rPr>
                      <w:rFonts w:hint="default"/>
                      <w:color w:val="auto"/>
                    </w:rPr>
                    <w:t>1</w:t>
                  </w:r>
                </w:p>
              </w:tc>
              <w:tc>
                <w:tcPr>
                  <w:tcW w:w="1410" w:type="pct"/>
                  <w:noWrap w:val="0"/>
                  <w:vAlign w:val="center"/>
                </w:tcPr>
                <w:p w14:paraId="4CB032C8">
                  <w:pPr>
                    <w:pStyle w:val="53"/>
                    <w:bidi w:val="0"/>
                    <w:rPr>
                      <w:rFonts w:hint="default"/>
                      <w:color w:val="auto"/>
                    </w:rPr>
                  </w:pPr>
                  <w:r>
                    <w:rPr>
                      <w:rFonts w:hint="default"/>
                      <w:color w:val="auto"/>
                    </w:rPr>
                    <w:t>塑料颗粒</w:t>
                  </w:r>
                </w:p>
              </w:tc>
              <w:tc>
                <w:tcPr>
                  <w:tcW w:w="1071" w:type="pct"/>
                  <w:noWrap w:val="0"/>
                  <w:vAlign w:val="center"/>
                </w:tcPr>
                <w:p w14:paraId="5141E705">
                  <w:pPr>
                    <w:pStyle w:val="53"/>
                    <w:bidi w:val="0"/>
                    <w:rPr>
                      <w:rFonts w:hint="default"/>
                      <w:color w:val="auto"/>
                    </w:rPr>
                  </w:pPr>
                  <w:r>
                    <w:rPr>
                      <w:rFonts w:hint="eastAsia"/>
                      <w:color w:val="auto"/>
                      <w:lang w:val="en-US" w:eastAsia="zh-CN"/>
                    </w:rPr>
                    <w:t>10</w:t>
                  </w:r>
                  <w:r>
                    <w:rPr>
                      <w:rFonts w:hint="default"/>
                      <w:color w:val="auto"/>
                    </w:rPr>
                    <w:t>000</w:t>
                  </w:r>
                </w:p>
              </w:tc>
              <w:tc>
                <w:tcPr>
                  <w:tcW w:w="1698" w:type="pct"/>
                  <w:noWrap w:val="0"/>
                  <w:vAlign w:val="center"/>
                </w:tcPr>
                <w:p w14:paraId="73B01674">
                  <w:pPr>
                    <w:pStyle w:val="53"/>
                    <w:bidi w:val="0"/>
                    <w:rPr>
                      <w:rFonts w:hint="default" w:eastAsia="宋体"/>
                      <w:color w:val="auto"/>
                      <w:lang w:val="en-US" w:eastAsia="zh-CN"/>
                    </w:rPr>
                  </w:pPr>
                  <w:r>
                    <w:rPr>
                      <w:rFonts w:hint="eastAsia"/>
                      <w:color w:val="auto"/>
                      <w:lang w:val="en-US" w:eastAsia="zh-CN"/>
                    </w:rPr>
                    <w:t>粒径3～5mm</w:t>
                  </w:r>
                </w:p>
              </w:tc>
            </w:tr>
          </w:tbl>
          <w:p w14:paraId="33944B0D">
            <w:pPr>
              <w:pStyle w:val="51"/>
              <w:ind w:firstLine="482"/>
              <w:rPr>
                <w:rFonts w:hint="default" w:ascii="Times New Roman" w:hAnsi="Times New Roman" w:cs="Times New Roman"/>
                <w:b/>
                <w:color w:val="auto"/>
              </w:rPr>
            </w:pPr>
            <w:r>
              <w:rPr>
                <w:rFonts w:hint="default" w:ascii="Times New Roman" w:hAnsi="Times New Roman" w:cs="Times New Roman"/>
                <w:b/>
                <w:color w:val="auto"/>
              </w:rPr>
              <w:t>6、主要设备情况</w:t>
            </w:r>
          </w:p>
          <w:p w14:paraId="51E51567">
            <w:pPr>
              <w:pStyle w:val="51"/>
              <w:ind w:firstLine="480"/>
              <w:rPr>
                <w:rFonts w:hint="default" w:ascii="Times New Roman" w:hAnsi="Times New Roman" w:cs="Times New Roman"/>
                <w:color w:val="auto"/>
              </w:rPr>
            </w:pPr>
            <w:r>
              <w:rPr>
                <w:rFonts w:hint="default" w:ascii="Times New Roman" w:hAnsi="Times New Roman" w:cs="Times New Roman"/>
                <w:color w:val="auto"/>
              </w:rPr>
              <w:t>项目主要生产设备见表2-</w:t>
            </w:r>
            <w:r>
              <w:rPr>
                <w:rFonts w:hint="eastAsia" w:cs="Times New Roman"/>
                <w:color w:val="auto"/>
                <w:lang w:val="en-US" w:eastAsia="zh-CN"/>
              </w:rPr>
              <w:t>4</w:t>
            </w:r>
            <w:r>
              <w:rPr>
                <w:rFonts w:hint="default" w:ascii="Times New Roman" w:hAnsi="Times New Roman" w:cs="Times New Roman"/>
                <w:color w:val="auto"/>
              </w:rPr>
              <w:t>。</w:t>
            </w:r>
          </w:p>
          <w:p w14:paraId="5A1D5BD4">
            <w:pPr>
              <w:pStyle w:val="52"/>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4</w:t>
            </w:r>
            <w:r>
              <w:rPr>
                <w:rFonts w:hint="default" w:ascii="Times New Roman" w:hAnsi="Times New Roman" w:cs="Times New Roman"/>
                <w:color w:val="auto"/>
              </w:rPr>
              <w:t xml:space="preserve">     主要设备一览表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867"/>
              <w:gridCol w:w="1062"/>
              <w:gridCol w:w="725"/>
              <w:gridCol w:w="1361"/>
              <w:gridCol w:w="1758"/>
            </w:tblGrid>
            <w:tr w14:paraId="0B22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6083F423">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1781" w:type="pct"/>
                  <w:noWrap/>
                  <w:vAlign w:val="center"/>
                </w:tcPr>
                <w:p w14:paraId="125A3119">
                  <w:pPr>
                    <w:pStyle w:val="53"/>
                    <w:rPr>
                      <w:rFonts w:hint="default" w:ascii="Times New Roman" w:hAnsi="Times New Roman" w:cs="Times New Roman"/>
                      <w:color w:val="auto"/>
                    </w:rPr>
                  </w:pPr>
                  <w:r>
                    <w:rPr>
                      <w:rFonts w:hint="default" w:ascii="Times New Roman" w:hAnsi="Times New Roman" w:cs="Times New Roman"/>
                      <w:color w:val="auto"/>
                    </w:rPr>
                    <w:t>名称</w:t>
                  </w:r>
                </w:p>
              </w:tc>
              <w:tc>
                <w:tcPr>
                  <w:tcW w:w="709" w:type="pct"/>
                  <w:noWrap/>
                  <w:vAlign w:val="center"/>
                </w:tcPr>
                <w:p w14:paraId="27BF74EA">
                  <w:pPr>
                    <w:pStyle w:val="53"/>
                    <w:rPr>
                      <w:rFonts w:hint="default" w:ascii="Times New Roman" w:hAnsi="Times New Roman" w:cs="Times New Roman"/>
                      <w:color w:val="auto"/>
                    </w:rPr>
                  </w:pPr>
                  <w:r>
                    <w:rPr>
                      <w:rFonts w:hint="default" w:ascii="Times New Roman" w:hAnsi="Times New Roman" w:cs="Times New Roman"/>
                      <w:color w:val="auto"/>
                    </w:rPr>
                    <w:t>数量</w:t>
                  </w:r>
                </w:p>
              </w:tc>
              <w:tc>
                <w:tcPr>
                  <w:tcW w:w="508" w:type="pct"/>
                  <w:noWrap/>
                  <w:vAlign w:val="center"/>
                </w:tcPr>
                <w:p w14:paraId="2B526633">
                  <w:pPr>
                    <w:pStyle w:val="53"/>
                    <w:rPr>
                      <w:rFonts w:hint="default" w:ascii="Times New Roman" w:hAnsi="Times New Roman" w:cs="Times New Roman"/>
                      <w:color w:val="auto"/>
                    </w:rPr>
                  </w:pPr>
                  <w:r>
                    <w:rPr>
                      <w:rFonts w:hint="default" w:ascii="Times New Roman" w:hAnsi="Times New Roman" w:cs="Times New Roman"/>
                      <w:color w:val="auto"/>
                    </w:rPr>
                    <w:t>单位</w:t>
                  </w:r>
                </w:p>
              </w:tc>
              <w:tc>
                <w:tcPr>
                  <w:tcW w:w="886" w:type="pct"/>
                  <w:noWrap/>
                  <w:vAlign w:val="center"/>
                </w:tcPr>
                <w:p w14:paraId="5B656712">
                  <w:pPr>
                    <w:pStyle w:val="53"/>
                    <w:rPr>
                      <w:rFonts w:hint="default" w:ascii="Times New Roman" w:hAnsi="Times New Roman" w:cs="Times New Roman"/>
                      <w:color w:val="auto"/>
                    </w:rPr>
                  </w:pPr>
                  <w:r>
                    <w:rPr>
                      <w:rFonts w:hint="default" w:ascii="Times New Roman" w:hAnsi="Times New Roman" w:cs="Times New Roman"/>
                      <w:color w:val="auto"/>
                    </w:rPr>
                    <w:t>型号</w:t>
                  </w:r>
                </w:p>
              </w:tc>
              <w:tc>
                <w:tcPr>
                  <w:tcW w:w="734" w:type="pct"/>
                  <w:noWrap/>
                  <w:vAlign w:val="center"/>
                </w:tcPr>
                <w:p w14:paraId="099D8A4F">
                  <w:pPr>
                    <w:pStyle w:val="53"/>
                    <w:rPr>
                      <w:rFonts w:hint="default" w:ascii="Times New Roman" w:hAnsi="Times New Roman" w:cs="Times New Roman"/>
                      <w:color w:val="auto"/>
                    </w:rPr>
                  </w:pPr>
                  <w:r>
                    <w:rPr>
                      <w:rFonts w:hint="default" w:ascii="Times New Roman" w:hAnsi="Times New Roman" w:cs="Times New Roman"/>
                      <w:color w:val="auto"/>
                    </w:rPr>
                    <w:t>备注</w:t>
                  </w:r>
                </w:p>
              </w:tc>
            </w:tr>
            <w:tr w14:paraId="02FC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52CBD0AE">
                  <w:pPr>
                    <w:pStyle w:val="53"/>
                    <w:rPr>
                      <w:rFonts w:hint="default" w:ascii="Times New Roman" w:hAnsi="Times New Roman" w:cs="Times New Roman"/>
                      <w:color w:val="auto"/>
                    </w:rPr>
                  </w:pPr>
                  <w:bookmarkStart w:id="2" w:name="_Hlk16609494"/>
                  <w:r>
                    <w:rPr>
                      <w:rFonts w:hint="default" w:ascii="Times New Roman" w:hAnsi="Times New Roman" w:cs="Times New Roman"/>
                      <w:color w:val="auto"/>
                    </w:rPr>
                    <w:t>1</w:t>
                  </w:r>
                </w:p>
              </w:tc>
              <w:tc>
                <w:tcPr>
                  <w:tcW w:w="1781" w:type="pct"/>
                  <w:noWrap/>
                  <w:vAlign w:val="center"/>
                </w:tcPr>
                <w:p w14:paraId="687BCA1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加热干燥机</w:t>
                  </w:r>
                </w:p>
              </w:tc>
              <w:tc>
                <w:tcPr>
                  <w:tcW w:w="709" w:type="pct"/>
                  <w:noWrap/>
                  <w:vAlign w:val="center"/>
                </w:tcPr>
                <w:p w14:paraId="3DFA7877">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508" w:type="pct"/>
                  <w:noWrap/>
                  <w:vAlign w:val="center"/>
                </w:tcPr>
                <w:p w14:paraId="15C41679">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886" w:type="pct"/>
                  <w:noWrap/>
                  <w:vAlign w:val="center"/>
                </w:tcPr>
                <w:p w14:paraId="1981155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550</w:t>
                  </w:r>
                </w:p>
              </w:tc>
              <w:tc>
                <w:tcPr>
                  <w:tcW w:w="734" w:type="pct"/>
                  <w:noWrap/>
                  <w:vAlign w:val="center"/>
                </w:tcPr>
                <w:p w14:paraId="35AFDC0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2m</w:t>
                  </w:r>
                  <w:r>
                    <w:rPr>
                      <w:rFonts w:hint="eastAsia" w:cs="Times New Roman"/>
                      <w:color w:val="auto"/>
                      <w:vertAlign w:val="superscript"/>
                      <w:lang w:val="en-US" w:eastAsia="zh-CN"/>
                    </w:rPr>
                    <w:t>3</w:t>
                  </w:r>
                </w:p>
              </w:tc>
            </w:tr>
            <w:tr w14:paraId="6272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58D5A3F8">
                  <w:pPr>
                    <w:pStyle w:val="53"/>
                    <w:rPr>
                      <w:rFonts w:hint="default" w:ascii="Times New Roman" w:hAnsi="Times New Roman" w:cs="Times New Roman"/>
                      <w:color w:val="auto"/>
                    </w:rPr>
                  </w:pPr>
                  <w:r>
                    <w:rPr>
                      <w:rFonts w:hint="default" w:ascii="Times New Roman" w:hAnsi="Times New Roman" w:cs="Times New Roman"/>
                      <w:color w:val="auto"/>
                    </w:rPr>
                    <w:t>2</w:t>
                  </w:r>
                </w:p>
              </w:tc>
              <w:tc>
                <w:tcPr>
                  <w:tcW w:w="1781" w:type="pct"/>
                  <w:noWrap/>
                  <w:vAlign w:val="center"/>
                </w:tcPr>
                <w:p w14:paraId="4F66F5CD">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螺旋输送机</w:t>
                  </w:r>
                </w:p>
              </w:tc>
              <w:tc>
                <w:tcPr>
                  <w:tcW w:w="709" w:type="pct"/>
                  <w:noWrap/>
                  <w:vAlign w:val="center"/>
                </w:tcPr>
                <w:p w14:paraId="306FA166">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508" w:type="pct"/>
                  <w:noWrap/>
                  <w:vAlign w:val="center"/>
                </w:tcPr>
                <w:p w14:paraId="7C82BB4B">
                  <w:pPr>
                    <w:pStyle w:val="53"/>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5DFE857A">
                  <w:pPr>
                    <w:pStyle w:val="53"/>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220</w:t>
                  </w:r>
                </w:p>
              </w:tc>
              <w:tc>
                <w:tcPr>
                  <w:tcW w:w="734" w:type="pct"/>
                  <w:noWrap/>
                  <w:vAlign w:val="center"/>
                </w:tcPr>
                <w:p w14:paraId="5268E51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22cm×6m</w:t>
                  </w:r>
                </w:p>
              </w:tc>
            </w:tr>
            <w:tr w14:paraId="534B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4C319272">
                  <w:pPr>
                    <w:pStyle w:val="53"/>
                    <w:rPr>
                      <w:rFonts w:hint="default" w:ascii="Times New Roman" w:hAnsi="Times New Roman" w:cs="Times New Roman"/>
                      <w:color w:val="auto"/>
                    </w:rPr>
                  </w:pPr>
                  <w:r>
                    <w:rPr>
                      <w:rFonts w:hint="default" w:ascii="Times New Roman" w:hAnsi="Times New Roman" w:cs="Times New Roman"/>
                      <w:color w:val="auto"/>
                    </w:rPr>
                    <w:t>3</w:t>
                  </w:r>
                </w:p>
              </w:tc>
              <w:tc>
                <w:tcPr>
                  <w:tcW w:w="1781" w:type="pct"/>
                  <w:noWrap/>
                  <w:vAlign w:val="center"/>
                </w:tcPr>
                <w:p w14:paraId="64465D8B">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储料仓</w:t>
                  </w:r>
                </w:p>
              </w:tc>
              <w:tc>
                <w:tcPr>
                  <w:tcW w:w="709" w:type="pct"/>
                  <w:noWrap/>
                  <w:vAlign w:val="center"/>
                </w:tcPr>
                <w:p w14:paraId="07F57D35">
                  <w:pPr>
                    <w:pStyle w:val="53"/>
                    <w:ind w:firstLine="0" w:firstLineChars="0"/>
                    <w:rPr>
                      <w:rFonts w:hint="default" w:ascii="Times New Roman" w:hAnsi="Times New Roman" w:cs="Times New Roman"/>
                      <w:color w:val="auto"/>
                    </w:rPr>
                  </w:pPr>
                  <w:r>
                    <w:rPr>
                      <w:rFonts w:hint="eastAsia" w:cs="Times New Roman"/>
                      <w:color w:val="auto"/>
                      <w:lang w:val="en-US" w:eastAsia="zh-CN"/>
                    </w:rPr>
                    <w:t>2</w:t>
                  </w:r>
                </w:p>
              </w:tc>
              <w:tc>
                <w:tcPr>
                  <w:tcW w:w="508" w:type="pct"/>
                  <w:noWrap/>
                  <w:vAlign w:val="center"/>
                </w:tcPr>
                <w:p w14:paraId="4B45A767">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318FCA0E">
                  <w:pPr>
                    <w:pStyle w:val="53"/>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1800×1800</w:t>
                  </w:r>
                </w:p>
              </w:tc>
              <w:tc>
                <w:tcPr>
                  <w:tcW w:w="734" w:type="pct"/>
                  <w:noWrap/>
                  <w:vAlign w:val="center"/>
                </w:tcPr>
                <w:p w14:paraId="0F523797">
                  <w:pPr>
                    <w:pStyle w:val="53"/>
                    <w:rPr>
                      <w:rFonts w:hint="default" w:ascii="Times New Roman" w:hAnsi="Times New Roman" w:cs="Times New Roman"/>
                      <w:color w:val="auto"/>
                    </w:rPr>
                  </w:pPr>
                  <w:r>
                    <w:rPr>
                      <w:rFonts w:hint="eastAsia" w:cs="Times New Roman"/>
                      <w:color w:val="auto"/>
                      <w:lang w:val="en-US" w:eastAsia="zh-CN"/>
                    </w:rPr>
                    <w:t>2m</w:t>
                  </w:r>
                  <w:r>
                    <w:rPr>
                      <w:rFonts w:hint="eastAsia" w:cs="Times New Roman"/>
                      <w:color w:val="auto"/>
                      <w:vertAlign w:val="superscript"/>
                      <w:lang w:val="en-US" w:eastAsia="zh-CN"/>
                    </w:rPr>
                    <w:t>3</w:t>
                  </w:r>
                </w:p>
              </w:tc>
            </w:tr>
            <w:tr w14:paraId="2ED5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378" w:type="pct"/>
                  <w:noWrap/>
                  <w:vAlign w:val="center"/>
                </w:tcPr>
                <w:p w14:paraId="4FA19A58">
                  <w:pPr>
                    <w:pStyle w:val="53"/>
                    <w:rPr>
                      <w:rFonts w:hint="default" w:ascii="Times New Roman" w:hAnsi="Times New Roman" w:cs="Times New Roman"/>
                      <w:color w:val="auto"/>
                    </w:rPr>
                  </w:pPr>
                  <w:r>
                    <w:rPr>
                      <w:rFonts w:hint="default" w:ascii="Times New Roman" w:hAnsi="Times New Roman" w:cs="Times New Roman"/>
                      <w:color w:val="auto"/>
                    </w:rPr>
                    <w:t>4</w:t>
                  </w:r>
                </w:p>
              </w:tc>
              <w:tc>
                <w:tcPr>
                  <w:tcW w:w="1781" w:type="pct"/>
                  <w:noWrap/>
                  <w:vAlign w:val="center"/>
                </w:tcPr>
                <w:p w14:paraId="6C7AE7B1">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熔融挤出机</w:t>
                  </w:r>
                </w:p>
              </w:tc>
              <w:tc>
                <w:tcPr>
                  <w:tcW w:w="709" w:type="pct"/>
                  <w:noWrap/>
                  <w:vAlign w:val="center"/>
                </w:tcPr>
                <w:p w14:paraId="4B1AD3D3">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3</w:t>
                  </w:r>
                </w:p>
              </w:tc>
              <w:tc>
                <w:tcPr>
                  <w:tcW w:w="508" w:type="pct"/>
                  <w:noWrap/>
                  <w:vAlign w:val="center"/>
                </w:tcPr>
                <w:p w14:paraId="747D0E8F">
                  <w:pPr>
                    <w:pStyle w:val="53"/>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5C53758C">
                  <w:pPr>
                    <w:pStyle w:val="53"/>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JW-V90</w:t>
                  </w:r>
                </w:p>
              </w:tc>
              <w:tc>
                <w:tcPr>
                  <w:tcW w:w="734" w:type="pct"/>
                  <w:noWrap/>
                  <w:vAlign w:val="center"/>
                </w:tcPr>
                <w:p w14:paraId="4A3B2538">
                  <w:pPr>
                    <w:pStyle w:val="53"/>
                    <w:rPr>
                      <w:rFonts w:hint="default" w:ascii="Times New Roman" w:hAnsi="Times New Roman" w:cs="Times New Roman"/>
                      <w:color w:val="auto"/>
                    </w:rPr>
                  </w:pPr>
                </w:p>
              </w:tc>
            </w:tr>
            <w:tr w14:paraId="0DD66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72DE8389">
                  <w:pPr>
                    <w:pStyle w:val="53"/>
                    <w:rPr>
                      <w:rFonts w:hint="default" w:ascii="Times New Roman" w:hAnsi="Times New Roman" w:cs="Times New Roman"/>
                      <w:color w:val="auto"/>
                    </w:rPr>
                  </w:pPr>
                  <w:r>
                    <w:rPr>
                      <w:rFonts w:hint="default" w:ascii="Times New Roman" w:hAnsi="Times New Roman" w:cs="Times New Roman"/>
                      <w:color w:val="auto"/>
                    </w:rPr>
                    <w:t>5</w:t>
                  </w:r>
                </w:p>
              </w:tc>
              <w:tc>
                <w:tcPr>
                  <w:tcW w:w="1781" w:type="pct"/>
                  <w:noWrap/>
                  <w:vAlign w:val="center"/>
                </w:tcPr>
                <w:p w14:paraId="4333F3F7">
                  <w:pPr>
                    <w:pStyle w:val="53"/>
                    <w:rPr>
                      <w:rFonts w:hint="default" w:ascii="Times New Roman" w:hAnsi="Times New Roman" w:cs="Times New Roman"/>
                      <w:color w:val="auto"/>
                    </w:rPr>
                  </w:pPr>
                  <w:r>
                    <w:rPr>
                      <w:rFonts w:hint="eastAsia" w:cs="Times New Roman"/>
                      <w:color w:val="auto"/>
                      <w:lang w:val="en-US" w:eastAsia="zh-CN"/>
                    </w:rPr>
                    <w:t>熔体过滤器</w:t>
                  </w:r>
                </w:p>
              </w:tc>
              <w:tc>
                <w:tcPr>
                  <w:tcW w:w="709" w:type="pct"/>
                  <w:noWrap/>
                  <w:vAlign w:val="center"/>
                </w:tcPr>
                <w:p w14:paraId="4FAC3F3F">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78D6DCA4">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0DD7346B">
                  <w:pPr>
                    <w:pStyle w:val="53"/>
                    <w:rPr>
                      <w:rFonts w:hint="default" w:ascii="Times New Roman" w:hAnsi="Times New Roman" w:eastAsia="宋体" w:cs="Times New Roman"/>
                      <w:color w:val="auto"/>
                      <w:szCs w:val="24"/>
                      <w:lang w:val="en-US" w:eastAsia="zh-CN"/>
                    </w:rPr>
                  </w:pPr>
                  <w:r>
                    <w:rPr>
                      <w:rFonts w:hint="eastAsia" w:cs="Times New Roman"/>
                      <w:color w:val="auto"/>
                      <w:szCs w:val="24"/>
                      <w:lang w:val="en-US" w:eastAsia="zh-CN"/>
                    </w:rPr>
                    <w:t>163-2</w:t>
                  </w:r>
                </w:p>
              </w:tc>
              <w:tc>
                <w:tcPr>
                  <w:tcW w:w="734" w:type="pct"/>
                  <w:noWrap/>
                  <w:vAlign w:val="center"/>
                </w:tcPr>
                <w:p w14:paraId="2240D281">
                  <w:pPr>
                    <w:pStyle w:val="53"/>
                    <w:rPr>
                      <w:rFonts w:hint="default" w:ascii="Times New Roman" w:hAnsi="Times New Roman" w:cs="Times New Roman"/>
                      <w:color w:val="auto"/>
                    </w:rPr>
                  </w:pPr>
                </w:p>
              </w:tc>
            </w:tr>
            <w:tr w14:paraId="32F9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1A1B969D">
                  <w:pPr>
                    <w:pStyle w:val="53"/>
                    <w:rPr>
                      <w:rFonts w:hint="default" w:ascii="Times New Roman" w:hAnsi="Times New Roman" w:cs="Times New Roman"/>
                      <w:color w:val="auto"/>
                    </w:rPr>
                  </w:pPr>
                  <w:r>
                    <w:rPr>
                      <w:rFonts w:hint="default" w:ascii="Times New Roman" w:hAnsi="Times New Roman" w:cs="Times New Roman"/>
                      <w:color w:val="auto"/>
                    </w:rPr>
                    <w:t>6</w:t>
                  </w:r>
                </w:p>
              </w:tc>
              <w:tc>
                <w:tcPr>
                  <w:tcW w:w="1781" w:type="pct"/>
                  <w:noWrap/>
                  <w:vAlign w:val="center"/>
                </w:tcPr>
                <w:p w14:paraId="42D50EA9">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冷却水槽</w:t>
                  </w:r>
                </w:p>
              </w:tc>
              <w:tc>
                <w:tcPr>
                  <w:tcW w:w="709" w:type="pct"/>
                  <w:noWrap/>
                  <w:vAlign w:val="center"/>
                </w:tcPr>
                <w:p w14:paraId="0A0A1CF2">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0077DD55">
                  <w:pPr>
                    <w:pStyle w:val="53"/>
                    <w:ind w:firstLine="0" w:firstLineChars="0"/>
                    <w:rPr>
                      <w:rFonts w:hint="default" w:ascii="Times New Roman" w:hAnsi="Times New Roman" w:cs="Times New Roman"/>
                      <w:color w:val="auto"/>
                    </w:rPr>
                  </w:pPr>
                  <w:r>
                    <w:rPr>
                      <w:rFonts w:hint="eastAsia" w:cs="Times New Roman"/>
                      <w:color w:val="auto"/>
                      <w:lang w:val="en-US" w:eastAsia="zh-CN"/>
                    </w:rPr>
                    <w:t>个</w:t>
                  </w:r>
                </w:p>
              </w:tc>
              <w:tc>
                <w:tcPr>
                  <w:tcW w:w="886" w:type="pct"/>
                  <w:noWrap/>
                  <w:vAlign w:val="center"/>
                </w:tcPr>
                <w:p w14:paraId="00605792">
                  <w:pPr>
                    <w:pStyle w:val="53"/>
                    <w:rPr>
                      <w:rFonts w:hint="default" w:ascii="Times New Roman" w:hAnsi="Times New Roman" w:cs="Times New Roman"/>
                      <w:color w:val="auto"/>
                    </w:rPr>
                  </w:pPr>
                </w:p>
              </w:tc>
              <w:tc>
                <w:tcPr>
                  <w:tcW w:w="734" w:type="pct"/>
                  <w:noWrap/>
                  <w:vAlign w:val="center"/>
                </w:tcPr>
                <w:p w14:paraId="68C1516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4m×0.5m×0.3m</w:t>
                  </w:r>
                </w:p>
              </w:tc>
            </w:tr>
            <w:tr w14:paraId="1955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2D28F525">
                  <w:pPr>
                    <w:pStyle w:val="53"/>
                    <w:rPr>
                      <w:rFonts w:hint="default" w:ascii="Times New Roman" w:hAnsi="Times New Roman" w:cs="Times New Roman"/>
                      <w:color w:val="auto"/>
                    </w:rPr>
                  </w:pPr>
                  <w:r>
                    <w:rPr>
                      <w:rFonts w:hint="default" w:ascii="Times New Roman" w:hAnsi="Times New Roman" w:cs="Times New Roman"/>
                      <w:color w:val="auto"/>
                    </w:rPr>
                    <w:t>7</w:t>
                  </w:r>
                </w:p>
              </w:tc>
              <w:tc>
                <w:tcPr>
                  <w:tcW w:w="1781" w:type="pct"/>
                  <w:noWrap/>
                  <w:vAlign w:val="center"/>
                </w:tcPr>
                <w:p w14:paraId="47723C2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玻璃纤维冷却塔</w:t>
                  </w:r>
                </w:p>
              </w:tc>
              <w:tc>
                <w:tcPr>
                  <w:tcW w:w="709" w:type="pct"/>
                  <w:noWrap/>
                  <w:vAlign w:val="center"/>
                </w:tcPr>
                <w:p w14:paraId="3BD13812">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08" w:type="pct"/>
                  <w:noWrap/>
                  <w:vAlign w:val="center"/>
                </w:tcPr>
                <w:p w14:paraId="0A61C487">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886" w:type="pct"/>
                  <w:noWrap/>
                  <w:vAlign w:val="center"/>
                </w:tcPr>
                <w:p w14:paraId="34566C1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25T</w:t>
                  </w:r>
                </w:p>
              </w:tc>
              <w:tc>
                <w:tcPr>
                  <w:tcW w:w="734" w:type="pct"/>
                  <w:noWrap/>
                  <w:vAlign w:val="center"/>
                </w:tcPr>
                <w:p w14:paraId="5CB03AFB">
                  <w:pPr>
                    <w:pStyle w:val="53"/>
                    <w:rPr>
                      <w:rFonts w:hint="default" w:ascii="Times New Roman" w:hAnsi="Times New Roman" w:cs="Times New Roman"/>
                      <w:color w:val="auto"/>
                    </w:rPr>
                  </w:pPr>
                </w:p>
              </w:tc>
            </w:tr>
            <w:tr w14:paraId="15CB5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46442B26">
                  <w:pPr>
                    <w:pStyle w:val="53"/>
                    <w:rPr>
                      <w:rFonts w:hint="default" w:ascii="Times New Roman" w:hAnsi="Times New Roman" w:cs="Times New Roman"/>
                      <w:color w:val="auto"/>
                    </w:rPr>
                  </w:pPr>
                  <w:r>
                    <w:rPr>
                      <w:rFonts w:hint="default" w:ascii="Times New Roman" w:hAnsi="Times New Roman" w:cs="Times New Roman"/>
                      <w:color w:val="auto"/>
                    </w:rPr>
                    <w:t>8</w:t>
                  </w:r>
                </w:p>
              </w:tc>
              <w:tc>
                <w:tcPr>
                  <w:tcW w:w="1781" w:type="pct"/>
                  <w:noWrap/>
                  <w:vAlign w:val="center"/>
                </w:tcPr>
                <w:p w14:paraId="236B192E">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干燥脱水机</w:t>
                  </w:r>
                </w:p>
              </w:tc>
              <w:tc>
                <w:tcPr>
                  <w:tcW w:w="709" w:type="pct"/>
                  <w:noWrap/>
                  <w:vAlign w:val="center"/>
                </w:tcPr>
                <w:p w14:paraId="4A966C7A">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0FE79061">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00C23697">
                  <w:pPr>
                    <w:pStyle w:val="53"/>
                    <w:rPr>
                      <w:rFonts w:hint="default" w:ascii="Times New Roman" w:hAnsi="Times New Roman" w:cs="Times New Roman"/>
                      <w:color w:val="auto"/>
                    </w:rPr>
                  </w:pPr>
                </w:p>
              </w:tc>
              <w:tc>
                <w:tcPr>
                  <w:tcW w:w="734" w:type="pct"/>
                  <w:noWrap/>
                  <w:vAlign w:val="center"/>
                </w:tcPr>
                <w:p w14:paraId="1686FFA7">
                  <w:pPr>
                    <w:pStyle w:val="53"/>
                    <w:rPr>
                      <w:rFonts w:hint="default" w:ascii="Times New Roman" w:hAnsi="Times New Roman" w:cs="Times New Roman"/>
                      <w:color w:val="auto"/>
                    </w:rPr>
                  </w:pPr>
                </w:p>
              </w:tc>
            </w:tr>
            <w:tr w14:paraId="4079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29E24DB2">
                  <w:pPr>
                    <w:pStyle w:val="53"/>
                    <w:rPr>
                      <w:rFonts w:hint="default" w:ascii="Times New Roman" w:hAnsi="Times New Roman" w:cs="Times New Roman"/>
                      <w:color w:val="auto"/>
                    </w:rPr>
                  </w:pPr>
                  <w:r>
                    <w:rPr>
                      <w:rFonts w:hint="default" w:ascii="Times New Roman" w:hAnsi="Times New Roman" w:cs="Times New Roman"/>
                      <w:color w:val="auto"/>
                    </w:rPr>
                    <w:t>9</w:t>
                  </w:r>
                </w:p>
              </w:tc>
              <w:tc>
                <w:tcPr>
                  <w:tcW w:w="1781" w:type="pct"/>
                  <w:noWrap/>
                  <w:vAlign w:val="center"/>
                </w:tcPr>
                <w:p w14:paraId="428BF97F">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切粒机</w:t>
                  </w:r>
                </w:p>
              </w:tc>
              <w:tc>
                <w:tcPr>
                  <w:tcW w:w="709" w:type="pct"/>
                  <w:noWrap/>
                  <w:vAlign w:val="center"/>
                </w:tcPr>
                <w:p w14:paraId="0E0B3D29">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066EA2AE">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6106B6DE">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350型</w:t>
                  </w:r>
                </w:p>
              </w:tc>
              <w:tc>
                <w:tcPr>
                  <w:tcW w:w="734" w:type="pct"/>
                  <w:noWrap/>
                  <w:vAlign w:val="center"/>
                </w:tcPr>
                <w:p w14:paraId="619E2433">
                  <w:pPr>
                    <w:pStyle w:val="53"/>
                    <w:rPr>
                      <w:rFonts w:hint="default" w:ascii="Times New Roman" w:hAnsi="Times New Roman" w:cs="Times New Roman"/>
                      <w:color w:val="auto"/>
                    </w:rPr>
                  </w:pPr>
                </w:p>
              </w:tc>
            </w:tr>
            <w:tr w14:paraId="4EAE3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6" w:hRule="atLeast"/>
              </w:trPr>
              <w:tc>
                <w:tcPr>
                  <w:tcW w:w="378" w:type="pct"/>
                  <w:noWrap/>
                  <w:vAlign w:val="center"/>
                </w:tcPr>
                <w:p w14:paraId="68B9F5B5">
                  <w:pPr>
                    <w:pStyle w:val="53"/>
                    <w:rPr>
                      <w:rFonts w:hint="default" w:ascii="Times New Roman" w:hAnsi="Times New Roman" w:cs="Times New Roman"/>
                      <w:color w:val="auto"/>
                    </w:rPr>
                  </w:pPr>
                  <w:r>
                    <w:rPr>
                      <w:rFonts w:hint="default" w:ascii="Times New Roman" w:hAnsi="Times New Roman" w:cs="Times New Roman"/>
                      <w:color w:val="auto"/>
                    </w:rPr>
                    <w:t>10</w:t>
                  </w:r>
                </w:p>
              </w:tc>
              <w:tc>
                <w:tcPr>
                  <w:tcW w:w="1781" w:type="pct"/>
                  <w:noWrap/>
                  <w:vAlign w:val="center"/>
                </w:tcPr>
                <w:p w14:paraId="789ABA82">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振动筛</w:t>
                  </w:r>
                </w:p>
              </w:tc>
              <w:tc>
                <w:tcPr>
                  <w:tcW w:w="709" w:type="pct"/>
                  <w:noWrap/>
                  <w:vAlign w:val="center"/>
                </w:tcPr>
                <w:p w14:paraId="7585ED92">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771602DF">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1273C95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250</w:t>
                  </w:r>
                </w:p>
              </w:tc>
              <w:tc>
                <w:tcPr>
                  <w:tcW w:w="734" w:type="pct"/>
                  <w:noWrap/>
                  <w:vAlign w:val="center"/>
                </w:tcPr>
                <w:p w14:paraId="1EAA9314">
                  <w:pPr>
                    <w:pStyle w:val="53"/>
                    <w:rPr>
                      <w:rFonts w:hint="default" w:ascii="Times New Roman" w:hAnsi="Times New Roman" w:cs="Times New Roman"/>
                      <w:color w:val="auto"/>
                    </w:rPr>
                  </w:pPr>
                </w:p>
              </w:tc>
            </w:tr>
            <w:tr w14:paraId="6A7A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22D2613B">
                  <w:pPr>
                    <w:pStyle w:val="53"/>
                    <w:rPr>
                      <w:rFonts w:hint="default" w:ascii="Times New Roman" w:hAnsi="Times New Roman" w:cs="Times New Roman"/>
                      <w:color w:val="auto"/>
                    </w:rPr>
                  </w:pPr>
                  <w:r>
                    <w:rPr>
                      <w:rFonts w:hint="default" w:ascii="Times New Roman" w:hAnsi="Times New Roman" w:cs="Times New Roman"/>
                      <w:color w:val="auto"/>
                    </w:rPr>
                    <w:t>11</w:t>
                  </w:r>
                </w:p>
              </w:tc>
              <w:tc>
                <w:tcPr>
                  <w:tcW w:w="1781" w:type="pct"/>
                  <w:noWrap/>
                  <w:vAlign w:val="center"/>
                </w:tcPr>
                <w:p w14:paraId="366D9E1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上料机</w:t>
                  </w:r>
                </w:p>
              </w:tc>
              <w:tc>
                <w:tcPr>
                  <w:tcW w:w="709" w:type="pct"/>
                  <w:noWrap/>
                  <w:vAlign w:val="center"/>
                </w:tcPr>
                <w:p w14:paraId="0BD9063A">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56A8C51D">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674C933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VT2</w:t>
                  </w:r>
                </w:p>
              </w:tc>
              <w:tc>
                <w:tcPr>
                  <w:tcW w:w="734" w:type="pct"/>
                  <w:noWrap/>
                  <w:vAlign w:val="center"/>
                </w:tcPr>
                <w:p w14:paraId="3DF1D04B">
                  <w:pPr>
                    <w:pStyle w:val="53"/>
                    <w:rPr>
                      <w:rFonts w:hint="default" w:ascii="Times New Roman" w:hAnsi="Times New Roman" w:cs="Times New Roman"/>
                      <w:color w:val="auto"/>
                    </w:rPr>
                  </w:pPr>
                </w:p>
              </w:tc>
            </w:tr>
            <w:tr w14:paraId="4F509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21FE85F0">
                  <w:pPr>
                    <w:pStyle w:val="53"/>
                    <w:rPr>
                      <w:rFonts w:hint="default" w:ascii="Times New Roman" w:hAnsi="Times New Roman" w:cs="Times New Roman"/>
                      <w:color w:val="auto"/>
                    </w:rPr>
                  </w:pPr>
                  <w:r>
                    <w:rPr>
                      <w:rFonts w:hint="default" w:ascii="Times New Roman" w:hAnsi="Times New Roman" w:cs="Times New Roman"/>
                      <w:color w:val="auto"/>
                    </w:rPr>
                    <w:t>12</w:t>
                  </w:r>
                </w:p>
              </w:tc>
              <w:tc>
                <w:tcPr>
                  <w:tcW w:w="1781" w:type="pct"/>
                  <w:noWrap/>
                  <w:vAlign w:val="center"/>
                </w:tcPr>
                <w:p w14:paraId="0A24D6C3">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成品仓</w:t>
                  </w:r>
                </w:p>
              </w:tc>
              <w:tc>
                <w:tcPr>
                  <w:tcW w:w="709" w:type="pct"/>
                  <w:noWrap/>
                  <w:vAlign w:val="center"/>
                </w:tcPr>
                <w:p w14:paraId="1815BCA4">
                  <w:pPr>
                    <w:pStyle w:val="53"/>
                    <w:ind w:firstLine="0" w:firstLineChars="0"/>
                    <w:rPr>
                      <w:rFonts w:hint="default" w:ascii="Times New Roman" w:hAnsi="Times New Roman" w:cs="Times New Roman"/>
                      <w:color w:val="auto"/>
                    </w:rPr>
                  </w:pPr>
                  <w:r>
                    <w:rPr>
                      <w:rFonts w:hint="eastAsia" w:cs="Times New Roman"/>
                      <w:color w:val="auto"/>
                      <w:lang w:val="en-US" w:eastAsia="zh-CN"/>
                    </w:rPr>
                    <w:t>3</w:t>
                  </w:r>
                </w:p>
              </w:tc>
              <w:tc>
                <w:tcPr>
                  <w:tcW w:w="508" w:type="pct"/>
                  <w:noWrap/>
                  <w:vAlign w:val="center"/>
                </w:tcPr>
                <w:p w14:paraId="312D6035">
                  <w:pPr>
                    <w:pStyle w:val="53"/>
                    <w:ind w:firstLine="0" w:firstLineChars="0"/>
                    <w:rPr>
                      <w:rFonts w:hint="eastAsia" w:ascii="Times New Roman" w:hAnsi="Times New Roman" w:eastAsia="宋体" w:cs="Times New Roman"/>
                      <w:color w:val="auto"/>
                      <w:lang w:val="en-US" w:eastAsia="zh-CN"/>
                    </w:rPr>
                  </w:pPr>
                  <w:r>
                    <w:rPr>
                      <w:rFonts w:hint="eastAsia" w:cs="Times New Roman"/>
                      <w:color w:val="auto"/>
                      <w:lang w:val="en-US" w:eastAsia="zh-CN"/>
                    </w:rPr>
                    <w:t>个</w:t>
                  </w:r>
                </w:p>
              </w:tc>
              <w:tc>
                <w:tcPr>
                  <w:tcW w:w="886" w:type="pct"/>
                  <w:noWrap/>
                  <w:vAlign w:val="center"/>
                </w:tcPr>
                <w:p w14:paraId="226FCFC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3T</w:t>
                  </w:r>
                </w:p>
              </w:tc>
              <w:tc>
                <w:tcPr>
                  <w:tcW w:w="734" w:type="pct"/>
                  <w:noWrap/>
                  <w:vAlign w:val="center"/>
                </w:tcPr>
                <w:p w14:paraId="1C36408A">
                  <w:pPr>
                    <w:pStyle w:val="53"/>
                    <w:rPr>
                      <w:rFonts w:hint="default" w:ascii="Times New Roman" w:hAnsi="Times New Roman" w:cs="Times New Roman"/>
                      <w:color w:val="auto"/>
                    </w:rPr>
                  </w:pPr>
                </w:p>
              </w:tc>
            </w:tr>
            <w:tr w14:paraId="32060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378" w:type="pct"/>
                  <w:noWrap/>
                  <w:vAlign w:val="center"/>
                </w:tcPr>
                <w:p w14:paraId="1BAA83B2">
                  <w:pPr>
                    <w:pStyle w:val="53"/>
                    <w:rPr>
                      <w:rFonts w:hint="default" w:ascii="Times New Roman" w:hAnsi="Times New Roman" w:cs="Times New Roman"/>
                      <w:color w:val="auto"/>
                    </w:rPr>
                  </w:pPr>
                  <w:r>
                    <w:rPr>
                      <w:rFonts w:hint="default" w:ascii="Times New Roman" w:hAnsi="Times New Roman" w:cs="Times New Roman"/>
                      <w:color w:val="auto"/>
                    </w:rPr>
                    <w:t>13</w:t>
                  </w:r>
                </w:p>
              </w:tc>
              <w:tc>
                <w:tcPr>
                  <w:tcW w:w="1781" w:type="pct"/>
                  <w:noWrap/>
                  <w:vAlign w:val="center"/>
                </w:tcPr>
                <w:p w14:paraId="6A1BF9FE">
                  <w:pPr>
                    <w:pStyle w:val="53"/>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真空烧网炉</w:t>
                  </w:r>
                </w:p>
              </w:tc>
              <w:tc>
                <w:tcPr>
                  <w:tcW w:w="709" w:type="pct"/>
                  <w:noWrap/>
                  <w:vAlign w:val="center"/>
                </w:tcPr>
                <w:p w14:paraId="6FFCD305">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08" w:type="pct"/>
                  <w:noWrap/>
                  <w:vAlign w:val="center"/>
                </w:tcPr>
                <w:p w14:paraId="2098C9C9">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台</w:t>
                  </w:r>
                </w:p>
              </w:tc>
              <w:tc>
                <w:tcPr>
                  <w:tcW w:w="886" w:type="pct"/>
                  <w:noWrap/>
                  <w:vAlign w:val="center"/>
                </w:tcPr>
                <w:p w14:paraId="0358C8ED">
                  <w:pPr>
                    <w:pStyle w:val="53"/>
                    <w:rPr>
                      <w:rFonts w:hint="default" w:ascii="Times New Roman" w:hAnsi="Times New Roman" w:cs="Times New Roman"/>
                      <w:color w:val="auto"/>
                    </w:rPr>
                  </w:pPr>
                </w:p>
              </w:tc>
              <w:tc>
                <w:tcPr>
                  <w:tcW w:w="734" w:type="pct"/>
                  <w:noWrap/>
                  <w:vAlign w:val="center"/>
                </w:tcPr>
                <w:p w14:paraId="33355C26">
                  <w:pPr>
                    <w:pStyle w:val="53"/>
                    <w:rPr>
                      <w:rFonts w:hint="default" w:ascii="Times New Roman" w:hAnsi="Times New Roman" w:cs="Times New Roman"/>
                      <w:color w:val="auto"/>
                    </w:rPr>
                  </w:pPr>
                </w:p>
              </w:tc>
            </w:tr>
            <w:tr w14:paraId="29FC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78" w:type="pct"/>
                  <w:noWrap/>
                  <w:vAlign w:val="center"/>
                </w:tcPr>
                <w:p w14:paraId="645BF3F4">
                  <w:pPr>
                    <w:pStyle w:val="53"/>
                    <w:rPr>
                      <w:rFonts w:hint="default" w:ascii="Times New Roman" w:hAnsi="Times New Roman" w:cs="Times New Roman"/>
                      <w:color w:val="auto"/>
                    </w:rPr>
                  </w:pPr>
                  <w:r>
                    <w:rPr>
                      <w:rFonts w:hint="default" w:ascii="Times New Roman" w:hAnsi="Times New Roman" w:cs="Times New Roman"/>
                      <w:color w:val="auto"/>
                    </w:rPr>
                    <w:t>14</w:t>
                  </w:r>
                </w:p>
              </w:tc>
              <w:tc>
                <w:tcPr>
                  <w:tcW w:w="1781" w:type="pct"/>
                  <w:noWrap/>
                  <w:vAlign w:val="center"/>
                </w:tcPr>
                <w:p w14:paraId="3DA5A240">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叉车</w:t>
                  </w:r>
                </w:p>
              </w:tc>
              <w:tc>
                <w:tcPr>
                  <w:tcW w:w="709" w:type="pct"/>
                  <w:noWrap/>
                  <w:vAlign w:val="center"/>
                </w:tcPr>
                <w:p w14:paraId="2121B172">
                  <w:pPr>
                    <w:pStyle w:val="53"/>
                    <w:ind w:firstLine="0" w:firstLineChars="0"/>
                    <w:rPr>
                      <w:rFonts w:hint="default" w:ascii="Times New Roman" w:hAnsi="Times New Roman" w:cs="Times New Roman"/>
                      <w:color w:val="auto"/>
                    </w:rPr>
                  </w:pPr>
                  <w:r>
                    <w:rPr>
                      <w:rFonts w:hint="eastAsia" w:cs="Times New Roman"/>
                      <w:color w:val="auto"/>
                      <w:lang w:val="en-US" w:eastAsia="zh-CN"/>
                    </w:rPr>
                    <w:t>1</w:t>
                  </w:r>
                </w:p>
              </w:tc>
              <w:tc>
                <w:tcPr>
                  <w:tcW w:w="508" w:type="pct"/>
                  <w:noWrap/>
                  <w:vAlign w:val="center"/>
                </w:tcPr>
                <w:p w14:paraId="64FBBAD1">
                  <w:pPr>
                    <w:pStyle w:val="53"/>
                    <w:ind w:firstLine="0" w:firstLineChars="0"/>
                    <w:rPr>
                      <w:rFonts w:hint="default" w:ascii="Times New Roman" w:hAnsi="Times New Roman" w:cs="Times New Roman"/>
                      <w:color w:val="auto"/>
                    </w:rPr>
                  </w:pPr>
                  <w:r>
                    <w:rPr>
                      <w:rFonts w:hint="eastAsia" w:cs="Times New Roman"/>
                      <w:color w:val="auto"/>
                      <w:lang w:val="en-US" w:eastAsia="zh-CN"/>
                    </w:rPr>
                    <w:t>台</w:t>
                  </w:r>
                </w:p>
              </w:tc>
              <w:tc>
                <w:tcPr>
                  <w:tcW w:w="886" w:type="pct"/>
                  <w:noWrap/>
                  <w:vAlign w:val="center"/>
                </w:tcPr>
                <w:p w14:paraId="7E8CE2B4">
                  <w:pPr>
                    <w:pStyle w:val="53"/>
                    <w:rPr>
                      <w:rFonts w:hint="default" w:ascii="Times New Roman" w:hAnsi="Times New Roman" w:cs="Times New Roman"/>
                      <w:color w:val="auto"/>
                    </w:rPr>
                  </w:pPr>
                </w:p>
              </w:tc>
              <w:tc>
                <w:tcPr>
                  <w:tcW w:w="734" w:type="pct"/>
                  <w:noWrap/>
                  <w:vAlign w:val="center"/>
                </w:tcPr>
                <w:p w14:paraId="2E050DAB">
                  <w:pPr>
                    <w:pStyle w:val="53"/>
                    <w:rPr>
                      <w:rFonts w:hint="default" w:ascii="Times New Roman" w:hAnsi="Times New Roman" w:cs="Times New Roman"/>
                      <w:color w:val="auto"/>
                    </w:rPr>
                  </w:pPr>
                </w:p>
              </w:tc>
            </w:tr>
            <w:tr w14:paraId="5264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pct"/>
                  <w:noWrap/>
                  <w:vAlign w:val="center"/>
                </w:tcPr>
                <w:p w14:paraId="48578B24">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1781" w:type="pct"/>
                  <w:noWrap/>
                  <w:vAlign w:val="center"/>
                </w:tcPr>
                <w:p w14:paraId="5C6F4128">
                  <w:pPr>
                    <w:pStyle w:val="53"/>
                    <w:rPr>
                      <w:rFonts w:hint="default" w:cs="Times New Roman"/>
                      <w:color w:val="auto"/>
                      <w:lang w:val="en-US" w:eastAsia="zh-CN"/>
                    </w:rPr>
                  </w:pPr>
                  <w:r>
                    <w:rPr>
                      <w:rFonts w:hint="eastAsia" w:cs="Times New Roman"/>
                      <w:color w:val="auto"/>
                      <w:lang w:val="en-US" w:eastAsia="zh-CN"/>
                    </w:rPr>
                    <w:t>集气罩</w:t>
                  </w:r>
                </w:p>
              </w:tc>
              <w:tc>
                <w:tcPr>
                  <w:tcW w:w="709" w:type="pct"/>
                  <w:noWrap/>
                  <w:vAlign w:val="center"/>
                </w:tcPr>
                <w:p w14:paraId="0117165D">
                  <w:pPr>
                    <w:pStyle w:val="53"/>
                    <w:ind w:firstLine="0" w:firstLineChars="0"/>
                    <w:rPr>
                      <w:rFonts w:hint="default" w:cs="Times New Roman"/>
                      <w:color w:val="auto"/>
                      <w:lang w:val="en-US" w:eastAsia="zh-CN"/>
                    </w:rPr>
                  </w:pPr>
                  <w:r>
                    <w:rPr>
                      <w:rFonts w:hint="eastAsia" w:cs="Times New Roman"/>
                      <w:color w:val="auto"/>
                      <w:lang w:val="en-US" w:eastAsia="zh-CN"/>
                    </w:rPr>
                    <w:t>3</w:t>
                  </w:r>
                </w:p>
              </w:tc>
              <w:tc>
                <w:tcPr>
                  <w:tcW w:w="508" w:type="pct"/>
                  <w:noWrap/>
                  <w:vAlign w:val="center"/>
                </w:tcPr>
                <w:p w14:paraId="244ABC7B">
                  <w:pPr>
                    <w:pStyle w:val="53"/>
                    <w:ind w:firstLine="0" w:firstLineChars="0"/>
                    <w:rPr>
                      <w:rFonts w:hint="default" w:cs="Times New Roman"/>
                      <w:color w:val="auto"/>
                      <w:lang w:val="en-US" w:eastAsia="zh-CN"/>
                    </w:rPr>
                  </w:pPr>
                  <w:r>
                    <w:rPr>
                      <w:rFonts w:hint="eastAsia" w:cs="Times New Roman"/>
                      <w:color w:val="auto"/>
                      <w:lang w:val="en-US" w:eastAsia="zh-CN"/>
                    </w:rPr>
                    <w:t>个</w:t>
                  </w:r>
                </w:p>
              </w:tc>
              <w:tc>
                <w:tcPr>
                  <w:tcW w:w="886" w:type="pct"/>
                  <w:noWrap/>
                  <w:vAlign w:val="center"/>
                </w:tcPr>
                <w:p w14:paraId="5AD1DD4E">
                  <w:pPr>
                    <w:pStyle w:val="53"/>
                    <w:rPr>
                      <w:rFonts w:hint="default" w:ascii="Times New Roman" w:hAnsi="Times New Roman" w:cs="Times New Roman"/>
                      <w:color w:val="auto"/>
                    </w:rPr>
                  </w:pPr>
                </w:p>
              </w:tc>
              <w:tc>
                <w:tcPr>
                  <w:tcW w:w="734" w:type="pct"/>
                  <w:noWrap/>
                  <w:vAlign w:val="center"/>
                </w:tcPr>
                <w:p w14:paraId="0B081A3C">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总面积3m</w:t>
                  </w:r>
                  <w:r>
                    <w:rPr>
                      <w:rFonts w:hint="eastAsia" w:cs="Times New Roman"/>
                      <w:color w:val="auto"/>
                      <w:vertAlign w:val="superscript"/>
                      <w:lang w:val="en-US" w:eastAsia="zh-CN"/>
                    </w:rPr>
                    <w:t>2</w:t>
                  </w:r>
                </w:p>
              </w:tc>
            </w:tr>
            <w:tr w14:paraId="5D3F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8" w:type="pct"/>
                  <w:noWrap/>
                  <w:vAlign w:val="center"/>
                </w:tcPr>
                <w:p w14:paraId="1D263D2E">
                  <w:pPr>
                    <w:pStyle w:val="53"/>
                    <w:rPr>
                      <w:rFonts w:hint="default" w:cs="Times New Roman"/>
                      <w:color w:val="auto"/>
                      <w:lang w:val="en-US" w:eastAsia="zh-CN"/>
                    </w:rPr>
                  </w:pPr>
                  <w:r>
                    <w:rPr>
                      <w:rFonts w:hint="eastAsia" w:cs="Times New Roman"/>
                      <w:color w:val="auto"/>
                      <w:lang w:val="en-US" w:eastAsia="zh-CN"/>
                    </w:rPr>
                    <w:t>15</w:t>
                  </w:r>
                </w:p>
              </w:tc>
              <w:tc>
                <w:tcPr>
                  <w:tcW w:w="1781" w:type="pct"/>
                  <w:noWrap/>
                  <w:vAlign w:val="center"/>
                </w:tcPr>
                <w:p w14:paraId="08299D23">
                  <w:pPr>
                    <w:pStyle w:val="53"/>
                    <w:rPr>
                      <w:rFonts w:hint="default" w:cs="Times New Roman"/>
                      <w:color w:val="auto"/>
                      <w:lang w:val="en-US" w:eastAsia="zh-CN"/>
                    </w:rPr>
                  </w:pPr>
                  <w:r>
                    <w:rPr>
                      <w:rFonts w:hint="eastAsia" w:cs="Times New Roman"/>
                      <w:color w:val="auto"/>
                      <w:lang w:val="en-US" w:eastAsia="zh-CN"/>
                    </w:rPr>
                    <w:t>三级活性炭处理装置</w:t>
                  </w:r>
                </w:p>
              </w:tc>
              <w:tc>
                <w:tcPr>
                  <w:tcW w:w="709" w:type="pct"/>
                  <w:noWrap/>
                  <w:vAlign w:val="center"/>
                </w:tcPr>
                <w:p w14:paraId="055BCCD2">
                  <w:pPr>
                    <w:pStyle w:val="53"/>
                    <w:ind w:firstLine="0" w:firstLineChars="0"/>
                    <w:rPr>
                      <w:rFonts w:hint="default" w:cs="Times New Roman"/>
                      <w:color w:val="auto"/>
                      <w:lang w:val="en-US" w:eastAsia="zh-CN"/>
                    </w:rPr>
                  </w:pPr>
                  <w:r>
                    <w:rPr>
                      <w:rFonts w:hint="eastAsia" w:cs="Times New Roman"/>
                      <w:color w:val="auto"/>
                      <w:lang w:val="en-US" w:eastAsia="zh-CN"/>
                    </w:rPr>
                    <w:t>1</w:t>
                  </w:r>
                </w:p>
              </w:tc>
              <w:tc>
                <w:tcPr>
                  <w:tcW w:w="508" w:type="pct"/>
                  <w:noWrap/>
                  <w:vAlign w:val="center"/>
                </w:tcPr>
                <w:p w14:paraId="6FA819C2">
                  <w:pPr>
                    <w:pStyle w:val="53"/>
                    <w:ind w:firstLine="0" w:firstLineChars="0"/>
                    <w:rPr>
                      <w:rFonts w:hint="default" w:cs="Times New Roman"/>
                      <w:color w:val="auto"/>
                      <w:lang w:val="en-US" w:eastAsia="zh-CN"/>
                    </w:rPr>
                  </w:pPr>
                  <w:r>
                    <w:rPr>
                      <w:rFonts w:hint="eastAsia" w:cs="Times New Roman"/>
                      <w:color w:val="auto"/>
                      <w:lang w:val="en-US" w:eastAsia="zh-CN"/>
                    </w:rPr>
                    <w:t>套</w:t>
                  </w:r>
                </w:p>
              </w:tc>
              <w:tc>
                <w:tcPr>
                  <w:tcW w:w="886" w:type="pct"/>
                  <w:noWrap/>
                  <w:vAlign w:val="center"/>
                </w:tcPr>
                <w:p w14:paraId="487912CD">
                  <w:pPr>
                    <w:pStyle w:val="53"/>
                    <w:rPr>
                      <w:rFonts w:hint="default" w:ascii="Times New Roman" w:hAnsi="Times New Roman" w:cs="Times New Roman"/>
                      <w:color w:val="auto"/>
                    </w:rPr>
                  </w:pPr>
                </w:p>
              </w:tc>
              <w:tc>
                <w:tcPr>
                  <w:tcW w:w="734" w:type="pct"/>
                  <w:noWrap/>
                  <w:vAlign w:val="center"/>
                </w:tcPr>
                <w:p w14:paraId="7BF8B508">
                  <w:pPr>
                    <w:pStyle w:val="53"/>
                    <w:rPr>
                      <w:rFonts w:hint="eastAsia" w:cs="Times New Roman"/>
                      <w:color w:val="auto"/>
                      <w:lang w:val="en-US" w:eastAsia="zh-CN"/>
                    </w:rPr>
                  </w:pPr>
                </w:p>
              </w:tc>
            </w:tr>
            <w:bookmarkEnd w:id="2"/>
          </w:tbl>
          <w:p w14:paraId="2E688D3A">
            <w:pPr>
              <w:pStyle w:val="51"/>
              <w:ind w:firstLine="482"/>
              <w:rPr>
                <w:rFonts w:hint="default" w:ascii="Times New Roman" w:hAnsi="Times New Roman" w:cs="Times New Roman"/>
                <w:b/>
                <w:color w:val="auto"/>
              </w:rPr>
            </w:pPr>
            <w:r>
              <w:rPr>
                <w:rFonts w:hint="default" w:ascii="Times New Roman" w:hAnsi="Times New Roman" w:cs="Times New Roman"/>
                <w:b/>
                <w:color w:val="auto"/>
              </w:rPr>
              <w:t>7、主要原辅材料</w:t>
            </w:r>
          </w:p>
          <w:p w14:paraId="51C8B2CF">
            <w:pPr>
              <w:pStyle w:val="51"/>
              <w:ind w:firstLine="480"/>
              <w:rPr>
                <w:rFonts w:hint="default" w:ascii="Times New Roman" w:hAnsi="Times New Roman" w:cs="Times New Roman"/>
                <w:color w:val="auto"/>
              </w:rPr>
            </w:pPr>
            <w:r>
              <w:rPr>
                <w:rFonts w:hint="default" w:ascii="Times New Roman" w:hAnsi="Times New Roman" w:cs="Times New Roman"/>
                <w:color w:val="auto"/>
              </w:rPr>
              <w:t>本项目主要原辅料为</w:t>
            </w:r>
            <w:r>
              <w:rPr>
                <w:rFonts w:hint="eastAsia" w:cs="Times New Roman"/>
                <w:color w:val="auto"/>
                <w:lang w:val="en-US" w:eastAsia="zh-CN"/>
              </w:rPr>
              <w:t>现有项目生产的废塑料片</w:t>
            </w:r>
            <w:r>
              <w:rPr>
                <w:rFonts w:hint="default" w:ascii="Times New Roman" w:hAnsi="Times New Roman" w:cs="Times New Roman"/>
                <w:color w:val="auto"/>
              </w:rPr>
              <w:t>，</w:t>
            </w:r>
            <w:r>
              <w:rPr>
                <w:rFonts w:hint="eastAsia" w:cs="Times New Roman"/>
                <w:color w:val="auto"/>
                <w:lang w:val="en-US" w:eastAsia="zh-CN"/>
              </w:rPr>
              <w:t>由于市场原因，现有项目废塑料片生产量为1万t/a，</w:t>
            </w:r>
            <w:r>
              <w:rPr>
                <w:rFonts w:hint="default" w:ascii="Times New Roman" w:hAnsi="Times New Roman" w:cs="Times New Roman"/>
                <w:color w:val="auto"/>
              </w:rPr>
              <w:t>项目主要原辅料见表2-</w:t>
            </w:r>
            <w:r>
              <w:rPr>
                <w:rFonts w:hint="eastAsia" w:cs="Times New Roman"/>
                <w:color w:val="auto"/>
                <w:lang w:val="en-US" w:eastAsia="zh-CN"/>
              </w:rPr>
              <w:t>5</w:t>
            </w:r>
            <w:r>
              <w:rPr>
                <w:rFonts w:hint="default" w:ascii="Times New Roman" w:hAnsi="Times New Roman" w:cs="Times New Roman"/>
                <w:color w:val="auto"/>
              </w:rPr>
              <w:t>。</w:t>
            </w:r>
          </w:p>
          <w:p w14:paraId="13D2BA65">
            <w:pPr>
              <w:pStyle w:val="52"/>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5</w:t>
            </w:r>
            <w:r>
              <w:rPr>
                <w:rFonts w:hint="default" w:ascii="Times New Roman" w:hAnsi="Times New Roman" w:cs="Times New Roman"/>
                <w:color w:val="auto"/>
              </w:rPr>
              <w:t xml:space="preserve">    主要原辅料一览表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263"/>
              <w:gridCol w:w="1100"/>
              <w:gridCol w:w="1437"/>
              <w:gridCol w:w="2842"/>
            </w:tblGrid>
            <w:tr w14:paraId="63BA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7" w:type="dxa"/>
                </w:tcPr>
                <w:p w14:paraId="5166A5C3">
                  <w:pPr>
                    <w:pStyle w:val="53"/>
                    <w:bidi w:val="0"/>
                    <w:rPr>
                      <w:rFonts w:hint="eastAsia" w:eastAsia="宋体"/>
                      <w:color w:val="auto"/>
                      <w:lang w:val="en-US" w:eastAsia="zh-CN"/>
                    </w:rPr>
                  </w:pPr>
                  <w:r>
                    <w:rPr>
                      <w:rFonts w:hint="eastAsia"/>
                      <w:color w:val="auto"/>
                      <w:lang w:val="en-US" w:eastAsia="zh-CN"/>
                    </w:rPr>
                    <w:t>序号</w:t>
                  </w:r>
                </w:p>
              </w:tc>
              <w:tc>
                <w:tcPr>
                  <w:tcW w:w="2263" w:type="dxa"/>
                </w:tcPr>
                <w:p w14:paraId="5258890F">
                  <w:pPr>
                    <w:pStyle w:val="53"/>
                    <w:bidi w:val="0"/>
                    <w:rPr>
                      <w:rFonts w:hint="eastAsia" w:eastAsia="宋体"/>
                      <w:color w:val="auto"/>
                      <w:lang w:val="en-US" w:eastAsia="zh-CN"/>
                    </w:rPr>
                  </w:pPr>
                  <w:r>
                    <w:rPr>
                      <w:rFonts w:hint="eastAsia"/>
                      <w:color w:val="auto"/>
                      <w:lang w:val="en-US" w:eastAsia="zh-CN"/>
                    </w:rPr>
                    <w:t>原料</w:t>
                  </w:r>
                </w:p>
              </w:tc>
              <w:tc>
                <w:tcPr>
                  <w:tcW w:w="1100" w:type="dxa"/>
                </w:tcPr>
                <w:p w14:paraId="24338362">
                  <w:pPr>
                    <w:pStyle w:val="53"/>
                    <w:bidi w:val="0"/>
                    <w:rPr>
                      <w:rFonts w:hint="eastAsia" w:eastAsia="宋体"/>
                      <w:color w:val="auto"/>
                      <w:lang w:val="en-US" w:eastAsia="zh-CN"/>
                    </w:rPr>
                  </w:pPr>
                  <w:r>
                    <w:rPr>
                      <w:rFonts w:hint="eastAsia"/>
                      <w:color w:val="auto"/>
                      <w:lang w:val="en-US" w:eastAsia="zh-CN"/>
                    </w:rPr>
                    <w:t>用量（t）</w:t>
                  </w:r>
                </w:p>
              </w:tc>
              <w:tc>
                <w:tcPr>
                  <w:tcW w:w="1437" w:type="dxa"/>
                </w:tcPr>
                <w:p w14:paraId="7B7A2A13">
                  <w:pPr>
                    <w:pStyle w:val="53"/>
                    <w:bidi w:val="0"/>
                    <w:rPr>
                      <w:rFonts w:hint="eastAsia" w:eastAsia="宋体"/>
                      <w:color w:val="auto"/>
                      <w:lang w:val="en-US" w:eastAsia="zh-CN"/>
                    </w:rPr>
                  </w:pPr>
                  <w:r>
                    <w:rPr>
                      <w:rFonts w:hint="eastAsia"/>
                      <w:color w:val="auto"/>
                      <w:lang w:val="en-US" w:eastAsia="zh-CN"/>
                    </w:rPr>
                    <w:t>形态</w:t>
                  </w:r>
                </w:p>
              </w:tc>
              <w:tc>
                <w:tcPr>
                  <w:tcW w:w="2842" w:type="dxa"/>
                </w:tcPr>
                <w:p w14:paraId="5B70EFAE">
                  <w:pPr>
                    <w:pStyle w:val="53"/>
                    <w:bidi w:val="0"/>
                    <w:rPr>
                      <w:rFonts w:hint="eastAsia" w:eastAsia="宋体"/>
                      <w:color w:val="auto"/>
                      <w:lang w:val="en-US" w:eastAsia="zh-CN"/>
                    </w:rPr>
                  </w:pPr>
                  <w:r>
                    <w:rPr>
                      <w:rFonts w:hint="eastAsia"/>
                      <w:color w:val="auto"/>
                      <w:lang w:val="en-US" w:eastAsia="zh-CN"/>
                    </w:rPr>
                    <w:t>来源</w:t>
                  </w:r>
                </w:p>
              </w:tc>
            </w:tr>
            <w:tr w14:paraId="71720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7" w:type="dxa"/>
                </w:tcPr>
                <w:p w14:paraId="2D28F0CF">
                  <w:pPr>
                    <w:pStyle w:val="53"/>
                    <w:bidi w:val="0"/>
                    <w:rPr>
                      <w:rFonts w:hint="eastAsia" w:eastAsia="宋体"/>
                      <w:color w:val="auto"/>
                      <w:lang w:val="en-US" w:eastAsia="zh-CN"/>
                    </w:rPr>
                  </w:pPr>
                  <w:r>
                    <w:rPr>
                      <w:rFonts w:hint="eastAsia"/>
                      <w:color w:val="auto"/>
                      <w:lang w:val="en-US" w:eastAsia="zh-CN"/>
                    </w:rPr>
                    <w:t>1</w:t>
                  </w:r>
                </w:p>
              </w:tc>
              <w:tc>
                <w:tcPr>
                  <w:tcW w:w="2263" w:type="dxa"/>
                </w:tcPr>
                <w:p w14:paraId="14E43191">
                  <w:pPr>
                    <w:pStyle w:val="53"/>
                    <w:bidi w:val="0"/>
                    <w:rPr>
                      <w:rFonts w:hint="default"/>
                      <w:color w:val="auto"/>
                    </w:rPr>
                  </w:pPr>
                  <w:r>
                    <w:rPr>
                      <w:rFonts w:hint="eastAsia" w:cs="Times New Roman"/>
                      <w:color w:val="auto"/>
                      <w:lang w:val="en-US" w:eastAsia="zh-CN"/>
                    </w:rPr>
                    <w:t>废塑料片（聚乙烯）</w:t>
                  </w:r>
                </w:p>
              </w:tc>
              <w:tc>
                <w:tcPr>
                  <w:tcW w:w="1100" w:type="dxa"/>
                </w:tcPr>
                <w:p w14:paraId="6C72A944">
                  <w:pPr>
                    <w:pStyle w:val="53"/>
                    <w:bidi w:val="0"/>
                    <w:rPr>
                      <w:rFonts w:hint="default" w:eastAsia="宋体"/>
                      <w:color w:val="auto"/>
                      <w:lang w:val="en-US" w:eastAsia="zh-CN"/>
                    </w:rPr>
                  </w:pPr>
                  <w:r>
                    <w:rPr>
                      <w:rFonts w:hint="eastAsia"/>
                      <w:color w:val="auto"/>
                      <w:lang w:val="en-US" w:eastAsia="zh-CN"/>
                    </w:rPr>
                    <w:t>10000</w:t>
                  </w:r>
                </w:p>
              </w:tc>
              <w:tc>
                <w:tcPr>
                  <w:tcW w:w="1437" w:type="dxa"/>
                </w:tcPr>
                <w:p w14:paraId="30DF4A4E">
                  <w:pPr>
                    <w:pStyle w:val="53"/>
                    <w:bidi w:val="0"/>
                    <w:rPr>
                      <w:rFonts w:hint="eastAsia" w:eastAsia="宋体"/>
                      <w:color w:val="auto"/>
                      <w:lang w:val="en-US" w:eastAsia="zh-CN"/>
                    </w:rPr>
                  </w:pPr>
                  <w:r>
                    <w:rPr>
                      <w:rFonts w:hint="default" w:ascii="Times New Roman" w:hAnsi="Times New Roman" w:eastAsia="宋体" w:cs="Times New Roman"/>
                      <w:color w:val="auto"/>
                      <w:szCs w:val="21"/>
                      <w:highlight w:val="none"/>
                    </w:rPr>
                    <w:t>固态，碎</w:t>
                  </w:r>
                  <w:r>
                    <w:rPr>
                      <w:rFonts w:hint="eastAsia" w:eastAsia="宋体" w:cs="Times New Roman"/>
                      <w:color w:val="auto"/>
                      <w:szCs w:val="21"/>
                      <w:highlight w:val="none"/>
                      <w:lang w:val="en-US" w:eastAsia="zh-CN"/>
                    </w:rPr>
                    <w:t>片</w:t>
                  </w:r>
                </w:p>
              </w:tc>
              <w:tc>
                <w:tcPr>
                  <w:tcW w:w="2842" w:type="dxa"/>
                </w:tcPr>
                <w:p w14:paraId="162B8E53">
                  <w:pPr>
                    <w:pStyle w:val="53"/>
                    <w:bidi w:val="0"/>
                    <w:rPr>
                      <w:rFonts w:hint="default" w:eastAsia="宋体"/>
                      <w:color w:val="auto"/>
                      <w:lang w:val="en-US" w:eastAsia="zh-CN"/>
                    </w:rPr>
                  </w:pPr>
                  <w:r>
                    <w:rPr>
                      <w:rFonts w:hint="eastAsia"/>
                      <w:color w:val="auto"/>
                      <w:lang w:val="en-US" w:eastAsia="zh-CN"/>
                    </w:rPr>
                    <w:t>现有项目生产的</w:t>
                  </w:r>
                  <w:r>
                    <w:rPr>
                      <w:rFonts w:hint="eastAsia" w:cs="Times New Roman"/>
                      <w:color w:val="auto"/>
                      <w:lang w:val="en-US" w:eastAsia="zh-CN"/>
                    </w:rPr>
                    <w:t>废塑料片</w:t>
                  </w:r>
                </w:p>
              </w:tc>
            </w:tr>
          </w:tbl>
          <w:p w14:paraId="66F9032F">
            <w:pPr>
              <w:pStyle w:val="51"/>
              <w:bidi w:val="0"/>
              <w:rPr>
                <w:rFonts w:hint="default"/>
                <w:color w:val="auto"/>
              </w:rPr>
            </w:pPr>
            <w:r>
              <w:rPr>
                <w:rFonts w:hint="default"/>
                <w:color w:val="auto"/>
              </w:rPr>
              <w:t>项目</w:t>
            </w:r>
            <w:r>
              <w:rPr>
                <w:rFonts w:hint="eastAsia"/>
                <w:color w:val="auto"/>
                <w:lang w:val="en-US" w:eastAsia="zh-CN"/>
              </w:rPr>
              <w:t>塑料颗粒生产原料为现有项目生产的废塑料片，该部分原料无需破碎、水洗等预处理，</w:t>
            </w:r>
            <w:r>
              <w:rPr>
                <w:rFonts w:hint="default"/>
                <w:color w:val="auto"/>
              </w:rPr>
              <w:t>主要理化性质如下表所示：</w:t>
            </w:r>
          </w:p>
          <w:p w14:paraId="035FDCA8">
            <w:pPr>
              <w:pStyle w:val="52"/>
              <w:bidi w:val="0"/>
              <w:rPr>
                <w:rFonts w:hint="default"/>
                <w:color w:val="auto"/>
              </w:rPr>
            </w:pPr>
            <w:r>
              <w:rPr>
                <w:rFonts w:hint="default"/>
                <w:color w:val="auto"/>
              </w:rPr>
              <w:t>表2-</w:t>
            </w:r>
            <w:r>
              <w:rPr>
                <w:rFonts w:hint="eastAsia"/>
                <w:color w:val="auto"/>
                <w:lang w:val="en-US" w:eastAsia="zh-CN"/>
              </w:rPr>
              <w:t>6</w:t>
            </w:r>
            <w:r>
              <w:rPr>
                <w:rFonts w:hint="default"/>
                <w:color w:val="auto"/>
              </w:rPr>
              <w:t xml:space="preserve">  </w:t>
            </w:r>
            <w:r>
              <w:rPr>
                <w:rFonts w:hint="eastAsia"/>
                <w:color w:val="auto"/>
                <w:lang w:val="en-US" w:eastAsia="zh-CN"/>
              </w:rPr>
              <w:t xml:space="preserve">  </w:t>
            </w:r>
            <w:r>
              <w:rPr>
                <w:rFonts w:hint="default"/>
                <w:color w:val="auto"/>
              </w:rPr>
              <w:t>原辅材料理化性质一览表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7610"/>
            </w:tblGrid>
            <w:tr w14:paraId="349A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74" w:type="pct"/>
                  <w:noWrap w:val="0"/>
                  <w:vAlign w:val="center"/>
                </w:tcPr>
                <w:p w14:paraId="12F3BF5F">
                  <w:pPr>
                    <w:pStyle w:val="53"/>
                    <w:bidi w:val="0"/>
                    <w:rPr>
                      <w:rFonts w:hint="default"/>
                      <w:color w:val="auto"/>
                    </w:rPr>
                  </w:pPr>
                  <w:r>
                    <w:rPr>
                      <w:rFonts w:hint="default"/>
                      <w:color w:val="auto"/>
                    </w:rPr>
                    <w:t>名称</w:t>
                  </w:r>
                </w:p>
              </w:tc>
              <w:tc>
                <w:tcPr>
                  <w:tcW w:w="4525" w:type="pct"/>
                  <w:noWrap w:val="0"/>
                  <w:vAlign w:val="center"/>
                </w:tcPr>
                <w:p w14:paraId="652EB0F3">
                  <w:pPr>
                    <w:pStyle w:val="53"/>
                    <w:bidi w:val="0"/>
                    <w:rPr>
                      <w:rFonts w:hint="default"/>
                      <w:color w:val="auto"/>
                    </w:rPr>
                  </w:pPr>
                  <w:r>
                    <w:rPr>
                      <w:rFonts w:hint="default"/>
                      <w:color w:val="auto"/>
                    </w:rPr>
                    <w:t>理化性质</w:t>
                  </w:r>
                </w:p>
              </w:tc>
            </w:tr>
            <w:tr w14:paraId="6895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474" w:type="pct"/>
                  <w:noWrap w:val="0"/>
                  <w:vAlign w:val="center"/>
                </w:tcPr>
                <w:p w14:paraId="2181C2E0">
                  <w:pPr>
                    <w:pStyle w:val="53"/>
                    <w:bidi w:val="0"/>
                    <w:rPr>
                      <w:rFonts w:hint="default"/>
                      <w:color w:val="auto"/>
                    </w:rPr>
                  </w:pPr>
                  <w:r>
                    <w:rPr>
                      <w:rFonts w:hint="default"/>
                      <w:color w:val="auto"/>
                    </w:rPr>
                    <w:t>聚乙烯</w:t>
                  </w:r>
                </w:p>
              </w:tc>
              <w:tc>
                <w:tcPr>
                  <w:tcW w:w="4525" w:type="pct"/>
                  <w:noWrap w:val="0"/>
                  <w:vAlign w:val="center"/>
                </w:tcPr>
                <w:p w14:paraId="31BC0583">
                  <w:pPr>
                    <w:pStyle w:val="53"/>
                    <w:bidi w:val="0"/>
                    <w:rPr>
                      <w:rFonts w:hint="default"/>
                      <w:color w:val="auto"/>
                    </w:rPr>
                  </w:pPr>
                  <w:r>
                    <w:rPr>
                      <w:rFonts w:hint="default"/>
                      <w:color w:val="auto"/>
                    </w:rPr>
                    <w:t>聚乙烯简称PE，是一种无色、无味、无毒的固体，外观呈白色或透明。它具有良好的延展性、韧性和耐磨性，也具有较高的强度和抗冲击性，熔点108℃～126℃。不溶于水，微溶于烃类等。能耐大多数酸碱的侵蚀，吸水性小，在低温时仍能保持柔软性，电绝缘性高。</w:t>
                  </w:r>
                </w:p>
              </w:tc>
            </w:tr>
          </w:tbl>
          <w:p w14:paraId="65552218">
            <w:pPr>
              <w:pStyle w:val="51"/>
              <w:ind w:firstLine="482"/>
              <w:rPr>
                <w:rFonts w:hint="default" w:ascii="Times New Roman" w:hAnsi="Times New Roman" w:cs="Times New Roman"/>
                <w:b/>
                <w:color w:val="auto"/>
              </w:rPr>
            </w:pPr>
            <w:r>
              <w:rPr>
                <w:rFonts w:hint="default" w:ascii="Times New Roman" w:hAnsi="Times New Roman" w:cs="Times New Roman"/>
                <w:b/>
                <w:color w:val="auto"/>
              </w:rPr>
              <w:t>8、水平衡分析</w:t>
            </w:r>
          </w:p>
          <w:p w14:paraId="7EFDEE94">
            <w:pPr>
              <w:pStyle w:val="51"/>
              <w:bidi w:val="0"/>
              <w:rPr>
                <w:rFonts w:hint="default"/>
                <w:color w:val="auto"/>
                <w:lang w:val="en-US" w:eastAsia="zh-CN"/>
              </w:rPr>
            </w:pPr>
            <w:r>
              <w:rPr>
                <w:rFonts w:hint="eastAsia"/>
                <w:color w:val="auto"/>
                <w:lang w:val="en-US" w:eastAsia="zh-CN"/>
              </w:rPr>
              <w:t>（1）生活</w:t>
            </w:r>
            <w:r>
              <w:rPr>
                <w:rFonts w:hint="default"/>
                <w:color w:val="auto"/>
                <w:lang w:val="en-US" w:eastAsia="zh-CN"/>
              </w:rPr>
              <w:t>用水</w:t>
            </w:r>
          </w:p>
          <w:p w14:paraId="4F8A2966">
            <w:pPr>
              <w:pStyle w:val="51"/>
              <w:bidi w:val="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w:t>
            </w:r>
            <w:r>
              <w:rPr>
                <w:rFonts w:hint="eastAsia" w:cs="Times New Roman"/>
                <w:color w:val="auto"/>
                <w:sz w:val="24"/>
                <w:highlight w:val="none"/>
                <w:lang w:val="en-US" w:eastAsia="zh-CN"/>
              </w:rPr>
              <w:t>设有</w:t>
            </w:r>
            <w:r>
              <w:rPr>
                <w:rFonts w:hint="default" w:ascii="Times New Roman" w:hAnsi="Times New Roman" w:cs="Times New Roman"/>
                <w:color w:val="auto"/>
                <w:sz w:val="24"/>
                <w:highlight w:val="none"/>
                <w:lang w:val="en-US" w:eastAsia="zh-CN"/>
              </w:rPr>
              <w:t>劳动定员</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lang w:val="en-US" w:eastAsia="zh-CN"/>
              </w:rPr>
              <w:t>人，</w:t>
            </w:r>
            <w:r>
              <w:rPr>
                <w:rFonts w:hint="eastAsia" w:cs="Times New Roman"/>
                <w:color w:val="auto"/>
                <w:sz w:val="24"/>
                <w:highlight w:val="none"/>
                <w:lang w:val="en-US" w:eastAsia="zh-CN"/>
              </w:rPr>
              <w:t>项目区内</w:t>
            </w:r>
            <w:r>
              <w:rPr>
                <w:rFonts w:hint="default" w:ascii="Times New Roman" w:hAnsi="Times New Roman" w:cs="Times New Roman"/>
                <w:color w:val="auto"/>
                <w:sz w:val="24"/>
                <w:highlight w:val="none"/>
                <w:lang w:val="en-US" w:eastAsia="zh-CN"/>
              </w:rPr>
              <w:t>不设食宿，仅产生少量的冲厕和洗手废水，根据《云南省地方标准用水定额》（DB53/T168-2019）中城镇居民用水定额</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本次计算取20L/（人/d），则其办公用水量为0.</w:t>
            </w:r>
            <w:r>
              <w:rPr>
                <w:rFonts w:hint="eastAsia" w:cs="Times New Roman"/>
                <w:color w:val="auto"/>
                <w:sz w:val="24"/>
                <w:highlight w:val="none"/>
                <w:lang w:val="en-US" w:eastAsia="zh-CN"/>
              </w:rPr>
              <w:t>12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36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/a，</w:t>
            </w:r>
            <w:r>
              <w:rPr>
                <w:rFonts w:hint="default" w:ascii="Times New Roman" w:hAnsi="Times New Roman" w:cs="Times New Roman"/>
                <w:color w:val="auto"/>
                <w:szCs w:val="24"/>
              </w:rPr>
              <w:t>根据《排放源统计调查产排污核算方法和系数手册一生活源产排污核算方法和系数手册》“第一部分 城镇生活源水污染物产生系数”中表1</w:t>
            </w:r>
            <w:r>
              <w:rPr>
                <w:rFonts w:hint="eastAsia" w:cs="Times New Roman"/>
                <w:color w:val="auto"/>
                <w:szCs w:val="24"/>
                <w:lang w:eastAsia="zh-CN"/>
              </w:rPr>
              <w:t>－</w:t>
            </w:r>
            <w:r>
              <w:rPr>
                <w:rFonts w:hint="default" w:ascii="Times New Roman" w:hAnsi="Times New Roman" w:cs="Times New Roman"/>
                <w:color w:val="auto"/>
                <w:szCs w:val="24"/>
              </w:rPr>
              <w:t>城镇</w:t>
            </w:r>
            <w:r>
              <w:rPr>
                <w:rFonts w:hint="eastAsia" w:cs="Times New Roman"/>
                <w:color w:val="auto"/>
                <w:szCs w:val="24"/>
                <w:lang w:eastAsia="zh-CN"/>
              </w:rPr>
              <w:t>生活污水</w:t>
            </w:r>
            <w:r>
              <w:rPr>
                <w:rFonts w:hint="default" w:ascii="Times New Roman" w:hAnsi="Times New Roman" w:cs="Times New Roman"/>
                <w:color w:val="auto"/>
                <w:szCs w:val="24"/>
              </w:rPr>
              <w:t>污染物产生系数，六区折污系数为0.83；</w:t>
            </w:r>
            <w:r>
              <w:rPr>
                <w:rFonts w:hint="default" w:ascii="Times New Roman" w:hAnsi="Times New Roman" w:cs="Times New Roman"/>
                <w:color w:val="auto"/>
                <w:sz w:val="24"/>
                <w:highlight w:val="none"/>
                <w:lang w:val="en-US" w:eastAsia="zh-CN"/>
              </w:rPr>
              <w:t>废水产生量为0.</w:t>
            </w:r>
            <w:r>
              <w:rPr>
                <w:rFonts w:hint="eastAsia" w:cs="Times New Roman"/>
                <w:color w:val="auto"/>
                <w:sz w:val="24"/>
                <w:highlight w:val="none"/>
                <w:lang w:val="en-US" w:eastAsia="zh-CN"/>
              </w:rPr>
              <w:t>0996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29.88</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a</w:t>
            </w:r>
            <w:r>
              <w:rPr>
                <w:rFonts w:hint="default" w:ascii="Times New Roman" w:hAnsi="Times New Roman" w:cs="Times New Roman"/>
                <w:color w:val="auto"/>
                <w:sz w:val="24"/>
                <w:highlight w:val="none"/>
                <w:lang w:val="en-US" w:eastAsia="zh-CN"/>
              </w:rPr>
              <w:t>。该部分废水</w:t>
            </w:r>
            <w:r>
              <w:rPr>
                <w:rFonts w:hint="eastAsia" w:cs="Times New Roman"/>
                <w:color w:val="auto"/>
                <w:sz w:val="24"/>
                <w:highlight w:val="none"/>
                <w:lang w:val="en-US" w:eastAsia="zh-CN"/>
              </w:rPr>
              <w:t>进入化粪池处理后委托</w:t>
            </w:r>
            <w:r>
              <w:rPr>
                <w:rFonts w:hint="eastAsia" w:ascii="Times New Roman" w:hAnsi="Times New Roman" w:cs="Times New Roman"/>
                <w:color w:val="auto"/>
                <w:sz w:val="24"/>
                <w:highlight w:val="none"/>
                <w:lang w:val="en-US" w:eastAsia="zh-CN"/>
              </w:rPr>
              <w:t>周边农户定期清掏作农肥使用</w:t>
            </w:r>
            <w:r>
              <w:rPr>
                <w:rFonts w:hint="default" w:ascii="Times New Roman" w:hAnsi="Times New Roman" w:cs="Times New Roman"/>
                <w:color w:val="auto"/>
                <w:sz w:val="24"/>
                <w:highlight w:val="none"/>
                <w:lang w:val="en-US" w:eastAsia="zh-CN"/>
              </w:rPr>
              <w:t>，项目区废水不外排。</w:t>
            </w:r>
          </w:p>
          <w:p w14:paraId="12747835">
            <w:pPr>
              <w:pStyle w:val="51"/>
              <w:bidi w:val="0"/>
              <w:rPr>
                <w:rFonts w:hint="default"/>
                <w:color w:val="auto"/>
              </w:rPr>
            </w:pPr>
            <w:r>
              <w:rPr>
                <w:rFonts w:hint="eastAsia"/>
                <w:color w:val="auto"/>
                <w:lang w:val="en-US" w:eastAsia="zh-CN"/>
              </w:rPr>
              <w:t>（2）</w:t>
            </w:r>
            <w:r>
              <w:rPr>
                <w:rFonts w:hint="default"/>
                <w:color w:val="auto"/>
              </w:rPr>
              <w:t>冷却用水</w:t>
            </w:r>
          </w:p>
          <w:p w14:paraId="666CDB5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项目生产中用到的冷却水经循环</w:t>
            </w:r>
            <w:r>
              <w:rPr>
                <w:rFonts w:hint="eastAsia" w:cs="Times New Roman"/>
                <w:color w:val="auto"/>
                <w:sz w:val="24"/>
                <w:highlight w:val="none"/>
                <w:lang w:val="en-US" w:eastAsia="zh-CN"/>
              </w:rPr>
              <w:t>水收集箱</w:t>
            </w:r>
            <w:r>
              <w:rPr>
                <w:rFonts w:hint="default" w:ascii="Times New Roman" w:hAnsi="Times New Roman" w:cs="Times New Roman"/>
                <w:color w:val="auto"/>
                <w:sz w:val="24"/>
                <w:highlight w:val="none"/>
              </w:rPr>
              <w:t>循环后使用，定期补充蒸发损失</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风吹损失，项目循环水量</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/h。根据公式计算项目补水量为</w:t>
            </w:r>
            <w:r>
              <w:rPr>
                <w:rFonts w:hint="eastAsia" w:cs="Times New Roman"/>
                <w:color w:val="auto"/>
                <w:sz w:val="24"/>
                <w:highlight w:val="none"/>
                <w:lang w:val="en-US" w:eastAsia="zh-CN"/>
              </w:rPr>
              <w:t>0.675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10.8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产生</w:t>
            </w:r>
            <w:r>
              <w:rPr>
                <w:rFonts w:hint="default" w:ascii="Times New Roman" w:hAnsi="Times New Roman" w:cs="Times New Roman"/>
                <w:color w:val="auto"/>
                <w:sz w:val="24"/>
                <w:highlight w:val="none"/>
              </w:rPr>
              <w:t>污水</w:t>
            </w:r>
            <w:r>
              <w:rPr>
                <w:rFonts w:hint="eastAsia" w:cs="Times New Roman"/>
                <w:color w:val="auto"/>
                <w:sz w:val="24"/>
                <w:highlight w:val="none"/>
                <w:lang w:val="en-US" w:eastAsia="zh-CN"/>
              </w:rPr>
              <w:t>量4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/d，主要污染物为SS，</w:t>
            </w:r>
            <w:r>
              <w:rPr>
                <w:rFonts w:hint="eastAsia" w:cs="Times New Roman"/>
                <w:color w:val="auto"/>
                <w:sz w:val="24"/>
                <w:highlight w:val="none"/>
                <w:lang w:val="en-US" w:eastAsia="zh-CN"/>
              </w:rPr>
              <w:t>该部分污水量经循环水收集箱</w:t>
            </w:r>
            <w:r>
              <w:rPr>
                <w:rFonts w:hint="default" w:ascii="Times New Roman" w:hAnsi="Times New Roman" w:cs="Times New Roman"/>
                <w:color w:val="auto"/>
                <w:sz w:val="24"/>
                <w:highlight w:val="none"/>
              </w:rPr>
              <w:t>沉淀后循环</w:t>
            </w:r>
            <w:r>
              <w:rPr>
                <w:rFonts w:hint="eastAsia" w:cs="Times New Roman"/>
                <w:color w:val="auto"/>
                <w:sz w:val="24"/>
                <w:highlight w:val="none"/>
                <w:lang w:val="en-US" w:eastAsia="zh-CN"/>
              </w:rPr>
              <w:t>使用</w:t>
            </w:r>
            <w:r>
              <w:rPr>
                <w:rFonts w:hint="default" w:ascii="Times New Roman" w:hAnsi="Times New Roman" w:cs="Times New Roman"/>
                <w:color w:val="auto"/>
                <w:sz w:val="24"/>
                <w:highlight w:val="none"/>
              </w:rPr>
              <w:t>。</w:t>
            </w:r>
          </w:p>
          <w:p w14:paraId="2B8CD1B5">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新鲜水补水量P=P1+P2+P3+P4</w:t>
            </w:r>
          </w:p>
          <w:p w14:paraId="50E0814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式中：P1—蒸发损失；P2—风吹损失；P3泄漏损失；P4排污量</w:t>
            </w:r>
          </w:p>
          <w:p w14:paraId="3AA398A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A</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蒸发损失P1</w:t>
            </w:r>
          </w:p>
          <w:p w14:paraId="330A0CA3">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计算公式P1=K*</w:t>
            </w:r>
            <w:r>
              <w:rPr>
                <w:rFonts w:hint="default" w:ascii="Times New Roman" w:hAnsi="Times New Roman" w:eastAsia="方正仿宋_GBK" w:cs="Times New Roman"/>
                <w:color w:val="auto"/>
                <w:sz w:val="24"/>
                <w:highlight w:val="none"/>
              </w:rPr>
              <w:t>△t*</w:t>
            </w:r>
            <w:r>
              <w:rPr>
                <w:rFonts w:hint="default" w:ascii="Times New Roman" w:hAnsi="Times New Roman" w:cs="Times New Roman"/>
                <w:color w:val="auto"/>
                <w:sz w:val="24"/>
                <w:highlight w:val="none"/>
              </w:rPr>
              <w:t>G</w:t>
            </w:r>
          </w:p>
          <w:p w14:paraId="5C91948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K</w:t>
            </w:r>
            <w:r>
              <w:rPr>
                <w:rFonts w:hint="eastAsia" w:cs="Times New Roman"/>
                <w:color w:val="auto"/>
                <w:sz w:val="24"/>
                <w:highlight w:val="none"/>
                <w:lang w:eastAsia="zh-CN"/>
              </w:rPr>
              <w:t>：</w:t>
            </w:r>
            <w:r>
              <w:rPr>
                <w:rFonts w:hint="eastAsia" w:cs="Times New Roman"/>
                <w:color w:val="auto"/>
                <w:sz w:val="24"/>
                <w:highlight w:val="none"/>
                <w:lang w:val="en-US" w:eastAsia="zh-CN"/>
              </w:rPr>
              <w:t>蒸发损失系数，</w:t>
            </w:r>
            <w:r>
              <w:rPr>
                <w:rFonts w:hint="default" w:ascii="Times New Roman" w:hAnsi="Times New Roman" w:cs="Times New Roman"/>
                <w:color w:val="auto"/>
                <w:sz w:val="24"/>
                <w:highlight w:val="none"/>
              </w:rPr>
              <w:t>系数在环境温度为30℃时，K=0.</w:t>
            </w:r>
            <w:r>
              <w:rPr>
                <w:rFonts w:hint="eastAsia" w:cs="Times New Roman"/>
                <w:color w:val="auto"/>
                <w:sz w:val="24"/>
                <w:highlight w:val="none"/>
                <w:lang w:val="en-US" w:eastAsia="zh-CN"/>
              </w:rPr>
              <w:t>00</w:t>
            </w:r>
            <w:r>
              <w:rPr>
                <w:rFonts w:hint="default" w:ascii="Times New Roman" w:hAnsi="Times New Roman" w:cs="Times New Roman"/>
                <w:color w:val="auto"/>
                <w:sz w:val="24"/>
                <w:highlight w:val="none"/>
              </w:rPr>
              <w:t>15；</w:t>
            </w:r>
          </w:p>
          <w:p w14:paraId="2720B7AF">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eastAsia="方正仿宋_GBK" w:cs="Times New Roman"/>
                <w:color w:val="auto"/>
                <w:sz w:val="24"/>
                <w:highlight w:val="none"/>
              </w:rPr>
              <w:t>△t</w:t>
            </w:r>
            <w:r>
              <w:rPr>
                <w:rFonts w:hint="eastAsia" w:eastAsia="方正仿宋_GBK" w:cs="Times New Roman"/>
                <w:color w:val="auto"/>
                <w:sz w:val="24"/>
                <w:highlight w:val="none"/>
                <w:lang w:eastAsia="zh-CN"/>
              </w:rPr>
              <w:t>：</w:t>
            </w:r>
            <w:r>
              <w:rPr>
                <w:rFonts w:hint="default" w:ascii="Times New Roman" w:hAnsi="Times New Roman" w:cs="Times New Roman"/>
                <w:color w:val="auto"/>
                <w:sz w:val="24"/>
                <w:highlight w:val="none"/>
              </w:rPr>
              <w:t>进出水温差，根据业主提供数据，取</w:t>
            </w:r>
            <w:r>
              <w:rPr>
                <w:rFonts w:hint="default" w:ascii="Times New Roman" w:hAnsi="Times New Roman" w:eastAsia="方正仿宋_GBK" w:cs="Times New Roman"/>
                <w:color w:val="auto"/>
                <w:sz w:val="24"/>
                <w:highlight w:val="none"/>
              </w:rPr>
              <w:t>△t</w:t>
            </w:r>
            <w:r>
              <w:rPr>
                <w:rFonts w:hint="default" w:ascii="Times New Roman" w:hAnsi="Times New Roman" w:cs="Times New Roman"/>
                <w:color w:val="auto"/>
                <w:sz w:val="24"/>
                <w:highlight w:val="none"/>
              </w:rPr>
              <w:t>=10℃；</w:t>
            </w:r>
          </w:p>
          <w:p w14:paraId="6925F73D">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G</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系统循环量</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eastAsia="zh-CN"/>
              </w:rPr>
              <w:t>；</w:t>
            </w:r>
          </w:p>
          <w:p w14:paraId="6A984928">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P1=</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×0.</w:t>
            </w:r>
            <w:r>
              <w:rPr>
                <w:rFonts w:hint="eastAsia" w:cs="Times New Roman"/>
                <w:color w:val="auto"/>
                <w:sz w:val="24"/>
                <w:highlight w:val="none"/>
                <w:lang w:val="en-US" w:eastAsia="zh-CN"/>
              </w:rPr>
              <w:t>00</w:t>
            </w:r>
            <w:r>
              <w:rPr>
                <w:rFonts w:hint="default" w:ascii="Times New Roman" w:hAnsi="Times New Roman" w:cs="Times New Roman"/>
                <w:color w:val="auto"/>
                <w:sz w:val="24"/>
                <w:highlight w:val="none"/>
              </w:rPr>
              <w:t>15×10=0.</w:t>
            </w:r>
            <w:r>
              <w:rPr>
                <w:rFonts w:hint="eastAsia" w:cs="Times New Roman"/>
                <w:color w:val="auto"/>
                <w:sz w:val="24"/>
                <w:highlight w:val="none"/>
                <w:lang w:val="en-US" w:eastAsia="zh-CN"/>
              </w:rPr>
              <w:t>37</w:t>
            </w:r>
            <w:r>
              <w:rPr>
                <w:rFonts w:hint="default" w:ascii="Times New Roman" w:hAnsi="Times New Roman" w:cs="Times New Roman"/>
                <w:color w:val="auto"/>
                <w:sz w:val="24"/>
                <w:highlight w:val="none"/>
              </w:rPr>
              <w:t>5m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p>
          <w:p w14:paraId="6030FDD7">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B</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风吹损失量P2</w:t>
            </w:r>
          </w:p>
          <w:p w14:paraId="16ED350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对于机械通风凉水塔，在有收水器的情况下，风吹损失率约为0.1</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0.5%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取风吹损失率为0.2%</w:t>
            </w:r>
          </w:p>
          <w:p w14:paraId="4DCFB97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P2=</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×0.2%=0.</w:t>
            </w:r>
            <w:r>
              <w:rPr>
                <w:rFonts w:hint="eastAsia" w:cs="Times New Roman"/>
                <w:color w:val="auto"/>
                <w:sz w:val="24"/>
                <w:highlight w:val="none"/>
                <w:lang w:val="en-US" w:eastAsia="zh-CN"/>
              </w:rPr>
              <w:t>05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p>
          <w:p w14:paraId="41B9692A">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泄漏损失P3</w:t>
            </w:r>
          </w:p>
          <w:p w14:paraId="02B1571C">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由于系统式密闭循环，机泵的泄漏可忽略不计。P3=0m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eastAsia="zh-CN"/>
              </w:rPr>
              <w:t>.</w:t>
            </w:r>
          </w:p>
          <w:p w14:paraId="2BBFE5B8">
            <w:pPr>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D</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浓缩倍率</w:t>
            </w:r>
            <w:r>
              <w:rPr>
                <w:rFonts w:hint="eastAsia" w:cs="Times New Roman"/>
                <w:color w:val="auto"/>
                <w:sz w:val="24"/>
                <w:highlight w:val="none"/>
                <w:lang w:val="en-US" w:eastAsia="zh-CN"/>
              </w:rPr>
              <w:t>N</w:t>
            </w:r>
          </w:p>
          <w:p w14:paraId="6DC313D0">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循环水中的盐类浓度和补充水的盐类浓度之比称为浓缩倍率。一般来说，如果补充水Cl</w:t>
            </w:r>
            <w:r>
              <w:rPr>
                <w:rFonts w:hint="default"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rPr>
              <w:t>&lt;1000mg/L的，控制在2.0以下，如果&lt;500g/L的，可控制在3.0以下。</w:t>
            </w:r>
          </w:p>
          <w:p w14:paraId="45BEF6AB">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由于本公司补水Cl</w:t>
            </w:r>
            <w:r>
              <w:rPr>
                <w:rFonts w:hint="default" w:ascii="Times New Roman" w:hAnsi="Times New Roman" w:cs="Times New Roman"/>
                <w:color w:val="auto"/>
                <w:sz w:val="24"/>
                <w:highlight w:val="none"/>
                <w:vertAlign w:val="superscript"/>
              </w:rPr>
              <w:t>-</w:t>
            </w:r>
            <w:r>
              <w:rPr>
                <w:rFonts w:hint="default" w:ascii="Times New Roman" w:hAnsi="Times New Roman" w:cs="Times New Roman"/>
                <w:color w:val="auto"/>
                <w:sz w:val="24"/>
                <w:highlight w:val="none"/>
              </w:rPr>
              <w:t>&lt;500g/L，循环水的浓缩倍率取2.5。</w:t>
            </w:r>
          </w:p>
          <w:p w14:paraId="30008BD5">
            <w:pPr>
              <w:adjustRightInd w:val="0"/>
              <w:snapToGrid w:val="0"/>
              <w:spacing w:line="360" w:lineRule="auto"/>
              <w:ind w:left="420" w:left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E</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理论</w:t>
            </w:r>
            <w:r>
              <w:rPr>
                <w:rFonts w:hint="eastAsia" w:cs="Times New Roman"/>
                <w:color w:val="auto"/>
                <w:sz w:val="24"/>
                <w:highlight w:val="none"/>
                <w:lang w:val="en-US" w:eastAsia="zh-CN"/>
              </w:rPr>
              <w:t>产污</w:t>
            </w:r>
            <w:r>
              <w:rPr>
                <w:rFonts w:hint="default" w:ascii="Times New Roman" w:hAnsi="Times New Roman" w:cs="Times New Roman"/>
                <w:color w:val="auto"/>
                <w:sz w:val="24"/>
                <w:highlight w:val="none"/>
              </w:rPr>
              <w:t>量P4</w:t>
            </w:r>
          </w:p>
          <w:p w14:paraId="7CE0474B">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rPr>
              <w:t>P4=</w:t>
            </w:r>
            <w:r>
              <w:rPr>
                <w:rFonts w:hint="eastAsia" w:ascii="Times New Roman" w:hAnsi="Times New Roman" w:cs="Times New Roman"/>
                <w:color w:val="auto"/>
                <w:sz w:val="24"/>
                <w:highlight w:val="none"/>
                <w:lang w:val="en-US" w:eastAsia="zh-CN"/>
              </w:rPr>
              <w:t>P1/</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N-1</w:t>
            </w:r>
            <w:r>
              <w:rPr>
                <w:rFonts w:hint="eastAsia" w:cs="Times New Roman"/>
                <w:color w:val="auto"/>
                <w:sz w:val="24"/>
                <w:highlight w:val="none"/>
                <w:lang w:val="en-US" w:eastAsia="zh-CN"/>
              </w:rPr>
              <w:t>)</w:t>
            </w:r>
          </w:p>
          <w:p w14:paraId="142F4E46">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P4=</w:t>
            </w:r>
            <w:r>
              <w:rPr>
                <w:rFonts w:hint="eastAsia" w:ascii="Times New Roman" w:hAnsi="Times New Roman" w:cs="Times New Roman"/>
                <w:color w:val="auto"/>
                <w:sz w:val="24"/>
                <w:highlight w:val="none"/>
                <w:lang w:val="en-US" w:eastAsia="zh-CN"/>
              </w:rPr>
              <w:t>0.375/</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2.5-1</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=0.</w:t>
            </w:r>
            <w:r>
              <w:rPr>
                <w:rFonts w:hint="eastAsia"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p>
          <w:p w14:paraId="25E88624">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F.</w:t>
            </w:r>
            <w:r>
              <w:rPr>
                <w:rFonts w:hint="default" w:ascii="Times New Roman" w:hAnsi="Times New Roman" w:cs="Times New Roman"/>
                <w:color w:val="auto"/>
                <w:sz w:val="24"/>
                <w:highlight w:val="none"/>
              </w:rPr>
              <w:t>补水量P</w:t>
            </w:r>
          </w:p>
          <w:p w14:paraId="113C3456">
            <w:pPr>
              <w:adjustRightInd w:val="0"/>
              <w:snapToGrid w:val="0"/>
              <w:spacing w:line="360" w:lineRule="auto"/>
              <w:ind w:left="420" w:leftChars="200"/>
              <w:rPr>
                <w:rFonts w:hint="default" w:ascii="Times New Roman" w:hAnsi="Times New Roman" w:cs="Times New Roman"/>
                <w:b/>
                <w:bCs/>
                <w:color w:val="auto"/>
                <w:sz w:val="24"/>
                <w:highlight w:val="none"/>
              </w:rPr>
            </w:pPr>
            <w:r>
              <w:rPr>
                <w:rFonts w:hint="default" w:ascii="Times New Roman" w:hAnsi="Times New Roman" w:cs="Times New Roman"/>
                <w:color w:val="auto"/>
                <w:sz w:val="24"/>
                <w:highlight w:val="none"/>
              </w:rPr>
              <w:t>P=P1+P2+P3+P4=</w:t>
            </w:r>
            <w:r>
              <w:rPr>
                <w:rFonts w:hint="eastAsia" w:cs="Times New Roman"/>
                <w:color w:val="auto"/>
                <w:sz w:val="24"/>
                <w:highlight w:val="none"/>
                <w:lang w:val="en-US" w:eastAsia="zh-CN"/>
              </w:rPr>
              <w:t>6</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0.8</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0</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4</w:t>
            </w:r>
            <w:r>
              <w:rPr>
                <w:rFonts w:hint="default" w:ascii="Times New Roman" w:hAnsi="Times New Roman" w:cs="Times New Roman"/>
                <w:color w:val="auto"/>
                <w:sz w:val="24"/>
                <w:highlight w:val="none"/>
              </w:rPr>
              <w:t>=</w:t>
            </w:r>
            <w:r>
              <w:rPr>
                <w:rFonts w:hint="eastAsia" w:cs="Times New Roman"/>
                <w:color w:val="auto"/>
                <w:sz w:val="24"/>
                <w:highlight w:val="none"/>
                <w:lang w:val="en-US" w:eastAsia="zh-CN"/>
              </w:rPr>
              <w:t>10.8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val="en-US" w:eastAsia="zh-CN"/>
              </w:rPr>
              <w:t>0.675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p>
          <w:p w14:paraId="4A1A693D">
            <w:pPr>
              <w:pStyle w:val="51"/>
              <w:ind w:firstLine="480"/>
              <w:rPr>
                <w:rFonts w:hint="default" w:ascii="Times New Roman" w:hAnsi="Times New Roman" w:cs="Times New Roman"/>
                <w:color w:val="auto"/>
              </w:rPr>
            </w:pPr>
            <w:r>
              <w:rPr>
                <w:rFonts w:hint="default" w:ascii="Times New Roman" w:hAnsi="Times New Roman" w:cs="Times New Roman"/>
                <w:color w:val="auto"/>
              </w:rPr>
              <w:t>项目</w:t>
            </w:r>
            <w:r>
              <w:rPr>
                <w:rFonts w:hint="eastAsia" w:cs="Times New Roman"/>
                <w:color w:val="auto"/>
                <w:lang w:eastAsia="zh-CN"/>
              </w:rPr>
              <w:t>供排水</w:t>
            </w:r>
            <w:r>
              <w:rPr>
                <w:rFonts w:hint="default" w:ascii="Times New Roman" w:hAnsi="Times New Roman" w:cs="Times New Roman"/>
                <w:color w:val="auto"/>
              </w:rPr>
              <w:t>情况见表2-</w:t>
            </w:r>
            <w:r>
              <w:rPr>
                <w:rFonts w:hint="eastAsia" w:cs="Times New Roman"/>
                <w:color w:val="auto"/>
                <w:lang w:val="en-US" w:eastAsia="zh-CN"/>
              </w:rPr>
              <w:t>7</w:t>
            </w:r>
            <w:r>
              <w:rPr>
                <w:rFonts w:hint="default" w:ascii="Times New Roman" w:hAnsi="Times New Roman" w:cs="Times New Roman"/>
                <w:color w:val="auto"/>
              </w:rPr>
              <w:t>。</w:t>
            </w:r>
          </w:p>
          <w:p w14:paraId="5528B275">
            <w:pPr>
              <w:pStyle w:val="52"/>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7</w:t>
            </w:r>
            <w:r>
              <w:rPr>
                <w:rFonts w:hint="default" w:ascii="Times New Roman" w:hAnsi="Times New Roman" w:cs="Times New Roman"/>
                <w:color w:val="auto"/>
              </w:rPr>
              <w:t xml:space="preserve">    项目</w:t>
            </w:r>
            <w:r>
              <w:rPr>
                <w:rFonts w:hint="eastAsia" w:cs="Times New Roman"/>
                <w:color w:val="auto"/>
                <w:lang w:eastAsia="zh-CN"/>
              </w:rPr>
              <w:t>供排水</w:t>
            </w:r>
            <w:r>
              <w:rPr>
                <w:rFonts w:hint="default" w:ascii="Times New Roman" w:hAnsi="Times New Roman" w:cs="Times New Roman"/>
                <w:color w:val="auto"/>
              </w:rPr>
              <w:t>情况一览表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273"/>
              <w:gridCol w:w="1290"/>
              <w:gridCol w:w="1300"/>
              <w:gridCol w:w="1291"/>
              <w:gridCol w:w="2457"/>
            </w:tblGrid>
            <w:tr w14:paraId="63C6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2" w:type="pct"/>
                  <w:vMerge w:val="restart"/>
                  <w:vAlign w:val="center"/>
                </w:tcPr>
                <w:p w14:paraId="7212AE65">
                  <w:pPr>
                    <w:pStyle w:val="53"/>
                    <w:rPr>
                      <w:rFonts w:hint="default" w:ascii="Times New Roman" w:hAnsi="Times New Roman" w:cs="Times New Roman"/>
                      <w:color w:val="auto"/>
                    </w:rPr>
                  </w:pPr>
                  <w:r>
                    <w:rPr>
                      <w:rFonts w:hint="default" w:ascii="Times New Roman" w:hAnsi="Times New Roman" w:cs="Times New Roman"/>
                      <w:color w:val="auto"/>
                    </w:rPr>
                    <w:t>用水环节</w:t>
                  </w:r>
                </w:p>
              </w:tc>
              <w:tc>
                <w:tcPr>
                  <w:tcW w:w="1524" w:type="pct"/>
                  <w:gridSpan w:val="2"/>
                  <w:vAlign w:val="center"/>
                </w:tcPr>
                <w:p w14:paraId="572BE783">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用水量</w:t>
                  </w:r>
                </w:p>
              </w:tc>
              <w:tc>
                <w:tcPr>
                  <w:tcW w:w="1541" w:type="pct"/>
                  <w:gridSpan w:val="2"/>
                  <w:vAlign w:val="center"/>
                </w:tcPr>
                <w:p w14:paraId="4E843901">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废水量</w:t>
                  </w:r>
                </w:p>
              </w:tc>
              <w:tc>
                <w:tcPr>
                  <w:tcW w:w="1461" w:type="pct"/>
                  <w:vMerge w:val="restart"/>
                  <w:vAlign w:val="center"/>
                </w:tcPr>
                <w:p w14:paraId="2958BC95">
                  <w:pPr>
                    <w:pStyle w:val="53"/>
                    <w:rPr>
                      <w:rFonts w:hint="default" w:ascii="Times New Roman" w:hAnsi="Times New Roman" w:cs="Times New Roman"/>
                      <w:color w:val="auto"/>
                    </w:rPr>
                  </w:pPr>
                  <w:r>
                    <w:rPr>
                      <w:rFonts w:hint="default" w:ascii="Times New Roman" w:hAnsi="Times New Roman" w:cs="Times New Roman"/>
                      <w:color w:val="auto"/>
                    </w:rPr>
                    <w:t>排放去向</w:t>
                  </w:r>
                </w:p>
              </w:tc>
            </w:tr>
            <w:tr w14:paraId="356F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2" w:type="pct"/>
                  <w:vMerge w:val="continue"/>
                  <w:vAlign w:val="center"/>
                </w:tcPr>
                <w:p w14:paraId="74CF7DBE">
                  <w:pPr>
                    <w:pStyle w:val="53"/>
                    <w:rPr>
                      <w:rFonts w:hint="default" w:ascii="Times New Roman" w:hAnsi="Times New Roman" w:cs="Times New Roman"/>
                      <w:color w:val="auto"/>
                    </w:rPr>
                  </w:pPr>
                </w:p>
              </w:tc>
              <w:tc>
                <w:tcPr>
                  <w:tcW w:w="757" w:type="pct"/>
                  <w:vAlign w:val="center"/>
                </w:tcPr>
                <w:p w14:paraId="198D3FE0">
                  <w:pPr>
                    <w:pStyle w:val="53"/>
                    <w:rPr>
                      <w:rFonts w:hint="default" w:ascii="Times New Roman" w:hAnsi="Times New Roman" w:cs="Times New Roman"/>
                      <w:color w:val="auto"/>
                    </w:rPr>
                  </w:pPr>
                  <w:r>
                    <w:rPr>
                      <w:rFonts w:hint="default" w:ascii="Times New Roman" w:hAnsi="Times New Roman" w:cs="Times New Roman"/>
                      <w:color w:val="auto"/>
                    </w:rPr>
                    <w:t>用水量m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c>
                <w:tcPr>
                  <w:tcW w:w="767" w:type="pct"/>
                  <w:vAlign w:val="center"/>
                </w:tcPr>
                <w:p w14:paraId="7553BBAE">
                  <w:pPr>
                    <w:pStyle w:val="53"/>
                    <w:rPr>
                      <w:rFonts w:hint="eastAsia" w:ascii="Times New Roman" w:hAnsi="Times New Roman" w:eastAsia="宋体" w:cs="Times New Roman"/>
                      <w:color w:val="auto"/>
                      <w:lang w:val="en-US" w:eastAsia="zh-CN"/>
                    </w:rPr>
                  </w:pPr>
                  <w:r>
                    <w:rPr>
                      <w:rFonts w:hint="default" w:ascii="Times New Roman" w:hAnsi="Times New Roman" w:cs="Times New Roman"/>
                      <w:color w:val="auto"/>
                    </w:rPr>
                    <w:t>用水量m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ascii="Times New Roman" w:hAnsi="Times New Roman" w:cs="Times New Roman"/>
                      <w:color w:val="auto"/>
                      <w:lang w:val="en-US" w:eastAsia="zh-CN"/>
                    </w:rPr>
                    <w:t>a</w:t>
                  </w:r>
                </w:p>
              </w:tc>
              <w:tc>
                <w:tcPr>
                  <w:tcW w:w="773" w:type="pct"/>
                  <w:vAlign w:val="center"/>
                </w:tcPr>
                <w:p w14:paraId="37706A82">
                  <w:pPr>
                    <w:pStyle w:val="53"/>
                    <w:rPr>
                      <w:rFonts w:hint="default" w:ascii="Times New Roman" w:hAnsi="Times New Roman" w:cs="Times New Roman"/>
                      <w:color w:val="auto"/>
                    </w:rPr>
                  </w:pPr>
                  <w:r>
                    <w:rPr>
                      <w:rFonts w:hint="eastAsia" w:ascii="Times New Roman" w:hAnsi="Times New Roman" w:cs="Times New Roman"/>
                      <w:color w:val="auto"/>
                      <w:lang w:val="en-US" w:eastAsia="zh-CN"/>
                    </w:rPr>
                    <w:t>废水</w:t>
                  </w:r>
                  <w:r>
                    <w:rPr>
                      <w:rFonts w:hint="default" w:ascii="Times New Roman" w:hAnsi="Times New Roman" w:cs="Times New Roman"/>
                      <w:color w:val="auto"/>
                    </w:rPr>
                    <w:t>量m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c>
                <w:tcPr>
                  <w:tcW w:w="767" w:type="pct"/>
                  <w:vAlign w:val="center"/>
                </w:tcPr>
                <w:p w14:paraId="7A08ADC0">
                  <w:pPr>
                    <w:pStyle w:val="53"/>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废水</w:t>
                  </w:r>
                  <w:r>
                    <w:rPr>
                      <w:rFonts w:hint="default" w:ascii="Times New Roman" w:hAnsi="Times New Roman" w:cs="Times New Roman"/>
                      <w:color w:val="auto"/>
                    </w:rPr>
                    <w:t>量m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ascii="Times New Roman" w:hAnsi="Times New Roman" w:cs="Times New Roman"/>
                      <w:color w:val="auto"/>
                      <w:lang w:val="en-US" w:eastAsia="zh-CN"/>
                    </w:rPr>
                    <w:t>a</w:t>
                  </w:r>
                </w:p>
              </w:tc>
              <w:tc>
                <w:tcPr>
                  <w:tcW w:w="1461" w:type="pct"/>
                  <w:vMerge w:val="continue"/>
                  <w:vAlign w:val="center"/>
                </w:tcPr>
                <w:p w14:paraId="4E0FDCBA">
                  <w:pPr>
                    <w:pStyle w:val="53"/>
                    <w:rPr>
                      <w:rFonts w:hint="default" w:ascii="Times New Roman" w:hAnsi="Times New Roman" w:cs="Times New Roman"/>
                      <w:color w:val="auto"/>
                    </w:rPr>
                  </w:pPr>
                </w:p>
              </w:tc>
            </w:tr>
            <w:tr w14:paraId="1F1ED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 w:type="pct"/>
                  <w:vAlign w:val="center"/>
                </w:tcPr>
                <w:p w14:paraId="01D3728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办公</w:t>
                  </w:r>
                </w:p>
              </w:tc>
              <w:tc>
                <w:tcPr>
                  <w:tcW w:w="757" w:type="pct"/>
                  <w:vAlign w:val="center"/>
                </w:tcPr>
                <w:p w14:paraId="2C740C15">
                  <w:pPr>
                    <w:pStyle w:val="53"/>
                    <w:bidi w:val="0"/>
                    <w:rPr>
                      <w:rFonts w:hint="default" w:eastAsia="宋体"/>
                      <w:color w:val="auto"/>
                      <w:lang w:val="en-US" w:eastAsia="zh-CN"/>
                    </w:rPr>
                  </w:pPr>
                  <w:r>
                    <w:rPr>
                      <w:rFonts w:hint="eastAsia"/>
                      <w:color w:val="auto"/>
                      <w:lang w:val="en-US" w:eastAsia="zh-CN"/>
                    </w:rPr>
                    <w:t>0.12</w:t>
                  </w:r>
                </w:p>
              </w:tc>
              <w:tc>
                <w:tcPr>
                  <w:tcW w:w="767" w:type="pct"/>
                  <w:vAlign w:val="center"/>
                </w:tcPr>
                <w:p w14:paraId="4E26E55B">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36</w:t>
                  </w:r>
                </w:p>
              </w:tc>
              <w:tc>
                <w:tcPr>
                  <w:tcW w:w="773" w:type="pct"/>
                  <w:vAlign w:val="center"/>
                </w:tcPr>
                <w:p w14:paraId="58D7FE0A">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0.0996</w:t>
                  </w:r>
                </w:p>
              </w:tc>
              <w:tc>
                <w:tcPr>
                  <w:tcW w:w="767" w:type="pct"/>
                  <w:vAlign w:val="center"/>
                </w:tcPr>
                <w:p w14:paraId="55157A1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29.88</w:t>
                  </w:r>
                </w:p>
              </w:tc>
              <w:tc>
                <w:tcPr>
                  <w:tcW w:w="1461" w:type="pct"/>
                  <w:vAlign w:val="center"/>
                </w:tcPr>
                <w:p w14:paraId="1E37A9C2">
                  <w:pPr>
                    <w:pStyle w:val="53"/>
                    <w:bidi w:val="0"/>
                    <w:rPr>
                      <w:rFonts w:hint="default"/>
                      <w:color w:val="auto"/>
                      <w:lang w:val="en-US"/>
                    </w:rPr>
                  </w:pPr>
                  <w:r>
                    <w:rPr>
                      <w:rFonts w:hint="eastAsia"/>
                      <w:color w:val="auto"/>
                      <w:lang w:val="en-US" w:eastAsia="zh-CN"/>
                    </w:rPr>
                    <w:t>进入化粪池处理后委托周边农户定期清掏作农肥使用，不外排</w:t>
                  </w:r>
                </w:p>
              </w:tc>
            </w:tr>
            <w:tr w14:paraId="4C6C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2" w:type="pct"/>
                  <w:vAlign w:val="center"/>
                </w:tcPr>
                <w:p w14:paraId="1047B86F">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冷却</w:t>
                  </w:r>
                </w:p>
              </w:tc>
              <w:tc>
                <w:tcPr>
                  <w:tcW w:w="757" w:type="pct"/>
                  <w:vAlign w:val="center"/>
                </w:tcPr>
                <w:p w14:paraId="0F8A4798">
                  <w:pPr>
                    <w:pStyle w:val="53"/>
                    <w:rPr>
                      <w:rFonts w:hint="default" w:ascii="Times New Roman" w:hAnsi="Times New Roman" w:cs="Times New Roman" w:eastAsiaTheme="minorEastAsia"/>
                      <w:color w:val="auto"/>
                      <w:kern w:val="0"/>
                      <w:lang w:val="en-US" w:eastAsia="zh-CN"/>
                    </w:rPr>
                  </w:pPr>
                  <w:r>
                    <w:rPr>
                      <w:rFonts w:hint="eastAsia" w:cs="Times New Roman" w:eastAsiaTheme="minorEastAsia"/>
                      <w:color w:val="auto"/>
                      <w:kern w:val="0"/>
                      <w:lang w:val="en-US" w:eastAsia="zh-CN"/>
                    </w:rPr>
                    <w:t>10.8</w:t>
                  </w:r>
                </w:p>
              </w:tc>
              <w:tc>
                <w:tcPr>
                  <w:tcW w:w="767" w:type="pct"/>
                  <w:vAlign w:val="center"/>
                </w:tcPr>
                <w:p w14:paraId="31CB148C">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3564</w:t>
                  </w:r>
                </w:p>
              </w:tc>
              <w:tc>
                <w:tcPr>
                  <w:tcW w:w="773" w:type="pct"/>
                  <w:vAlign w:val="center"/>
                </w:tcPr>
                <w:p w14:paraId="2D3F97A3">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767" w:type="pct"/>
                  <w:vAlign w:val="center"/>
                </w:tcPr>
                <w:p w14:paraId="05335361">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461" w:type="pct"/>
                  <w:vAlign w:val="center"/>
                </w:tcPr>
                <w:p w14:paraId="13FBDFAD">
                  <w:pPr>
                    <w:pStyle w:val="53"/>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循环使用不外排</w:t>
                  </w:r>
                </w:p>
              </w:tc>
            </w:tr>
          </w:tbl>
          <w:p w14:paraId="5659CB85">
            <w:pPr>
              <w:pStyle w:val="51"/>
              <w:ind w:firstLine="0" w:firstLineChars="0"/>
              <w:jc w:val="center"/>
              <w:rPr>
                <w:rFonts w:hint="default" w:ascii="Times New Roman" w:hAnsi="Times New Roman" w:cs="Times New Roman"/>
                <w:color w:val="auto"/>
              </w:rPr>
            </w:pPr>
            <w:r>
              <w:rPr>
                <w:rFonts w:hint="default" w:ascii="Times New Roman" w:hAnsi="Times New Roman" w:cs="Times New Roman"/>
                <w:color w:val="auto"/>
              </w:rPr>
              <w:object>
                <v:shape id="_x0000_i1025" o:spt="75" type="#_x0000_t75" style="height:132pt;width:420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r>
              <w:rPr>
                <w:rFonts w:hint="default" w:ascii="Times New Roman" w:hAnsi="Times New Roman" w:cs="Times New Roman"/>
                <w:b/>
                <w:color w:val="auto"/>
                <w:sz w:val="21"/>
              </w:rPr>
              <w:t>图2-1     项目水平衡图    单位：m</w:t>
            </w:r>
            <w:r>
              <w:rPr>
                <w:rFonts w:hint="default" w:ascii="Times New Roman" w:hAnsi="Times New Roman" w:cs="Times New Roman"/>
                <w:b/>
                <w:color w:val="auto"/>
                <w:sz w:val="21"/>
                <w:vertAlign w:val="superscript"/>
              </w:rPr>
              <w:t>3</w:t>
            </w:r>
            <w:r>
              <w:rPr>
                <w:rFonts w:hint="default" w:ascii="Times New Roman" w:hAnsi="Times New Roman" w:cs="Times New Roman"/>
                <w:b/>
                <w:color w:val="auto"/>
                <w:sz w:val="21"/>
              </w:rPr>
              <w:t>/d</w:t>
            </w:r>
          </w:p>
          <w:p w14:paraId="1666E8F4">
            <w:pPr>
              <w:pStyle w:val="51"/>
              <w:ind w:firstLine="482"/>
              <w:rPr>
                <w:rFonts w:hint="default" w:ascii="Times New Roman" w:hAnsi="Times New Roman" w:cs="Times New Roman"/>
                <w:b/>
                <w:color w:val="auto"/>
              </w:rPr>
            </w:pPr>
            <w:r>
              <w:rPr>
                <w:rFonts w:hint="default" w:ascii="Times New Roman" w:hAnsi="Times New Roman" w:cs="Times New Roman"/>
                <w:b/>
                <w:color w:val="auto"/>
              </w:rPr>
              <w:t>9、劳动定员及工作制度</w:t>
            </w:r>
          </w:p>
          <w:p w14:paraId="087799EC">
            <w:pPr>
              <w:pStyle w:val="51"/>
              <w:ind w:firstLine="480"/>
              <w:rPr>
                <w:rFonts w:hint="default" w:ascii="Times New Roman" w:hAnsi="Times New Roman" w:cs="Times New Roman"/>
                <w:bCs/>
                <w:color w:val="auto"/>
              </w:rPr>
            </w:pPr>
            <w:r>
              <w:rPr>
                <w:rFonts w:hint="default" w:ascii="Times New Roman" w:hAnsi="Times New Roman" w:cs="Times New Roman"/>
                <w:bCs/>
                <w:color w:val="auto"/>
              </w:rPr>
              <w:t>劳动定员：根据项目的工作制度和设备运转需要，本项目</w:t>
            </w:r>
            <w:r>
              <w:rPr>
                <w:rFonts w:hint="eastAsia" w:cs="Times New Roman"/>
                <w:bCs/>
                <w:color w:val="auto"/>
                <w:lang w:val="en-US" w:eastAsia="zh-CN"/>
              </w:rPr>
              <w:t>设有</w:t>
            </w:r>
            <w:r>
              <w:rPr>
                <w:rFonts w:hint="default" w:ascii="Times New Roman" w:hAnsi="Times New Roman" w:cs="Times New Roman"/>
                <w:bCs/>
                <w:color w:val="auto"/>
              </w:rPr>
              <w:t>劳动定员</w:t>
            </w:r>
            <w:r>
              <w:rPr>
                <w:rFonts w:hint="eastAsia" w:cs="Times New Roman"/>
                <w:bCs/>
                <w:color w:val="auto"/>
                <w:lang w:val="en-US" w:eastAsia="zh-CN"/>
              </w:rPr>
              <w:t>6</w:t>
            </w:r>
            <w:r>
              <w:rPr>
                <w:rFonts w:hint="default" w:ascii="Times New Roman" w:hAnsi="Times New Roman" w:cs="Times New Roman"/>
                <w:bCs/>
                <w:color w:val="auto"/>
              </w:rPr>
              <w:t>人。</w:t>
            </w:r>
          </w:p>
          <w:p w14:paraId="2574233F">
            <w:pPr>
              <w:pStyle w:val="51"/>
              <w:ind w:firstLine="480"/>
              <w:rPr>
                <w:rFonts w:hint="default" w:ascii="Times New Roman" w:hAnsi="Times New Roman" w:cs="Times New Roman"/>
                <w:bCs/>
                <w:color w:val="auto"/>
              </w:rPr>
            </w:pPr>
            <w:r>
              <w:rPr>
                <w:rFonts w:hint="default" w:ascii="Times New Roman" w:hAnsi="Times New Roman" w:cs="Times New Roman"/>
                <w:bCs/>
                <w:color w:val="auto"/>
              </w:rPr>
              <w:t>工作制度：本项目年运行时间</w:t>
            </w:r>
            <w:r>
              <w:rPr>
                <w:rFonts w:hint="default" w:ascii="Times New Roman" w:hAnsi="Times New Roman" w:cs="Times New Roman"/>
                <w:bCs/>
                <w:color w:val="auto"/>
                <w:highlight w:val="none"/>
              </w:rPr>
              <w:t>3</w:t>
            </w:r>
            <w:r>
              <w:rPr>
                <w:rFonts w:hint="eastAsia" w:cs="Times New Roman"/>
                <w:bCs/>
                <w:color w:val="auto"/>
                <w:highlight w:val="none"/>
                <w:lang w:val="en-US" w:eastAsia="zh-CN"/>
              </w:rPr>
              <w:t>0</w:t>
            </w:r>
            <w:r>
              <w:rPr>
                <w:rFonts w:hint="default" w:ascii="Times New Roman" w:hAnsi="Times New Roman" w:cs="Times New Roman"/>
                <w:bCs/>
                <w:color w:val="auto"/>
                <w:highlight w:val="none"/>
              </w:rPr>
              <w:t>0天，每天</w:t>
            </w:r>
            <w:r>
              <w:rPr>
                <w:rFonts w:hint="eastAsia" w:cs="Times New Roman"/>
                <w:bCs/>
                <w:color w:val="auto"/>
                <w:highlight w:val="none"/>
                <w:lang w:val="en-US" w:eastAsia="zh-CN"/>
              </w:rPr>
              <w:t>2</w:t>
            </w:r>
            <w:r>
              <w:rPr>
                <w:rFonts w:hint="default" w:ascii="Times New Roman" w:hAnsi="Times New Roman" w:cs="Times New Roman"/>
                <w:bCs/>
                <w:color w:val="auto"/>
                <w:highlight w:val="none"/>
              </w:rPr>
              <w:t>班（</w:t>
            </w:r>
            <w:r>
              <w:rPr>
                <w:rFonts w:hint="eastAsia" w:cs="Times New Roman"/>
                <w:bCs/>
                <w:color w:val="auto"/>
                <w:highlight w:val="none"/>
                <w:lang w:val="en-US" w:eastAsia="zh-CN"/>
              </w:rPr>
              <w:t>16</w:t>
            </w:r>
            <w:r>
              <w:rPr>
                <w:rFonts w:hint="default" w:ascii="Times New Roman" w:hAnsi="Times New Roman" w:cs="Times New Roman"/>
                <w:bCs/>
                <w:color w:val="auto"/>
                <w:highlight w:val="none"/>
              </w:rPr>
              <w:t>小时），</w:t>
            </w:r>
            <w:r>
              <w:rPr>
                <w:rFonts w:hint="default" w:ascii="Times New Roman" w:hAnsi="Times New Roman" w:cs="Times New Roman"/>
                <w:bCs/>
                <w:color w:val="auto"/>
              </w:rPr>
              <w:t>每班8小时。</w:t>
            </w:r>
          </w:p>
          <w:p w14:paraId="6E00B78B">
            <w:pPr>
              <w:pStyle w:val="51"/>
              <w:ind w:firstLine="482"/>
              <w:rPr>
                <w:rFonts w:hint="default" w:ascii="Times New Roman" w:hAnsi="Times New Roman" w:cs="Times New Roman"/>
                <w:b/>
                <w:color w:val="auto"/>
              </w:rPr>
            </w:pPr>
            <w:r>
              <w:rPr>
                <w:rFonts w:hint="default" w:ascii="Times New Roman" w:hAnsi="Times New Roman" w:cs="Times New Roman"/>
                <w:b/>
                <w:color w:val="auto"/>
              </w:rPr>
              <w:t>10、项目平面布置</w:t>
            </w:r>
          </w:p>
          <w:p w14:paraId="34780E17">
            <w:pPr>
              <w:pStyle w:val="51"/>
              <w:ind w:firstLine="480"/>
              <w:rPr>
                <w:rFonts w:hint="default" w:ascii="Times New Roman" w:hAnsi="Times New Roman" w:cs="Times New Roman"/>
                <w:color w:val="auto"/>
              </w:rPr>
            </w:pPr>
            <w:r>
              <w:rPr>
                <w:rFonts w:cs="宋体"/>
                <w:color w:val="auto"/>
                <w:kern w:val="2"/>
                <w:lang w:val="en-US" w:eastAsia="zh-CN"/>
              </w:rPr>
              <w:t>本项目场地呈规则矩形，</w:t>
            </w:r>
            <w:r>
              <w:rPr>
                <w:rFonts w:hint="eastAsia" w:cs="宋体"/>
                <w:color w:val="auto"/>
                <w:kern w:val="2"/>
                <w:lang w:val="en-US" w:eastAsia="zh-CN"/>
              </w:rPr>
              <w:t>项目生产区布局功能明确；车间内设备按照生产工艺布置</w:t>
            </w:r>
            <w:r>
              <w:rPr>
                <w:rFonts w:cs="宋体"/>
                <w:color w:val="auto"/>
                <w:kern w:val="2"/>
                <w:lang w:val="en-US" w:eastAsia="zh-CN"/>
              </w:rPr>
              <w:t>，</w:t>
            </w:r>
            <w:r>
              <w:rPr>
                <w:rFonts w:hint="eastAsia" w:cs="宋体"/>
                <w:color w:val="auto"/>
                <w:kern w:val="2"/>
                <w:lang w:val="en-US" w:eastAsia="zh-CN"/>
              </w:rPr>
              <w:t>从北往南依次布置，</w:t>
            </w:r>
            <w:r>
              <w:rPr>
                <w:rFonts w:cs="宋体"/>
                <w:color w:val="auto"/>
                <w:kern w:val="2"/>
                <w:lang w:val="en-US" w:eastAsia="zh-CN"/>
              </w:rPr>
              <w:t>便于物料运输及生产</w:t>
            </w:r>
            <w:r>
              <w:rPr>
                <w:rFonts w:hint="eastAsia" w:cs="宋体"/>
                <w:color w:val="auto"/>
                <w:kern w:val="2"/>
                <w:lang w:val="en-US" w:eastAsia="zh-CN"/>
              </w:rPr>
              <w:t>，危险废物暂存间设置于厂区东侧。综上，项目平面布置合理；</w:t>
            </w:r>
            <w:r>
              <w:rPr>
                <w:rFonts w:hint="default" w:ascii="Times New Roman" w:hAnsi="Times New Roman" w:cs="Times New Roman"/>
                <w:color w:val="auto"/>
              </w:rPr>
              <w:t>平面布置见附图2。</w:t>
            </w:r>
          </w:p>
          <w:p w14:paraId="617B8811">
            <w:pPr>
              <w:pStyle w:val="51"/>
              <w:ind w:firstLine="482"/>
              <w:rPr>
                <w:rFonts w:hint="default" w:ascii="Times New Roman" w:hAnsi="Times New Roman" w:cs="Times New Roman"/>
                <w:b/>
                <w:color w:val="auto"/>
              </w:rPr>
            </w:pPr>
            <w:r>
              <w:rPr>
                <w:rFonts w:hint="default" w:ascii="Times New Roman" w:hAnsi="Times New Roman" w:cs="Times New Roman"/>
                <w:b/>
                <w:color w:val="auto"/>
              </w:rPr>
              <w:t>11、环保投资</w:t>
            </w:r>
          </w:p>
          <w:p w14:paraId="26342A48">
            <w:pPr>
              <w:pStyle w:val="51"/>
              <w:ind w:firstLine="480"/>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highlight w:val="none"/>
              </w:rPr>
              <w:t>总投资</w:t>
            </w:r>
            <w:r>
              <w:rPr>
                <w:rFonts w:hint="eastAsia" w:cs="Times New Roman"/>
                <w:color w:val="auto"/>
                <w:highlight w:val="none"/>
                <w:lang w:val="en-US" w:eastAsia="zh-CN"/>
              </w:rPr>
              <w:t>200</w:t>
            </w:r>
            <w:r>
              <w:rPr>
                <w:rFonts w:hint="default" w:ascii="Times New Roman" w:hAnsi="Times New Roman" w:cs="Times New Roman"/>
                <w:color w:val="auto"/>
                <w:highlight w:val="none"/>
              </w:rPr>
              <w:t>万元，其中环保投资为</w:t>
            </w:r>
            <w:r>
              <w:rPr>
                <w:rFonts w:hint="eastAsia" w:cs="Times New Roman"/>
                <w:color w:val="auto"/>
                <w:highlight w:val="none"/>
                <w:lang w:val="en-US" w:eastAsia="zh-CN"/>
              </w:rPr>
              <w:t>14.0万</w:t>
            </w:r>
            <w:r>
              <w:rPr>
                <w:rFonts w:hint="default" w:ascii="Times New Roman" w:hAnsi="Times New Roman" w:cs="Times New Roman"/>
                <w:color w:val="auto"/>
                <w:highlight w:val="none"/>
              </w:rPr>
              <w:t>元，环保投资占总投资的</w:t>
            </w:r>
            <w:r>
              <w:rPr>
                <w:rFonts w:hint="eastAsia" w:cs="Times New Roman"/>
                <w:color w:val="auto"/>
                <w:highlight w:val="none"/>
                <w:lang w:val="en-US" w:eastAsia="zh-CN"/>
              </w:rPr>
              <w:t>7.0</w:t>
            </w:r>
            <w:r>
              <w:rPr>
                <w:rFonts w:hint="default" w:ascii="Times New Roman" w:hAnsi="Times New Roman" w:cs="Times New Roman"/>
                <w:color w:val="auto"/>
                <w:highlight w:val="none"/>
              </w:rPr>
              <w:t>%，</w:t>
            </w:r>
            <w:r>
              <w:rPr>
                <w:rFonts w:hint="default" w:ascii="Times New Roman" w:hAnsi="Times New Roman" w:cs="Times New Roman"/>
                <w:color w:val="auto"/>
              </w:rPr>
              <w:t>环保投资见表2-</w:t>
            </w:r>
            <w:r>
              <w:rPr>
                <w:rFonts w:hint="eastAsia" w:cs="Times New Roman"/>
                <w:color w:val="auto"/>
                <w:lang w:val="en-US" w:eastAsia="zh-CN"/>
              </w:rPr>
              <w:t>8</w:t>
            </w:r>
            <w:r>
              <w:rPr>
                <w:rFonts w:hint="default" w:ascii="Times New Roman" w:hAnsi="Times New Roman" w:cs="Times New Roman"/>
                <w:color w:val="auto"/>
              </w:rPr>
              <w:t>。</w:t>
            </w:r>
          </w:p>
          <w:p w14:paraId="71C936B0">
            <w:pPr>
              <w:pStyle w:val="52"/>
              <w:rPr>
                <w:rFonts w:hint="default" w:ascii="Times New Roman" w:hAnsi="Times New Roman" w:cs="Times New Roman"/>
                <w:color w:val="auto"/>
              </w:rPr>
            </w:pPr>
            <w:r>
              <w:rPr>
                <w:rFonts w:hint="default" w:ascii="Times New Roman" w:hAnsi="Times New Roman" w:cs="Times New Roman"/>
                <w:color w:val="auto"/>
              </w:rPr>
              <w:t>表2-</w:t>
            </w:r>
            <w:r>
              <w:rPr>
                <w:rFonts w:hint="eastAsia" w:cs="Times New Roman"/>
                <w:color w:val="auto"/>
                <w:lang w:val="en-US" w:eastAsia="zh-CN"/>
              </w:rPr>
              <w:t>8</w:t>
            </w:r>
            <w:r>
              <w:rPr>
                <w:rFonts w:hint="default" w:ascii="Times New Roman" w:hAnsi="Times New Roman" w:cs="Times New Roman"/>
                <w:color w:val="auto"/>
              </w:rPr>
              <w:t xml:space="preserve">    环保投资一览表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652"/>
              <w:gridCol w:w="892"/>
              <w:gridCol w:w="5052"/>
              <w:gridCol w:w="1171"/>
            </w:tblGrid>
            <w:tr w14:paraId="5F94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2" w:type="pct"/>
                  <w:vAlign w:val="center"/>
                </w:tcPr>
                <w:p w14:paraId="2EC7C688">
                  <w:pPr>
                    <w:pStyle w:val="53"/>
                    <w:rPr>
                      <w:rFonts w:hint="default" w:ascii="Times New Roman" w:hAnsi="Times New Roman" w:cs="Times New Roman"/>
                      <w:color w:val="auto"/>
                    </w:rPr>
                  </w:pPr>
                  <w:r>
                    <w:rPr>
                      <w:rFonts w:hint="default" w:ascii="Times New Roman" w:hAnsi="Times New Roman" w:cs="Times New Roman"/>
                      <w:color w:val="auto"/>
                    </w:rPr>
                    <w:t>阶段</w:t>
                  </w:r>
                </w:p>
              </w:tc>
              <w:tc>
                <w:tcPr>
                  <w:tcW w:w="388" w:type="pct"/>
                  <w:vAlign w:val="center"/>
                </w:tcPr>
                <w:p w14:paraId="0BDBDD29">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530" w:type="pct"/>
                  <w:vAlign w:val="center"/>
                </w:tcPr>
                <w:p w14:paraId="6E0FAB88">
                  <w:pPr>
                    <w:pStyle w:val="53"/>
                    <w:rPr>
                      <w:rFonts w:hint="default" w:ascii="Times New Roman" w:hAnsi="Times New Roman" w:cs="Times New Roman"/>
                      <w:color w:val="auto"/>
                    </w:rPr>
                  </w:pPr>
                  <w:r>
                    <w:rPr>
                      <w:rFonts w:hint="default" w:ascii="Times New Roman" w:hAnsi="Times New Roman" w:cs="Times New Roman"/>
                      <w:color w:val="auto"/>
                    </w:rPr>
                    <w:t>环保项目</w:t>
                  </w:r>
                </w:p>
              </w:tc>
              <w:tc>
                <w:tcPr>
                  <w:tcW w:w="3002" w:type="pct"/>
                  <w:vAlign w:val="center"/>
                </w:tcPr>
                <w:p w14:paraId="002A0B7C">
                  <w:pPr>
                    <w:pStyle w:val="53"/>
                    <w:rPr>
                      <w:rFonts w:hint="default" w:ascii="Times New Roman" w:hAnsi="Times New Roman" w:cs="Times New Roman"/>
                      <w:color w:val="auto"/>
                    </w:rPr>
                  </w:pPr>
                  <w:r>
                    <w:rPr>
                      <w:rFonts w:hint="default" w:ascii="Times New Roman" w:hAnsi="Times New Roman" w:cs="Times New Roman"/>
                      <w:color w:val="auto"/>
                    </w:rPr>
                    <w:t>建设内容</w:t>
                  </w:r>
                </w:p>
              </w:tc>
              <w:tc>
                <w:tcPr>
                  <w:tcW w:w="696" w:type="pct"/>
                  <w:vAlign w:val="center"/>
                </w:tcPr>
                <w:p w14:paraId="3EE954A9">
                  <w:pPr>
                    <w:pStyle w:val="53"/>
                    <w:rPr>
                      <w:rFonts w:hint="default" w:ascii="Times New Roman" w:hAnsi="Times New Roman" w:cs="Times New Roman"/>
                      <w:color w:val="auto"/>
                    </w:rPr>
                  </w:pPr>
                  <w:r>
                    <w:rPr>
                      <w:rFonts w:hint="default" w:ascii="Times New Roman" w:hAnsi="Times New Roman" w:cs="Times New Roman"/>
                      <w:color w:val="auto"/>
                    </w:rPr>
                    <w:t>环保投资（万元）</w:t>
                  </w:r>
                </w:p>
              </w:tc>
            </w:tr>
            <w:tr w14:paraId="2B85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2" w:type="pct"/>
                  <w:vMerge w:val="restart"/>
                  <w:vAlign w:val="center"/>
                </w:tcPr>
                <w:p w14:paraId="173B0F3F">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运营期</w:t>
                  </w:r>
                </w:p>
              </w:tc>
              <w:tc>
                <w:tcPr>
                  <w:tcW w:w="388" w:type="pct"/>
                  <w:vAlign w:val="center"/>
                </w:tcPr>
                <w:p w14:paraId="5D4BF23D">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30" w:type="pct"/>
                  <w:vAlign w:val="center"/>
                </w:tcPr>
                <w:p w14:paraId="1CA294B0">
                  <w:pPr>
                    <w:pStyle w:val="53"/>
                    <w:rPr>
                      <w:rFonts w:hint="default" w:ascii="Times New Roman" w:hAnsi="Times New Roman" w:cs="Times New Roman"/>
                      <w:color w:val="auto"/>
                    </w:rPr>
                  </w:pPr>
                  <w:r>
                    <w:rPr>
                      <w:rFonts w:hint="default" w:ascii="Times New Roman" w:hAnsi="Times New Roman" w:cs="Times New Roman"/>
                      <w:color w:val="auto"/>
                    </w:rPr>
                    <w:t>废气</w:t>
                  </w:r>
                </w:p>
              </w:tc>
              <w:tc>
                <w:tcPr>
                  <w:tcW w:w="3002" w:type="pct"/>
                  <w:vAlign w:val="center"/>
                </w:tcPr>
                <w:p w14:paraId="265A2E2F">
                  <w:pPr>
                    <w:pStyle w:val="53"/>
                    <w:rPr>
                      <w:rFonts w:hint="default" w:ascii="Times New Roman" w:hAnsi="Times New Roman" w:cs="Times New Roman"/>
                      <w:color w:val="auto"/>
                    </w:rPr>
                  </w:pPr>
                  <w:r>
                    <w:rPr>
                      <w:rFonts w:hint="default" w:ascii="Times New Roman" w:hAnsi="Times New Roman" w:eastAsia="宋体"/>
                      <w:b w:val="0"/>
                      <w:bCs/>
                      <w:color w:val="auto"/>
                      <w:sz w:val="21"/>
                      <w:szCs w:val="21"/>
                      <w:highlight w:val="none"/>
                      <w:u w:val="none"/>
                      <w:vertAlign w:val="baseline"/>
                      <w:lang w:val="en-US" w:eastAsia="zh-CN"/>
                    </w:rPr>
                    <w:t>每台挤出机</w:t>
                  </w:r>
                  <w:r>
                    <w:rPr>
                      <w:rFonts w:hint="eastAsia" w:ascii="Times New Roman" w:hAnsi="Times New Roman" w:eastAsia="宋体"/>
                      <w:b w:val="0"/>
                      <w:bCs/>
                      <w:color w:val="auto"/>
                      <w:sz w:val="21"/>
                      <w:szCs w:val="21"/>
                      <w:highlight w:val="none"/>
                      <w:u w:val="none"/>
                      <w:vertAlign w:val="baseline"/>
                      <w:lang w:val="en-US" w:eastAsia="zh-CN"/>
                    </w:rPr>
                    <w:t>上方设置</w:t>
                  </w:r>
                  <w:r>
                    <w:rPr>
                      <w:rFonts w:hint="eastAsia"/>
                      <w:b w:val="0"/>
                      <w:bCs/>
                      <w:color w:val="auto"/>
                      <w:sz w:val="21"/>
                      <w:szCs w:val="21"/>
                      <w:highlight w:val="none"/>
                      <w:u w:val="none"/>
                      <w:vertAlign w:val="baseline"/>
                      <w:lang w:val="en-US" w:eastAsia="zh-CN"/>
                    </w:rPr>
                    <w:t>1个</w:t>
                  </w:r>
                  <w:r>
                    <w:rPr>
                      <w:rFonts w:hint="eastAsia" w:ascii="Times New Roman" w:hAnsi="Times New Roman" w:eastAsia="宋体"/>
                      <w:b w:val="0"/>
                      <w:bCs/>
                      <w:color w:val="auto"/>
                      <w:sz w:val="21"/>
                      <w:szCs w:val="21"/>
                      <w:highlight w:val="none"/>
                      <w:u w:val="none"/>
                      <w:vertAlign w:val="baseline"/>
                      <w:lang w:val="en-US" w:eastAsia="zh-CN"/>
                    </w:rPr>
                    <w:t>集气罩</w:t>
                  </w:r>
                  <w:r>
                    <w:rPr>
                      <w:rFonts w:hint="eastAsia"/>
                      <w:b w:val="0"/>
                      <w:bCs/>
                      <w:color w:val="auto"/>
                      <w:sz w:val="21"/>
                      <w:szCs w:val="21"/>
                      <w:highlight w:val="none"/>
                      <w:u w:val="none"/>
                      <w:vertAlign w:val="baseline"/>
                      <w:lang w:val="en-US" w:eastAsia="zh-CN"/>
                    </w:rPr>
                    <w:t>（</w:t>
                  </w:r>
                  <w:r>
                    <w:rPr>
                      <w:rStyle w:val="78"/>
                      <w:color w:val="auto"/>
                    </w:rPr>
                    <w:t>1、仅保留1个操作工作面；2、仅保留物料进出通道，通道敞开面小于1个操作</w:t>
                  </w:r>
                  <w:r>
                    <w:rPr>
                      <w:rStyle w:val="78"/>
                      <w:rFonts w:hint="eastAsia"/>
                      <w:color w:val="auto"/>
                      <w:lang w:eastAsia="zh-CN"/>
                    </w:rPr>
                    <w:t>工作面；</w:t>
                  </w:r>
                  <w:r>
                    <w:rPr>
                      <w:rStyle w:val="78"/>
                      <w:color w:val="auto"/>
                    </w:rPr>
                    <w:t>敞开面控制风速不小于0.5m/s</w:t>
                  </w:r>
                  <w:r>
                    <w:rPr>
                      <w:rStyle w:val="78"/>
                      <w:rFonts w:hint="eastAsia"/>
                      <w:color w:val="auto"/>
                      <w:lang w:eastAsia="zh-CN"/>
                    </w:rPr>
                    <w:t>；</w:t>
                  </w:r>
                  <w:r>
                    <w:rPr>
                      <w:rStyle w:val="78"/>
                      <w:rFonts w:hint="eastAsia"/>
                      <w:color w:val="auto"/>
                      <w:lang w:val="en-US" w:eastAsia="zh-CN"/>
                    </w:rPr>
                    <w:t>实际安装按照实际情况选取1或2中的一种设置</w:t>
                  </w:r>
                  <w:r>
                    <w:rPr>
                      <w:rFonts w:hint="eastAsia"/>
                      <w:b w:val="0"/>
                      <w:bCs/>
                      <w:color w:val="auto"/>
                      <w:sz w:val="21"/>
                      <w:szCs w:val="21"/>
                      <w:highlight w:val="none"/>
                      <w:u w:val="none"/>
                      <w:vertAlign w:val="baseline"/>
                      <w:lang w:val="en-US" w:eastAsia="zh-CN"/>
                    </w:rPr>
                    <w:t>）</w:t>
                  </w:r>
                  <w:r>
                    <w:rPr>
                      <w:rFonts w:hint="eastAsia" w:ascii="Times New Roman" w:hAnsi="Times New Roman" w:eastAsia="宋体"/>
                      <w:b w:val="0"/>
                      <w:bCs/>
                      <w:color w:val="auto"/>
                      <w:sz w:val="21"/>
                      <w:szCs w:val="21"/>
                      <w:highlight w:val="none"/>
                      <w:u w:val="none"/>
                      <w:vertAlign w:val="baseline"/>
                      <w:lang w:val="en-US" w:eastAsia="zh-CN"/>
                    </w:rPr>
                    <w:t>，经集气罩收集的废气进入</w:t>
                  </w:r>
                  <w:r>
                    <w:rPr>
                      <w:rFonts w:hint="eastAsia" w:cs="Times New Roman"/>
                      <w:color w:val="auto"/>
                      <w:highlight w:val="none"/>
                      <w:lang w:eastAsia="zh-CN"/>
                    </w:rPr>
                    <w:t>三级活性炭</w:t>
                  </w:r>
                  <w:r>
                    <w:rPr>
                      <w:rFonts w:hint="default" w:ascii="Times New Roman" w:hAnsi="Times New Roman" w:eastAsia="宋体" w:cs="Times New Roman"/>
                      <w:color w:val="auto"/>
                      <w:highlight w:val="none"/>
                    </w:rPr>
                    <w:t>吸附装置</w:t>
                  </w:r>
                  <w:r>
                    <w:rPr>
                      <w:rFonts w:hint="eastAsia" w:ascii="Times New Roman" w:hAnsi="Times New Roman" w:eastAsia="宋体" w:cs="Times New Roman"/>
                      <w:color w:val="auto"/>
                      <w:highlight w:val="none"/>
                      <w:lang w:val="en-US" w:eastAsia="zh-CN"/>
                    </w:rPr>
                    <w:t>处理后</w:t>
                  </w:r>
                  <w:r>
                    <w:rPr>
                      <w:rFonts w:hint="eastAsia" w:ascii="Times New Roman" w:hAnsi="Times New Roman" w:eastAsia="宋体"/>
                      <w:b w:val="0"/>
                      <w:bCs/>
                      <w:color w:val="auto"/>
                      <w:sz w:val="21"/>
                      <w:szCs w:val="21"/>
                      <w:highlight w:val="none"/>
                      <w:u w:val="none"/>
                      <w:vertAlign w:val="baseline"/>
                      <w:lang w:val="en-US" w:eastAsia="zh-CN"/>
                    </w:rPr>
                    <w:t>，由一根15m高排气筒排放</w:t>
                  </w:r>
                  <w:r>
                    <w:rPr>
                      <w:rFonts w:hint="eastAsia"/>
                      <w:b w:val="0"/>
                      <w:bCs/>
                      <w:color w:val="auto"/>
                      <w:sz w:val="21"/>
                      <w:szCs w:val="21"/>
                      <w:highlight w:val="none"/>
                      <w:u w:val="none"/>
                      <w:vertAlign w:val="baseline"/>
                      <w:lang w:val="en-US" w:eastAsia="zh-CN"/>
                    </w:rPr>
                    <w:t>；</w:t>
                  </w:r>
                  <w:r>
                    <w:rPr>
                      <w:rFonts w:hint="eastAsia"/>
                      <w:color w:val="auto"/>
                    </w:rPr>
                    <w:t>按照《排污口规范化整治技术要求</w:t>
                  </w:r>
                  <w:r>
                    <w:rPr>
                      <w:rFonts w:hint="eastAsia"/>
                      <w:color w:val="auto"/>
                      <w:lang w:eastAsia="zh-CN"/>
                    </w:rPr>
                    <w:t>》《</w:t>
                  </w:r>
                  <w:r>
                    <w:rPr>
                      <w:rFonts w:ascii="微软雅黑" w:hAnsi="微软雅黑" w:eastAsia="微软雅黑" w:cs="微软雅黑"/>
                      <w:i w:val="0"/>
                      <w:iCs w:val="0"/>
                      <w:caps w:val="0"/>
                      <w:color w:val="auto"/>
                      <w:spacing w:val="0"/>
                      <w:sz w:val="27"/>
                      <w:szCs w:val="27"/>
                      <w:shd w:val="clear" w:fill="FFFFFF"/>
                    </w:rPr>
                    <w:t> </w:t>
                  </w:r>
                  <w:r>
                    <w:rPr>
                      <w:rFonts w:hint="eastAsia" w:ascii="Times New Roman" w:hAnsi="Times New Roman" w:eastAsia="宋体" w:cs="宋体"/>
                      <w:color w:val="auto"/>
                      <w:u w:val="none"/>
                    </w:rPr>
                    <w:t>排污单位污染物排放口监测点位设置技术规范</w:t>
                  </w:r>
                  <w:r>
                    <w:rPr>
                      <w:rFonts w:hint="eastAsia"/>
                      <w:color w:val="auto"/>
                      <w:lang w:eastAsia="zh-CN"/>
                    </w:rPr>
                    <w:t>》</w:t>
                  </w:r>
                  <w:r>
                    <w:rPr>
                      <w:rFonts w:hint="eastAsia"/>
                      <w:color w:val="auto"/>
                    </w:rPr>
                    <w:t>规范设置采样口及采样平台</w:t>
                  </w:r>
                  <w:r>
                    <w:rPr>
                      <w:rFonts w:hint="eastAsia" w:ascii="Times New Roman" w:hAnsi="Times New Roman" w:eastAsia="宋体"/>
                      <w:b w:val="0"/>
                      <w:bCs/>
                      <w:color w:val="auto"/>
                      <w:sz w:val="21"/>
                      <w:szCs w:val="21"/>
                      <w:highlight w:val="none"/>
                      <w:u w:val="none"/>
                      <w:vertAlign w:val="baseline"/>
                      <w:lang w:val="en-US" w:eastAsia="zh-CN"/>
                    </w:rPr>
                    <w:t>。</w:t>
                  </w:r>
                </w:p>
              </w:tc>
              <w:tc>
                <w:tcPr>
                  <w:tcW w:w="696" w:type="pct"/>
                  <w:vAlign w:val="center"/>
                </w:tcPr>
                <w:p w14:paraId="66971A8E">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r>
            <w:tr w14:paraId="0AC2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2" w:type="pct"/>
                  <w:vMerge w:val="continue"/>
                  <w:vAlign w:val="center"/>
                </w:tcPr>
                <w:p w14:paraId="44D2DFF6">
                  <w:pPr>
                    <w:pStyle w:val="53"/>
                    <w:rPr>
                      <w:rFonts w:hint="eastAsia" w:cs="Times New Roman"/>
                      <w:color w:val="auto"/>
                      <w:lang w:val="en-US" w:eastAsia="zh-CN"/>
                    </w:rPr>
                  </w:pPr>
                </w:p>
              </w:tc>
              <w:tc>
                <w:tcPr>
                  <w:tcW w:w="388" w:type="pct"/>
                  <w:vAlign w:val="center"/>
                </w:tcPr>
                <w:p w14:paraId="22E13860">
                  <w:pPr>
                    <w:pStyle w:val="53"/>
                    <w:rPr>
                      <w:rFonts w:hint="default" w:cs="Times New Roman"/>
                      <w:color w:val="auto"/>
                      <w:lang w:val="en-US" w:eastAsia="zh-CN"/>
                    </w:rPr>
                  </w:pPr>
                  <w:r>
                    <w:rPr>
                      <w:rFonts w:hint="eastAsia" w:cs="Times New Roman"/>
                      <w:color w:val="auto"/>
                      <w:lang w:val="en-US" w:eastAsia="zh-CN"/>
                    </w:rPr>
                    <w:t>2</w:t>
                  </w:r>
                </w:p>
              </w:tc>
              <w:tc>
                <w:tcPr>
                  <w:tcW w:w="530" w:type="pct"/>
                  <w:vAlign w:val="center"/>
                </w:tcPr>
                <w:p w14:paraId="56A8DF7B">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废水</w:t>
                  </w:r>
                </w:p>
              </w:tc>
              <w:tc>
                <w:tcPr>
                  <w:tcW w:w="3002" w:type="pct"/>
                  <w:vAlign w:val="center"/>
                </w:tcPr>
                <w:p w14:paraId="4AA666F8">
                  <w:pPr>
                    <w:pStyle w:val="53"/>
                    <w:rPr>
                      <w:rFonts w:hint="default" w:ascii="Times New Roman" w:hAnsi="Times New Roman" w:eastAsia="宋体"/>
                      <w:b w:val="0"/>
                      <w:bCs/>
                      <w:color w:val="auto"/>
                      <w:sz w:val="21"/>
                      <w:szCs w:val="21"/>
                      <w:highlight w:val="none"/>
                      <w:u w:val="none"/>
                      <w:vertAlign w:val="baseline"/>
                      <w:lang w:val="en-US" w:eastAsia="zh-CN"/>
                    </w:rPr>
                  </w:pPr>
                  <w:r>
                    <w:rPr>
                      <w:rFonts w:hint="eastAsia"/>
                      <w:b w:val="0"/>
                      <w:bCs/>
                      <w:color w:val="auto"/>
                      <w:sz w:val="21"/>
                      <w:szCs w:val="21"/>
                      <w:highlight w:val="none"/>
                      <w:u w:val="none"/>
                      <w:vertAlign w:val="baseline"/>
                      <w:lang w:val="en-US" w:eastAsia="zh-CN"/>
                    </w:rPr>
                    <w:t>冷却塔循环水收集箱</w:t>
                  </w:r>
                  <w:r>
                    <w:rPr>
                      <w:rFonts w:hint="eastAsia" w:ascii="Times New Roman" w:hAnsi="Times New Roman" w:eastAsia="宋体" w:cs="Times New Roman"/>
                      <w:color w:val="auto"/>
                      <w:szCs w:val="24"/>
                      <w:lang w:val="en-US" w:eastAsia="zh-CN"/>
                    </w:rPr>
                    <w:t>5m</w:t>
                  </w:r>
                  <w:r>
                    <w:rPr>
                      <w:rFonts w:hint="eastAsia" w:ascii="Times New Roman" w:hAnsi="Times New Roman" w:eastAsia="宋体" w:cs="Times New Roman"/>
                      <w:color w:val="auto"/>
                      <w:szCs w:val="24"/>
                      <w:vertAlign w:val="superscript"/>
                      <w:lang w:val="en-US" w:eastAsia="zh-CN"/>
                    </w:rPr>
                    <w:t>2</w:t>
                  </w:r>
                </w:p>
              </w:tc>
              <w:tc>
                <w:tcPr>
                  <w:tcW w:w="696" w:type="pct"/>
                  <w:vAlign w:val="center"/>
                </w:tcPr>
                <w:p w14:paraId="488E38D5">
                  <w:pPr>
                    <w:pStyle w:val="53"/>
                    <w:rPr>
                      <w:rFonts w:hint="default" w:cs="Times New Roman"/>
                      <w:color w:val="auto"/>
                      <w:lang w:val="en-US" w:eastAsia="zh-CN"/>
                    </w:rPr>
                  </w:pPr>
                  <w:r>
                    <w:rPr>
                      <w:rFonts w:hint="eastAsia" w:cs="Times New Roman"/>
                      <w:color w:val="auto"/>
                      <w:lang w:val="en-US" w:eastAsia="zh-CN"/>
                    </w:rPr>
                    <w:t>1.0</w:t>
                  </w:r>
                </w:p>
              </w:tc>
            </w:tr>
            <w:tr w14:paraId="353A2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82" w:type="pct"/>
                  <w:vMerge w:val="continue"/>
                  <w:vAlign w:val="center"/>
                </w:tcPr>
                <w:p w14:paraId="18176DBE">
                  <w:pPr>
                    <w:pStyle w:val="53"/>
                    <w:rPr>
                      <w:rFonts w:hint="default" w:ascii="Times New Roman" w:hAnsi="Times New Roman" w:cs="Times New Roman"/>
                      <w:color w:val="auto"/>
                    </w:rPr>
                  </w:pPr>
                </w:p>
              </w:tc>
              <w:tc>
                <w:tcPr>
                  <w:tcW w:w="388" w:type="pct"/>
                  <w:vAlign w:val="center"/>
                </w:tcPr>
                <w:p w14:paraId="4F7CCEA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3</w:t>
                  </w:r>
                </w:p>
              </w:tc>
              <w:tc>
                <w:tcPr>
                  <w:tcW w:w="530" w:type="pct"/>
                  <w:vAlign w:val="center"/>
                </w:tcPr>
                <w:p w14:paraId="5005F491">
                  <w:pPr>
                    <w:pStyle w:val="53"/>
                    <w:rPr>
                      <w:rFonts w:hint="default" w:ascii="Times New Roman" w:hAnsi="Times New Roman" w:cs="Times New Roman"/>
                      <w:color w:val="auto"/>
                    </w:rPr>
                  </w:pPr>
                  <w:r>
                    <w:rPr>
                      <w:rFonts w:hint="default" w:ascii="Times New Roman" w:hAnsi="Times New Roman" w:cs="Times New Roman"/>
                      <w:color w:val="auto"/>
                    </w:rPr>
                    <w:t>固废</w:t>
                  </w:r>
                </w:p>
              </w:tc>
              <w:tc>
                <w:tcPr>
                  <w:tcW w:w="3002" w:type="pct"/>
                  <w:vAlign w:val="center"/>
                </w:tcPr>
                <w:p w14:paraId="3C3B933E">
                  <w:pPr>
                    <w:pStyle w:val="53"/>
                    <w:rPr>
                      <w:rFonts w:hint="default" w:ascii="Times New Roman" w:hAnsi="Times New Roman" w:cs="Times New Roman"/>
                      <w:color w:val="auto"/>
                    </w:rPr>
                  </w:pPr>
                  <w:r>
                    <w:rPr>
                      <w:rFonts w:hint="default"/>
                      <w:color w:val="auto"/>
                      <w:lang w:val="en-US" w:eastAsia="zh-CN"/>
                    </w:rPr>
                    <w:t>用专用容器收集，暂存危废暂存间</w:t>
                  </w:r>
                  <w:r>
                    <w:rPr>
                      <w:rFonts w:hint="eastAsia"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lang w:val="en-US" w:eastAsia="zh-CN"/>
                    </w:rPr>
                    <w:t>5m</w:t>
                  </w:r>
                  <w:r>
                    <w:rPr>
                      <w:rFonts w:hint="eastAsia" w:ascii="Times New Roman" w:hAnsi="Times New Roman" w:eastAsia="宋体" w:cs="Times New Roman"/>
                      <w:color w:val="auto"/>
                      <w:szCs w:val="24"/>
                      <w:vertAlign w:val="superscript"/>
                      <w:lang w:val="en-US" w:eastAsia="zh-CN"/>
                    </w:rPr>
                    <w:t>2</w:t>
                  </w:r>
                  <w:r>
                    <w:rPr>
                      <w:rFonts w:hint="eastAsia" w:ascii="Times New Roman" w:hAnsi="Times New Roman" w:eastAsia="宋体" w:cs="Times New Roman"/>
                      <w:color w:val="auto"/>
                      <w:szCs w:val="24"/>
                      <w:lang w:eastAsia="zh-CN"/>
                    </w:rPr>
                    <w:t>）</w:t>
                  </w:r>
                  <w:r>
                    <w:rPr>
                      <w:rFonts w:hint="default"/>
                      <w:color w:val="auto"/>
                      <w:lang w:val="en-US" w:eastAsia="zh-CN"/>
                    </w:rPr>
                    <w:t>，</w:t>
                  </w:r>
                  <w:r>
                    <w:rPr>
                      <w:rFonts w:hint="default"/>
                      <w:color w:val="auto"/>
                      <w:lang w:val="zh-CN" w:eastAsia="zh-CN"/>
                    </w:rPr>
                    <w:t>委托有资质的单位定期清运处置</w:t>
                  </w:r>
                  <w:r>
                    <w:rPr>
                      <w:rFonts w:hint="eastAsia"/>
                      <w:color w:val="auto"/>
                      <w:lang w:val="zh-CN" w:eastAsia="zh-CN"/>
                    </w:rPr>
                    <w:t>；</w:t>
                  </w:r>
                  <w:r>
                    <w:rPr>
                      <w:rFonts w:hint="default" w:ascii="Times New Roman" w:hAnsi="Times New Roman" w:eastAsia="宋体" w:cs="Times New Roman"/>
                      <w:b w:val="0"/>
                      <w:bCs w:val="0"/>
                      <w:color w:val="auto"/>
                      <w:lang w:eastAsia="zh-CN"/>
                    </w:rPr>
                    <w:t>危废暂存间严格按照《危险废物贮存污染控制标准》（GB18597-2023）要求进行建设</w:t>
                  </w:r>
                  <w:r>
                    <w:rPr>
                      <w:rFonts w:hint="eastAsia" w:ascii="Times New Roman" w:hAnsi="Times New Roman" w:eastAsia="宋体" w:cs="Times New Roman"/>
                      <w:b w:val="0"/>
                      <w:bCs w:val="0"/>
                      <w:color w:val="auto"/>
                      <w:lang w:eastAsia="zh-CN"/>
                    </w:rPr>
                    <w:t>。</w:t>
                  </w:r>
                </w:p>
              </w:tc>
              <w:tc>
                <w:tcPr>
                  <w:tcW w:w="696" w:type="pct"/>
                  <w:vAlign w:val="center"/>
                </w:tcPr>
                <w:p w14:paraId="26F01674">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2.0</w:t>
                  </w:r>
                </w:p>
              </w:tc>
            </w:tr>
            <w:tr w14:paraId="2B77F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382" w:type="pct"/>
                  <w:vMerge w:val="continue"/>
                  <w:vAlign w:val="center"/>
                </w:tcPr>
                <w:p w14:paraId="4ECD7D69">
                  <w:pPr>
                    <w:pStyle w:val="53"/>
                    <w:rPr>
                      <w:rFonts w:hint="default" w:ascii="Times New Roman" w:hAnsi="Times New Roman" w:cs="Times New Roman"/>
                      <w:color w:val="auto"/>
                    </w:rPr>
                  </w:pPr>
                </w:p>
              </w:tc>
              <w:tc>
                <w:tcPr>
                  <w:tcW w:w="388" w:type="pct"/>
                  <w:vAlign w:val="center"/>
                </w:tcPr>
                <w:p w14:paraId="7B5735C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4</w:t>
                  </w:r>
                </w:p>
              </w:tc>
              <w:tc>
                <w:tcPr>
                  <w:tcW w:w="530" w:type="pct"/>
                  <w:vAlign w:val="center"/>
                </w:tcPr>
                <w:p w14:paraId="678A117E">
                  <w:pPr>
                    <w:pStyle w:val="53"/>
                    <w:rPr>
                      <w:rFonts w:hint="default" w:ascii="Times New Roman" w:hAnsi="Times New Roman" w:cs="Times New Roman"/>
                      <w:color w:val="auto"/>
                    </w:rPr>
                  </w:pPr>
                  <w:r>
                    <w:rPr>
                      <w:rFonts w:hint="default" w:ascii="Times New Roman" w:hAnsi="Times New Roman" w:cs="Times New Roman"/>
                      <w:color w:val="auto"/>
                    </w:rPr>
                    <w:t>噪声</w:t>
                  </w:r>
                </w:p>
              </w:tc>
              <w:tc>
                <w:tcPr>
                  <w:tcW w:w="3002" w:type="pct"/>
                  <w:vAlign w:val="center"/>
                </w:tcPr>
                <w:p w14:paraId="2102F964">
                  <w:pPr>
                    <w:pStyle w:val="53"/>
                    <w:rPr>
                      <w:rFonts w:hint="default" w:ascii="Times New Roman" w:hAnsi="Times New Roman" w:cs="Times New Roman"/>
                      <w:color w:val="auto"/>
                      <w:lang w:val="en-US"/>
                    </w:rPr>
                  </w:pPr>
                  <w:r>
                    <w:rPr>
                      <w:rFonts w:ascii="Times New Roman" w:hAnsi="Times New Roman"/>
                      <w:color w:val="auto"/>
                      <w:sz w:val="21"/>
                      <w:szCs w:val="21"/>
                      <w:highlight w:val="none"/>
                    </w:rPr>
                    <w:t>基础减振</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隔声、消声等措施</w:t>
                  </w:r>
                </w:p>
              </w:tc>
              <w:tc>
                <w:tcPr>
                  <w:tcW w:w="696" w:type="pct"/>
                  <w:vAlign w:val="center"/>
                </w:tcPr>
                <w:p w14:paraId="37CDD250">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w:t>
                  </w:r>
                </w:p>
              </w:tc>
            </w:tr>
            <w:tr w14:paraId="18AC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03" w:type="pct"/>
                  <w:gridSpan w:val="4"/>
                  <w:vAlign w:val="center"/>
                </w:tcPr>
                <w:p w14:paraId="2B9DE532">
                  <w:pPr>
                    <w:pStyle w:val="53"/>
                    <w:rPr>
                      <w:rFonts w:hint="default" w:ascii="Times New Roman" w:hAnsi="Times New Roman" w:cs="Times New Roman"/>
                      <w:color w:val="auto"/>
                    </w:rPr>
                  </w:pPr>
                  <w:r>
                    <w:rPr>
                      <w:rFonts w:hint="default" w:ascii="Times New Roman" w:hAnsi="Times New Roman" w:cs="Times New Roman"/>
                      <w:color w:val="auto"/>
                    </w:rPr>
                    <w:t>总计</w:t>
                  </w:r>
                </w:p>
              </w:tc>
              <w:tc>
                <w:tcPr>
                  <w:tcW w:w="696" w:type="pct"/>
                  <w:vAlign w:val="center"/>
                </w:tcPr>
                <w:p w14:paraId="0BBB4908">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14.0</w:t>
                  </w:r>
                </w:p>
              </w:tc>
            </w:tr>
          </w:tbl>
          <w:p w14:paraId="0BC3C699">
            <w:pPr>
              <w:pStyle w:val="51"/>
              <w:ind w:left="0" w:leftChars="0" w:firstLine="0" w:firstLineChars="0"/>
              <w:rPr>
                <w:rFonts w:hint="default" w:ascii="Times New Roman" w:hAnsi="Times New Roman" w:cs="Times New Roman"/>
                <w:color w:val="auto"/>
              </w:rPr>
            </w:pPr>
          </w:p>
        </w:tc>
      </w:tr>
      <w:tr w14:paraId="60611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23" w:type="dxa"/>
            <w:vAlign w:val="center"/>
          </w:tcPr>
          <w:p w14:paraId="39FBD8BC">
            <w:pPr>
              <w:pStyle w:val="1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工艺流程和产排污环节</w:t>
            </w:r>
          </w:p>
        </w:tc>
        <w:tc>
          <w:tcPr>
            <w:tcW w:w="8161" w:type="dxa"/>
          </w:tcPr>
          <w:p w14:paraId="1AC0185F">
            <w:pPr>
              <w:spacing w:line="360" w:lineRule="auto"/>
              <w:ind w:firstLine="482" w:firstLineChars="20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1、项目施工期工艺流程</w:t>
            </w:r>
          </w:p>
          <w:p w14:paraId="04F0AC30">
            <w:pPr>
              <w:pStyle w:val="51"/>
              <w:ind w:firstLine="480"/>
              <w:rPr>
                <w:rFonts w:cs="宋体"/>
                <w:color w:val="auto"/>
                <w:kern w:val="2"/>
                <w:lang w:val="en-US" w:eastAsia="zh-CN"/>
              </w:rPr>
            </w:pPr>
            <w:r>
              <w:rPr>
                <w:rFonts w:cs="宋体"/>
                <w:color w:val="auto"/>
                <w:kern w:val="2"/>
                <w:lang w:val="en-US" w:eastAsia="zh-CN"/>
              </w:rPr>
              <w:t>本项目属于</w:t>
            </w:r>
            <w:r>
              <w:rPr>
                <w:rFonts w:hint="eastAsia" w:cs="宋体"/>
                <w:color w:val="auto"/>
                <w:kern w:val="2"/>
                <w:lang w:val="en-US" w:eastAsia="zh-CN"/>
              </w:rPr>
              <w:t>扩建</w:t>
            </w:r>
            <w:r>
              <w:rPr>
                <w:rFonts w:cs="宋体"/>
                <w:color w:val="auto"/>
                <w:kern w:val="2"/>
                <w:lang w:val="en-US" w:eastAsia="zh-CN"/>
              </w:rPr>
              <w:t>项目，</w:t>
            </w:r>
            <w:r>
              <w:rPr>
                <w:rFonts w:hint="eastAsia" w:cs="宋体"/>
                <w:color w:val="auto"/>
                <w:kern w:val="2"/>
                <w:lang w:val="en-US" w:eastAsia="zh-CN"/>
              </w:rPr>
              <w:t>在已建厂房内进行建设</w:t>
            </w:r>
            <w:r>
              <w:rPr>
                <w:rFonts w:cs="宋体"/>
                <w:color w:val="auto"/>
                <w:kern w:val="2"/>
                <w:lang w:val="en-US" w:eastAsia="zh-CN"/>
              </w:rPr>
              <w:t>，施工期主要</w:t>
            </w:r>
            <w:r>
              <w:rPr>
                <w:rFonts w:hint="eastAsia" w:cs="宋体"/>
                <w:color w:val="auto"/>
                <w:kern w:val="2"/>
                <w:lang w:val="en-US" w:eastAsia="zh-CN"/>
              </w:rPr>
              <w:t>进行车间设备安装</w:t>
            </w:r>
            <w:r>
              <w:rPr>
                <w:rFonts w:cs="宋体"/>
                <w:color w:val="auto"/>
                <w:kern w:val="2"/>
                <w:lang w:val="en-US" w:eastAsia="zh-CN"/>
              </w:rPr>
              <w:t>，在施工阶段伴随有少量废气、固废、废水及噪声产生，项目施工流程如下图所示：</w:t>
            </w:r>
          </w:p>
          <w:p w14:paraId="43ACA1CD">
            <w:pPr>
              <w:jc w:val="center"/>
              <w:rPr>
                <w:color w:val="auto"/>
              </w:rPr>
            </w:pPr>
            <w:r>
              <w:rPr>
                <w:color w:val="auto"/>
              </w:rPr>
              <w:object>
                <v:shape id="_x0000_i1026" o:spt="75" type="#_x0000_t75" style="height:91.5pt;width:209.25pt;" o:ole="t" filled="f" o:preferrelative="t" stroked="f" coordsize="21600,21600">
                  <v:path/>
                  <v:fill on="f" focussize="0,0"/>
                  <v:stroke on="f"/>
                  <v:imagedata r:id="rId11" o:title=""/>
                  <o:lock v:ext="edit" aspectratio="f"/>
                  <w10:wrap type="none"/>
                  <w10:anchorlock/>
                </v:shape>
                <o:OLEObject Type="Embed" ProgID="Visio.Drawing.11" ShapeID="_x0000_i1026" DrawAspect="Content" ObjectID="_1468075726" r:id="rId10">
                  <o:LockedField>false</o:LockedField>
                </o:OLEObject>
              </w:object>
            </w:r>
          </w:p>
          <w:p w14:paraId="7A0FFEC7">
            <w:pPr>
              <w:pStyle w:val="52"/>
              <w:bidi w:val="0"/>
              <w:rPr>
                <w:rFonts w:hint="eastAsia"/>
                <w:color w:val="auto"/>
                <w:lang w:val="en-US" w:eastAsia="zh-CN"/>
              </w:rPr>
            </w:pPr>
            <w:r>
              <w:rPr>
                <w:color w:val="auto"/>
                <w:lang w:val="en-US" w:eastAsia="zh-CN"/>
              </w:rPr>
              <w:t>图2-</w:t>
            </w:r>
            <w:r>
              <w:rPr>
                <w:rFonts w:hint="eastAsia"/>
                <w:color w:val="auto"/>
                <w:lang w:val="en-US" w:eastAsia="zh-CN"/>
              </w:rPr>
              <w:t>2</w:t>
            </w:r>
            <w:r>
              <w:rPr>
                <w:color w:val="auto"/>
                <w:lang w:val="en-US" w:eastAsia="zh-CN"/>
              </w:rPr>
              <w:t xml:space="preserve">    项目施工期工艺流程图</w:t>
            </w:r>
          </w:p>
          <w:p w14:paraId="64613F98">
            <w:pPr>
              <w:pStyle w:val="51"/>
              <w:bidi w:val="0"/>
              <w:rPr>
                <w:rFonts w:hint="eastAsia"/>
                <w:color w:val="auto"/>
                <w:lang w:val="en-US" w:eastAsia="zh-CN"/>
              </w:rPr>
            </w:pPr>
            <w:r>
              <w:rPr>
                <w:rFonts w:hint="eastAsia"/>
                <w:color w:val="auto"/>
                <w:lang w:val="en-US" w:eastAsia="zh-CN"/>
              </w:rPr>
              <w:t>项目计划建设期为3个月，预计于2025年5月开工建设，2025年8月底竣工，2025年9月运营，项目高峰施工人员为10人，不在项目区食宿。</w:t>
            </w:r>
          </w:p>
          <w:p w14:paraId="6F006ABB">
            <w:pPr>
              <w:pStyle w:val="51"/>
              <w:ind w:firstLine="480"/>
              <w:rPr>
                <w:rFonts w:cs="宋体"/>
                <w:color w:val="auto"/>
                <w:kern w:val="2"/>
                <w:lang w:val="en-US" w:eastAsia="zh-CN"/>
              </w:rPr>
            </w:pPr>
            <w:r>
              <w:rPr>
                <w:rFonts w:cs="宋体"/>
                <w:color w:val="auto"/>
                <w:kern w:val="2"/>
                <w:lang w:val="en-US" w:eastAsia="zh-CN"/>
              </w:rPr>
              <w:t>设备安装：在</w:t>
            </w:r>
            <w:r>
              <w:rPr>
                <w:rFonts w:hint="eastAsia" w:cs="宋体"/>
                <w:color w:val="auto"/>
                <w:kern w:val="2"/>
                <w:lang w:val="en-US" w:eastAsia="zh-CN"/>
              </w:rPr>
              <w:t>设备安装</w:t>
            </w:r>
            <w:r>
              <w:rPr>
                <w:rFonts w:cs="宋体"/>
                <w:color w:val="auto"/>
                <w:kern w:val="2"/>
                <w:lang w:val="en-US" w:eastAsia="zh-CN"/>
              </w:rPr>
              <w:t>阶段产生的污染物主要有少量的扬尘、噪声</w:t>
            </w:r>
            <w:r>
              <w:rPr>
                <w:rFonts w:hint="eastAsia" w:cs="宋体"/>
                <w:color w:val="auto"/>
                <w:kern w:val="2"/>
                <w:lang w:val="en-US" w:eastAsia="zh-CN"/>
              </w:rPr>
              <w:t>、固废</w:t>
            </w:r>
            <w:r>
              <w:rPr>
                <w:rFonts w:cs="宋体"/>
                <w:color w:val="auto"/>
                <w:kern w:val="2"/>
                <w:lang w:val="en-US" w:eastAsia="zh-CN"/>
              </w:rPr>
              <w:t>及少量的施工废水。</w:t>
            </w:r>
          </w:p>
          <w:p w14:paraId="6AA981D1">
            <w:pPr>
              <w:pStyle w:val="51"/>
              <w:ind w:firstLine="482"/>
              <w:rPr>
                <w:rFonts w:hint="default" w:cs="宋体"/>
                <w:b/>
                <w:bCs/>
                <w:color w:val="auto"/>
                <w:kern w:val="2"/>
                <w:lang w:val="en-US" w:eastAsia="zh-CN"/>
              </w:rPr>
            </w:pPr>
            <w:r>
              <w:rPr>
                <w:rFonts w:hint="eastAsia" w:cs="宋体"/>
                <w:color w:val="auto"/>
                <w:kern w:val="2"/>
                <w:lang w:val="en-US" w:eastAsia="zh-CN"/>
              </w:rPr>
              <w:t>2、</w:t>
            </w:r>
            <w:r>
              <w:rPr>
                <w:rFonts w:hint="eastAsia" w:cs="宋体"/>
                <w:b/>
                <w:bCs/>
                <w:color w:val="auto"/>
                <w:kern w:val="2"/>
                <w:lang w:val="en-US" w:eastAsia="zh-CN"/>
              </w:rPr>
              <w:t>运营期工艺流程及产排污节点</w:t>
            </w:r>
          </w:p>
          <w:p w14:paraId="0671B75E">
            <w:pPr>
              <w:pStyle w:val="51"/>
              <w:ind w:firstLine="480"/>
              <w:rPr>
                <w:rFonts w:cs="宋体"/>
                <w:color w:val="auto"/>
                <w:kern w:val="2"/>
                <w:lang w:val="en-US" w:eastAsia="zh-CN"/>
              </w:rPr>
            </w:pPr>
            <w:r>
              <w:rPr>
                <w:rFonts w:hint="eastAsia" w:cs="宋体"/>
                <w:color w:val="auto"/>
                <w:kern w:val="2"/>
                <w:lang w:val="en-US" w:eastAsia="zh-CN"/>
              </w:rPr>
              <w:t>项目为塑料颗粒生产项目，年产10000吨塑料颗粒，生产工艺流程及产排污节点如下：</w:t>
            </w:r>
          </w:p>
          <w:p w14:paraId="2A30FDC8">
            <w:pPr>
              <w:pStyle w:val="51"/>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object>
                <v:shape id="_x0000_i1027" o:spt="75" type="#_x0000_t75" style="height:333.55pt;width:422.3pt;" o:ole="t" filled="f" o:preferrelative="t" stroked="f" coordsize="21600,21600">
                  <v:path/>
                  <v:fill on="f" focussize="0,0"/>
                  <v:stroke on="f"/>
                  <v:imagedata r:id="rId13" o:title=""/>
                  <o:lock v:ext="edit" aspectratio="f"/>
                  <w10:wrap type="none"/>
                  <w10:anchorlock/>
                </v:shape>
                <o:OLEObject Type="Embed" ProgID="Visio.Drawing.11" ShapeID="_x0000_i1027" DrawAspect="Content" ObjectID="_1468075727" r:id="rId12">
                  <o:LockedField>false</o:LockedField>
                </o:OLEObject>
              </w:object>
            </w:r>
            <w:r>
              <w:rPr>
                <w:rFonts w:hint="default" w:ascii="Times New Roman" w:hAnsi="Times New Roman" w:cs="Times New Roman"/>
                <w:b/>
                <w:color w:val="auto"/>
                <w:sz w:val="21"/>
              </w:rPr>
              <w:t>图2-</w:t>
            </w:r>
            <w:r>
              <w:rPr>
                <w:rFonts w:hint="eastAsia" w:cs="Times New Roman"/>
                <w:b/>
                <w:color w:val="auto"/>
                <w:sz w:val="21"/>
                <w:lang w:val="en-US" w:eastAsia="zh-CN"/>
              </w:rPr>
              <w:t>3</w:t>
            </w:r>
            <w:r>
              <w:rPr>
                <w:rFonts w:hint="default" w:ascii="Times New Roman" w:hAnsi="Times New Roman" w:cs="Times New Roman"/>
                <w:b/>
                <w:color w:val="auto"/>
                <w:sz w:val="21"/>
              </w:rPr>
              <w:t xml:space="preserve">    项目运营期工艺流程及产污节点图</w:t>
            </w:r>
          </w:p>
          <w:p w14:paraId="468321D1">
            <w:pPr>
              <w:pStyle w:val="51"/>
              <w:ind w:firstLine="482"/>
              <w:rPr>
                <w:rFonts w:hint="default" w:ascii="Times New Roman" w:hAnsi="Times New Roman" w:cs="Times New Roman"/>
                <w:b/>
                <w:color w:val="auto"/>
                <w:kern w:val="0"/>
              </w:rPr>
            </w:pPr>
            <w:r>
              <w:rPr>
                <w:rFonts w:hint="default" w:ascii="Times New Roman" w:hAnsi="Times New Roman" w:cs="Times New Roman"/>
                <w:b/>
                <w:color w:val="auto"/>
                <w:kern w:val="0"/>
              </w:rPr>
              <w:t>工艺流程简述：</w:t>
            </w:r>
          </w:p>
          <w:p w14:paraId="2675D2D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w:t>
            </w:r>
            <w:r>
              <w:rPr>
                <w:rFonts w:hint="eastAsia" w:cs="Times New Roman"/>
                <w:color w:val="auto"/>
                <w:sz w:val="24"/>
                <w:highlight w:val="none"/>
                <w:lang w:val="en-US" w:eastAsia="zh-CN"/>
              </w:rPr>
              <w:t>干燥：项目原料为现有项目生产的废塑料片，现有项目生产过程涉及原料清洗，根据建设单位提供资料，现有项目生产的废塑料片含水率约为8%，因此项目原料需进行原料烘干。原料进入电加热干燥机进行干燥，干燥温度为150℃，干燥时间约0.5h；干燥完成后的物料从电加热干燥机底部的物料输送口由输送机输送至储料仓。</w:t>
            </w:r>
          </w:p>
          <w:p w14:paraId="3846649F">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②熔融挤出：</w:t>
            </w:r>
            <w:r>
              <w:rPr>
                <w:rFonts w:hint="eastAsia" w:cs="Times New Roman"/>
                <w:color w:val="auto"/>
                <w:sz w:val="24"/>
                <w:highlight w:val="none"/>
                <w:lang w:val="en-US" w:eastAsia="zh-CN"/>
              </w:rPr>
              <w:t>烘干后的原料由储料仓进入密闭熔融挤出</w:t>
            </w:r>
            <w:r>
              <w:rPr>
                <w:rFonts w:hint="default" w:ascii="Times New Roman" w:hAnsi="Times New Roman" w:cs="Times New Roman"/>
                <w:color w:val="auto"/>
                <w:sz w:val="24"/>
                <w:highlight w:val="none"/>
              </w:rPr>
              <w:t>机，</w:t>
            </w:r>
            <w:r>
              <w:rPr>
                <w:rFonts w:hint="eastAsia" w:ascii="Times New Roman" w:hAnsi="Times New Roman" w:eastAsia="宋体" w:cs="Times New Roman"/>
                <w:color w:val="auto"/>
                <w:kern w:val="2"/>
                <w:sz w:val="24"/>
                <w:szCs w:val="24"/>
                <w:lang w:val="zh-CN" w:eastAsia="zh-CN" w:bidi="zh-CN"/>
              </w:rPr>
              <w:t>通过电加热（由三级温控柜调控温度）的方式将废塑料加热成熔融状态</w:t>
            </w:r>
            <w:r>
              <w:rPr>
                <w:rFonts w:hint="eastAsia" w:cs="Times New Roman"/>
                <w:color w:val="auto"/>
                <w:kern w:val="2"/>
                <w:sz w:val="24"/>
                <w:szCs w:val="24"/>
                <w:lang w:val="zh-CN" w:eastAsia="zh-CN" w:bidi="zh-CN"/>
              </w:rPr>
              <w:t>，</w:t>
            </w:r>
            <w:r>
              <w:rPr>
                <w:rFonts w:hint="eastAsia" w:ascii="Times New Roman" w:hAnsi="Times New Roman" w:eastAsia="宋体" w:cs="Times New Roman"/>
                <w:color w:val="auto"/>
                <w:kern w:val="2"/>
                <w:sz w:val="24"/>
                <w:szCs w:val="24"/>
                <w:lang w:val="zh-CN" w:eastAsia="zh-CN" w:bidi="zh-CN"/>
              </w:rPr>
              <w:t>温度稳定</w:t>
            </w:r>
            <w:r>
              <w:rPr>
                <w:rFonts w:hint="default" w:ascii="Times New Roman" w:hAnsi="Times New Roman" w:cs="Times New Roman"/>
                <w:color w:val="auto"/>
                <w:sz w:val="24"/>
                <w:highlight w:val="none"/>
              </w:rPr>
              <w:t>控制在</w:t>
            </w:r>
            <w:r>
              <w:rPr>
                <w:rFonts w:hint="eastAsia" w:cs="Times New Roman"/>
                <w:color w:val="auto"/>
                <w:sz w:val="24"/>
                <w:highlight w:val="none"/>
                <w:lang w:val="en-US" w:eastAsia="zh-CN"/>
              </w:rPr>
              <w:t>2</w:t>
            </w:r>
            <w:r>
              <w:rPr>
                <w:rFonts w:hint="default" w:ascii="Times New Roman" w:hAnsi="Times New Roman" w:cs="Times New Roman"/>
                <w:color w:val="auto"/>
                <w:sz w:val="24"/>
                <w:highlight w:val="none"/>
              </w:rPr>
              <w:t>00-</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0℃</w:t>
            </w:r>
            <w:r>
              <w:rPr>
                <w:rFonts w:hint="eastAsia" w:cs="Times New Roman"/>
                <w:color w:val="auto"/>
                <w:sz w:val="24"/>
                <w:highlight w:val="none"/>
                <w:lang w:eastAsia="zh-CN"/>
              </w:rPr>
              <w:t>，</w:t>
            </w:r>
            <w:r>
              <w:rPr>
                <w:rFonts w:hint="eastAsia" w:ascii="Times New Roman" w:hAnsi="Times New Roman" w:eastAsia="宋体" w:cs="Times New Roman"/>
                <w:color w:val="auto"/>
                <w:kern w:val="2"/>
                <w:sz w:val="24"/>
                <w:szCs w:val="24"/>
                <w:lang w:val="zh-CN" w:eastAsia="zh-CN" w:bidi="zh-CN"/>
              </w:rPr>
              <w:t>加热熔融工序不添加任何阻燃剂、增塑剂等添加剂，采用直接再生方式</w:t>
            </w:r>
            <w:r>
              <w:rPr>
                <w:rFonts w:hint="default" w:ascii="Times New Roman" w:hAnsi="Times New Roman" w:cs="Times New Roman"/>
                <w:color w:val="auto"/>
                <w:sz w:val="24"/>
                <w:highlight w:val="none"/>
              </w:rPr>
              <w:t>。在加热的同时，通过螺杆转动将原料向前推移挤压，使之逐渐熔融</w:t>
            </w:r>
            <w:r>
              <w:rPr>
                <w:rFonts w:hint="eastAsia" w:cs="Times New Roman"/>
                <w:color w:val="auto"/>
                <w:sz w:val="24"/>
                <w:highlight w:val="none"/>
                <w:lang w:val="en-US" w:eastAsia="zh-CN"/>
              </w:rPr>
              <w:t>成</w:t>
            </w:r>
            <w:r>
              <w:rPr>
                <w:rFonts w:hint="default" w:ascii="Times New Roman" w:hAnsi="Times New Roman" w:cs="Times New Roman"/>
                <w:color w:val="auto"/>
                <w:sz w:val="24"/>
                <w:highlight w:val="none"/>
              </w:rPr>
              <w:t>塑化带，再从挤出机机头定量挤出，进入模具，通过模具注塑成</w:t>
            </w:r>
            <w:r>
              <w:rPr>
                <w:rFonts w:hint="eastAsia" w:cs="Times New Roman"/>
                <w:color w:val="auto"/>
                <w:sz w:val="24"/>
                <w:highlight w:val="none"/>
                <w:lang w:val="en-US" w:eastAsia="zh-CN"/>
              </w:rPr>
              <w:t>长条形</w:t>
            </w:r>
            <w:r>
              <w:rPr>
                <w:rFonts w:hint="eastAsia" w:cs="Times New Roman"/>
                <w:color w:val="auto"/>
                <w:sz w:val="24"/>
                <w:highlight w:val="none"/>
                <w:lang w:eastAsia="zh-CN"/>
              </w:rPr>
              <w:t>（</w:t>
            </w:r>
            <w:r>
              <w:rPr>
                <w:rFonts w:hint="eastAsia" w:cs="Times New Roman"/>
                <w:color w:val="auto"/>
                <w:sz w:val="24"/>
                <w:highlight w:val="none"/>
                <w:lang w:val="en-US" w:eastAsia="zh-CN"/>
              </w:rPr>
              <w:t>长4m</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。本环节加热所用的能源为电能。挤出过程会产生少量的</w:t>
            </w:r>
            <w:r>
              <w:rPr>
                <w:rFonts w:hint="eastAsia" w:cs="Times New Roman"/>
                <w:color w:val="auto"/>
                <w:sz w:val="24"/>
                <w:highlight w:val="none"/>
                <w:lang w:val="en-US" w:eastAsia="zh-CN"/>
              </w:rPr>
              <w:t>烟尘（以颗粒物计）和</w:t>
            </w:r>
            <w:r>
              <w:rPr>
                <w:rFonts w:hint="default" w:ascii="Times New Roman" w:hAnsi="Times New Roman" w:cs="Times New Roman"/>
                <w:color w:val="auto"/>
                <w:sz w:val="24"/>
                <w:highlight w:val="none"/>
                <w:lang w:val="en-US" w:eastAsia="zh-CN"/>
              </w:rPr>
              <w:t>挥发性有机物</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以非甲烷总烃计</w:t>
            </w:r>
            <w:r>
              <w:rPr>
                <w:rFonts w:hint="default" w:ascii="Times New Roman" w:hAnsi="Times New Roman" w:cs="Times New Roman"/>
                <w:color w:val="auto"/>
                <w:sz w:val="24"/>
                <w:highlight w:val="none"/>
                <w:lang w:eastAsia="zh-CN"/>
              </w:rPr>
              <w:t>）</w:t>
            </w:r>
            <w:r>
              <w:rPr>
                <w:rFonts w:hint="eastAsia" w:cs="Times New Roman"/>
                <w:color w:val="auto"/>
                <w:sz w:val="24"/>
                <w:highlight w:val="none"/>
                <w:lang w:val="en-US" w:eastAsia="zh-CN"/>
              </w:rPr>
              <w:t>；产生的挤出废气经各台挤出机上方设置的</w:t>
            </w:r>
            <w:r>
              <w:rPr>
                <w:rFonts w:hint="default" w:ascii="Times New Roman" w:hAnsi="Times New Roman" w:cs="Times New Roman"/>
                <w:color w:val="auto"/>
                <w:sz w:val="24"/>
                <w:highlight w:val="none"/>
                <w:lang w:val="en-US" w:eastAsia="zh-CN"/>
              </w:rPr>
              <w:t>集气罩收集后经</w:t>
            </w:r>
            <w:r>
              <w:rPr>
                <w:rFonts w:hint="eastAsia" w:cs="Times New Roman"/>
                <w:color w:val="auto"/>
                <w:sz w:val="24"/>
                <w:highlight w:val="none"/>
                <w:lang w:val="en-US" w:eastAsia="zh-CN"/>
              </w:rPr>
              <w:t>一套三级活性炭</w:t>
            </w:r>
            <w:r>
              <w:rPr>
                <w:rFonts w:hint="default" w:ascii="Times New Roman" w:hAnsi="Times New Roman" w:cs="Times New Roman"/>
                <w:color w:val="auto"/>
                <w:sz w:val="24"/>
                <w:highlight w:val="none"/>
                <w:lang w:val="en-US" w:eastAsia="zh-CN"/>
              </w:rPr>
              <w:t>吸附</w:t>
            </w:r>
            <w:r>
              <w:rPr>
                <w:rFonts w:hint="eastAsia" w:cs="Times New Roman"/>
                <w:color w:val="auto"/>
                <w:sz w:val="24"/>
                <w:highlight w:val="none"/>
                <w:lang w:val="en-US" w:eastAsia="zh-CN"/>
              </w:rPr>
              <w:t>装置</w:t>
            </w:r>
            <w:r>
              <w:rPr>
                <w:rFonts w:hint="default" w:ascii="Times New Roman" w:hAnsi="Times New Roman" w:cs="Times New Roman"/>
                <w:color w:val="auto"/>
                <w:sz w:val="24"/>
                <w:highlight w:val="none"/>
                <w:lang w:val="en-US" w:eastAsia="zh-CN"/>
              </w:rPr>
              <w:t>处理</w:t>
            </w:r>
            <w:r>
              <w:rPr>
                <w:rFonts w:hint="eastAsia" w:cs="Times New Roman"/>
                <w:color w:val="auto"/>
                <w:sz w:val="24"/>
                <w:highlight w:val="none"/>
                <w:lang w:val="en-US" w:eastAsia="zh-CN"/>
              </w:rPr>
              <w:t>后</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由1根</w:t>
            </w:r>
            <w:r>
              <w:rPr>
                <w:rFonts w:hint="default" w:ascii="Times New Roman" w:hAnsi="Times New Roman" w:cs="Times New Roman"/>
                <w:color w:val="auto"/>
                <w:sz w:val="24"/>
                <w:highlight w:val="none"/>
                <w:lang w:val="en-US" w:eastAsia="zh-CN"/>
              </w:rPr>
              <w:t>15m高的DA001排气筒排放，</w:t>
            </w:r>
            <w:r>
              <w:rPr>
                <w:rFonts w:hint="eastAsia" w:cs="Times New Roman"/>
                <w:color w:val="auto"/>
                <w:sz w:val="24"/>
                <w:highlight w:val="none"/>
                <w:lang w:val="en-US" w:eastAsia="zh-CN"/>
              </w:rPr>
              <w:t>未被集气罩收集的少量废气呈无组织排放，</w:t>
            </w:r>
            <w:r>
              <w:rPr>
                <w:rFonts w:hint="default" w:ascii="Times New Roman" w:hAnsi="Times New Roman" w:cs="Times New Roman"/>
                <w:color w:val="auto"/>
                <w:sz w:val="24"/>
                <w:highlight w:val="none"/>
              </w:rPr>
              <w:t>同时设备</w:t>
            </w:r>
            <w:r>
              <w:rPr>
                <w:rFonts w:hint="eastAsia" w:cs="Times New Roman"/>
                <w:color w:val="auto"/>
                <w:sz w:val="24"/>
                <w:highlight w:val="none"/>
                <w:lang w:val="en-US" w:eastAsia="zh-CN"/>
              </w:rPr>
              <w:t>运行时</w:t>
            </w:r>
            <w:r>
              <w:rPr>
                <w:rFonts w:hint="default" w:ascii="Times New Roman" w:hAnsi="Times New Roman" w:cs="Times New Roman"/>
                <w:color w:val="auto"/>
                <w:sz w:val="24"/>
                <w:highlight w:val="none"/>
              </w:rPr>
              <w:t>会产生噪声。</w:t>
            </w:r>
          </w:p>
          <w:p w14:paraId="3927055B">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eastAsia="宋体" w:cs="Times New Roman"/>
                <w:color w:val="auto"/>
                <w:kern w:val="2"/>
                <w:sz w:val="24"/>
                <w:szCs w:val="24"/>
                <w:lang w:val="en-US" w:eastAsia="zh-CN" w:bidi="zh-CN"/>
              </w:rPr>
              <w:t>挤出机过滤网使用一段时间后需要更换，更换的过滤网经真空烧网炉高温去除黏附在上面的塑料熔融残渣后，重复利用。项目真空烧网炉工作原理：真空烧网炉采用电加热，将需要清理的过滤网放入真空烧网炉内，真空泵抽真空后，缓慢升温使滤网上的塑料杂质熔融后流入烧网炉下方收集槽冷却结块。</w:t>
            </w:r>
            <w:r>
              <w:rPr>
                <w:rFonts w:hint="default" w:ascii="Times New Roman" w:hAnsi="Times New Roman" w:eastAsia="宋体" w:cs="Times New Roman"/>
                <w:color w:val="auto"/>
                <w:kern w:val="2"/>
                <w:sz w:val="24"/>
                <w:szCs w:val="24"/>
                <w:lang w:val="en-US" w:eastAsia="zh-CN" w:bidi="zh-CN"/>
              </w:rPr>
              <w:t>加热温度为</w:t>
            </w:r>
            <w:r>
              <w:rPr>
                <w:rFonts w:hint="eastAsia" w:ascii="Times New Roman" w:hAnsi="Times New Roman" w:eastAsia="宋体" w:cs="Times New Roman"/>
                <w:color w:val="auto"/>
                <w:kern w:val="2"/>
                <w:sz w:val="24"/>
                <w:szCs w:val="24"/>
                <w:lang w:val="en-US" w:eastAsia="zh-CN" w:bidi="zh-CN"/>
              </w:rPr>
              <w:t>3</w:t>
            </w:r>
            <w:r>
              <w:rPr>
                <w:rFonts w:hint="default" w:ascii="Times New Roman" w:hAnsi="Times New Roman" w:eastAsia="宋体" w:cs="Times New Roman"/>
                <w:color w:val="auto"/>
                <w:kern w:val="2"/>
                <w:sz w:val="24"/>
                <w:szCs w:val="24"/>
                <w:lang w:val="en-US" w:eastAsia="zh-CN" w:bidi="zh-CN"/>
              </w:rPr>
              <w:t>00℃</w:t>
            </w:r>
            <w:r>
              <w:rPr>
                <w:rFonts w:hint="eastAsia" w:ascii="Times New Roman" w:hAnsi="Times New Roman" w:eastAsia="宋体" w:cs="Times New Roman"/>
                <w:color w:val="auto"/>
                <w:kern w:val="2"/>
                <w:sz w:val="24"/>
                <w:szCs w:val="24"/>
                <w:lang w:val="en-US" w:eastAsia="zh-CN" w:bidi="zh-CN"/>
              </w:rPr>
              <w:t>，并通入空气使废塑料充分氧化燃烧，清理时间约4h。真空烧网过程中会产生废气、过滤网残渣。</w:t>
            </w:r>
          </w:p>
          <w:p w14:paraId="680E812B">
            <w:pPr>
              <w:spacing w:line="360" w:lineRule="auto"/>
              <w:ind w:firstLine="480" w:firstLineChars="200"/>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cs="Times New Roman"/>
                <w:color w:val="auto"/>
                <w:sz w:val="24"/>
                <w:highlight w:val="none"/>
              </w:rPr>
              <w:t>③冷却：</w:t>
            </w:r>
            <w:r>
              <w:rPr>
                <w:rFonts w:hint="eastAsia" w:cs="Times New Roman"/>
                <w:color w:val="auto"/>
                <w:sz w:val="24"/>
                <w:highlight w:val="none"/>
                <w:lang w:val="en-US" w:eastAsia="zh-CN"/>
              </w:rPr>
              <w:t>挤出成型的塑料条</w:t>
            </w:r>
            <w:r>
              <w:rPr>
                <w:rFonts w:hint="eastAsia" w:cs="Times New Roman"/>
                <w:color w:val="auto"/>
                <w:sz w:val="24"/>
                <w:highlight w:val="none"/>
                <w:lang w:eastAsia="zh-CN"/>
              </w:rPr>
              <w:t>（</w:t>
            </w:r>
            <w:r>
              <w:rPr>
                <w:rFonts w:hint="eastAsia" w:cs="Times New Roman"/>
                <w:color w:val="auto"/>
                <w:sz w:val="24"/>
                <w:highlight w:val="none"/>
                <w:lang w:val="en-US" w:eastAsia="zh-CN"/>
              </w:rPr>
              <w:t>长4m</w:t>
            </w:r>
            <w:r>
              <w:rPr>
                <w:rFonts w:hint="eastAsia" w:cs="Times New Roman"/>
                <w:color w:val="auto"/>
                <w:sz w:val="24"/>
                <w:highlight w:val="none"/>
                <w:lang w:eastAsia="zh-CN"/>
              </w:rPr>
              <w:t>）</w:t>
            </w:r>
            <w:r>
              <w:rPr>
                <w:rFonts w:hint="eastAsia" w:cs="Times New Roman"/>
                <w:color w:val="auto"/>
                <w:sz w:val="24"/>
                <w:highlight w:val="none"/>
                <w:lang w:val="en-US" w:eastAsia="zh-CN"/>
              </w:rPr>
              <w:t>进入冷却水槽（4m×0.5m×0.3m）冷却，</w:t>
            </w:r>
            <w:r>
              <w:rPr>
                <w:rFonts w:hint="default" w:ascii="Times New Roman" w:hAnsi="Times New Roman" w:cs="Times New Roman"/>
                <w:color w:val="auto"/>
                <w:sz w:val="24"/>
                <w:highlight w:val="none"/>
              </w:rPr>
              <w:t>循环</w:t>
            </w:r>
            <w:r>
              <w:rPr>
                <w:rFonts w:hint="eastAsia" w:cs="Times New Roman"/>
                <w:color w:val="auto"/>
                <w:sz w:val="24"/>
                <w:highlight w:val="none"/>
                <w:lang w:val="en-US" w:eastAsia="zh-CN"/>
              </w:rPr>
              <w:t>水收集箱（5m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default" w:ascii="Times New Roman" w:hAnsi="Times New Roman" w:cs="Times New Roman"/>
                <w:color w:val="auto"/>
                <w:sz w:val="24"/>
                <w:highlight w:val="none"/>
              </w:rPr>
              <w:t>引水至冷却水槽直接冷却，冷却用水经循环水</w:t>
            </w:r>
            <w:r>
              <w:rPr>
                <w:rFonts w:hint="eastAsia" w:cs="Times New Roman"/>
                <w:color w:val="auto"/>
                <w:sz w:val="24"/>
                <w:highlight w:val="none"/>
                <w:lang w:val="en-US" w:eastAsia="zh-CN"/>
              </w:rPr>
              <w:t>收集箱（5m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）收集</w:t>
            </w:r>
            <w:r>
              <w:rPr>
                <w:rFonts w:hint="default" w:ascii="Times New Roman" w:hAnsi="Times New Roman" w:cs="Times New Roman"/>
                <w:color w:val="auto"/>
                <w:sz w:val="24"/>
                <w:highlight w:val="none"/>
              </w:rPr>
              <w:t>循环使用。</w:t>
            </w:r>
          </w:p>
          <w:p w14:paraId="79221B05">
            <w:pPr>
              <w:pStyle w:val="68"/>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2"/>
                <w:sz w:val="24"/>
                <w:szCs w:val="20"/>
                <w:highlight w:val="none"/>
                <w:lang w:val="en-US" w:eastAsia="zh-CN" w:bidi="ar-SA"/>
              </w:rPr>
              <w:t>④</w:t>
            </w:r>
            <w:r>
              <w:rPr>
                <w:rFonts w:hint="eastAsia" w:ascii="Times New Roman" w:hAnsi="Times New Roman" w:eastAsia="宋体" w:cs="Times New Roman"/>
                <w:color w:val="auto"/>
                <w:kern w:val="2"/>
                <w:sz w:val="24"/>
                <w:szCs w:val="24"/>
                <w:highlight w:val="none"/>
                <w:lang w:val="en-US" w:eastAsia="zh-CN" w:bidi="ar-SA"/>
              </w:rPr>
              <w:t>抖水：经冷却水槽冷却后的塑料条由输送机输送至抖水机，抖水机（4m×0.5m×0.1m</w:t>
            </w:r>
            <w:r>
              <w:rPr>
                <w:rFonts w:hint="eastAsia" w:ascii="Times New Roman" w:hAnsi="Times New Roman" w:eastAsia="宋体" w:cs="Times New Roman"/>
                <w:color w:val="auto"/>
                <w:kern w:val="2"/>
                <w:sz w:val="24"/>
                <w:szCs w:val="20"/>
                <w:highlight w:val="none"/>
                <w:lang w:val="en-US" w:eastAsia="zh-CN" w:bidi="ar-SA"/>
              </w:rPr>
              <w:t>）底部设置收集槽，收集的水进入冷却水槽；抖水后塑料条含水率约</w:t>
            </w:r>
            <w:r>
              <w:rPr>
                <w:rFonts w:hint="eastAsia" w:ascii="Times New Roman" w:hAnsi="Times New Roman" w:cs="Times New Roman"/>
                <w:color w:val="auto"/>
                <w:sz w:val="24"/>
                <w:highlight w:val="none"/>
                <w:lang w:val="en-US" w:eastAsia="zh-CN"/>
              </w:rPr>
              <w:t>10%。</w:t>
            </w:r>
          </w:p>
          <w:p w14:paraId="2EC879C8">
            <w:pPr>
              <w:pStyle w:val="68"/>
              <w:rPr>
                <w:rFonts w:hint="default"/>
                <w:color w:val="auto"/>
              </w:rPr>
            </w:pPr>
            <w:r>
              <w:rPr>
                <w:rFonts w:hint="default" w:ascii="Times New Roman" w:hAnsi="Times New Roman" w:cs="Times New Roman"/>
                <w:color w:val="auto"/>
                <w:sz w:val="24"/>
                <w:highlight w:val="none"/>
              </w:rPr>
              <w:t>⑤切颗粒：</w:t>
            </w:r>
            <w:r>
              <w:rPr>
                <w:rFonts w:hint="eastAsia" w:ascii="Times New Roman" w:hAnsi="Times New Roman" w:cs="Times New Roman"/>
                <w:color w:val="auto"/>
                <w:sz w:val="24"/>
                <w:highlight w:val="none"/>
                <w:lang w:val="en-US" w:eastAsia="zh-CN"/>
              </w:rPr>
              <w:t>抖水后塑料条经切粒机</w:t>
            </w:r>
            <w:r>
              <w:rPr>
                <w:rFonts w:hint="default" w:ascii="Times New Roman" w:hAnsi="Times New Roman" w:cs="Times New Roman"/>
                <w:color w:val="auto"/>
                <w:sz w:val="24"/>
                <w:highlight w:val="none"/>
              </w:rPr>
              <w:t>切割成颗粒状</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粒径约3～5mm；</w:t>
            </w:r>
            <w:r>
              <w:rPr>
                <w:rFonts w:hint="eastAsia"/>
                <w:color w:val="auto"/>
                <w:sz w:val="24"/>
                <w:szCs w:val="24"/>
                <w:highlight w:val="none"/>
                <w:lang w:val="en-US" w:bidi="zh-CN"/>
              </w:rPr>
              <w:t>由于粒径较大，不会产生颗粒物；</w:t>
            </w:r>
            <w:r>
              <w:rPr>
                <w:rFonts w:hint="default" w:ascii="Times New Roman" w:hAnsi="Times New Roman" w:cs="Times New Roman"/>
                <w:color w:val="auto"/>
                <w:sz w:val="24"/>
                <w:highlight w:val="none"/>
                <w:lang w:val="en-US" w:eastAsia="zh-CN"/>
              </w:rPr>
              <w:t>该过程会产生噪声</w:t>
            </w:r>
            <w:r>
              <w:rPr>
                <w:rFonts w:hint="default" w:ascii="Times New Roman" w:hAnsi="Times New Roman" w:cs="Times New Roman"/>
                <w:color w:val="auto"/>
                <w:sz w:val="24"/>
                <w:highlight w:val="none"/>
              </w:rPr>
              <w:t>。</w:t>
            </w:r>
          </w:p>
          <w:p w14:paraId="339B7F7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w:t>
            </w:r>
            <w:r>
              <w:rPr>
                <w:rFonts w:hint="eastAsia" w:cs="Times New Roman"/>
                <w:color w:val="auto"/>
                <w:sz w:val="24"/>
                <w:highlight w:val="none"/>
                <w:lang w:val="en-US" w:eastAsia="zh-CN"/>
              </w:rPr>
              <w:t>筛分</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切粒机切割后的颗粒经振动筛筛分后，筛分合格的颗粒由</w:t>
            </w:r>
            <w:r>
              <w:rPr>
                <w:rFonts w:hint="default" w:ascii="Times New Roman" w:hAnsi="Times New Roman" w:cs="Times New Roman"/>
                <w:color w:val="auto"/>
                <w:sz w:val="24"/>
                <w:highlight w:val="none"/>
              </w:rPr>
              <w:t>质检员对颗粒外观情况以及颗粒的粒径、刚度等数据按《国家标准》进行检验，</w:t>
            </w:r>
            <w:r>
              <w:rPr>
                <w:rFonts w:hint="default" w:ascii="Times New Roman" w:hAnsi="Times New Roman" w:cs="Times New Roman"/>
                <w:color w:val="auto"/>
                <w:sz w:val="24"/>
                <w:highlight w:val="none"/>
                <w:lang w:val="en-US" w:eastAsia="zh-CN"/>
              </w:rPr>
              <w:t>检验合格产品</w:t>
            </w:r>
            <w:r>
              <w:rPr>
                <w:rFonts w:hint="eastAsia" w:cs="Times New Roman"/>
                <w:color w:val="auto"/>
                <w:sz w:val="24"/>
                <w:highlight w:val="none"/>
                <w:lang w:val="en-US" w:eastAsia="zh-CN"/>
              </w:rPr>
              <w:t>进入成品仓</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不合格产品</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以固废计</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回用至</w:t>
            </w:r>
            <w:r>
              <w:rPr>
                <w:rFonts w:hint="eastAsia" w:cs="Times New Roman"/>
                <w:color w:val="auto"/>
                <w:sz w:val="24"/>
                <w:highlight w:val="none"/>
                <w:lang w:val="en-US" w:eastAsia="zh-CN"/>
              </w:rPr>
              <w:t>熔融挤出机进行生产</w:t>
            </w:r>
            <w:r>
              <w:rPr>
                <w:rFonts w:hint="default" w:ascii="Times New Roman" w:hAnsi="Times New Roman" w:cs="Times New Roman"/>
                <w:color w:val="auto"/>
                <w:sz w:val="24"/>
                <w:highlight w:val="none"/>
              </w:rPr>
              <w:t>。</w:t>
            </w:r>
          </w:p>
          <w:p w14:paraId="2C51AD13">
            <w:pPr>
              <w:pStyle w:val="51"/>
              <w:bidi w:val="0"/>
              <w:rPr>
                <w:rFonts w:hint="default"/>
                <w:color w:val="auto"/>
              </w:rPr>
            </w:pPr>
            <w:r>
              <w:rPr>
                <w:rFonts w:hint="default" w:ascii="Times New Roman" w:hAnsi="Times New Roman" w:cs="Times New Roman"/>
                <w:color w:val="auto"/>
                <w:highlight w:val="none"/>
              </w:rPr>
              <w:t>⑤入库售卖：检验合格产品</w:t>
            </w:r>
            <w:r>
              <w:rPr>
                <w:rFonts w:hint="eastAsia" w:cs="Times New Roman"/>
                <w:color w:val="auto"/>
                <w:highlight w:val="none"/>
                <w:lang w:val="en-US" w:eastAsia="zh-CN"/>
              </w:rPr>
              <w:t>由成品仓进入吨袋打包后</w:t>
            </w:r>
            <w:r>
              <w:rPr>
                <w:rFonts w:hint="default" w:ascii="Times New Roman" w:hAnsi="Times New Roman" w:cs="Times New Roman"/>
                <w:color w:val="auto"/>
                <w:highlight w:val="none"/>
              </w:rPr>
              <w:t>送至成品</w:t>
            </w:r>
            <w:r>
              <w:rPr>
                <w:rFonts w:hint="eastAsia" w:cs="Times New Roman"/>
                <w:color w:val="auto"/>
                <w:highlight w:val="none"/>
                <w:lang w:val="en-US" w:eastAsia="zh-CN"/>
              </w:rPr>
              <w:t>区</w:t>
            </w:r>
            <w:r>
              <w:rPr>
                <w:rFonts w:hint="default" w:ascii="Times New Roman" w:hAnsi="Times New Roman" w:cs="Times New Roman"/>
                <w:color w:val="auto"/>
                <w:highlight w:val="none"/>
              </w:rPr>
              <w:t>进行暂时堆放，</w:t>
            </w:r>
            <w:r>
              <w:rPr>
                <w:rFonts w:hint="default"/>
                <w:color w:val="auto"/>
              </w:rPr>
              <w:t>等待售卖。</w:t>
            </w:r>
          </w:p>
          <w:p w14:paraId="75645F21">
            <w:pPr>
              <w:pStyle w:val="51"/>
              <w:bidi w:val="0"/>
              <w:rPr>
                <w:rFonts w:hint="default"/>
                <w:color w:val="auto"/>
                <w:lang w:val="en-US" w:eastAsia="zh-CN"/>
              </w:rPr>
            </w:pPr>
            <w:r>
              <w:rPr>
                <w:rFonts w:hint="eastAsia"/>
                <w:color w:val="auto"/>
                <w:lang w:val="en-US" w:eastAsia="zh-CN"/>
              </w:rPr>
              <w:t>主要污染工序：</w:t>
            </w:r>
          </w:p>
          <w:p w14:paraId="0D55F1E8">
            <w:pPr>
              <w:pStyle w:val="51"/>
              <w:bidi w:val="0"/>
              <w:rPr>
                <w:color w:val="auto"/>
              </w:rPr>
            </w:pPr>
            <w:r>
              <w:rPr>
                <w:color w:val="auto"/>
              </w:rPr>
              <w:t>废气：</w:t>
            </w:r>
            <w:r>
              <w:rPr>
                <w:rFonts w:hint="eastAsia"/>
                <w:color w:val="auto"/>
                <w:lang w:val="en-US" w:eastAsia="zh-CN"/>
              </w:rPr>
              <w:t>熔融挤出工序废气、真空烧网炉废气</w:t>
            </w:r>
            <w:r>
              <w:rPr>
                <w:color w:val="auto"/>
              </w:rPr>
              <w:t>。</w:t>
            </w:r>
          </w:p>
          <w:p w14:paraId="136F70A9">
            <w:pPr>
              <w:pStyle w:val="51"/>
              <w:bidi w:val="0"/>
              <w:rPr>
                <w:color w:val="auto"/>
              </w:rPr>
            </w:pPr>
            <w:r>
              <w:rPr>
                <w:color w:val="auto"/>
              </w:rPr>
              <w:t>废水：项目废水主要为</w:t>
            </w:r>
            <w:r>
              <w:rPr>
                <w:rFonts w:hint="eastAsia"/>
                <w:color w:val="auto"/>
                <w:lang w:val="en-US" w:eastAsia="zh-CN"/>
              </w:rPr>
              <w:t>冷却水、职工办公污水</w:t>
            </w:r>
            <w:r>
              <w:rPr>
                <w:color w:val="auto"/>
              </w:rPr>
              <w:t>。</w:t>
            </w:r>
          </w:p>
          <w:p w14:paraId="2883A418">
            <w:pPr>
              <w:pStyle w:val="51"/>
              <w:bidi w:val="0"/>
              <w:rPr>
                <w:b w:val="0"/>
                <w:bCs w:val="0"/>
                <w:strike w:val="0"/>
                <w:dstrike w:val="0"/>
                <w:color w:val="auto"/>
                <w:szCs w:val="24"/>
              </w:rPr>
            </w:pPr>
            <w:r>
              <w:rPr>
                <w:color w:val="auto"/>
              </w:rPr>
              <w:t>噪声</w:t>
            </w:r>
            <w:r>
              <w:rPr>
                <w:rFonts w:hint="eastAsia"/>
                <w:color w:val="auto"/>
                <w:lang w:eastAsia="zh-CN"/>
              </w:rPr>
              <w:t>：</w:t>
            </w:r>
            <w:r>
              <w:rPr>
                <w:color w:val="auto"/>
              </w:rPr>
              <w:t>项目噪声主要</w:t>
            </w:r>
            <w:r>
              <w:rPr>
                <w:b w:val="0"/>
                <w:bCs w:val="0"/>
                <w:strike w:val="0"/>
                <w:dstrike w:val="0"/>
                <w:color w:val="auto"/>
                <w:szCs w:val="24"/>
              </w:rPr>
              <w:t>来源于</w:t>
            </w:r>
            <w:r>
              <w:rPr>
                <w:rFonts w:hint="eastAsia"/>
                <w:b w:val="0"/>
                <w:bCs w:val="0"/>
                <w:strike w:val="0"/>
                <w:dstrike w:val="0"/>
                <w:color w:val="auto"/>
                <w:szCs w:val="24"/>
                <w:lang w:eastAsia="zh-CN"/>
              </w:rPr>
              <w:t>抽水</w:t>
            </w:r>
            <w:r>
              <w:rPr>
                <w:rFonts w:hint="eastAsia"/>
                <w:b w:val="0"/>
                <w:bCs w:val="0"/>
                <w:strike w:val="0"/>
                <w:dstrike w:val="0"/>
                <w:color w:val="auto"/>
                <w:szCs w:val="24"/>
                <w:lang w:val="en-US" w:eastAsia="zh-CN"/>
              </w:rPr>
              <w:t>机、风机</w:t>
            </w:r>
            <w:r>
              <w:rPr>
                <w:b w:val="0"/>
                <w:bCs w:val="0"/>
                <w:strike w:val="0"/>
                <w:dstrike w:val="0"/>
                <w:color w:val="auto"/>
                <w:szCs w:val="24"/>
              </w:rPr>
              <w:t>等产生的机械</w:t>
            </w:r>
            <w:r>
              <w:rPr>
                <w:rFonts w:hint="eastAsia"/>
                <w:b w:val="0"/>
                <w:bCs w:val="0"/>
                <w:strike w:val="0"/>
                <w:dstrike w:val="0"/>
                <w:color w:val="auto"/>
                <w:szCs w:val="24"/>
                <w:lang w:val="en-US" w:eastAsia="zh-CN"/>
              </w:rPr>
              <w:t>设备</w:t>
            </w:r>
            <w:r>
              <w:rPr>
                <w:b w:val="0"/>
                <w:bCs w:val="0"/>
                <w:strike w:val="0"/>
                <w:dstrike w:val="0"/>
                <w:color w:val="auto"/>
                <w:szCs w:val="24"/>
              </w:rPr>
              <w:t>噪声。</w:t>
            </w:r>
          </w:p>
          <w:p w14:paraId="482CE45E">
            <w:pPr>
              <w:pStyle w:val="51"/>
              <w:bidi w:val="0"/>
              <w:rPr>
                <w:rFonts w:hint="default" w:ascii="Times New Roman" w:hAnsi="Times New Roman" w:cs="Times New Roman"/>
                <w:color w:val="auto"/>
                <w:sz w:val="24"/>
                <w:highlight w:val="none"/>
              </w:rPr>
            </w:pPr>
            <w:r>
              <w:rPr>
                <w:rFonts w:ascii="Times New Roman" w:hAnsi="Times New Roman" w:eastAsia="宋体"/>
                <w:b w:val="0"/>
                <w:bCs w:val="0"/>
                <w:strike w:val="0"/>
                <w:dstrike w:val="0"/>
                <w:color w:val="auto"/>
                <w:sz w:val="24"/>
                <w:szCs w:val="24"/>
              </w:rPr>
              <w:t>固废</w:t>
            </w:r>
            <w:r>
              <w:rPr>
                <w:rFonts w:hint="eastAsia" w:ascii="Times New Roman" w:hAnsi="Times New Roman" w:eastAsia="宋体"/>
                <w:b w:val="0"/>
                <w:bCs w:val="0"/>
                <w:strike w:val="0"/>
                <w:dstrike w:val="0"/>
                <w:color w:val="auto"/>
                <w:sz w:val="24"/>
                <w:szCs w:val="24"/>
              </w:rPr>
              <w:t>：</w:t>
            </w:r>
            <w:r>
              <w:rPr>
                <w:rFonts w:hint="eastAsia" w:eastAsia="宋体"/>
                <w:b w:val="0"/>
                <w:bCs w:val="0"/>
                <w:strike w:val="0"/>
                <w:dstrike w:val="0"/>
                <w:color w:val="auto"/>
                <w:sz w:val="24"/>
                <w:szCs w:val="24"/>
                <w:highlight w:val="none"/>
                <w:lang w:val="en-US" w:eastAsia="zh-CN"/>
              </w:rPr>
              <w:t>不合格产品、过滤网残渣、废活性炭、</w:t>
            </w:r>
            <w:r>
              <w:rPr>
                <w:b w:val="0"/>
                <w:bCs w:val="0"/>
                <w:strike w:val="0"/>
                <w:dstrike w:val="0"/>
                <w:color w:val="auto"/>
                <w:sz w:val="24"/>
                <w:szCs w:val="24"/>
                <w:highlight w:val="none"/>
              </w:rPr>
              <w:t>职工生活垃圾等。</w:t>
            </w:r>
          </w:p>
        </w:tc>
      </w:tr>
      <w:tr w14:paraId="3B371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23" w:type="dxa"/>
            <w:vAlign w:val="center"/>
          </w:tcPr>
          <w:p w14:paraId="45971B6E">
            <w:pPr>
              <w:pStyle w:val="16"/>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161" w:type="dxa"/>
          </w:tcPr>
          <w:p w14:paraId="2C50A8AE">
            <w:pPr>
              <w:pStyle w:val="51"/>
              <w:ind w:firstLine="480"/>
              <w:rPr>
                <w:rFonts w:hAnsi="Times New Roman"/>
                <w:color w:val="auto"/>
              </w:rPr>
            </w:pPr>
            <w:r>
              <w:rPr>
                <w:rFonts w:hint="eastAsia" w:cs="Times New Roman"/>
                <w:color w:val="auto"/>
                <w:lang w:val="en-US" w:eastAsia="zh-CN"/>
              </w:rPr>
              <w:t>本项目为扩建项目，在现有项目已建的闲置厂房内进行生产</w:t>
            </w:r>
            <w:r>
              <w:rPr>
                <w:rFonts w:hint="eastAsia" w:hAnsi="Times New Roman"/>
                <w:color w:val="auto"/>
              </w:rPr>
              <w:t>。</w:t>
            </w:r>
          </w:p>
          <w:p w14:paraId="466D2A87">
            <w:pPr>
              <w:pStyle w:val="51"/>
              <w:ind w:firstLine="480"/>
              <w:rPr>
                <w:rFonts w:hint="default" w:ascii="Times New Roman" w:hAnsi="Times New Roman" w:eastAsia="宋体" w:cs="Times New Roman"/>
                <w:color w:val="auto"/>
                <w:lang w:val="en-US" w:eastAsia="zh-CN"/>
              </w:rPr>
            </w:pPr>
            <w:r>
              <w:rPr>
                <w:rFonts w:hint="eastAsia" w:cs="Times New Roman"/>
                <w:b/>
                <w:bCs/>
                <w:color w:val="auto"/>
                <w:lang w:val="en-US" w:eastAsia="zh-CN"/>
              </w:rPr>
              <w:t>1、现有项目环保手续办理情况</w:t>
            </w:r>
          </w:p>
          <w:p w14:paraId="666CD303">
            <w:pPr>
              <w:pStyle w:val="51"/>
              <w:ind w:firstLine="480"/>
              <w:rPr>
                <w:rFonts w:hint="default" w:ascii="Times New Roman" w:hAnsi="Times New Roman" w:cs="Times New Roman"/>
                <w:color w:val="auto"/>
                <w:lang w:val="en-US"/>
              </w:rPr>
            </w:pPr>
            <w:r>
              <w:rPr>
                <w:rFonts w:hint="default" w:ascii="Times New Roman" w:hAnsi="Times New Roman" w:cs="Times New Roman"/>
                <w:color w:val="auto"/>
              </w:rPr>
              <w:t>曲靖银栖废旧物资回收利用有限公司</w:t>
            </w:r>
            <w:r>
              <w:rPr>
                <w:rFonts w:hint="eastAsia" w:cs="Times New Roman"/>
                <w:color w:val="auto"/>
                <w:lang w:val="en-US" w:eastAsia="zh-CN"/>
              </w:rPr>
              <w:t>于2020年9月29日取得曲靖市生态环境局麒麟分局关于</w:t>
            </w:r>
            <w:r>
              <w:rPr>
                <w:rFonts w:hint="eastAsia" w:cs="Times New Roman"/>
                <w:color w:val="auto"/>
                <w:lang w:eastAsia="zh-CN"/>
              </w:rPr>
              <w:t>《</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环境影响报告表</w:t>
            </w:r>
            <w:r>
              <w:rPr>
                <w:rFonts w:hint="eastAsia" w:cs="Times New Roman"/>
                <w:color w:val="auto"/>
                <w:lang w:eastAsia="zh-CN"/>
              </w:rPr>
              <w:t>》</w:t>
            </w:r>
            <w:r>
              <w:rPr>
                <w:rFonts w:hint="eastAsia" w:cs="Times New Roman"/>
                <w:color w:val="auto"/>
                <w:lang w:val="en-US" w:eastAsia="zh-CN"/>
              </w:rPr>
              <w:t>的批复，</w:t>
            </w:r>
            <w:r>
              <w:rPr>
                <w:rFonts w:hint="eastAsia" w:hAnsi="Times New Roman"/>
                <w:color w:val="auto"/>
              </w:rPr>
              <w:t>批复文号</w:t>
            </w:r>
            <w:r>
              <w:rPr>
                <w:rFonts w:hint="eastAsia" w:hAnsi="Times New Roman"/>
                <w:color w:val="auto"/>
                <w:lang w:val="en-US" w:eastAsia="zh-CN"/>
              </w:rPr>
              <w:t>为</w:t>
            </w:r>
            <w:r>
              <w:rPr>
                <w:rFonts w:hint="eastAsia" w:hAnsi="Times New Roman"/>
                <w:color w:val="auto"/>
              </w:rPr>
              <w:t>曲</w:t>
            </w:r>
            <w:r>
              <w:rPr>
                <w:rFonts w:hint="eastAsia" w:hAnsi="Times New Roman"/>
                <w:color w:val="auto"/>
                <w:lang w:val="en-US" w:eastAsia="zh-CN"/>
              </w:rPr>
              <w:t>麒</w:t>
            </w:r>
            <w:r>
              <w:rPr>
                <w:rFonts w:hint="eastAsia" w:hAnsi="Times New Roman"/>
                <w:color w:val="auto"/>
              </w:rPr>
              <w:t>环</w:t>
            </w:r>
            <w:r>
              <w:rPr>
                <w:rFonts w:hint="eastAsia" w:hAnsi="Times New Roman"/>
                <w:color w:val="auto"/>
                <w:lang w:val="en-US" w:eastAsia="zh-CN"/>
              </w:rPr>
              <w:t>发</w:t>
            </w:r>
            <w:r>
              <w:rPr>
                <w:rFonts w:hint="eastAsia"/>
                <w:color w:val="auto"/>
                <w:lang w:val="en-US" w:eastAsia="zh-CN"/>
              </w:rPr>
              <w:t>〔2020〕</w:t>
            </w:r>
            <w:r>
              <w:rPr>
                <w:rFonts w:hint="eastAsia" w:hAnsi="Times New Roman"/>
                <w:color w:val="auto"/>
                <w:lang w:val="en-US" w:eastAsia="zh-CN"/>
              </w:rPr>
              <w:t>29</w:t>
            </w:r>
            <w:r>
              <w:rPr>
                <w:rFonts w:hint="eastAsia" w:hAnsi="Times New Roman"/>
                <w:color w:val="auto"/>
              </w:rPr>
              <w:t>号</w:t>
            </w:r>
            <w:r>
              <w:rPr>
                <w:rFonts w:hint="eastAsia" w:hAnsi="Times New Roman"/>
                <w:color w:val="auto"/>
                <w:lang w:eastAsia="zh-CN"/>
              </w:rPr>
              <w:t>；</w:t>
            </w:r>
            <w:r>
              <w:rPr>
                <w:rFonts w:hint="eastAsia" w:hAnsi="Times New Roman"/>
                <w:color w:val="auto"/>
                <w:lang w:val="en-US" w:eastAsia="zh-CN"/>
              </w:rPr>
              <w:t>于2022年1月15日进行了</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竣工环境保护验收，形成了验收意见</w:t>
            </w:r>
            <w:r>
              <w:rPr>
                <w:rFonts w:hint="eastAsia" w:hAnsi="Times New Roman"/>
                <w:color w:val="auto"/>
              </w:rPr>
              <w:t>。</w:t>
            </w:r>
          </w:p>
          <w:p w14:paraId="307D0E56">
            <w:pPr>
              <w:pStyle w:val="51"/>
              <w:ind w:firstLine="480"/>
              <w:rPr>
                <w:rFonts w:hint="default" w:ascii="Times New Roman" w:hAnsi="Times New Roman" w:eastAsia="宋体" w:cs="Times New Roman"/>
                <w:b/>
                <w:bCs/>
                <w:color w:val="auto"/>
                <w:lang w:val="en-US" w:eastAsia="zh-CN"/>
              </w:rPr>
            </w:pPr>
            <w:r>
              <w:rPr>
                <w:rFonts w:hint="eastAsia" w:cs="Times New Roman"/>
                <w:b/>
                <w:bCs/>
                <w:color w:val="auto"/>
                <w:lang w:val="en-US" w:eastAsia="zh-CN"/>
              </w:rPr>
              <w:t>2、现有项目基本情况</w:t>
            </w:r>
          </w:p>
          <w:p w14:paraId="652B9CB2">
            <w:pPr>
              <w:pStyle w:val="51"/>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根据</w:t>
            </w:r>
            <w:r>
              <w:rPr>
                <w:rFonts w:hint="eastAsia" w:cs="Times New Roman"/>
                <w:color w:val="auto"/>
                <w:lang w:eastAsia="zh-CN"/>
              </w:rPr>
              <w:t>《</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竣工环境保护验收监测报告表</w:t>
            </w:r>
            <w:r>
              <w:rPr>
                <w:rFonts w:hint="eastAsia" w:cs="Times New Roman"/>
                <w:color w:val="auto"/>
                <w:lang w:eastAsia="zh-CN"/>
              </w:rPr>
              <w:t>》：</w:t>
            </w:r>
            <w:r>
              <w:rPr>
                <w:rFonts w:hint="eastAsia" w:cs="Times New Roman"/>
                <w:color w:val="auto"/>
                <w:lang w:val="en-US" w:eastAsia="zh-CN"/>
              </w:rPr>
              <w:t>现有项目建设面积10000m</w:t>
            </w:r>
            <w:r>
              <w:rPr>
                <w:rFonts w:hint="eastAsia" w:cs="Times New Roman"/>
                <w:color w:val="auto"/>
                <w:vertAlign w:val="superscript"/>
                <w:lang w:val="en-US" w:eastAsia="zh-CN"/>
              </w:rPr>
              <w:t>2</w:t>
            </w:r>
            <w:r>
              <w:rPr>
                <w:rFonts w:hint="eastAsia" w:cs="Times New Roman"/>
                <w:color w:val="auto"/>
                <w:lang w:val="en-US" w:eastAsia="zh-CN"/>
              </w:rPr>
              <w:t>，年回收3万吨废旧包装物（矿泉水瓶、饮料瓶、油瓶），建设破碎洗涤生产线及相应环保设施，年生产碎塑料3万吨。主要建设内容包括主体工程、储运工程、辅助工程、公用工程和环保工程，现有项目工程组成一览表见表2-9。</w:t>
            </w:r>
          </w:p>
          <w:p w14:paraId="6638328F">
            <w:pPr>
              <w:pStyle w:val="52"/>
              <w:bidi w:val="0"/>
              <w:rPr>
                <w:rFonts w:hint="default"/>
                <w:color w:val="auto"/>
                <w:lang w:val="en-US" w:eastAsia="zh-CN"/>
              </w:rPr>
            </w:pPr>
            <w:r>
              <w:rPr>
                <w:rFonts w:hint="eastAsia"/>
                <w:color w:val="auto"/>
                <w:lang w:val="en-US" w:eastAsia="zh-CN"/>
              </w:rPr>
              <w:t>表2-9     现有项目工程组成一览表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1063"/>
              <w:gridCol w:w="6277"/>
            </w:tblGrid>
            <w:tr w14:paraId="2951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0766DCC7">
                  <w:pPr>
                    <w:pStyle w:val="53"/>
                    <w:bidi w:val="0"/>
                    <w:jc w:val="center"/>
                    <w:rPr>
                      <w:rFonts w:hint="default" w:eastAsia="宋体"/>
                      <w:color w:val="auto"/>
                      <w:lang w:val="en-US" w:eastAsia="zh-CN"/>
                    </w:rPr>
                  </w:pPr>
                  <w:r>
                    <w:rPr>
                      <w:rFonts w:hint="eastAsia"/>
                      <w:color w:val="auto"/>
                      <w:lang w:val="en-US" w:eastAsia="zh-CN"/>
                    </w:rPr>
                    <w:t>项目组成</w:t>
                  </w:r>
                </w:p>
              </w:tc>
              <w:tc>
                <w:tcPr>
                  <w:tcW w:w="1063" w:type="dxa"/>
                  <w:vAlign w:val="center"/>
                </w:tcPr>
                <w:p w14:paraId="1D13DE8F">
                  <w:pPr>
                    <w:pStyle w:val="53"/>
                    <w:bidi w:val="0"/>
                    <w:jc w:val="center"/>
                    <w:rPr>
                      <w:rFonts w:hint="default" w:eastAsia="宋体"/>
                      <w:color w:val="auto"/>
                      <w:lang w:val="en-US" w:eastAsia="zh-CN"/>
                    </w:rPr>
                  </w:pPr>
                  <w:r>
                    <w:rPr>
                      <w:rFonts w:hint="eastAsia"/>
                      <w:color w:val="auto"/>
                      <w:lang w:val="en-US" w:eastAsia="zh-CN"/>
                    </w:rPr>
                    <w:t>工程内容</w:t>
                  </w:r>
                </w:p>
              </w:tc>
              <w:tc>
                <w:tcPr>
                  <w:tcW w:w="6277" w:type="dxa"/>
                  <w:vAlign w:val="center"/>
                </w:tcPr>
                <w:p w14:paraId="4366820B">
                  <w:pPr>
                    <w:pStyle w:val="53"/>
                    <w:bidi w:val="0"/>
                    <w:jc w:val="center"/>
                    <w:rPr>
                      <w:rFonts w:hint="default" w:eastAsia="宋体"/>
                      <w:color w:val="auto"/>
                      <w:lang w:val="en-US" w:eastAsia="zh-CN"/>
                    </w:rPr>
                  </w:pPr>
                  <w:r>
                    <w:rPr>
                      <w:rFonts w:hint="eastAsia"/>
                      <w:color w:val="auto"/>
                      <w:lang w:val="en-US" w:eastAsia="zh-CN"/>
                    </w:rPr>
                    <w:t>建设情况</w:t>
                  </w:r>
                </w:p>
              </w:tc>
            </w:tr>
            <w:tr w14:paraId="334D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Align w:val="center"/>
                </w:tcPr>
                <w:p w14:paraId="7003469E">
                  <w:pPr>
                    <w:pStyle w:val="53"/>
                    <w:bidi w:val="0"/>
                    <w:jc w:val="center"/>
                    <w:rPr>
                      <w:rFonts w:hint="default"/>
                      <w:color w:val="auto"/>
                    </w:rPr>
                  </w:pPr>
                  <w:r>
                    <w:rPr>
                      <w:color w:val="auto"/>
                    </w:rPr>
                    <w:t>主体工程</w:t>
                  </w:r>
                </w:p>
              </w:tc>
              <w:tc>
                <w:tcPr>
                  <w:tcW w:w="1063" w:type="dxa"/>
                  <w:vAlign w:val="center"/>
                </w:tcPr>
                <w:p w14:paraId="0696114E">
                  <w:pPr>
                    <w:pStyle w:val="53"/>
                    <w:bidi w:val="0"/>
                    <w:jc w:val="center"/>
                    <w:rPr>
                      <w:rFonts w:hint="default"/>
                      <w:color w:val="auto"/>
                    </w:rPr>
                  </w:pPr>
                  <w:r>
                    <w:rPr>
                      <w:color w:val="auto"/>
                    </w:rPr>
                    <w:t>生产车间</w:t>
                  </w:r>
                </w:p>
              </w:tc>
              <w:tc>
                <w:tcPr>
                  <w:tcW w:w="6277" w:type="dxa"/>
                  <w:vAlign w:val="center"/>
                </w:tcPr>
                <w:p w14:paraId="57204560">
                  <w:pPr>
                    <w:pStyle w:val="53"/>
                    <w:bidi w:val="0"/>
                    <w:rPr>
                      <w:rFonts w:hint="default"/>
                      <w:color w:val="auto"/>
                    </w:rPr>
                  </w:pPr>
                  <w:r>
                    <w:rPr>
                      <w:color w:val="auto"/>
                    </w:rPr>
                    <w:t>位于项目区西部， 占地面积约 800m</w:t>
                  </w:r>
                  <w:r>
                    <w:rPr>
                      <w:color w:val="auto"/>
                      <w:vertAlign w:val="superscript"/>
                    </w:rPr>
                    <w:t>2</w:t>
                  </w:r>
                  <w:r>
                    <w:rPr>
                      <w:color w:val="auto"/>
                    </w:rPr>
                    <w:t xml:space="preserve"> ，水泥硬化地面，封闭彩钢瓦大棚（生产车间、成品堆场位于一个封闭彩钢瓦大棚内，仅留出入口，其余各面均用彩钢瓦进行围挡，钢结构），布设有破碎机、清洗设备、清洗搅拌推移设备、塑料甩干机等，原料堆场设置于半封闭大棚内。</w:t>
                  </w:r>
                </w:p>
              </w:tc>
            </w:tr>
            <w:tr w14:paraId="0DEA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14:paraId="2AF04808">
                  <w:pPr>
                    <w:pStyle w:val="53"/>
                    <w:bidi w:val="0"/>
                    <w:jc w:val="center"/>
                    <w:rPr>
                      <w:rFonts w:hint="default"/>
                      <w:color w:val="auto"/>
                    </w:rPr>
                  </w:pPr>
                  <w:r>
                    <w:rPr>
                      <w:color w:val="auto"/>
                    </w:rPr>
                    <w:t>储运工程</w:t>
                  </w:r>
                </w:p>
              </w:tc>
              <w:tc>
                <w:tcPr>
                  <w:tcW w:w="1063" w:type="dxa"/>
                  <w:vAlign w:val="center"/>
                </w:tcPr>
                <w:p w14:paraId="61AF8FF4">
                  <w:pPr>
                    <w:pStyle w:val="53"/>
                    <w:bidi w:val="0"/>
                    <w:jc w:val="center"/>
                    <w:rPr>
                      <w:rFonts w:hint="eastAsia"/>
                      <w:color w:val="auto"/>
                      <w:lang w:val="en-US" w:eastAsia="zh-CN"/>
                    </w:rPr>
                  </w:pPr>
                  <w:r>
                    <w:rPr>
                      <w:rFonts w:hint="eastAsia"/>
                      <w:color w:val="auto"/>
                      <w:lang w:val="en-US" w:eastAsia="zh-CN"/>
                    </w:rPr>
                    <w:t>原</w:t>
                  </w:r>
                  <w:r>
                    <w:rPr>
                      <w:color w:val="auto"/>
                    </w:rPr>
                    <w:t>料</w:t>
                  </w:r>
                  <w:r>
                    <w:rPr>
                      <w:rFonts w:hint="eastAsia"/>
                      <w:color w:val="auto"/>
                      <w:lang w:val="en-US" w:eastAsia="zh-CN"/>
                    </w:rPr>
                    <w:t>堆场</w:t>
                  </w:r>
                </w:p>
              </w:tc>
              <w:tc>
                <w:tcPr>
                  <w:tcW w:w="6277" w:type="dxa"/>
                  <w:vAlign w:val="center"/>
                </w:tcPr>
                <w:p w14:paraId="5FBCCD7E">
                  <w:pPr>
                    <w:pStyle w:val="53"/>
                    <w:bidi w:val="0"/>
                    <w:rPr>
                      <w:rFonts w:hint="default"/>
                      <w:color w:val="auto"/>
                    </w:rPr>
                  </w:pPr>
                  <w:r>
                    <w:rPr>
                      <w:color w:val="auto"/>
                    </w:rPr>
                    <w:t>位于项目区南部</w:t>
                  </w:r>
                  <w:r>
                    <w:rPr>
                      <w:rFonts w:hint="eastAsia"/>
                      <w:color w:val="auto"/>
                      <w:lang w:eastAsia="zh-CN"/>
                    </w:rPr>
                    <w:t>，</w:t>
                  </w:r>
                  <w:r>
                    <w:rPr>
                      <w:color w:val="auto"/>
                    </w:rPr>
                    <w:t>占地面积约 600m</w:t>
                  </w:r>
                  <w:r>
                    <w:rPr>
                      <w:color w:val="auto"/>
                      <w:vertAlign w:val="superscript"/>
                    </w:rPr>
                    <w:t>2</w:t>
                  </w:r>
                  <w:r>
                    <w:rPr>
                      <w:color w:val="auto"/>
                    </w:rPr>
                    <w:t>，水泥硬化地面，封闭彩钢瓦大棚（生产车间、成品堆场位于一个封闭彩钢瓦大棚内，仅留出入口，其余各面均用彩钢瓦进行围挡</w:t>
                  </w:r>
                  <w:r>
                    <w:rPr>
                      <w:rFonts w:hint="eastAsia"/>
                      <w:color w:val="auto"/>
                      <w:lang w:eastAsia="zh-CN"/>
                    </w:rPr>
                    <w:t>，</w:t>
                  </w:r>
                  <w:r>
                    <w:rPr>
                      <w:color w:val="auto"/>
                    </w:rPr>
                    <w:t>钢结构），原料堆场设置于半封闭大棚内。</w:t>
                  </w:r>
                </w:p>
              </w:tc>
            </w:tr>
            <w:tr w14:paraId="4DD4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6F0C85C1">
                  <w:pPr>
                    <w:pStyle w:val="53"/>
                    <w:bidi w:val="0"/>
                    <w:jc w:val="center"/>
                    <w:rPr>
                      <w:rFonts w:hint="default"/>
                      <w:color w:val="auto"/>
                    </w:rPr>
                  </w:pPr>
                </w:p>
              </w:tc>
              <w:tc>
                <w:tcPr>
                  <w:tcW w:w="1063" w:type="dxa"/>
                  <w:vAlign w:val="center"/>
                </w:tcPr>
                <w:p w14:paraId="18A885A7">
                  <w:pPr>
                    <w:pStyle w:val="53"/>
                    <w:bidi w:val="0"/>
                    <w:jc w:val="center"/>
                    <w:rPr>
                      <w:rFonts w:hint="default"/>
                      <w:color w:val="auto"/>
                    </w:rPr>
                  </w:pPr>
                  <w:r>
                    <w:rPr>
                      <w:color w:val="auto"/>
                    </w:rPr>
                    <w:t>成品堆 场</w:t>
                  </w:r>
                </w:p>
              </w:tc>
              <w:tc>
                <w:tcPr>
                  <w:tcW w:w="6277" w:type="dxa"/>
                  <w:vAlign w:val="center"/>
                </w:tcPr>
                <w:p w14:paraId="1CE2940F">
                  <w:pPr>
                    <w:pStyle w:val="53"/>
                    <w:bidi w:val="0"/>
                    <w:rPr>
                      <w:rFonts w:hint="default"/>
                      <w:color w:val="auto"/>
                    </w:rPr>
                  </w:pPr>
                  <w:r>
                    <w:rPr>
                      <w:color w:val="auto"/>
                    </w:rPr>
                    <w:t>位于项目区北部</w:t>
                  </w:r>
                  <w:r>
                    <w:rPr>
                      <w:rFonts w:hint="eastAsia"/>
                      <w:color w:val="auto"/>
                      <w:lang w:eastAsia="zh-CN"/>
                    </w:rPr>
                    <w:t>，</w:t>
                  </w:r>
                  <w:r>
                    <w:rPr>
                      <w:color w:val="auto"/>
                    </w:rPr>
                    <w:t>占地面积约 600m</w:t>
                  </w:r>
                  <w:r>
                    <w:rPr>
                      <w:color w:val="auto"/>
                      <w:vertAlign w:val="superscript"/>
                    </w:rPr>
                    <w:t>2</w:t>
                  </w:r>
                  <w:r>
                    <w:rPr>
                      <w:color w:val="auto"/>
                    </w:rPr>
                    <w:t>，水泥硬化地面，封闭彩钢瓦大棚（生产车间、成品堆场位于一个封闭彩钢瓦大棚内，仅留出入口，其余各面均用彩钢瓦进行围挡，钢结构），用于碎塑料成品堆放</w:t>
                  </w:r>
                  <w:r>
                    <w:rPr>
                      <w:rFonts w:hint="eastAsia"/>
                      <w:color w:val="auto"/>
                      <w:lang w:eastAsia="zh-CN"/>
                    </w:rPr>
                    <w:t>；</w:t>
                  </w:r>
                  <w:r>
                    <w:rPr>
                      <w:color w:val="auto"/>
                    </w:rPr>
                    <w:t>原料堆场设置于半封闭大棚内。</w:t>
                  </w:r>
                </w:p>
              </w:tc>
            </w:tr>
            <w:tr w14:paraId="1A8D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42A7ECAD">
                  <w:pPr>
                    <w:pStyle w:val="53"/>
                    <w:bidi w:val="0"/>
                    <w:jc w:val="center"/>
                    <w:rPr>
                      <w:rFonts w:hint="default"/>
                      <w:color w:val="auto"/>
                    </w:rPr>
                  </w:pPr>
                </w:p>
              </w:tc>
              <w:tc>
                <w:tcPr>
                  <w:tcW w:w="1063" w:type="dxa"/>
                  <w:vAlign w:val="center"/>
                </w:tcPr>
                <w:p w14:paraId="4A416B39">
                  <w:pPr>
                    <w:pStyle w:val="53"/>
                    <w:bidi w:val="0"/>
                    <w:jc w:val="center"/>
                    <w:rPr>
                      <w:color w:val="auto"/>
                    </w:rPr>
                  </w:pPr>
                  <w:r>
                    <w:rPr>
                      <w:color w:val="auto"/>
                    </w:rPr>
                    <w:t>运输道</w:t>
                  </w:r>
                </w:p>
                <w:p w14:paraId="5EC836A9">
                  <w:pPr>
                    <w:pStyle w:val="53"/>
                    <w:bidi w:val="0"/>
                    <w:jc w:val="center"/>
                    <w:rPr>
                      <w:rFonts w:hint="default"/>
                      <w:color w:val="auto"/>
                    </w:rPr>
                  </w:pPr>
                  <w:r>
                    <w:rPr>
                      <w:color w:val="auto"/>
                    </w:rPr>
                    <w:t>路</w:t>
                  </w:r>
                </w:p>
              </w:tc>
              <w:tc>
                <w:tcPr>
                  <w:tcW w:w="6277" w:type="dxa"/>
                  <w:vAlign w:val="center"/>
                </w:tcPr>
                <w:p w14:paraId="7CFEEB70">
                  <w:pPr>
                    <w:pStyle w:val="53"/>
                    <w:bidi w:val="0"/>
                    <w:rPr>
                      <w:rFonts w:hint="default"/>
                      <w:color w:val="auto"/>
                    </w:rPr>
                  </w:pPr>
                  <w:r>
                    <w:rPr>
                      <w:color w:val="auto"/>
                    </w:rPr>
                    <w:t>水泥硬化道路，长约50m，宽5m ，用于项目原料及成品运输。</w:t>
                  </w:r>
                </w:p>
              </w:tc>
            </w:tr>
            <w:tr w14:paraId="462A0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14:paraId="03059CCE">
                  <w:pPr>
                    <w:pStyle w:val="53"/>
                    <w:bidi w:val="0"/>
                    <w:rPr>
                      <w:color w:val="auto"/>
                    </w:rPr>
                  </w:pPr>
                  <w:r>
                    <w:rPr>
                      <w:color w:val="auto"/>
                    </w:rPr>
                    <w:t>辅助</w:t>
                  </w:r>
                </w:p>
                <w:p w14:paraId="7953DFD6">
                  <w:pPr>
                    <w:pStyle w:val="53"/>
                    <w:bidi w:val="0"/>
                    <w:rPr>
                      <w:rFonts w:hint="default"/>
                      <w:color w:val="auto"/>
                    </w:rPr>
                  </w:pPr>
                  <w:r>
                    <w:rPr>
                      <w:color w:val="auto"/>
                    </w:rPr>
                    <w:t>工程</w:t>
                  </w:r>
                </w:p>
              </w:tc>
              <w:tc>
                <w:tcPr>
                  <w:tcW w:w="1063" w:type="dxa"/>
                  <w:vAlign w:val="center"/>
                </w:tcPr>
                <w:p w14:paraId="07F64175">
                  <w:pPr>
                    <w:pStyle w:val="53"/>
                    <w:bidi w:val="0"/>
                    <w:jc w:val="center"/>
                    <w:rPr>
                      <w:rFonts w:hint="default"/>
                      <w:color w:val="auto"/>
                    </w:rPr>
                  </w:pPr>
                  <w:r>
                    <w:rPr>
                      <w:color w:val="auto"/>
                    </w:rPr>
                    <w:t>办</w:t>
                  </w:r>
                  <w:r>
                    <w:rPr>
                      <w:rFonts w:hint="eastAsia"/>
                      <w:color w:val="auto"/>
                      <w:lang w:val="en-US" w:eastAsia="zh-CN"/>
                    </w:rPr>
                    <w:t>公</w:t>
                  </w:r>
                  <w:r>
                    <w:rPr>
                      <w:color w:val="auto"/>
                    </w:rPr>
                    <w:t>生 活区</w:t>
                  </w:r>
                </w:p>
              </w:tc>
              <w:tc>
                <w:tcPr>
                  <w:tcW w:w="6277" w:type="dxa"/>
                  <w:vAlign w:val="center"/>
                </w:tcPr>
                <w:p w14:paraId="1339DDCF">
                  <w:pPr>
                    <w:pStyle w:val="53"/>
                    <w:bidi w:val="0"/>
                    <w:rPr>
                      <w:rFonts w:hint="default"/>
                      <w:color w:val="auto"/>
                    </w:rPr>
                  </w:pPr>
                  <w:r>
                    <w:rPr>
                      <w:color w:val="auto"/>
                    </w:rPr>
                    <w:t>租用平板玻璃厂已建房屋作为办公生活区，用于日常办公接待。</w:t>
                  </w:r>
                </w:p>
              </w:tc>
            </w:tr>
            <w:tr w14:paraId="6AD9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1B1DC80E">
                  <w:pPr>
                    <w:pStyle w:val="53"/>
                    <w:bidi w:val="0"/>
                    <w:jc w:val="center"/>
                    <w:rPr>
                      <w:rFonts w:hint="default"/>
                      <w:color w:val="auto"/>
                    </w:rPr>
                  </w:pPr>
                </w:p>
              </w:tc>
              <w:tc>
                <w:tcPr>
                  <w:tcW w:w="1063" w:type="dxa"/>
                  <w:vAlign w:val="center"/>
                </w:tcPr>
                <w:p w14:paraId="708951F0">
                  <w:pPr>
                    <w:pStyle w:val="53"/>
                    <w:bidi w:val="0"/>
                    <w:jc w:val="center"/>
                    <w:rPr>
                      <w:rFonts w:hint="default"/>
                      <w:color w:val="auto"/>
                    </w:rPr>
                  </w:pPr>
                  <w:r>
                    <w:rPr>
                      <w:color w:val="auto"/>
                    </w:rPr>
                    <w:t>水冲厕 所</w:t>
                  </w:r>
                </w:p>
              </w:tc>
              <w:tc>
                <w:tcPr>
                  <w:tcW w:w="6277" w:type="dxa"/>
                  <w:vAlign w:val="center"/>
                </w:tcPr>
                <w:p w14:paraId="0847FCE4">
                  <w:pPr>
                    <w:pStyle w:val="53"/>
                    <w:bidi w:val="0"/>
                    <w:jc w:val="center"/>
                    <w:rPr>
                      <w:rFonts w:hint="default"/>
                      <w:color w:val="auto"/>
                    </w:rPr>
                  </w:pPr>
                  <w:r>
                    <w:rPr>
                      <w:color w:val="auto"/>
                    </w:rPr>
                    <w:t>位于项目区西南部，占地面积20m</w:t>
                  </w:r>
                  <w:r>
                    <w:rPr>
                      <w:color w:val="auto"/>
                      <w:vertAlign w:val="superscript"/>
                    </w:rPr>
                    <w:t>2</w:t>
                  </w:r>
                  <w:r>
                    <w:rPr>
                      <w:color w:val="auto"/>
                    </w:rPr>
                    <w:t>，砖混结构。</w:t>
                  </w:r>
                </w:p>
              </w:tc>
            </w:tr>
            <w:tr w14:paraId="50E0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 w:type="dxa"/>
                  <w:vMerge w:val="restart"/>
                  <w:vAlign w:val="center"/>
                </w:tcPr>
                <w:p w14:paraId="736C9D83">
                  <w:pPr>
                    <w:pStyle w:val="53"/>
                    <w:bidi w:val="0"/>
                    <w:jc w:val="center"/>
                    <w:rPr>
                      <w:rFonts w:hint="eastAsia" w:eastAsia="宋体"/>
                      <w:color w:val="auto"/>
                      <w:lang w:val="en-US" w:eastAsia="zh-CN"/>
                    </w:rPr>
                  </w:pPr>
                  <w:r>
                    <w:rPr>
                      <w:rFonts w:hint="eastAsia"/>
                      <w:color w:val="auto"/>
                      <w:lang w:val="en-US" w:eastAsia="zh-CN"/>
                    </w:rPr>
                    <w:t>共用工程</w:t>
                  </w:r>
                </w:p>
              </w:tc>
              <w:tc>
                <w:tcPr>
                  <w:tcW w:w="1063" w:type="dxa"/>
                  <w:vAlign w:val="center"/>
                </w:tcPr>
                <w:p w14:paraId="4C4AD901">
                  <w:pPr>
                    <w:pStyle w:val="53"/>
                    <w:bidi w:val="0"/>
                    <w:jc w:val="center"/>
                    <w:rPr>
                      <w:rFonts w:hint="default" w:eastAsia="宋体"/>
                      <w:color w:val="auto"/>
                      <w:lang w:val="en-US" w:eastAsia="zh-CN"/>
                    </w:rPr>
                  </w:pPr>
                  <w:r>
                    <w:rPr>
                      <w:rFonts w:hint="eastAsia"/>
                      <w:color w:val="auto"/>
                      <w:lang w:val="en-US" w:eastAsia="zh-CN"/>
                    </w:rPr>
                    <w:t>给水工程</w:t>
                  </w:r>
                </w:p>
              </w:tc>
              <w:tc>
                <w:tcPr>
                  <w:tcW w:w="6277" w:type="dxa"/>
                  <w:vAlign w:val="center"/>
                </w:tcPr>
                <w:p w14:paraId="2B8A5CFE">
                  <w:pPr>
                    <w:pStyle w:val="53"/>
                    <w:bidi w:val="0"/>
                    <w:rPr>
                      <w:rFonts w:hint="default"/>
                      <w:color w:val="auto"/>
                    </w:rPr>
                  </w:pPr>
                  <w:r>
                    <w:rPr>
                      <w:color w:val="auto"/>
                    </w:rPr>
                    <w:t>生活用水均为自来水，生产用水改建原平板玻璃厂的水池收集大棚顶部雨水利用，容积为 210m</w:t>
                  </w:r>
                  <w:r>
                    <w:rPr>
                      <w:color w:val="auto"/>
                      <w:vertAlign w:val="superscript"/>
                    </w:rPr>
                    <w:t>3</w:t>
                  </w:r>
                  <w:r>
                    <w:rPr>
                      <w:color w:val="auto"/>
                    </w:rPr>
                    <w:t>（15m</w:t>
                  </w:r>
                  <w:r>
                    <w:rPr>
                      <w:rFonts w:hint="eastAsia"/>
                      <w:color w:val="auto"/>
                    </w:rPr>
                    <w:t>×</w:t>
                  </w:r>
                  <w:r>
                    <w:rPr>
                      <w:color w:val="auto"/>
                    </w:rPr>
                    <w:t>10m</w:t>
                  </w:r>
                  <w:r>
                    <w:rPr>
                      <w:rFonts w:hint="eastAsia"/>
                      <w:color w:val="auto"/>
                    </w:rPr>
                    <w:t>×</w:t>
                  </w:r>
                  <w:r>
                    <w:rPr>
                      <w:color w:val="auto"/>
                    </w:rPr>
                    <w:t>1.4m）</w:t>
                  </w:r>
                  <w:r>
                    <w:rPr>
                      <w:rFonts w:hint="eastAsia"/>
                      <w:color w:val="auto"/>
                      <w:lang w:eastAsia="zh-CN"/>
                    </w:rPr>
                    <w:t>，</w:t>
                  </w:r>
                  <w:r>
                    <w:rPr>
                      <w:color w:val="auto"/>
                    </w:rPr>
                    <w:t>旱季降雨较少情况下由自来水供应。</w:t>
                  </w:r>
                </w:p>
              </w:tc>
            </w:tr>
            <w:tr w14:paraId="2603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06A244AA">
                  <w:pPr>
                    <w:pStyle w:val="53"/>
                    <w:bidi w:val="0"/>
                    <w:jc w:val="center"/>
                    <w:rPr>
                      <w:rFonts w:hint="default"/>
                      <w:color w:val="auto"/>
                    </w:rPr>
                  </w:pPr>
                </w:p>
              </w:tc>
              <w:tc>
                <w:tcPr>
                  <w:tcW w:w="1063" w:type="dxa"/>
                  <w:vAlign w:val="center"/>
                </w:tcPr>
                <w:p w14:paraId="4DCED9B3">
                  <w:pPr>
                    <w:pStyle w:val="53"/>
                    <w:bidi w:val="0"/>
                    <w:jc w:val="center"/>
                    <w:rPr>
                      <w:rFonts w:hint="eastAsia"/>
                      <w:color w:val="auto"/>
                      <w:lang w:val="en-US" w:eastAsia="zh-CN"/>
                    </w:rPr>
                  </w:pPr>
                  <w:r>
                    <w:rPr>
                      <w:rFonts w:hint="eastAsia"/>
                      <w:color w:val="auto"/>
                      <w:lang w:val="en-US" w:eastAsia="zh-CN"/>
                    </w:rPr>
                    <w:t>供电</w:t>
                  </w:r>
                </w:p>
              </w:tc>
              <w:tc>
                <w:tcPr>
                  <w:tcW w:w="6277" w:type="dxa"/>
                  <w:vAlign w:val="center"/>
                </w:tcPr>
                <w:p w14:paraId="160B1856">
                  <w:pPr>
                    <w:pStyle w:val="53"/>
                    <w:bidi w:val="0"/>
                    <w:rPr>
                      <w:rFonts w:hint="default"/>
                      <w:color w:val="auto"/>
                    </w:rPr>
                  </w:pPr>
                  <w:r>
                    <w:rPr>
                      <w:color w:val="auto"/>
                    </w:rPr>
                    <w:t>越州镇老吴村委会电网供给。</w:t>
                  </w:r>
                </w:p>
              </w:tc>
            </w:tr>
            <w:tr w14:paraId="5B31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restart"/>
                  <w:vAlign w:val="center"/>
                </w:tcPr>
                <w:p w14:paraId="3AE88045">
                  <w:pPr>
                    <w:pStyle w:val="53"/>
                    <w:bidi w:val="0"/>
                    <w:jc w:val="center"/>
                    <w:rPr>
                      <w:rFonts w:hint="eastAsia" w:eastAsia="宋体"/>
                      <w:color w:val="auto"/>
                      <w:lang w:val="en-US" w:eastAsia="zh-CN"/>
                    </w:rPr>
                  </w:pPr>
                  <w:r>
                    <w:rPr>
                      <w:rFonts w:hint="eastAsia"/>
                      <w:color w:val="auto"/>
                      <w:lang w:val="en-US" w:eastAsia="zh-CN"/>
                    </w:rPr>
                    <w:t>环保工程</w:t>
                  </w:r>
                </w:p>
              </w:tc>
              <w:tc>
                <w:tcPr>
                  <w:tcW w:w="1063" w:type="dxa"/>
                  <w:vAlign w:val="center"/>
                </w:tcPr>
                <w:p w14:paraId="5872B74B">
                  <w:pPr>
                    <w:pStyle w:val="53"/>
                    <w:bidi w:val="0"/>
                    <w:jc w:val="center"/>
                    <w:rPr>
                      <w:rFonts w:hint="eastAsia"/>
                      <w:color w:val="auto"/>
                      <w:lang w:val="en-US" w:eastAsia="zh-CN"/>
                    </w:rPr>
                  </w:pPr>
                  <w:r>
                    <w:rPr>
                      <w:rFonts w:hint="eastAsia"/>
                      <w:color w:val="auto"/>
                      <w:lang w:val="en-US" w:eastAsia="zh-CN"/>
                    </w:rPr>
                    <w:t>雨污分流</w:t>
                  </w:r>
                </w:p>
              </w:tc>
              <w:tc>
                <w:tcPr>
                  <w:tcW w:w="6277" w:type="dxa"/>
                  <w:vAlign w:val="center"/>
                </w:tcPr>
                <w:p w14:paraId="5436BC42">
                  <w:pPr>
                    <w:pStyle w:val="53"/>
                    <w:bidi w:val="0"/>
                    <w:rPr>
                      <w:rFonts w:hint="default"/>
                      <w:color w:val="auto"/>
                    </w:rPr>
                  </w:pPr>
                  <w:r>
                    <w:rPr>
                      <w:color w:val="auto"/>
                    </w:rPr>
                    <w:t>实行雨污分流的排水体制，项目区四周设置截排水沟阻止项目区外围雨水进入项目区；大棚边缘设置宽25cm，深15cm的雨水收集槽收集大棚雨水后经直径30cm的雨水管引至雨水收集池回用于生产。粗洗废水收集处理后回用，生活污水进入化粪池，最终委托周边村民清掏用作农肥，不外排。</w:t>
                  </w:r>
                </w:p>
              </w:tc>
            </w:tr>
            <w:tr w14:paraId="4D518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6FAE5510">
                  <w:pPr>
                    <w:pStyle w:val="53"/>
                    <w:bidi w:val="0"/>
                    <w:jc w:val="center"/>
                    <w:rPr>
                      <w:rFonts w:hint="default"/>
                      <w:color w:val="auto"/>
                    </w:rPr>
                  </w:pPr>
                </w:p>
              </w:tc>
              <w:tc>
                <w:tcPr>
                  <w:tcW w:w="1063" w:type="dxa"/>
                  <w:vAlign w:val="center"/>
                </w:tcPr>
                <w:p w14:paraId="1772DB36">
                  <w:pPr>
                    <w:pStyle w:val="53"/>
                    <w:bidi w:val="0"/>
                    <w:jc w:val="center"/>
                    <w:rPr>
                      <w:rFonts w:hint="default"/>
                      <w:color w:val="auto"/>
                      <w:lang w:val="en-US" w:eastAsia="zh-CN"/>
                    </w:rPr>
                  </w:pPr>
                  <w:r>
                    <w:rPr>
                      <w:rFonts w:hint="eastAsia"/>
                      <w:color w:val="auto"/>
                      <w:lang w:val="en-US" w:eastAsia="zh-CN"/>
                    </w:rPr>
                    <w:t>生活污水收集</w:t>
                  </w:r>
                </w:p>
              </w:tc>
              <w:tc>
                <w:tcPr>
                  <w:tcW w:w="6277" w:type="dxa"/>
                  <w:vAlign w:val="center"/>
                </w:tcPr>
                <w:p w14:paraId="21EE9BF3">
                  <w:pPr>
                    <w:pStyle w:val="53"/>
                    <w:bidi w:val="0"/>
                    <w:rPr>
                      <w:rFonts w:hint="default"/>
                      <w:color w:val="auto"/>
                    </w:rPr>
                  </w:pPr>
                  <w:r>
                    <w:rPr>
                      <w:color w:val="auto"/>
                    </w:rPr>
                    <w:t>设置水冲厕所，水冲厕旁设容积为7.5m</w:t>
                  </w:r>
                  <w:r>
                    <w:rPr>
                      <w:color w:val="auto"/>
                      <w:vertAlign w:val="superscript"/>
                    </w:rPr>
                    <w:t>3</w:t>
                  </w:r>
                  <w:r>
                    <w:rPr>
                      <w:color w:val="auto"/>
                    </w:rPr>
                    <w:t>（3m</w:t>
                  </w:r>
                  <w:r>
                    <w:rPr>
                      <w:rFonts w:hint="eastAsia"/>
                      <w:color w:val="auto"/>
                    </w:rPr>
                    <w:t>×</w:t>
                  </w:r>
                  <w:r>
                    <w:rPr>
                      <w:color w:val="auto"/>
                    </w:rPr>
                    <w:t>2.5m</w:t>
                  </w:r>
                  <w:r>
                    <w:rPr>
                      <w:rFonts w:hint="eastAsia"/>
                      <w:color w:val="auto"/>
                    </w:rPr>
                    <w:t>×</w:t>
                  </w:r>
                  <w:r>
                    <w:rPr>
                      <w:color w:val="auto"/>
                    </w:rPr>
                    <w:t>1m）的化粪池，防渗</w:t>
                  </w:r>
                  <w:r>
                    <w:rPr>
                      <w:rFonts w:hint="eastAsia"/>
                      <w:color w:val="auto"/>
                      <w:lang w:eastAsia="zh-CN"/>
                    </w:rPr>
                    <w:t>、</w:t>
                  </w:r>
                  <w:r>
                    <w:rPr>
                      <w:color w:val="auto"/>
                    </w:rPr>
                    <w:t>砼结构；生活污水进入生活区东侧7.5m</w:t>
                  </w:r>
                  <w:r>
                    <w:rPr>
                      <w:color w:val="auto"/>
                      <w:vertAlign w:val="superscript"/>
                    </w:rPr>
                    <w:t>3</w:t>
                  </w:r>
                  <w:r>
                    <w:rPr>
                      <w:color w:val="auto"/>
                    </w:rPr>
                    <w:t>（3m</w:t>
                  </w:r>
                  <w:r>
                    <w:rPr>
                      <w:rFonts w:hint="eastAsia"/>
                      <w:color w:val="auto"/>
                    </w:rPr>
                    <w:t>×</w:t>
                  </w:r>
                  <w:r>
                    <w:rPr>
                      <w:color w:val="auto"/>
                    </w:rPr>
                    <w:t>2.5m</w:t>
                  </w:r>
                  <w:r>
                    <w:rPr>
                      <w:rFonts w:hint="eastAsia"/>
                      <w:color w:val="auto"/>
                    </w:rPr>
                    <w:t>×</w:t>
                  </w:r>
                  <w:r>
                    <w:rPr>
                      <w:color w:val="auto"/>
                    </w:rPr>
                    <w:t>1m）的化粪池；澡堂废水进入项目区西侧澡堂旁7.5m</w:t>
                  </w:r>
                  <w:r>
                    <w:rPr>
                      <w:color w:val="auto"/>
                      <w:vertAlign w:val="superscript"/>
                    </w:rPr>
                    <w:t>3</w:t>
                  </w:r>
                  <w:r>
                    <w:rPr>
                      <w:color w:val="auto"/>
                    </w:rPr>
                    <w:t>（3m</w:t>
                  </w:r>
                  <w:r>
                    <w:rPr>
                      <w:rFonts w:hint="eastAsia"/>
                      <w:color w:val="auto"/>
                    </w:rPr>
                    <w:t>×</w:t>
                  </w:r>
                  <w:r>
                    <w:rPr>
                      <w:color w:val="auto"/>
                    </w:rPr>
                    <w:t>2.5m</w:t>
                  </w:r>
                  <w:r>
                    <w:rPr>
                      <w:rFonts w:hint="eastAsia"/>
                      <w:color w:val="auto"/>
                    </w:rPr>
                    <w:t>×</w:t>
                  </w:r>
                  <w:r>
                    <w:rPr>
                      <w:color w:val="auto"/>
                    </w:rPr>
                    <w:t>1m）的化粪池，三个化粪池污泥最终委托周边村民清掏用作农肥，生活污水不外排。</w:t>
                  </w:r>
                </w:p>
              </w:tc>
            </w:tr>
            <w:tr w14:paraId="0A72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69273DF1">
                  <w:pPr>
                    <w:pStyle w:val="53"/>
                    <w:bidi w:val="0"/>
                    <w:jc w:val="center"/>
                    <w:rPr>
                      <w:rFonts w:hint="default"/>
                      <w:color w:val="auto"/>
                    </w:rPr>
                  </w:pPr>
                </w:p>
              </w:tc>
              <w:tc>
                <w:tcPr>
                  <w:tcW w:w="1063" w:type="dxa"/>
                  <w:vAlign w:val="center"/>
                </w:tcPr>
                <w:p w14:paraId="2AFC5E09">
                  <w:pPr>
                    <w:pStyle w:val="53"/>
                    <w:bidi w:val="0"/>
                    <w:jc w:val="center"/>
                    <w:rPr>
                      <w:rFonts w:hint="eastAsia"/>
                      <w:color w:val="auto"/>
                      <w:lang w:val="en-US" w:eastAsia="zh-CN"/>
                    </w:rPr>
                  </w:pPr>
                  <w:r>
                    <w:rPr>
                      <w:rFonts w:hint="eastAsia"/>
                      <w:color w:val="auto"/>
                      <w:lang w:val="en-US" w:eastAsia="zh-CN"/>
                    </w:rPr>
                    <w:t>污水处理站</w:t>
                  </w:r>
                </w:p>
              </w:tc>
              <w:tc>
                <w:tcPr>
                  <w:tcW w:w="6277" w:type="dxa"/>
                  <w:vAlign w:val="center"/>
                </w:tcPr>
                <w:p w14:paraId="2D4654ED">
                  <w:pPr>
                    <w:pStyle w:val="53"/>
                    <w:bidi w:val="0"/>
                    <w:jc w:val="center"/>
                    <w:rPr>
                      <w:rFonts w:hint="default"/>
                      <w:color w:val="auto"/>
                    </w:rPr>
                  </w:pPr>
                  <w:r>
                    <w:rPr>
                      <w:color w:val="auto"/>
                      <w:position w:val="1"/>
                      <w:sz w:val="21"/>
                      <w:szCs w:val="21"/>
                    </w:rPr>
                    <w:t>处理能力</w:t>
                  </w:r>
                  <w:r>
                    <w:rPr>
                      <w:color w:val="auto"/>
                      <w:spacing w:val="-36"/>
                      <w:position w:val="1"/>
                      <w:sz w:val="21"/>
                      <w:szCs w:val="21"/>
                    </w:rPr>
                    <w:t xml:space="preserve"> </w:t>
                  </w:r>
                  <w:r>
                    <w:rPr>
                      <w:rFonts w:ascii="Times New Roman" w:hAnsi="Times New Roman" w:eastAsia="Times New Roman" w:cs="Times New Roman"/>
                      <w:color w:val="auto"/>
                      <w:position w:val="1"/>
                      <w:sz w:val="21"/>
                      <w:szCs w:val="21"/>
                    </w:rPr>
                    <w:t>50m</w:t>
                  </w:r>
                  <w:r>
                    <w:rPr>
                      <w:rFonts w:ascii="Times New Roman" w:hAnsi="Times New Roman" w:eastAsia="Times New Roman" w:cs="Times New Roman"/>
                      <w:color w:val="auto"/>
                      <w:position w:val="7"/>
                      <w:sz w:val="21"/>
                      <w:szCs w:val="21"/>
                      <w:vertAlign w:val="superscript"/>
                    </w:rPr>
                    <w:t>3</w:t>
                  </w:r>
                  <w:r>
                    <w:rPr>
                      <w:rFonts w:ascii="Times New Roman" w:hAnsi="Times New Roman" w:eastAsia="Times New Roman" w:cs="Times New Roman"/>
                      <w:color w:val="auto"/>
                      <w:position w:val="1"/>
                      <w:sz w:val="21"/>
                      <w:szCs w:val="21"/>
                    </w:rPr>
                    <w:t>/d</w:t>
                  </w:r>
                  <w:r>
                    <w:rPr>
                      <w:color w:val="auto"/>
                      <w:position w:val="1"/>
                      <w:sz w:val="21"/>
                      <w:szCs w:val="21"/>
                    </w:rPr>
                    <w:t>（</w:t>
                  </w:r>
                  <w:r>
                    <w:rPr>
                      <w:rFonts w:ascii="Times New Roman" w:hAnsi="Times New Roman" w:eastAsia="Times New Roman" w:cs="Times New Roman"/>
                      <w:color w:val="auto"/>
                      <w:position w:val="1"/>
                      <w:sz w:val="21"/>
                      <w:szCs w:val="21"/>
                    </w:rPr>
                    <w:t>5m</w:t>
                  </w:r>
                  <w:r>
                    <w:rPr>
                      <w:rFonts w:ascii="Times New Roman" w:hAnsi="Times New Roman" w:eastAsia="Times New Roman" w:cs="Times New Roman"/>
                      <w:color w:val="auto"/>
                      <w:position w:val="7"/>
                      <w:sz w:val="21"/>
                      <w:szCs w:val="21"/>
                      <w:vertAlign w:val="superscript"/>
                    </w:rPr>
                    <w:t>3</w:t>
                  </w:r>
                  <w:r>
                    <w:rPr>
                      <w:rFonts w:ascii="Times New Roman" w:hAnsi="Times New Roman" w:eastAsia="Times New Roman" w:cs="Times New Roman"/>
                      <w:color w:val="auto"/>
                      <w:position w:val="1"/>
                      <w:sz w:val="21"/>
                      <w:szCs w:val="21"/>
                    </w:rPr>
                    <w:t>/h</w:t>
                  </w:r>
                  <w:r>
                    <w:rPr>
                      <w:color w:val="auto"/>
                      <w:spacing w:val="-40"/>
                      <w:position w:val="1"/>
                      <w:sz w:val="21"/>
                      <w:szCs w:val="21"/>
                    </w:rPr>
                    <w:t>），</w:t>
                  </w:r>
                  <w:r>
                    <w:rPr>
                      <w:color w:val="auto"/>
                      <w:spacing w:val="7"/>
                      <w:sz w:val="21"/>
                      <w:szCs w:val="21"/>
                    </w:rPr>
                    <w:t>处理工艺为</w:t>
                  </w:r>
                  <w:r>
                    <w:rPr>
                      <w:rFonts w:ascii="Times New Roman" w:hAnsi="Times New Roman" w:eastAsia="Times New Roman" w:cs="Times New Roman"/>
                      <w:color w:val="auto"/>
                      <w:spacing w:val="7"/>
                      <w:sz w:val="21"/>
                      <w:szCs w:val="21"/>
                    </w:rPr>
                    <w:t>“</w:t>
                  </w:r>
                  <w:r>
                    <w:rPr>
                      <w:color w:val="auto"/>
                      <w:spacing w:val="7"/>
                      <w:sz w:val="21"/>
                      <w:szCs w:val="21"/>
                    </w:rPr>
                    <w:t>三级沉淀</w:t>
                  </w:r>
                  <w:r>
                    <w:rPr>
                      <w:rFonts w:ascii="Times New Roman" w:hAnsi="Times New Roman" w:eastAsia="Times New Roman" w:cs="Times New Roman"/>
                      <w:color w:val="auto"/>
                      <w:spacing w:val="7"/>
                      <w:sz w:val="21"/>
                      <w:szCs w:val="21"/>
                    </w:rPr>
                    <w:t>+</w:t>
                  </w:r>
                  <w:r>
                    <w:rPr>
                      <w:color w:val="auto"/>
                      <w:spacing w:val="7"/>
                      <w:sz w:val="21"/>
                      <w:szCs w:val="21"/>
                    </w:rPr>
                    <w:t>溶</w:t>
                  </w:r>
                  <w:r>
                    <w:rPr>
                      <w:color w:val="auto"/>
                      <w:spacing w:val="5"/>
                      <w:sz w:val="21"/>
                      <w:szCs w:val="21"/>
                    </w:rPr>
                    <w:t>气气浮</w:t>
                  </w:r>
                  <w:r>
                    <w:rPr>
                      <w:rFonts w:ascii="Times New Roman" w:hAnsi="Times New Roman" w:eastAsia="Times New Roman" w:cs="Times New Roman"/>
                      <w:color w:val="auto"/>
                      <w:spacing w:val="5"/>
                      <w:sz w:val="21"/>
                      <w:szCs w:val="21"/>
                    </w:rPr>
                    <w:t>”</w:t>
                  </w:r>
                  <w:r>
                    <w:rPr>
                      <w:color w:val="auto"/>
                      <w:spacing w:val="5"/>
                      <w:sz w:val="21"/>
                      <w:szCs w:val="21"/>
                    </w:rPr>
                    <w:t>，设置回用水泵、</w:t>
                  </w:r>
                  <w:r>
                    <w:rPr>
                      <w:color w:val="auto"/>
                      <w:spacing w:val="8"/>
                      <w:sz w:val="21"/>
                      <w:szCs w:val="21"/>
                    </w:rPr>
                    <w:t>管道、格栅，污水处理设</w:t>
                  </w:r>
                  <w:r>
                    <w:rPr>
                      <w:color w:val="auto"/>
                      <w:spacing w:val="4"/>
                      <w:position w:val="1"/>
                      <w:sz w:val="21"/>
                      <w:szCs w:val="21"/>
                    </w:rPr>
                    <w:t>备，三级沉淀池</w:t>
                  </w:r>
                  <w:r>
                    <w:rPr>
                      <w:rFonts w:ascii="Times New Roman" w:hAnsi="Times New Roman" w:eastAsia="Times New Roman" w:cs="Times New Roman"/>
                      <w:color w:val="auto"/>
                      <w:spacing w:val="4"/>
                      <w:position w:val="1"/>
                      <w:sz w:val="21"/>
                      <w:szCs w:val="21"/>
                    </w:rPr>
                    <w:t>140.8m</w:t>
                  </w:r>
                  <w:r>
                    <w:rPr>
                      <w:rFonts w:ascii="Times New Roman" w:hAnsi="Times New Roman" w:eastAsia="Times New Roman" w:cs="Times New Roman"/>
                      <w:color w:val="auto"/>
                      <w:spacing w:val="4"/>
                      <w:position w:val="7"/>
                      <w:sz w:val="21"/>
                      <w:szCs w:val="21"/>
                      <w:vertAlign w:val="superscript"/>
                    </w:rPr>
                    <w:t>3</w:t>
                  </w:r>
                  <w:r>
                    <w:rPr>
                      <w:color w:val="auto"/>
                      <w:spacing w:val="3"/>
                      <w:position w:val="1"/>
                      <w:sz w:val="21"/>
                      <w:szCs w:val="21"/>
                    </w:rPr>
                    <w:t>（</w:t>
                  </w:r>
                  <w:r>
                    <w:rPr>
                      <w:rFonts w:ascii="Times New Roman" w:hAnsi="Times New Roman" w:eastAsia="Times New Roman" w:cs="Times New Roman"/>
                      <w:color w:val="auto"/>
                      <w:spacing w:val="3"/>
                      <w:position w:val="1"/>
                      <w:sz w:val="21"/>
                      <w:szCs w:val="21"/>
                    </w:rPr>
                    <w:t>11m</w:t>
                  </w:r>
                  <w:r>
                    <w:rPr>
                      <w:rFonts w:hint="eastAsia" w:ascii="Times New Roman" w:hAnsi="Times New Roman" w:eastAsia="Times New Roman" w:cs="Times New Roman"/>
                      <w:color w:val="auto"/>
                      <w:spacing w:val="3"/>
                      <w:position w:val="1"/>
                      <w:sz w:val="21"/>
                      <w:szCs w:val="21"/>
                    </w:rPr>
                    <w:t>×</w:t>
                  </w:r>
                  <w:r>
                    <w:rPr>
                      <w:rFonts w:ascii="Times New Roman" w:hAnsi="Times New Roman" w:eastAsia="Times New Roman" w:cs="Times New Roman"/>
                      <w:color w:val="auto"/>
                      <w:spacing w:val="3"/>
                      <w:position w:val="1"/>
                      <w:sz w:val="21"/>
                      <w:szCs w:val="21"/>
                    </w:rPr>
                    <w:t>8m</w:t>
                  </w:r>
                  <w:r>
                    <w:rPr>
                      <w:rFonts w:hint="eastAsia" w:ascii="Times New Roman" w:hAnsi="Times New Roman" w:eastAsia="Times New Roman" w:cs="Times New Roman"/>
                      <w:color w:val="auto"/>
                      <w:spacing w:val="3"/>
                      <w:position w:val="1"/>
                      <w:sz w:val="21"/>
                      <w:szCs w:val="21"/>
                    </w:rPr>
                    <w:t>×</w:t>
                  </w:r>
                  <w:r>
                    <w:rPr>
                      <w:rFonts w:ascii="Times New Roman" w:hAnsi="Times New Roman" w:eastAsia="Times New Roman" w:cs="Times New Roman"/>
                      <w:color w:val="auto"/>
                      <w:spacing w:val="3"/>
                      <w:position w:val="1"/>
                      <w:sz w:val="21"/>
                      <w:szCs w:val="21"/>
                    </w:rPr>
                    <w:t>1.6m</w:t>
                  </w:r>
                  <w:r>
                    <w:rPr>
                      <w:rFonts w:ascii="Times New Roman" w:hAnsi="Times New Roman" w:eastAsia="Times New Roman" w:cs="Times New Roman"/>
                      <w:color w:val="auto"/>
                      <w:spacing w:val="-18"/>
                      <w:position w:val="1"/>
                      <w:sz w:val="21"/>
                      <w:szCs w:val="21"/>
                    </w:rPr>
                    <w:t xml:space="preserve"> </w:t>
                  </w:r>
                  <w:r>
                    <w:rPr>
                      <w:color w:val="auto"/>
                      <w:spacing w:val="3"/>
                      <w:position w:val="1"/>
                      <w:sz w:val="21"/>
                      <w:szCs w:val="21"/>
                    </w:rPr>
                    <w:t>），用于</w:t>
                  </w:r>
                  <w:r>
                    <w:rPr>
                      <w:color w:val="auto"/>
                      <w:spacing w:val="2"/>
                      <w:sz w:val="21"/>
                      <w:szCs w:val="21"/>
                    </w:rPr>
                    <w:t>处理粗洗废水，池体防渗</w:t>
                  </w:r>
                  <w:r>
                    <w:rPr>
                      <w:rFonts w:hint="eastAsia"/>
                      <w:color w:val="auto"/>
                      <w:spacing w:val="2"/>
                      <w:sz w:val="21"/>
                      <w:szCs w:val="21"/>
                      <w:lang w:eastAsia="zh-CN"/>
                    </w:rPr>
                    <w:t>，</w:t>
                  </w:r>
                  <w:r>
                    <w:rPr>
                      <w:color w:val="auto"/>
                      <w:spacing w:val="9"/>
                      <w:sz w:val="21"/>
                      <w:szCs w:val="21"/>
                    </w:rPr>
                    <w:t>砼结构。设置清水池</w:t>
                  </w:r>
                  <w:r>
                    <w:rPr>
                      <w:rFonts w:ascii="Times New Roman" w:hAnsi="Times New Roman" w:eastAsia="Times New Roman" w:cs="Times New Roman"/>
                      <w:color w:val="auto"/>
                      <w:spacing w:val="2"/>
                      <w:position w:val="1"/>
                      <w:sz w:val="21"/>
                      <w:szCs w:val="21"/>
                    </w:rPr>
                    <w:t>51.2m</w:t>
                  </w:r>
                  <w:r>
                    <w:rPr>
                      <w:rFonts w:ascii="Times New Roman" w:hAnsi="Times New Roman" w:eastAsia="Times New Roman" w:cs="Times New Roman"/>
                      <w:color w:val="auto"/>
                      <w:spacing w:val="2"/>
                      <w:position w:val="7"/>
                      <w:sz w:val="21"/>
                      <w:szCs w:val="21"/>
                      <w:vertAlign w:val="superscript"/>
                    </w:rPr>
                    <w:t>3</w:t>
                  </w:r>
                  <w:r>
                    <w:rPr>
                      <w:color w:val="auto"/>
                      <w:spacing w:val="2"/>
                      <w:position w:val="1"/>
                      <w:sz w:val="21"/>
                      <w:szCs w:val="21"/>
                    </w:rPr>
                    <w:t>（</w:t>
                  </w:r>
                  <w:r>
                    <w:rPr>
                      <w:rFonts w:ascii="Times New Roman" w:hAnsi="Times New Roman" w:eastAsia="Times New Roman" w:cs="Times New Roman"/>
                      <w:color w:val="auto"/>
                      <w:spacing w:val="2"/>
                      <w:position w:val="1"/>
                      <w:sz w:val="21"/>
                      <w:szCs w:val="21"/>
                    </w:rPr>
                    <w:t>8m</w:t>
                  </w:r>
                  <w:r>
                    <w:rPr>
                      <w:rFonts w:hint="eastAsia" w:ascii="Times New Roman" w:hAnsi="Times New Roman" w:eastAsia="Times New Roman" w:cs="Times New Roman"/>
                      <w:color w:val="auto"/>
                      <w:spacing w:val="2"/>
                      <w:position w:val="1"/>
                      <w:sz w:val="21"/>
                      <w:szCs w:val="21"/>
                    </w:rPr>
                    <w:t>×</w:t>
                  </w:r>
                  <w:r>
                    <w:rPr>
                      <w:rFonts w:ascii="Times New Roman" w:hAnsi="Times New Roman" w:eastAsia="Times New Roman" w:cs="Times New Roman"/>
                      <w:color w:val="auto"/>
                      <w:spacing w:val="2"/>
                      <w:position w:val="1"/>
                      <w:sz w:val="21"/>
                      <w:szCs w:val="21"/>
                    </w:rPr>
                    <w:t>4m</w:t>
                  </w:r>
                  <w:r>
                    <w:rPr>
                      <w:rFonts w:hint="eastAsia" w:ascii="Times New Roman" w:hAnsi="Times New Roman" w:eastAsia="Times New Roman" w:cs="Times New Roman"/>
                      <w:color w:val="auto"/>
                      <w:spacing w:val="2"/>
                      <w:position w:val="1"/>
                      <w:sz w:val="21"/>
                      <w:szCs w:val="21"/>
                    </w:rPr>
                    <w:t>×</w:t>
                  </w:r>
                  <w:r>
                    <w:rPr>
                      <w:rFonts w:ascii="Times New Roman" w:hAnsi="Times New Roman" w:eastAsia="Times New Roman" w:cs="Times New Roman"/>
                      <w:color w:val="auto"/>
                      <w:spacing w:val="2"/>
                      <w:position w:val="1"/>
                      <w:sz w:val="21"/>
                      <w:szCs w:val="21"/>
                    </w:rPr>
                    <w:t>1.6m</w:t>
                  </w:r>
                  <w:r>
                    <w:rPr>
                      <w:color w:val="auto"/>
                      <w:spacing w:val="2"/>
                      <w:position w:val="1"/>
                      <w:sz w:val="21"/>
                      <w:szCs w:val="21"/>
                    </w:rPr>
                    <w:t>）用</w:t>
                  </w:r>
                  <w:r>
                    <w:rPr>
                      <w:color w:val="auto"/>
                      <w:spacing w:val="7"/>
                      <w:sz w:val="21"/>
                      <w:szCs w:val="21"/>
                    </w:rPr>
                    <w:t>于储存处理后的回用水。</w:t>
                  </w:r>
                </w:p>
              </w:tc>
            </w:tr>
            <w:tr w14:paraId="2FA0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77380AE2">
                  <w:pPr>
                    <w:pStyle w:val="53"/>
                    <w:bidi w:val="0"/>
                    <w:jc w:val="center"/>
                    <w:rPr>
                      <w:rFonts w:hint="default"/>
                      <w:color w:val="auto"/>
                    </w:rPr>
                  </w:pPr>
                </w:p>
              </w:tc>
              <w:tc>
                <w:tcPr>
                  <w:tcW w:w="1063" w:type="dxa"/>
                  <w:vAlign w:val="center"/>
                </w:tcPr>
                <w:p w14:paraId="0C055558">
                  <w:pPr>
                    <w:pStyle w:val="53"/>
                    <w:bidi w:val="0"/>
                    <w:jc w:val="center"/>
                    <w:rPr>
                      <w:rFonts w:hint="eastAsia" w:eastAsia="宋体"/>
                      <w:color w:val="auto"/>
                      <w:lang w:val="en-US" w:eastAsia="zh-CN"/>
                    </w:rPr>
                  </w:pPr>
                  <w:r>
                    <w:rPr>
                      <w:rFonts w:hint="eastAsia"/>
                      <w:color w:val="auto"/>
                      <w:lang w:val="en-US" w:eastAsia="zh-CN"/>
                    </w:rPr>
                    <w:t>事故池</w:t>
                  </w:r>
                </w:p>
              </w:tc>
              <w:tc>
                <w:tcPr>
                  <w:tcW w:w="6277" w:type="dxa"/>
                  <w:vAlign w:val="center"/>
                </w:tcPr>
                <w:p w14:paraId="3074C8D3">
                  <w:pPr>
                    <w:pStyle w:val="53"/>
                    <w:bidi w:val="0"/>
                    <w:jc w:val="center"/>
                    <w:rPr>
                      <w:rFonts w:hint="default"/>
                      <w:color w:val="auto"/>
                    </w:rPr>
                  </w:pPr>
                  <w:r>
                    <w:rPr>
                      <w:color w:val="auto"/>
                      <w:spacing w:val="6"/>
                      <w:sz w:val="21"/>
                      <w:szCs w:val="21"/>
                    </w:rPr>
                    <w:t>新建</w:t>
                  </w:r>
                  <w:r>
                    <w:rPr>
                      <w:rFonts w:ascii="Times New Roman" w:hAnsi="Times New Roman" w:eastAsia="Times New Roman" w:cs="Times New Roman"/>
                      <w:color w:val="auto"/>
                      <w:spacing w:val="5"/>
                      <w:position w:val="1"/>
                      <w:sz w:val="21"/>
                      <w:szCs w:val="21"/>
                    </w:rPr>
                    <w:t>252m</w:t>
                  </w:r>
                  <w:r>
                    <w:rPr>
                      <w:rFonts w:ascii="Times New Roman" w:hAnsi="Times New Roman" w:eastAsia="Times New Roman" w:cs="Times New Roman"/>
                      <w:color w:val="auto"/>
                      <w:spacing w:val="5"/>
                      <w:position w:val="7"/>
                      <w:sz w:val="21"/>
                      <w:szCs w:val="21"/>
                      <w:vertAlign w:val="superscript"/>
                    </w:rPr>
                    <w:t>3</w:t>
                  </w:r>
                  <w:r>
                    <w:rPr>
                      <w:color w:val="auto"/>
                      <w:spacing w:val="5"/>
                      <w:position w:val="1"/>
                      <w:sz w:val="21"/>
                      <w:szCs w:val="21"/>
                    </w:rPr>
                    <w:t>（</w:t>
                  </w:r>
                  <w:r>
                    <w:rPr>
                      <w:rFonts w:ascii="Times New Roman" w:hAnsi="Times New Roman" w:eastAsia="Times New Roman" w:cs="Times New Roman"/>
                      <w:color w:val="auto"/>
                      <w:spacing w:val="5"/>
                      <w:position w:val="1"/>
                      <w:sz w:val="21"/>
                      <w:szCs w:val="21"/>
                    </w:rPr>
                    <w:t>14m</w:t>
                  </w:r>
                  <w:r>
                    <w:rPr>
                      <w:rFonts w:hint="eastAsia" w:ascii="Times New Roman" w:hAnsi="Times New Roman" w:eastAsia="Times New Roman" w:cs="Times New Roman"/>
                      <w:color w:val="auto"/>
                      <w:spacing w:val="5"/>
                      <w:position w:val="1"/>
                      <w:sz w:val="21"/>
                      <w:szCs w:val="21"/>
                    </w:rPr>
                    <w:t>×</w:t>
                  </w:r>
                  <w:r>
                    <w:rPr>
                      <w:rFonts w:ascii="Times New Roman" w:hAnsi="Times New Roman" w:eastAsia="Times New Roman" w:cs="Times New Roman"/>
                      <w:color w:val="auto"/>
                      <w:spacing w:val="5"/>
                      <w:position w:val="1"/>
                      <w:sz w:val="21"/>
                      <w:szCs w:val="21"/>
                    </w:rPr>
                    <w:t>6m</w:t>
                  </w:r>
                  <w:r>
                    <w:rPr>
                      <w:rFonts w:hint="eastAsia" w:ascii="Times New Roman" w:hAnsi="Times New Roman" w:eastAsia="Times New Roman" w:cs="Times New Roman"/>
                      <w:color w:val="auto"/>
                      <w:spacing w:val="5"/>
                      <w:position w:val="1"/>
                      <w:sz w:val="21"/>
                      <w:szCs w:val="21"/>
                    </w:rPr>
                    <w:t>×</w:t>
                  </w:r>
                  <w:r>
                    <w:rPr>
                      <w:rFonts w:ascii="Times New Roman" w:hAnsi="Times New Roman" w:eastAsia="Times New Roman" w:cs="Times New Roman"/>
                      <w:color w:val="auto"/>
                      <w:spacing w:val="5"/>
                      <w:position w:val="1"/>
                      <w:sz w:val="21"/>
                      <w:szCs w:val="21"/>
                    </w:rPr>
                    <w:t>3m</w:t>
                  </w:r>
                  <w:r>
                    <w:rPr>
                      <w:color w:val="auto"/>
                      <w:spacing w:val="5"/>
                      <w:position w:val="1"/>
                      <w:sz w:val="21"/>
                      <w:szCs w:val="21"/>
                    </w:rPr>
                    <w:t>）的</w:t>
                  </w:r>
                  <w:r>
                    <w:rPr>
                      <w:color w:val="auto"/>
                      <w:spacing w:val="5"/>
                      <w:sz w:val="21"/>
                      <w:szCs w:val="21"/>
                    </w:rPr>
                    <w:t>事故池。</w:t>
                  </w:r>
                </w:p>
              </w:tc>
            </w:tr>
            <w:tr w14:paraId="6E15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58E0D5D3">
                  <w:pPr>
                    <w:pStyle w:val="53"/>
                    <w:bidi w:val="0"/>
                    <w:jc w:val="center"/>
                    <w:rPr>
                      <w:rFonts w:hint="default"/>
                      <w:color w:val="auto"/>
                    </w:rPr>
                  </w:pPr>
                </w:p>
              </w:tc>
              <w:tc>
                <w:tcPr>
                  <w:tcW w:w="1063" w:type="dxa"/>
                  <w:vAlign w:val="center"/>
                </w:tcPr>
                <w:p w14:paraId="3A902C3D">
                  <w:pPr>
                    <w:pStyle w:val="53"/>
                    <w:bidi w:val="0"/>
                    <w:jc w:val="center"/>
                    <w:rPr>
                      <w:color w:val="auto"/>
                    </w:rPr>
                  </w:pPr>
                  <w:r>
                    <w:rPr>
                      <w:color w:val="auto"/>
                    </w:rPr>
                    <w:t>污水处</w:t>
                  </w:r>
                </w:p>
                <w:p w14:paraId="22CF24D5">
                  <w:pPr>
                    <w:pStyle w:val="53"/>
                    <w:bidi w:val="0"/>
                    <w:jc w:val="center"/>
                    <w:rPr>
                      <w:color w:val="auto"/>
                    </w:rPr>
                  </w:pPr>
                  <w:r>
                    <w:rPr>
                      <w:color w:val="auto"/>
                    </w:rPr>
                    <w:t>理站污</w:t>
                  </w:r>
                </w:p>
                <w:p w14:paraId="55DC934F">
                  <w:pPr>
                    <w:pStyle w:val="53"/>
                    <w:bidi w:val="0"/>
                    <w:jc w:val="center"/>
                    <w:rPr>
                      <w:rFonts w:hint="default"/>
                      <w:color w:val="auto"/>
                    </w:rPr>
                  </w:pPr>
                  <w:r>
                    <w:rPr>
                      <w:color w:val="auto"/>
                    </w:rPr>
                    <w:t>泥处理 工程</w:t>
                  </w:r>
                </w:p>
              </w:tc>
              <w:tc>
                <w:tcPr>
                  <w:tcW w:w="6277" w:type="dxa"/>
                  <w:vAlign w:val="center"/>
                </w:tcPr>
                <w:p w14:paraId="17497920">
                  <w:pPr>
                    <w:pStyle w:val="71"/>
                    <w:spacing w:before="27" w:line="275" w:lineRule="exact"/>
                    <w:ind w:left="116"/>
                    <w:jc w:val="center"/>
                    <w:rPr>
                      <w:rFonts w:hint="default" w:eastAsia="宋体"/>
                      <w:color w:val="auto"/>
                      <w:lang w:val="en-US" w:eastAsia="zh-CN"/>
                    </w:rPr>
                  </w:pPr>
                  <w:r>
                    <w:rPr>
                      <w:color w:val="auto"/>
                      <w:spacing w:val="5"/>
                      <w:position w:val="1"/>
                      <w:sz w:val="21"/>
                      <w:szCs w:val="21"/>
                    </w:rPr>
                    <w:t>设置</w:t>
                  </w:r>
                  <w:r>
                    <w:rPr>
                      <w:rStyle w:val="78"/>
                      <w:rFonts w:hint="default" w:ascii="Times New Roman" w:hAnsi="Times New Roman" w:cs="Times New Roman"/>
                      <w:color w:val="auto"/>
                      <w:sz w:val="21"/>
                      <w:szCs w:val="21"/>
                    </w:rPr>
                    <w:t>一个容积 7.5m</w:t>
                  </w:r>
                  <w:r>
                    <w:rPr>
                      <w:rStyle w:val="78"/>
                      <w:rFonts w:hint="default" w:ascii="Times New Roman" w:hAnsi="Times New Roman" w:cs="Times New Roman"/>
                      <w:color w:val="auto"/>
                      <w:sz w:val="21"/>
                      <w:szCs w:val="21"/>
                      <w:vertAlign w:val="superscript"/>
                    </w:rPr>
                    <w:t>3</w:t>
                  </w:r>
                  <w:r>
                    <w:rPr>
                      <w:rStyle w:val="78"/>
                      <w:rFonts w:hint="default" w:ascii="Times New Roman" w:hAnsi="Times New Roman" w:cs="Times New Roman"/>
                      <w:color w:val="auto"/>
                      <w:sz w:val="21"/>
                      <w:szCs w:val="21"/>
                    </w:rPr>
                    <w:t>（2.5m×2m×1.5m）的浓缩池，一个容积7.5m</w:t>
                  </w:r>
                  <w:r>
                    <w:rPr>
                      <w:rStyle w:val="78"/>
                      <w:rFonts w:hint="default" w:ascii="Times New Roman" w:hAnsi="Times New Roman" w:cs="Times New Roman"/>
                      <w:color w:val="auto"/>
                      <w:sz w:val="21"/>
                      <w:szCs w:val="21"/>
                      <w:vertAlign w:val="superscript"/>
                    </w:rPr>
                    <w:t>3</w:t>
                  </w:r>
                  <w:r>
                    <w:rPr>
                      <w:rStyle w:val="78"/>
                      <w:rFonts w:hint="default" w:ascii="Times New Roman" w:hAnsi="Times New Roman" w:cs="Times New Roman"/>
                      <w:color w:val="auto"/>
                      <w:sz w:val="21"/>
                      <w:szCs w:val="21"/>
                    </w:rPr>
                    <w:t>（2.5m×2m×1.5m</w:t>
                  </w:r>
                  <w:r>
                    <w:rPr>
                      <w:color w:val="auto"/>
                      <w:spacing w:val="3"/>
                      <w:sz w:val="21"/>
                      <w:szCs w:val="21"/>
                    </w:rPr>
                    <w:t>）的污泥</w:t>
                  </w:r>
                  <w:r>
                    <w:rPr>
                      <w:color w:val="auto"/>
                      <w:spacing w:val="9"/>
                      <w:sz w:val="21"/>
                      <w:szCs w:val="21"/>
                    </w:rPr>
                    <w:t>池，污泥经污泥脱水机脱水后</w:t>
                  </w:r>
                  <w:r>
                    <w:rPr>
                      <w:rFonts w:hint="eastAsia"/>
                      <w:color w:val="auto"/>
                      <w:spacing w:val="9"/>
                      <w:sz w:val="21"/>
                      <w:szCs w:val="21"/>
                      <w:lang w:val="en-US" w:eastAsia="zh-CN"/>
                    </w:rPr>
                    <w:t>委托环卫部门处置。</w:t>
                  </w:r>
                </w:p>
              </w:tc>
            </w:tr>
            <w:tr w14:paraId="2511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14A9654E">
                  <w:pPr>
                    <w:pStyle w:val="53"/>
                    <w:bidi w:val="0"/>
                    <w:jc w:val="center"/>
                    <w:rPr>
                      <w:rFonts w:hint="default"/>
                      <w:color w:val="auto"/>
                    </w:rPr>
                  </w:pPr>
                </w:p>
              </w:tc>
              <w:tc>
                <w:tcPr>
                  <w:tcW w:w="1063" w:type="dxa"/>
                  <w:vAlign w:val="center"/>
                </w:tcPr>
                <w:p w14:paraId="43ADB040">
                  <w:pPr>
                    <w:pStyle w:val="53"/>
                    <w:bidi w:val="0"/>
                    <w:jc w:val="center"/>
                    <w:rPr>
                      <w:color w:val="auto"/>
                    </w:rPr>
                  </w:pPr>
                  <w:r>
                    <w:rPr>
                      <w:color w:val="auto"/>
                    </w:rPr>
                    <w:t>化粪池</w:t>
                  </w:r>
                </w:p>
                <w:p w14:paraId="7CCA388E">
                  <w:pPr>
                    <w:pStyle w:val="53"/>
                    <w:bidi w:val="0"/>
                    <w:jc w:val="center"/>
                    <w:rPr>
                      <w:color w:val="auto"/>
                    </w:rPr>
                  </w:pPr>
                  <w:r>
                    <w:rPr>
                      <w:color w:val="auto"/>
                    </w:rPr>
                    <w:t>污泥处</w:t>
                  </w:r>
                </w:p>
                <w:p w14:paraId="178BE328">
                  <w:pPr>
                    <w:pStyle w:val="53"/>
                    <w:bidi w:val="0"/>
                    <w:jc w:val="center"/>
                    <w:rPr>
                      <w:rFonts w:hint="default"/>
                      <w:color w:val="auto"/>
                    </w:rPr>
                  </w:pPr>
                  <w:r>
                    <w:rPr>
                      <w:color w:val="auto"/>
                    </w:rPr>
                    <w:t>理工程</w:t>
                  </w:r>
                </w:p>
              </w:tc>
              <w:tc>
                <w:tcPr>
                  <w:tcW w:w="6277" w:type="dxa"/>
                  <w:vAlign w:val="center"/>
                </w:tcPr>
                <w:p w14:paraId="0F390076">
                  <w:pPr>
                    <w:pStyle w:val="53"/>
                    <w:bidi w:val="0"/>
                    <w:jc w:val="center"/>
                    <w:rPr>
                      <w:rFonts w:hint="default"/>
                      <w:color w:val="auto"/>
                    </w:rPr>
                  </w:pPr>
                  <w:r>
                    <w:rPr>
                      <w:color w:val="auto"/>
                    </w:rPr>
                    <w:t>周边农民清掏作为农肥</w:t>
                  </w:r>
                </w:p>
              </w:tc>
            </w:tr>
            <w:tr w14:paraId="6715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0DEF4210">
                  <w:pPr>
                    <w:pStyle w:val="53"/>
                    <w:bidi w:val="0"/>
                    <w:jc w:val="center"/>
                    <w:rPr>
                      <w:rFonts w:hint="default"/>
                      <w:color w:val="auto"/>
                    </w:rPr>
                  </w:pPr>
                </w:p>
              </w:tc>
              <w:tc>
                <w:tcPr>
                  <w:tcW w:w="1063" w:type="dxa"/>
                  <w:vAlign w:val="center"/>
                </w:tcPr>
                <w:p w14:paraId="7880944A">
                  <w:pPr>
                    <w:pStyle w:val="53"/>
                    <w:bidi w:val="0"/>
                    <w:jc w:val="center"/>
                    <w:rPr>
                      <w:rFonts w:hint="eastAsia"/>
                      <w:color w:val="auto"/>
                      <w:lang w:val="en-US" w:eastAsia="zh-CN"/>
                    </w:rPr>
                  </w:pPr>
                  <w:r>
                    <w:rPr>
                      <w:rFonts w:hint="eastAsia"/>
                      <w:color w:val="auto"/>
                      <w:lang w:val="en-US" w:eastAsia="zh-CN"/>
                    </w:rPr>
                    <w:t>生活垃圾</w:t>
                  </w:r>
                </w:p>
              </w:tc>
              <w:tc>
                <w:tcPr>
                  <w:tcW w:w="6277" w:type="dxa"/>
                  <w:vAlign w:val="center"/>
                </w:tcPr>
                <w:p w14:paraId="2BC45A74">
                  <w:pPr>
                    <w:pStyle w:val="53"/>
                    <w:bidi w:val="0"/>
                    <w:jc w:val="center"/>
                    <w:rPr>
                      <w:color w:val="auto"/>
                    </w:rPr>
                  </w:pPr>
                  <w:r>
                    <w:rPr>
                      <w:color w:val="auto"/>
                    </w:rPr>
                    <w:t>项目区设置生活垃圾桶。生活垃圾统一收集后塑料垃圾等能回用部分进行外售或回用，不能回用部分送至当地环卫部门进行</w:t>
                  </w:r>
                  <w:r>
                    <w:rPr>
                      <w:rFonts w:hint="eastAsia"/>
                      <w:color w:val="auto"/>
                      <w:lang w:eastAsia="zh-CN"/>
                    </w:rPr>
                    <w:t>处理</w:t>
                  </w:r>
                </w:p>
                <w:p w14:paraId="33EA6209">
                  <w:pPr>
                    <w:pStyle w:val="53"/>
                    <w:bidi w:val="0"/>
                    <w:jc w:val="center"/>
                    <w:rPr>
                      <w:rFonts w:hint="default"/>
                      <w:color w:val="auto"/>
                    </w:rPr>
                  </w:pPr>
                  <w:r>
                    <w:rPr>
                      <w:color w:val="auto"/>
                    </w:rPr>
                    <w:t>置。</w:t>
                  </w:r>
                </w:p>
              </w:tc>
            </w:tr>
            <w:tr w14:paraId="0276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9" w:type="dxa"/>
                  <w:vMerge w:val="continue"/>
                  <w:vAlign w:val="center"/>
                </w:tcPr>
                <w:p w14:paraId="4DE42381">
                  <w:pPr>
                    <w:pStyle w:val="53"/>
                    <w:bidi w:val="0"/>
                    <w:jc w:val="center"/>
                    <w:rPr>
                      <w:rFonts w:hint="default"/>
                      <w:color w:val="auto"/>
                    </w:rPr>
                  </w:pPr>
                </w:p>
              </w:tc>
              <w:tc>
                <w:tcPr>
                  <w:tcW w:w="1063" w:type="dxa"/>
                  <w:vAlign w:val="center"/>
                </w:tcPr>
                <w:p w14:paraId="4A8FA82F">
                  <w:pPr>
                    <w:pStyle w:val="53"/>
                    <w:bidi w:val="0"/>
                    <w:jc w:val="center"/>
                    <w:rPr>
                      <w:rFonts w:hint="default"/>
                      <w:color w:val="auto"/>
                      <w:lang w:val="en-US" w:eastAsia="zh-CN"/>
                    </w:rPr>
                  </w:pPr>
                  <w:r>
                    <w:rPr>
                      <w:rFonts w:hint="eastAsia"/>
                      <w:color w:val="auto"/>
                      <w:lang w:val="en-US" w:eastAsia="zh-CN"/>
                    </w:rPr>
                    <w:t>噪声防治</w:t>
                  </w:r>
                </w:p>
              </w:tc>
              <w:tc>
                <w:tcPr>
                  <w:tcW w:w="6277" w:type="dxa"/>
                  <w:vAlign w:val="center"/>
                </w:tcPr>
                <w:p w14:paraId="369543DC">
                  <w:pPr>
                    <w:pStyle w:val="53"/>
                    <w:bidi w:val="0"/>
                    <w:jc w:val="center"/>
                    <w:rPr>
                      <w:rFonts w:hint="default"/>
                      <w:color w:val="auto"/>
                    </w:rPr>
                  </w:pPr>
                  <w:r>
                    <w:rPr>
                      <w:color w:val="auto"/>
                    </w:rPr>
                    <w:t>破碎机、清洗机、塑料甩干机均设置在厂房内；破碎机基座加装减震垫。</w:t>
                  </w:r>
                </w:p>
              </w:tc>
            </w:tr>
          </w:tbl>
          <w:p w14:paraId="00C2A1D5">
            <w:pPr>
              <w:pStyle w:val="51"/>
              <w:ind w:firstLine="480"/>
              <w:rPr>
                <w:rFonts w:hint="default" w:cs="Times New Roman"/>
                <w:b/>
                <w:bCs/>
                <w:color w:val="auto"/>
                <w:lang w:val="en-US" w:eastAsia="zh-CN"/>
              </w:rPr>
            </w:pPr>
            <w:r>
              <w:rPr>
                <w:rFonts w:hint="eastAsia" w:cs="Times New Roman"/>
                <w:b/>
                <w:bCs/>
                <w:color w:val="auto"/>
                <w:lang w:val="en-US" w:eastAsia="zh-CN"/>
              </w:rPr>
              <w:t>3、生产工艺流程</w:t>
            </w:r>
          </w:p>
          <w:p w14:paraId="7E6D9034">
            <w:pPr>
              <w:pStyle w:val="51"/>
              <w:bidi w:val="0"/>
              <w:rPr>
                <w:color w:val="auto"/>
              </w:rPr>
            </w:pPr>
            <w:r>
              <w:rPr>
                <w:color w:val="auto"/>
              </w:rPr>
              <w:t>工艺流程及产污环节简述：</w:t>
            </w:r>
          </w:p>
          <w:p w14:paraId="7D33CC87">
            <w:pPr>
              <w:pStyle w:val="51"/>
              <w:bidi w:val="0"/>
              <w:rPr>
                <w:color w:val="auto"/>
              </w:rPr>
            </w:pPr>
            <w:r>
              <w:rPr>
                <w:color w:val="auto"/>
              </w:rPr>
              <w:t>（1）原料入库</w:t>
            </w:r>
          </w:p>
          <w:p w14:paraId="26704C08">
            <w:pPr>
              <w:pStyle w:val="51"/>
              <w:bidi w:val="0"/>
              <w:rPr>
                <w:color w:val="auto"/>
              </w:rPr>
            </w:pPr>
            <w:r>
              <w:rPr>
                <w:color w:val="auto"/>
              </w:rPr>
              <w:t>建设单位于大理等地景区设置回收点，收购废塑料瓶，收购时严格把关，仅回收废塑料瓶（矿泉水瓶、饮料瓶、油瓶等）</w:t>
            </w:r>
            <w:r>
              <w:rPr>
                <w:rFonts w:hint="eastAsia"/>
                <w:color w:val="auto"/>
                <w:lang w:eastAsia="zh-CN"/>
              </w:rPr>
              <w:t>，</w:t>
            </w:r>
            <w:r>
              <w:rPr>
                <w:color w:val="auto"/>
              </w:rPr>
              <w:t>不回收危险化学品、农药等污染的废弃塑料包装物，收购原料送入原料堆场堆存，堆存期间会产生异味。</w:t>
            </w:r>
          </w:p>
          <w:p w14:paraId="05981981">
            <w:pPr>
              <w:pStyle w:val="51"/>
              <w:bidi w:val="0"/>
              <w:rPr>
                <w:color w:val="auto"/>
              </w:rPr>
            </w:pPr>
            <w:r>
              <w:rPr>
                <w:color w:val="auto"/>
              </w:rPr>
              <w:t>（2）湿式破碎</w:t>
            </w:r>
          </w:p>
          <w:p w14:paraId="198890A7">
            <w:pPr>
              <w:pStyle w:val="51"/>
              <w:bidi w:val="0"/>
              <w:rPr>
                <w:color w:val="auto"/>
              </w:rPr>
            </w:pPr>
            <w:r>
              <w:rPr>
                <w:color w:val="auto"/>
              </w:rPr>
              <w:t>原料经上料台送入破碎机进行破碎，破碎过程加水，原料破碎后随水流一同 进入粗洗工序，该过程会产生噪声、粉尘、异味。</w:t>
            </w:r>
          </w:p>
          <w:p w14:paraId="14E61741">
            <w:pPr>
              <w:pStyle w:val="51"/>
              <w:bidi w:val="0"/>
              <w:rPr>
                <w:color w:val="auto"/>
              </w:rPr>
            </w:pPr>
            <w:r>
              <w:rPr>
                <w:color w:val="auto"/>
              </w:rPr>
              <w:t>（3）粗洗</w:t>
            </w:r>
          </w:p>
          <w:p w14:paraId="2C58A459">
            <w:pPr>
              <w:pStyle w:val="51"/>
              <w:bidi w:val="0"/>
              <w:rPr>
                <w:color w:val="auto"/>
              </w:rPr>
            </w:pPr>
            <w:r>
              <w:rPr>
                <w:color w:val="auto"/>
              </w:rPr>
              <w:t>原料经破碎机破碎后进入粗洗池清洗，粗洗池配有机械清洗设备。项目原料 包含矿泉水瓶、饮料瓶、油瓶，表面会携带少量油渍及饮料渍，清洗过程添加洗涤剂，清洗后物料进入下</w:t>
            </w:r>
            <w:r>
              <w:rPr>
                <w:rFonts w:hint="eastAsia"/>
                <w:color w:val="auto"/>
                <w:lang w:eastAsia="zh-CN"/>
              </w:rPr>
              <w:t>一道</w:t>
            </w:r>
            <w:r>
              <w:rPr>
                <w:color w:val="auto"/>
              </w:rPr>
              <w:t>工序，粗洗废水进入污水处理站处理，清洗过程清洗机械会产生噪声。</w:t>
            </w:r>
          </w:p>
          <w:p w14:paraId="7054054F">
            <w:pPr>
              <w:pStyle w:val="51"/>
              <w:bidi w:val="0"/>
              <w:rPr>
                <w:color w:val="auto"/>
              </w:rPr>
            </w:pPr>
            <w:r>
              <w:rPr>
                <w:color w:val="auto"/>
              </w:rPr>
              <w:t>（4）二次清洗</w:t>
            </w:r>
          </w:p>
          <w:p w14:paraId="401768A1">
            <w:pPr>
              <w:pStyle w:val="51"/>
              <w:bidi w:val="0"/>
              <w:rPr>
                <w:color w:val="auto"/>
              </w:rPr>
            </w:pPr>
            <w:r>
              <w:rPr>
                <w:color w:val="auto"/>
              </w:rPr>
              <w:t>碎塑料经粗洗后直接进入清洗池进行二次清洗，清洗池内配有机械清洗设 备，二次清洗过程使用电对其进行加热，温度为90度，清洗过程使用清洁粉</w:t>
            </w:r>
            <w:r>
              <w:rPr>
                <w:rFonts w:hint="eastAsia"/>
                <w:color w:val="auto"/>
                <w:lang w:eastAsia="zh-CN"/>
              </w:rPr>
              <w:t>，</w:t>
            </w:r>
            <w:r>
              <w:rPr>
                <w:color w:val="auto"/>
              </w:rPr>
              <w:t>清洗过程包括：水浸—循环—洗料机冲擦—清水冲洗—打捞等五个步骤，碎塑料在清洗池中不断的循环冲擦，大大增加了清洗程度。清洗合格的塑料通过自动捞料机捞起送入塑料甩干机，该过程会产生清洗废水及机械噪声。</w:t>
            </w:r>
          </w:p>
          <w:p w14:paraId="3681202A">
            <w:pPr>
              <w:pStyle w:val="51"/>
              <w:bidi w:val="0"/>
              <w:rPr>
                <w:color w:val="auto"/>
              </w:rPr>
            </w:pPr>
            <w:r>
              <w:rPr>
                <w:color w:val="auto"/>
              </w:rPr>
              <w:t>（5）甩干</w:t>
            </w:r>
          </w:p>
          <w:p w14:paraId="3CAF3705">
            <w:pPr>
              <w:pStyle w:val="51"/>
              <w:bidi w:val="0"/>
              <w:rPr>
                <w:color w:val="auto"/>
              </w:rPr>
            </w:pPr>
            <w:r>
              <w:rPr>
                <w:color w:val="auto"/>
              </w:rPr>
              <w:t>清洗合格的塑料进入塑料甩干机内胆，机器运转会产生较大离心力，水分在 此过程通过内胆上的小孔被甩出去，统一收集后引入清水池回用，脱水后的碎塑 料进入下一环节包装</w:t>
            </w:r>
            <w:r>
              <w:rPr>
                <w:rFonts w:hint="eastAsia"/>
                <w:color w:val="auto"/>
                <w:lang w:eastAsia="zh-CN"/>
              </w:rPr>
              <w:t>；</w:t>
            </w:r>
            <w:r>
              <w:rPr>
                <w:color w:val="auto"/>
              </w:rPr>
              <w:t>塑料甩干机运转过程会产生噪声。</w:t>
            </w:r>
          </w:p>
          <w:p w14:paraId="520D689F">
            <w:pPr>
              <w:pStyle w:val="51"/>
              <w:keepNext w:val="0"/>
              <w:keepLines w:val="0"/>
              <w:pageBreakBefore w:val="0"/>
              <w:widowControl w:val="0"/>
              <w:kinsoku/>
              <w:wordWrap/>
              <w:overflowPunct/>
              <w:topLinePunct w:val="0"/>
              <w:autoSpaceDE/>
              <w:autoSpaceDN/>
              <w:bidi w:val="0"/>
              <w:adjustRightInd w:val="0"/>
              <w:snapToGrid w:val="0"/>
              <w:spacing w:line="360" w:lineRule="auto"/>
              <w:textAlignment w:val="auto"/>
              <w:rPr>
                <w:color w:val="auto"/>
              </w:rPr>
            </w:pPr>
            <w:r>
              <w:rPr>
                <w:color w:val="auto"/>
              </w:rPr>
              <w:t>（6）包装</w:t>
            </w:r>
          </w:p>
          <w:p w14:paraId="76FD09B1">
            <w:pPr>
              <w:pStyle w:val="5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lang w:val="en-US" w:eastAsia="zh-CN"/>
              </w:rPr>
            </w:pPr>
            <w:r>
              <w:rPr>
                <w:color w:val="auto"/>
              </w:rPr>
              <w:t>本项目脱水后的碎塑料包装过程仅进行简单装袋处理，该过程无污染物产 生。</w:t>
            </w:r>
          </w:p>
          <w:p w14:paraId="6C8ED44D">
            <w:pPr>
              <w:pStyle w:val="5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position w:val="-140"/>
              </w:rPr>
            </w:pPr>
            <w:r>
              <w:rPr>
                <w:color w:val="auto"/>
                <w:sz w:val="24"/>
              </w:rPr>
              <mc:AlternateContent>
                <mc:Choice Requires="wps">
                  <w:drawing>
                    <wp:anchor distT="0" distB="0" distL="114300" distR="114300" simplePos="0" relativeHeight="251659264" behindDoc="0" locked="0" layoutInCell="1" allowOverlap="1">
                      <wp:simplePos x="0" y="0"/>
                      <wp:positionH relativeFrom="column">
                        <wp:posOffset>4220210</wp:posOffset>
                      </wp:positionH>
                      <wp:positionV relativeFrom="paragraph">
                        <wp:posOffset>1666240</wp:posOffset>
                      </wp:positionV>
                      <wp:extent cx="542290" cy="534670"/>
                      <wp:effectExtent l="0" t="0" r="10160" b="17780"/>
                      <wp:wrapNone/>
                      <wp:docPr id="5" name="矩形 2"/>
                      <wp:cNvGraphicFramePr/>
                      <a:graphic xmlns:a="http://schemas.openxmlformats.org/drawingml/2006/main">
                        <a:graphicData uri="http://schemas.microsoft.com/office/word/2010/wordprocessingShape">
                          <wps:wsp>
                            <wps:cNvSpPr/>
                            <wps:spPr>
                              <a:xfrm>
                                <a:off x="0" y="0"/>
                                <a:ext cx="542290" cy="534670"/>
                              </a:xfrm>
                              <a:prstGeom prst="rect">
                                <a:avLst/>
                              </a:prstGeom>
                              <a:solidFill>
                                <a:srgbClr val="FFFFFF"/>
                              </a:solidFill>
                              <a:ln>
                                <a:noFill/>
                              </a:ln>
                            </wps:spPr>
                            <wps:txbx>
                              <w:txbxContent>
                                <w:p w14:paraId="49B5307B">
                                  <w:pPr>
                                    <w:rPr>
                                      <w:rFonts w:hint="default" w:eastAsia="宋体"/>
                                      <w:lang w:val="en-US" w:eastAsia="zh-CN"/>
                                    </w:rPr>
                                  </w:pPr>
                                  <w:r>
                                    <w:rPr>
                                      <w:rFonts w:hint="eastAsia"/>
                                      <w:sz w:val="18"/>
                                      <w:szCs w:val="18"/>
                                      <w:lang w:val="en-US" w:eastAsia="zh-CN"/>
                                    </w:rPr>
                                    <w:t>委托环卫部门处置</w:t>
                                  </w:r>
                                </w:p>
                              </w:txbxContent>
                            </wps:txbx>
                            <wps:bodyPr upright="1"/>
                          </wps:wsp>
                        </a:graphicData>
                      </a:graphic>
                    </wp:anchor>
                  </w:drawing>
                </mc:Choice>
                <mc:Fallback>
                  <w:pict>
                    <v:rect id="矩形 2" o:spid="_x0000_s1026" o:spt="1" style="position:absolute;left:0pt;margin-left:332.3pt;margin-top:131.2pt;height:42.1pt;width:42.7pt;z-index:251659264;mso-width-relative:page;mso-height-relative:page;" fillcolor="#FFFFFF" filled="t" stroked="f" coordsize="21600,21600" o:gfxdata="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Lmrsk2AAAAAsBAAAPAAAAAAAAAAEAIAAAACIAAABkcnMvZG93bnJldi54bWxQSwECFAAU&#10;AAAACACHTuJADzEh5LgBAABpAwAADgAAAAAAAAABACAAAAAnAQAAZHJzL2Uyb0RvYy54bWxQSwUG&#10;AAAAAAYABgBZAQAAUQUAAAAA&#10;">
                      <v:fill on="t" focussize="0,0"/>
                      <v:stroke on="f"/>
                      <v:imagedata o:title=""/>
                      <o:lock v:ext="edit" aspectratio="f"/>
                      <v:textbox>
                        <w:txbxContent>
                          <w:p w14:paraId="49B5307B">
                            <w:pPr>
                              <w:rPr>
                                <w:rFonts w:hint="default" w:eastAsia="宋体"/>
                                <w:lang w:val="en-US" w:eastAsia="zh-CN"/>
                              </w:rPr>
                            </w:pPr>
                            <w:r>
                              <w:rPr>
                                <w:rFonts w:hint="eastAsia"/>
                                <w:sz w:val="18"/>
                                <w:szCs w:val="18"/>
                                <w:lang w:val="en-US" w:eastAsia="zh-CN"/>
                              </w:rPr>
                              <w:t>委托环卫部门处置</w:t>
                            </w:r>
                          </w:p>
                        </w:txbxContent>
                      </v:textbox>
                    </v:rect>
                  </w:pict>
                </mc:Fallback>
              </mc:AlternateContent>
            </w:r>
            <w:r>
              <w:rPr>
                <w:color w:val="auto"/>
                <w:position w:val="-140"/>
              </w:rPr>
              <w:drawing>
                <wp:inline distT="0" distB="0" distL="0" distR="0">
                  <wp:extent cx="4337685" cy="3648710"/>
                  <wp:effectExtent l="0" t="0" r="5715" b="889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4"/>
                          <a:stretch>
                            <a:fillRect/>
                          </a:stretch>
                        </pic:blipFill>
                        <pic:spPr>
                          <a:xfrm>
                            <a:off x="0" y="0"/>
                            <a:ext cx="4337685" cy="3648710"/>
                          </a:xfrm>
                          <a:prstGeom prst="rect">
                            <a:avLst/>
                          </a:prstGeom>
                        </pic:spPr>
                      </pic:pic>
                    </a:graphicData>
                  </a:graphic>
                </wp:inline>
              </w:drawing>
            </w:r>
          </w:p>
          <w:p w14:paraId="30A5A9D5">
            <w:pPr>
              <w:pStyle w:val="5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val="0"/>
                <w:bCs w:val="0"/>
                <w:color w:val="auto"/>
                <w:lang w:val="en-US" w:eastAsia="zh-CN"/>
              </w:rPr>
            </w:pPr>
            <w:r>
              <w:rPr>
                <w:rFonts w:hint="eastAsia"/>
                <w:color w:val="auto"/>
                <w:lang w:val="en-US" w:eastAsia="zh-CN"/>
              </w:rPr>
              <w:t>图2-4    现有项目</w:t>
            </w:r>
            <w:r>
              <w:rPr>
                <w:color w:val="auto"/>
                <w:spacing w:val="-3"/>
              </w:rPr>
              <w:t>且</w:t>
            </w:r>
            <w:r>
              <w:rPr>
                <w:rFonts w:hint="eastAsia"/>
                <w:color w:val="auto"/>
                <w:lang w:val="en-US" w:eastAsia="zh-CN"/>
              </w:rPr>
              <w:t>生产工艺流程及产物节点图</w:t>
            </w:r>
          </w:p>
          <w:p w14:paraId="4F092359">
            <w:pPr>
              <w:pStyle w:val="51"/>
              <w:ind w:firstLine="480"/>
              <w:rPr>
                <w:rFonts w:hint="default" w:ascii="Times New Roman" w:hAnsi="Times New Roman" w:eastAsia="宋体" w:cs="Times New Roman"/>
                <w:b/>
                <w:bCs/>
                <w:color w:val="auto"/>
                <w:lang w:val="en-US" w:eastAsia="zh-CN"/>
              </w:rPr>
            </w:pPr>
            <w:r>
              <w:rPr>
                <w:rFonts w:hint="eastAsia"/>
                <w:b/>
                <w:bCs/>
                <w:color w:val="auto"/>
                <w:lang w:val="en-US" w:eastAsia="zh-CN"/>
              </w:rPr>
              <w:t>4、</w:t>
            </w:r>
            <w:r>
              <w:rPr>
                <w:rFonts w:hint="eastAsia" w:hAnsi="Times New Roman"/>
                <w:b/>
                <w:bCs/>
                <w:color w:val="auto"/>
                <w:lang w:val="en-US" w:eastAsia="zh-CN"/>
              </w:rPr>
              <w:t>污染物排放情况</w:t>
            </w:r>
          </w:p>
          <w:p w14:paraId="214350BE">
            <w:pPr>
              <w:pStyle w:val="51"/>
              <w:bidi w:val="0"/>
              <w:rPr>
                <w:rFonts w:hint="default"/>
                <w:color w:val="auto"/>
                <w:lang w:val="en-US"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lang w:val="en-US" w:eastAsia="zh-CN"/>
              </w:rPr>
              <w:t>废气</w:t>
            </w:r>
          </w:p>
          <w:p w14:paraId="43D66BA6">
            <w:pPr>
              <w:pStyle w:val="51"/>
              <w:bidi w:val="0"/>
              <w:rPr>
                <w:rFonts w:hint="eastAsia" w:eastAsia="宋体"/>
                <w:color w:val="auto"/>
                <w:spacing w:val="-1"/>
                <w:lang w:eastAsia="zh-CN"/>
              </w:rPr>
            </w:pPr>
            <w:r>
              <w:rPr>
                <w:color w:val="auto"/>
              </w:rPr>
              <w:t>项目运营期间</w:t>
            </w:r>
            <w:r>
              <w:rPr>
                <w:color w:val="auto"/>
                <w:spacing w:val="-3"/>
              </w:rPr>
              <w:t>破碎过程湿式破碎，位于封闭彩钢瓦大</w:t>
            </w:r>
            <w:r>
              <w:rPr>
                <w:color w:val="auto"/>
                <w:spacing w:val="-4"/>
              </w:rPr>
              <w:t>棚内；项目回收废塑</w:t>
            </w:r>
            <w:r>
              <w:rPr>
                <w:color w:val="auto"/>
                <w:spacing w:val="-1"/>
              </w:rPr>
              <w:t>料及时破碎清洗后外售，不在项目区长时间堆存</w:t>
            </w:r>
            <w:r>
              <w:rPr>
                <w:rFonts w:hint="eastAsia"/>
                <w:color w:val="auto"/>
                <w:spacing w:val="-1"/>
                <w:lang w:eastAsia="zh-CN"/>
              </w:rPr>
              <w:t>。</w:t>
            </w:r>
          </w:p>
          <w:p w14:paraId="29CDB47C">
            <w:pPr>
              <w:pStyle w:val="51"/>
              <w:bidi w:val="0"/>
              <w:rPr>
                <w:color w:val="auto"/>
                <w:spacing w:val="-1"/>
              </w:rPr>
            </w:pPr>
            <w:r>
              <w:rPr>
                <w:rFonts w:hint="eastAsia" w:cs="Times New Roman"/>
                <w:color w:val="auto"/>
                <w:sz w:val="24"/>
                <w:lang w:val="en-US" w:eastAsia="zh-CN"/>
              </w:rPr>
              <w:t>根据《排放源统计调查产排污核算方法和系数手册42废弃资源综合利用行业系数手册》：非金属废料和碎屑加工处理行业系数表中干法破碎颗粒物375</w:t>
            </w:r>
            <w:r>
              <w:rPr>
                <w:rFonts w:hint="default" w:cs="Times New Roman"/>
                <w:color w:val="auto"/>
                <w:sz w:val="24"/>
                <w:lang w:val="en-US" w:eastAsia="zh-CN"/>
              </w:rPr>
              <w:t>克/吨-原料</w:t>
            </w:r>
            <w:r>
              <w:rPr>
                <w:rFonts w:hint="eastAsia" w:cs="Times New Roman"/>
                <w:color w:val="auto"/>
                <w:sz w:val="24"/>
                <w:lang w:val="en-US" w:eastAsia="zh-CN"/>
              </w:rPr>
              <w:t>，项目采用湿式破碎，产污系数取93.8</w:t>
            </w:r>
            <w:r>
              <w:rPr>
                <w:rFonts w:hint="default" w:cs="Times New Roman"/>
                <w:color w:val="auto"/>
                <w:sz w:val="24"/>
                <w:lang w:val="en-US" w:eastAsia="zh-CN"/>
              </w:rPr>
              <w:t>克/吨-原料</w:t>
            </w:r>
            <w:r>
              <w:rPr>
                <w:rFonts w:hint="eastAsia" w:cs="Times New Roman"/>
                <w:color w:val="auto"/>
                <w:sz w:val="24"/>
                <w:lang w:val="en-US" w:eastAsia="zh-CN"/>
              </w:rPr>
              <w:t>计。根据现场调查，由于市场原因项目实际运行过程中最大生产规模为1万t/a，项目年原料使用10000t，则破碎工序颗粒物产生量为0.938t/a，呈无组织排放。</w:t>
            </w:r>
          </w:p>
          <w:p w14:paraId="6C359D2D">
            <w:pPr>
              <w:pStyle w:val="51"/>
              <w:bidi w:val="0"/>
              <w:rPr>
                <w:color w:val="auto"/>
                <w:spacing w:val="-3"/>
              </w:rPr>
            </w:pPr>
            <w:r>
              <w:rPr>
                <w:color w:val="auto"/>
                <w:spacing w:val="-3"/>
              </w:rPr>
              <w:t>污水处理站污水日产日处理，设置污泥库，产生污泥脱水后进入污泥库暂存，最终按照当地环卫部门要求处置，不在项目区堆存，采取以上措施后，粉尘、异味产生及排放量少，对周围大气环境及保护目标影响小。</w:t>
            </w:r>
          </w:p>
          <w:p w14:paraId="07CAEAD9">
            <w:pPr>
              <w:pStyle w:val="51"/>
              <w:bidi w:val="0"/>
              <w:rPr>
                <w:color w:val="auto"/>
              </w:rPr>
            </w:pPr>
            <w:r>
              <w:rPr>
                <w:color w:val="auto"/>
              </w:rPr>
              <w:t>验收监测期间，本项目厂界无组织废气中</w:t>
            </w:r>
            <w:r>
              <w:rPr>
                <w:rFonts w:hint="eastAsia"/>
                <w:color w:val="auto"/>
                <w:lang w:eastAsia="zh-CN"/>
              </w:rPr>
              <w:t>细颗粒物</w:t>
            </w:r>
            <w:r>
              <w:rPr>
                <w:color w:val="auto"/>
              </w:rPr>
              <w:t>（TSP）最高排放浓度小于《大气污</w:t>
            </w:r>
            <w:r>
              <w:rPr>
                <w:color w:val="auto"/>
                <w:spacing w:val="-1"/>
              </w:rPr>
              <w:t>染物综合排放标准》（</w:t>
            </w:r>
            <w:r>
              <w:rPr>
                <w:rFonts w:ascii="Times New Roman" w:hAnsi="Times New Roman" w:eastAsia="Times New Roman" w:cs="Times New Roman"/>
                <w:color w:val="auto"/>
                <w:spacing w:val="-1"/>
              </w:rPr>
              <w:t>GB16297-1996</w:t>
            </w:r>
            <w:r>
              <w:rPr>
                <w:color w:val="auto"/>
                <w:spacing w:val="-2"/>
              </w:rPr>
              <w:t>）表</w:t>
            </w:r>
            <w:r>
              <w:rPr>
                <w:color w:val="auto"/>
                <w:spacing w:val="-55"/>
              </w:rPr>
              <w:t xml:space="preserve"> </w:t>
            </w:r>
            <w:r>
              <w:rPr>
                <w:rFonts w:ascii="Times New Roman" w:hAnsi="Times New Roman" w:eastAsia="Times New Roman" w:cs="Times New Roman"/>
                <w:color w:val="auto"/>
                <w:spacing w:val="-2"/>
              </w:rPr>
              <w:t>2</w:t>
            </w:r>
            <w:r>
              <w:rPr>
                <w:color w:val="auto"/>
                <w:spacing w:val="-2"/>
              </w:rPr>
              <w:t>二级标准限值，臭气浓度最高浓度小于《恶臭污染物排放标准》（</w:t>
            </w:r>
            <w:r>
              <w:rPr>
                <w:rFonts w:ascii="Times New Roman" w:hAnsi="Times New Roman" w:eastAsia="Times New Roman" w:cs="Times New Roman"/>
                <w:color w:val="auto"/>
                <w:spacing w:val="-2"/>
              </w:rPr>
              <w:t>GB14554-93</w:t>
            </w:r>
            <w:r>
              <w:rPr>
                <w:color w:val="auto"/>
                <w:spacing w:val="-2"/>
              </w:rPr>
              <w:t>）</w:t>
            </w:r>
            <w:r>
              <w:rPr>
                <w:color w:val="auto"/>
                <w:spacing w:val="-1"/>
              </w:rPr>
              <w:t>二级标准限值，可达到排放标准限</w:t>
            </w:r>
            <w:r>
              <w:rPr>
                <w:color w:val="auto"/>
              </w:rPr>
              <w:t>值要求。</w:t>
            </w:r>
          </w:p>
          <w:p w14:paraId="24DDEEE0">
            <w:pPr>
              <w:pStyle w:val="51"/>
              <w:bidi w:val="0"/>
              <w:rPr>
                <w:rFonts w:hint="eastAsia"/>
                <w:color w:val="auto"/>
                <w:lang w:val="en-US" w:eastAsia="zh-CN"/>
              </w:rPr>
            </w:pPr>
            <w:r>
              <w:rPr>
                <w:rFonts w:hint="eastAsia"/>
                <w:color w:val="auto"/>
                <w:lang w:val="en-US" w:eastAsia="zh-CN"/>
              </w:rPr>
              <w:t>（2）废水</w:t>
            </w:r>
          </w:p>
          <w:p w14:paraId="58251528">
            <w:pPr>
              <w:pStyle w:val="51"/>
              <w:bidi w:val="0"/>
              <w:rPr>
                <w:color w:val="auto"/>
              </w:rPr>
            </w:pPr>
            <w:r>
              <w:rPr>
                <w:rFonts w:hint="eastAsia" w:cs="Times New Roman"/>
                <w:color w:val="auto"/>
                <w:lang w:val="en-US" w:eastAsia="zh-CN"/>
              </w:rPr>
              <w:t>根据</w:t>
            </w:r>
            <w:r>
              <w:rPr>
                <w:rFonts w:hint="eastAsia" w:cs="Times New Roman"/>
                <w:color w:val="auto"/>
                <w:lang w:eastAsia="zh-CN"/>
              </w:rPr>
              <w:t>《</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竣工环境保护验收监测报告表</w:t>
            </w:r>
            <w:r>
              <w:rPr>
                <w:rFonts w:hint="eastAsia" w:cs="Times New Roman"/>
                <w:color w:val="auto"/>
                <w:lang w:eastAsia="zh-CN"/>
              </w:rPr>
              <w:t>》：</w:t>
            </w:r>
            <w:r>
              <w:rPr>
                <w:color w:val="auto"/>
              </w:rPr>
              <w:t>项目运营期废水主要为生产废水、生活污水，生产废水包含粗洗废水、二次清洗废水。生活污水包括工作人员生活污水、冲厕废水。工作人员生活污水产生量为0.48m</w:t>
            </w:r>
            <w:r>
              <w:rPr>
                <w:color w:val="auto"/>
                <w:vertAlign w:val="superscript"/>
              </w:rPr>
              <w:t>3</w:t>
            </w:r>
            <w:r>
              <w:rPr>
                <w:color w:val="auto"/>
              </w:rPr>
              <w:t>/d，144m</w:t>
            </w:r>
            <w:r>
              <w:rPr>
                <w:color w:val="auto"/>
                <w:vertAlign w:val="superscript"/>
              </w:rPr>
              <w:t>3</w:t>
            </w:r>
            <w:r>
              <w:rPr>
                <w:color w:val="auto"/>
              </w:rPr>
              <w:t>/a，冲厕废水产生量为0.25m</w:t>
            </w:r>
            <w:r>
              <w:rPr>
                <w:color w:val="auto"/>
                <w:vertAlign w:val="superscript"/>
              </w:rPr>
              <w:t>3</w:t>
            </w:r>
            <w:r>
              <w:rPr>
                <w:color w:val="auto"/>
              </w:rPr>
              <w:t>/d，75m</w:t>
            </w:r>
            <w:r>
              <w:rPr>
                <w:color w:val="auto"/>
                <w:vertAlign w:val="superscript"/>
              </w:rPr>
              <w:t>3</w:t>
            </w:r>
            <w:r>
              <w:rPr>
                <w:color w:val="auto"/>
              </w:rPr>
              <w:t>/a；项目区设置化粪池，生活污水及冲厕废水进入化粪池后定期委托周边村民清掏用作农肥，不外排；粗洗废水产生量为87.3m</w:t>
            </w:r>
            <w:r>
              <w:rPr>
                <w:color w:val="auto"/>
                <w:vertAlign w:val="superscript"/>
              </w:rPr>
              <w:t>3</w:t>
            </w:r>
            <w:r>
              <w:rPr>
                <w:color w:val="auto"/>
              </w:rPr>
              <w:t>/d</w:t>
            </w:r>
            <w:r>
              <w:rPr>
                <w:rFonts w:hint="eastAsia"/>
                <w:color w:val="auto"/>
                <w:lang w:eastAsia="zh-CN"/>
              </w:rPr>
              <w:t>，</w:t>
            </w:r>
            <w:r>
              <w:rPr>
                <w:color w:val="auto"/>
              </w:rPr>
              <w:t>26190m</w:t>
            </w:r>
            <w:r>
              <w:rPr>
                <w:color w:val="auto"/>
                <w:vertAlign w:val="superscript"/>
              </w:rPr>
              <w:t>3</w:t>
            </w:r>
            <w:r>
              <w:rPr>
                <w:color w:val="auto"/>
              </w:rPr>
              <w:t>/a，粗洗废水经污水处理站处理后回用，不外排；二次清洗废水产生量为58.2m</w:t>
            </w:r>
            <w:r>
              <w:rPr>
                <w:color w:val="auto"/>
                <w:vertAlign w:val="superscript"/>
              </w:rPr>
              <w:t>3</w:t>
            </w:r>
            <w:r>
              <w:rPr>
                <w:color w:val="auto"/>
              </w:rPr>
              <w:t>/d，17460m</w:t>
            </w:r>
            <w:r>
              <w:rPr>
                <w:color w:val="auto"/>
                <w:vertAlign w:val="superscript"/>
              </w:rPr>
              <w:t>3</w:t>
            </w:r>
            <w:r>
              <w:rPr>
                <w:color w:val="auto"/>
              </w:rPr>
              <w:t>/a，该部分水经管道直接引入粗洗工序回用</w:t>
            </w:r>
            <w:r>
              <w:rPr>
                <w:rFonts w:hint="eastAsia"/>
                <w:color w:val="auto"/>
                <w:lang w:eastAsia="zh-CN"/>
              </w:rPr>
              <w:t>，</w:t>
            </w:r>
            <w:r>
              <w:rPr>
                <w:color w:val="auto"/>
              </w:rPr>
              <w:t>不外排；项目</w:t>
            </w:r>
            <w:r>
              <w:rPr>
                <w:rFonts w:hint="eastAsia"/>
                <w:color w:val="auto"/>
                <w:lang w:val="en-US" w:eastAsia="zh-CN"/>
              </w:rPr>
              <w:t>设置</w:t>
            </w:r>
            <w:r>
              <w:rPr>
                <w:color w:val="auto"/>
              </w:rPr>
              <w:t>容积</w:t>
            </w:r>
            <w:r>
              <w:rPr>
                <w:rFonts w:hint="eastAsia"/>
                <w:color w:val="auto"/>
                <w:lang w:val="en-US" w:eastAsia="zh-CN"/>
              </w:rPr>
              <w:t>22.5</w:t>
            </w:r>
            <w:r>
              <w:rPr>
                <w:color w:val="auto"/>
              </w:rPr>
              <w:t>m</w:t>
            </w:r>
            <w:r>
              <w:rPr>
                <w:color w:val="auto"/>
                <w:vertAlign w:val="superscript"/>
              </w:rPr>
              <w:t>3</w:t>
            </w:r>
            <w:r>
              <w:rPr>
                <w:color w:val="auto"/>
              </w:rPr>
              <w:t>的化粪池</w:t>
            </w:r>
            <w:r>
              <w:rPr>
                <w:rFonts w:hint="eastAsia"/>
                <w:color w:val="auto"/>
                <w:lang w:eastAsia="zh-CN"/>
              </w:rPr>
              <w:t>（</w:t>
            </w:r>
            <w:r>
              <w:rPr>
                <w:rFonts w:hint="eastAsia"/>
                <w:color w:val="auto"/>
                <w:lang w:val="en-US" w:eastAsia="zh-CN"/>
              </w:rPr>
              <w:t>设置3个，单个容积7.5</w:t>
            </w:r>
            <w:r>
              <w:rPr>
                <w:color w:val="auto"/>
              </w:rPr>
              <w:t>m</w:t>
            </w:r>
            <w:r>
              <w:rPr>
                <w:color w:val="auto"/>
                <w:vertAlign w:val="superscript"/>
              </w:rPr>
              <w:t>3</w:t>
            </w:r>
            <w:r>
              <w:rPr>
                <w:rFonts w:hint="eastAsia"/>
                <w:color w:val="auto"/>
                <w:lang w:eastAsia="zh-CN"/>
              </w:rPr>
              <w:t>）</w:t>
            </w:r>
            <w:r>
              <w:rPr>
                <w:color w:val="auto"/>
              </w:rPr>
              <w:t>，处理能力为</w:t>
            </w:r>
            <w:r>
              <w:rPr>
                <w:color w:val="auto"/>
                <w:spacing w:val="-36"/>
                <w:position w:val="1"/>
                <w:sz w:val="20"/>
                <w:szCs w:val="20"/>
              </w:rPr>
              <w:t xml:space="preserve"> </w:t>
            </w:r>
            <w:r>
              <w:rPr>
                <w:rFonts w:ascii="Times New Roman" w:hAnsi="Times New Roman" w:eastAsia="Times New Roman" w:cs="Times New Roman"/>
                <w:color w:val="auto"/>
                <w:position w:val="1"/>
                <w:sz w:val="24"/>
                <w:szCs w:val="24"/>
              </w:rPr>
              <w:t>50m</w:t>
            </w:r>
            <w:r>
              <w:rPr>
                <w:rFonts w:ascii="Times New Roman" w:hAnsi="Times New Roman" w:eastAsia="Times New Roman" w:cs="Times New Roman"/>
                <w:color w:val="auto"/>
                <w:position w:val="7"/>
                <w:sz w:val="24"/>
                <w:szCs w:val="24"/>
                <w:vertAlign w:val="superscript"/>
              </w:rPr>
              <w:t>3</w:t>
            </w:r>
            <w:r>
              <w:rPr>
                <w:rFonts w:ascii="Times New Roman" w:hAnsi="Times New Roman" w:eastAsia="Times New Roman" w:cs="Times New Roman"/>
                <w:color w:val="auto"/>
                <w:position w:val="1"/>
                <w:sz w:val="24"/>
                <w:szCs w:val="24"/>
              </w:rPr>
              <w:t>/d</w:t>
            </w:r>
            <w:r>
              <w:rPr>
                <w:color w:val="auto"/>
              </w:rPr>
              <w:t>、处理工艺为“絮凝沉淀”的污水处理站。粗洗废水经污水处理站处理后回用，生活污水、冲厕废水经化粪池</w:t>
            </w:r>
            <w:r>
              <w:rPr>
                <w:rFonts w:hint="eastAsia"/>
                <w:color w:val="auto"/>
                <w:lang w:val="en-US" w:eastAsia="zh-CN"/>
              </w:rPr>
              <w:t>处理</w:t>
            </w:r>
            <w:r>
              <w:rPr>
                <w:color w:val="auto"/>
              </w:rPr>
              <w:t>后定期委托周边村民清掏用作农肥，不外排，对周围地表水水环境影响不大。</w:t>
            </w:r>
          </w:p>
          <w:p w14:paraId="5BE1FFAF">
            <w:pPr>
              <w:pStyle w:val="51"/>
              <w:numPr>
                <w:ilvl w:val="0"/>
                <w:numId w:val="0"/>
              </w:numPr>
              <w:bidi w:val="0"/>
              <w:ind w:left="-60" w:leftChars="0" w:firstLine="480" w:firstLineChars="200"/>
              <w:rPr>
                <w:rFonts w:hint="eastAsia"/>
                <w:color w:val="auto"/>
                <w:lang w:val="en-US" w:eastAsia="zh-CN"/>
              </w:rPr>
            </w:pPr>
            <w:r>
              <w:rPr>
                <w:rFonts w:hint="eastAsia" w:ascii="Times New Roman" w:hAnsi="Times New Roman" w:eastAsia="宋体" w:cs="宋体"/>
                <w:color w:val="auto"/>
                <w:kern w:val="2"/>
                <w:sz w:val="24"/>
                <w:szCs w:val="21"/>
                <w:lang w:val="en-US" w:eastAsia="zh-CN" w:bidi="ar-SA"/>
              </w:rPr>
              <w:t>（</w:t>
            </w:r>
            <w:r>
              <w:rPr>
                <w:rFonts w:hint="eastAsia" w:cs="宋体"/>
                <w:color w:val="auto"/>
                <w:kern w:val="2"/>
                <w:sz w:val="24"/>
                <w:szCs w:val="21"/>
                <w:lang w:val="en-US" w:eastAsia="zh-CN" w:bidi="ar-SA"/>
              </w:rPr>
              <w:t>3</w:t>
            </w:r>
            <w:r>
              <w:rPr>
                <w:rFonts w:hint="eastAsia" w:ascii="Times New Roman" w:hAnsi="Times New Roman" w:eastAsia="宋体" w:cs="宋体"/>
                <w:color w:val="auto"/>
                <w:kern w:val="2"/>
                <w:sz w:val="24"/>
                <w:szCs w:val="21"/>
                <w:lang w:val="en-US" w:eastAsia="zh-CN" w:bidi="ar-SA"/>
              </w:rPr>
              <w:t>）</w:t>
            </w:r>
            <w:r>
              <w:rPr>
                <w:rFonts w:hint="eastAsia"/>
                <w:color w:val="auto"/>
                <w:lang w:val="en-US" w:eastAsia="zh-CN"/>
              </w:rPr>
              <w:t>噪声</w:t>
            </w:r>
          </w:p>
          <w:p w14:paraId="0A1104DA">
            <w:pPr>
              <w:pStyle w:val="51"/>
              <w:numPr>
                <w:ilvl w:val="0"/>
                <w:numId w:val="0"/>
              </w:numPr>
              <w:bidi w:val="0"/>
              <w:ind w:left="-60" w:leftChars="0" w:firstLine="480" w:firstLineChars="200"/>
              <w:rPr>
                <w:color w:val="auto"/>
              </w:rPr>
            </w:pPr>
            <w:r>
              <w:rPr>
                <w:color w:val="auto"/>
              </w:rPr>
              <w:t>项目运营期噪声主要来源于生产设备运行过程中产生的噪声，主要产噪设备 有破碎机、清洗机、水泵等</w:t>
            </w:r>
            <w:r>
              <w:rPr>
                <w:rFonts w:hint="eastAsia"/>
                <w:color w:val="auto"/>
                <w:lang w:eastAsia="zh-CN"/>
              </w:rPr>
              <w:t>，</w:t>
            </w:r>
            <w:r>
              <w:rPr>
                <w:color w:val="auto"/>
              </w:rPr>
              <w:t>项目采取破碎机、清洗机、塑料甩干机设置在厂房内；破碎机基座加装减震垫等措施</w:t>
            </w:r>
            <w:r>
              <w:rPr>
                <w:rFonts w:hint="eastAsia"/>
                <w:color w:val="auto"/>
                <w:lang w:eastAsia="zh-CN"/>
              </w:rPr>
              <w:t>。</w:t>
            </w:r>
            <w:r>
              <w:rPr>
                <w:color w:val="auto"/>
              </w:rPr>
              <w:t>验收监测期间，厂界东、南、西、北监测点位的昼间噪声和夜间噪声分别在51.9～58.9dB（A）之间和38.3～45.0dB（A）之间，均满足《工业企业厂界环境噪声排放标准》（GB12348-2008）2类标准的要求，即项目噪声达标排放；项目区西北面最近散户、项目区西面最近散户昼间噪声测定范围为45～51.4dB（A），夜间噪声测定值范围为39.5～41.6dB（A）</w:t>
            </w:r>
            <w:r>
              <w:rPr>
                <w:rFonts w:hint="eastAsia"/>
                <w:color w:val="auto"/>
                <w:lang w:eastAsia="zh-CN"/>
              </w:rPr>
              <w:t>，</w:t>
            </w:r>
            <w:r>
              <w:rPr>
                <w:color w:val="auto"/>
              </w:rPr>
              <w:t>均满足《声环境质量标准》</w:t>
            </w:r>
            <w:r>
              <w:rPr>
                <w:rFonts w:hint="eastAsia"/>
                <w:color w:val="auto"/>
                <w:lang w:eastAsia="zh-CN"/>
              </w:rPr>
              <w:t>（</w:t>
            </w:r>
            <w:r>
              <w:rPr>
                <w:color w:val="auto"/>
              </w:rPr>
              <w:t>GB3096-2008</w:t>
            </w:r>
            <w:r>
              <w:rPr>
                <w:rFonts w:hint="eastAsia"/>
                <w:color w:val="auto"/>
                <w:lang w:eastAsia="zh-CN"/>
              </w:rPr>
              <w:t>）</w:t>
            </w:r>
            <w:r>
              <w:rPr>
                <w:color w:val="auto"/>
              </w:rPr>
              <w:t>2类标准。</w:t>
            </w:r>
          </w:p>
          <w:p w14:paraId="425C725A">
            <w:pPr>
              <w:pStyle w:val="51"/>
              <w:numPr>
                <w:ilvl w:val="0"/>
                <w:numId w:val="0"/>
              </w:numPr>
              <w:bidi w:val="0"/>
              <w:ind w:left="-60" w:leftChars="0" w:firstLine="480" w:firstLineChars="200"/>
              <w:rPr>
                <w:rFonts w:hint="default"/>
                <w:color w:val="auto"/>
                <w:lang w:val="en-US" w:eastAsia="zh-CN"/>
              </w:rPr>
            </w:pPr>
            <w:r>
              <w:rPr>
                <w:rFonts w:hint="default" w:ascii="Times New Roman" w:hAnsi="Times New Roman" w:eastAsia="宋体" w:cs="宋体"/>
                <w:color w:val="auto"/>
                <w:kern w:val="2"/>
                <w:sz w:val="24"/>
                <w:szCs w:val="21"/>
                <w:lang w:val="en-US" w:eastAsia="zh-CN" w:bidi="ar-SA"/>
              </w:rPr>
              <w:t>（4）</w:t>
            </w:r>
            <w:r>
              <w:rPr>
                <w:rFonts w:hint="eastAsia"/>
                <w:color w:val="auto"/>
                <w:lang w:val="en-US" w:eastAsia="zh-CN"/>
              </w:rPr>
              <w:t>固体废物</w:t>
            </w:r>
          </w:p>
          <w:p w14:paraId="70C36D4F">
            <w:pPr>
              <w:pStyle w:val="51"/>
              <w:numPr>
                <w:ilvl w:val="0"/>
                <w:numId w:val="0"/>
              </w:numPr>
              <w:bidi w:val="0"/>
              <w:ind w:left="-60" w:leftChars="0" w:firstLine="480" w:firstLineChars="200"/>
              <w:rPr>
                <w:color w:val="auto"/>
              </w:rPr>
            </w:pPr>
            <w:r>
              <w:rPr>
                <w:color w:val="auto"/>
              </w:rPr>
              <w:t>项目运营期产生的固体废物主要为格栅滤渣、污水处理站污泥、化粪池污泥、 生活垃圾。</w:t>
            </w:r>
          </w:p>
          <w:p w14:paraId="69D6DDEF">
            <w:pPr>
              <w:pStyle w:val="71"/>
              <w:keepNext w:val="0"/>
              <w:keepLines w:val="0"/>
              <w:pageBreakBefore w:val="0"/>
              <w:widowControl w:val="0"/>
              <w:kinsoku/>
              <w:wordWrap/>
              <w:overflowPunct/>
              <w:topLinePunct w:val="0"/>
              <w:autoSpaceDE/>
              <w:autoSpaceDN/>
              <w:bidi w:val="0"/>
              <w:adjustRightInd w:val="0"/>
              <w:snapToGrid/>
              <w:spacing w:line="360" w:lineRule="auto"/>
              <w:ind w:left="0" w:right="0" w:firstLine="480" w:firstLineChars="200"/>
              <w:textAlignment w:val="auto"/>
              <w:rPr>
                <w:rFonts w:ascii="Times New Roman" w:hAnsi="Times New Roman" w:eastAsia="宋体" w:cs="宋体"/>
                <w:color w:val="auto"/>
                <w:kern w:val="2"/>
                <w:sz w:val="24"/>
                <w:szCs w:val="21"/>
                <w:lang w:val="en-US" w:eastAsia="zh-CN" w:bidi="ar-SA"/>
              </w:rPr>
            </w:pPr>
            <w:r>
              <w:rPr>
                <w:rFonts w:ascii="Times New Roman" w:hAnsi="Times New Roman" w:eastAsia="宋体" w:cs="宋体"/>
                <w:color w:val="auto"/>
                <w:kern w:val="2"/>
                <w:sz w:val="24"/>
                <w:szCs w:val="21"/>
                <w:lang w:val="en-US" w:eastAsia="zh-CN" w:bidi="ar-SA"/>
              </w:rPr>
              <w:t>格栅滤渣产生量为2t/a ，其主要成分为碎塑料，统一收集后返回粗洗工序； 污水处理站污泥产生量为12.94t/a（干污泥），污泥脱水后，进入污泥库暂存，</w:t>
            </w:r>
            <w:r>
              <w:rPr>
                <w:rFonts w:hint="eastAsia" w:ascii="Times New Roman" w:hAnsi="Times New Roman" w:eastAsia="宋体" w:cs="宋体"/>
                <w:color w:val="auto"/>
                <w:kern w:val="2"/>
                <w:sz w:val="24"/>
                <w:szCs w:val="21"/>
                <w:lang w:val="en-US" w:eastAsia="zh-CN" w:bidi="ar-SA"/>
              </w:rPr>
              <w:t>委托</w:t>
            </w:r>
            <w:r>
              <w:rPr>
                <w:rFonts w:ascii="Times New Roman" w:hAnsi="Times New Roman" w:eastAsia="宋体" w:cs="宋体"/>
                <w:color w:val="auto"/>
                <w:kern w:val="2"/>
                <w:sz w:val="24"/>
                <w:szCs w:val="21"/>
                <w:lang w:val="en-US" w:eastAsia="zh-CN" w:bidi="ar-SA"/>
              </w:rPr>
              <w:t>环卫部门处置。化粪池污泥产生量少，定期委托周边村民清掏用作农肥</w:t>
            </w:r>
            <w:r>
              <w:rPr>
                <w:rFonts w:hint="eastAsia" w:ascii="Times New Roman" w:hAnsi="Times New Roman" w:cs="宋体"/>
                <w:color w:val="auto"/>
                <w:kern w:val="2"/>
                <w:sz w:val="24"/>
                <w:szCs w:val="21"/>
                <w:lang w:val="en-US" w:eastAsia="zh-CN" w:bidi="ar-SA"/>
              </w:rPr>
              <w:t>；</w:t>
            </w:r>
            <w:r>
              <w:rPr>
                <w:rFonts w:ascii="Times New Roman" w:hAnsi="Times New Roman" w:eastAsia="宋体" w:cs="宋体"/>
                <w:color w:val="auto"/>
                <w:kern w:val="2"/>
                <w:sz w:val="24"/>
                <w:szCs w:val="21"/>
                <w:lang w:val="en-US" w:eastAsia="zh-CN" w:bidi="ar-SA"/>
              </w:rPr>
              <w:t>生活垃圾产生量为 6kg/d，1.8t/a，项目区设置生活垃圾桶，生活垃圾统一收集后塑料垃圾等能回用部分进行外售或回用，不能回用部分按照当地环卫部门要求处置。</w:t>
            </w:r>
          </w:p>
          <w:p w14:paraId="4E911B0B">
            <w:pPr>
              <w:pStyle w:val="51"/>
              <w:bidi w:val="0"/>
              <w:rPr>
                <w:color w:val="auto"/>
              </w:rPr>
            </w:pPr>
            <w:r>
              <w:rPr>
                <w:rFonts w:ascii="Times New Roman" w:hAnsi="Times New Roman" w:eastAsia="宋体" w:cs="宋体"/>
                <w:color w:val="auto"/>
                <w:kern w:val="2"/>
                <w:sz w:val="24"/>
                <w:szCs w:val="21"/>
                <w:lang w:val="en-US" w:eastAsia="zh-CN" w:bidi="ar-SA"/>
              </w:rPr>
              <w:t>综上所述，项目运营期产生的固体废物均能得到合理处置，处置率100%，</w:t>
            </w:r>
            <w:r>
              <w:rPr>
                <w:color w:val="auto"/>
              </w:rPr>
              <w:t>对项目区周围环境影响小。</w:t>
            </w:r>
          </w:p>
          <w:p w14:paraId="4950ADC7">
            <w:pPr>
              <w:pStyle w:val="51"/>
              <w:bidi w:val="0"/>
              <w:rPr>
                <w:rFonts w:hint="default"/>
                <w:b/>
                <w:bCs/>
                <w:color w:val="auto"/>
              </w:rPr>
            </w:pPr>
            <w:r>
              <w:rPr>
                <w:rFonts w:hint="eastAsia"/>
                <w:b/>
                <w:bCs/>
                <w:color w:val="auto"/>
                <w:lang w:val="en-US" w:eastAsia="zh-CN"/>
              </w:rPr>
              <w:t>4、</w:t>
            </w:r>
            <w:r>
              <w:rPr>
                <w:rFonts w:hint="default"/>
                <w:b/>
                <w:bCs/>
                <w:color w:val="auto"/>
              </w:rPr>
              <w:t>与项目有关原有环境污染问题</w:t>
            </w:r>
          </w:p>
          <w:p w14:paraId="3290E4F2">
            <w:pPr>
              <w:pStyle w:val="51"/>
              <w:bidi w:val="0"/>
              <w:rPr>
                <w:rFonts w:hint="default"/>
                <w:color w:val="auto"/>
              </w:rPr>
            </w:pPr>
            <w:r>
              <w:rPr>
                <w:rFonts w:hint="default"/>
                <w:color w:val="auto"/>
              </w:rPr>
              <w:t>根据现场调查，现有工程环保相关手续齐全，厂区环境良好，各环保设施运行正常</w:t>
            </w:r>
            <w:r>
              <w:rPr>
                <w:rFonts w:hint="eastAsia"/>
                <w:color w:val="auto"/>
                <w:lang w:val="en-US" w:eastAsia="zh-CN"/>
              </w:rPr>
              <w:t>；</w:t>
            </w:r>
            <w:r>
              <w:rPr>
                <w:rFonts w:hint="default"/>
                <w:color w:val="auto"/>
              </w:rPr>
              <w:t>与本项目有关的</w:t>
            </w:r>
            <w:r>
              <w:rPr>
                <w:rFonts w:hint="eastAsia"/>
                <w:color w:val="auto"/>
                <w:lang w:val="en-US" w:eastAsia="zh-CN"/>
              </w:rPr>
              <w:t>环境</w:t>
            </w:r>
            <w:r>
              <w:rPr>
                <w:rFonts w:hint="default"/>
                <w:color w:val="auto"/>
              </w:rPr>
              <w:t>问题</w:t>
            </w:r>
            <w:r>
              <w:rPr>
                <w:rFonts w:hint="eastAsia"/>
                <w:color w:val="auto"/>
                <w:lang w:val="en-US" w:eastAsia="zh-CN"/>
              </w:rPr>
              <w:t>及整改措施如下：</w:t>
            </w:r>
          </w:p>
          <w:p w14:paraId="428329FA">
            <w:pPr>
              <w:pStyle w:val="51"/>
              <w:bidi w:val="0"/>
              <w:rPr>
                <w:rFonts w:hint="default"/>
                <w:color w:val="auto"/>
                <w:lang w:val="en-US" w:eastAsia="zh-CN"/>
              </w:rPr>
            </w:pPr>
            <w:r>
              <w:rPr>
                <w:rFonts w:hint="eastAsia"/>
                <w:color w:val="auto"/>
                <w:lang w:val="en-US" w:eastAsia="zh-CN"/>
              </w:rPr>
              <w:t>（1）原有环境问题</w:t>
            </w:r>
          </w:p>
          <w:p w14:paraId="02BE93AA">
            <w:pPr>
              <w:pStyle w:val="51"/>
              <w:bidi w:val="0"/>
              <w:rPr>
                <w:rFonts w:hint="default"/>
                <w:color w:val="auto"/>
                <w:lang w:val="en-US" w:eastAsia="zh-CN"/>
              </w:rPr>
            </w:pPr>
            <w:r>
              <w:rPr>
                <w:rFonts w:hint="default"/>
                <w:color w:val="auto"/>
                <w:lang w:val="en-US" w:eastAsia="zh-CN"/>
              </w:rPr>
              <w:t>①</w:t>
            </w:r>
            <w:r>
              <w:rPr>
                <w:rFonts w:hint="eastAsia"/>
                <w:color w:val="auto"/>
                <w:lang w:val="en-US" w:eastAsia="zh-CN"/>
              </w:rPr>
              <w:t>未规范设置雨水排放口，无雨水排放口标识标牌；</w:t>
            </w:r>
          </w:p>
          <w:p w14:paraId="1C689CE7">
            <w:pPr>
              <w:pStyle w:val="51"/>
              <w:bidi w:val="0"/>
              <w:rPr>
                <w:rFonts w:hint="default"/>
                <w:color w:val="auto"/>
                <w:lang w:val="en-US" w:eastAsia="zh-CN"/>
              </w:rPr>
            </w:pPr>
            <w:r>
              <w:rPr>
                <w:rFonts w:hint="default"/>
                <w:color w:val="auto"/>
                <w:lang w:val="en-US" w:eastAsia="zh-CN"/>
              </w:rPr>
              <w:t>②</w:t>
            </w:r>
            <w:r>
              <w:rPr>
                <w:rFonts w:hint="eastAsia"/>
                <w:color w:val="auto"/>
                <w:lang w:val="en-US" w:eastAsia="zh-CN"/>
              </w:rPr>
              <w:t>未规范设置一般固废暂存区，一般固废暂存区为露天场所；</w:t>
            </w:r>
          </w:p>
          <w:p w14:paraId="1664A6B6">
            <w:pPr>
              <w:pStyle w:val="51"/>
              <w:bidi w:val="0"/>
              <w:rPr>
                <w:rFonts w:hint="eastAsia"/>
                <w:color w:val="auto"/>
                <w:lang w:val="en-US" w:eastAsia="zh-CN"/>
              </w:rPr>
            </w:pPr>
            <w:r>
              <w:rPr>
                <w:rFonts w:hint="default"/>
                <w:color w:val="auto"/>
                <w:lang w:val="en-US" w:eastAsia="zh-CN"/>
              </w:rPr>
              <w:t>③</w:t>
            </w:r>
            <w:r>
              <w:rPr>
                <w:rFonts w:hint="eastAsia"/>
                <w:color w:val="auto"/>
                <w:lang w:val="en-US" w:eastAsia="zh-CN"/>
              </w:rPr>
              <w:t>污水处理站未规范设置标识标牌、未规范设置运行台账；</w:t>
            </w:r>
          </w:p>
          <w:p w14:paraId="53175D69">
            <w:pPr>
              <w:pStyle w:val="51"/>
              <w:bidi w:val="0"/>
              <w:rPr>
                <w:rFonts w:hint="eastAsia"/>
                <w:color w:val="auto"/>
                <w:lang w:val="en-US" w:eastAsia="zh-CN"/>
              </w:rPr>
            </w:pPr>
            <w:r>
              <w:rPr>
                <w:rFonts w:hint="default"/>
                <w:color w:val="auto"/>
                <w:lang w:val="en-US" w:eastAsia="zh-CN"/>
              </w:rPr>
              <w:t>④</w:t>
            </w:r>
            <w:r>
              <w:rPr>
                <w:rFonts w:hint="eastAsia"/>
                <w:color w:val="auto"/>
                <w:lang w:val="en-US" w:eastAsia="zh-CN"/>
              </w:rPr>
              <w:t>未张贴环境管理制度；</w:t>
            </w:r>
          </w:p>
          <w:p w14:paraId="5CA1D331">
            <w:pPr>
              <w:pStyle w:val="51"/>
              <w:bidi w:val="0"/>
              <w:rPr>
                <w:rFonts w:hint="default"/>
                <w:color w:val="auto"/>
                <w:lang w:val="en-US" w:eastAsia="zh-CN"/>
              </w:rPr>
            </w:pPr>
            <w:r>
              <w:rPr>
                <w:rFonts w:hint="eastAsia"/>
                <w:color w:val="auto"/>
                <w:lang w:val="en-US" w:eastAsia="zh-CN"/>
              </w:rPr>
              <w:t>⑤厂区内有固废露天堆存。</w:t>
            </w:r>
          </w:p>
          <w:p w14:paraId="7F39D8BE">
            <w:pPr>
              <w:pStyle w:val="51"/>
              <w:bidi w:val="0"/>
              <w:rPr>
                <w:rFonts w:hint="default"/>
                <w:color w:val="auto"/>
                <w:lang w:val="en-US" w:eastAsia="zh-CN"/>
              </w:rPr>
            </w:pPr>
            <w:r>
              <w:rPr>
                <w:rFonts w:hint="eastAsia"/>
                <w:color w:val="auto"/>
                <w:lang w:val="en-US" w:eastAsia="zh-CN"/>
              </w:rPr>
              <w:t>（2）整改措施</w:t>
            </w:r>
          </w:p>
          <w:p w14:paraId="18F26E87">
            <w:pPr>
              <w:pStyle w:val="51"/>
              <w:bidi w:val="0"/>
              <w:rPr>
                <w:rFonts w:hint="default"/>
                <w:color w:val="auto"/>
                <w:lang w:val="en-US" w:eastAsia="zh-CN"/>
              </w:rPr>
            </w:pPr>
            <w:r>
              <w:rPr>
                <w:rFonts w:hint="default"/>
                <w:color w:val="auto"/>
                <w:lang w:val="en-US" w:eastAsia="zh-CN"/>
              </w:rPr>
              <w:t>①</w:t>
            </w:r>
            <w:r>
              <w:rPr>
                <w:rFonts w:hint="eastAsia"/>
                <w:color w:val="auto"/>
                <w:lang w:val="en-US" w:eastAsia="zh-CN"/>
              </w:rPr>
              <w:t>在雨水排放口处按照排污许可证上的雨水排放口编号规范设置出雨水排放口，雨水经雨水排放口排放；</w:t>
            </w:r>
          </w:p>
          <w:p w14:paraId="4502F1F7">
            <w:pPr>
              <w:pStyle w:val="51"/>
              <w:bidi w:val="0"/>
              <w:rPr>
                <w:rFonts w:hint="default"/>
                <w:color w:val="auto"/>
                <w:lang w:val="en-US" w:eastAsia="zh-CN"/>
              </w:rPr>
            </w:pPr>
            <w:r>
              <w:rPr>
                <w:rFonts w:hint="default"/>
                <w:color w:val="auto"/>
                <w:lang w:val="en-US" w:eastAsia="zh-CN"/>
              </w:rPr>
              <w:t>②</w:t>
            </w:r>
            <w:r>
              <w:rPr>
                <w:rFonts w:hint="eastAsia"/>
                <w:color w:val="auto"/>
                <w:lang w:val="en-US" w:eastAsia="zh-CN"/>
              </w:rPr>
              <w:t>一般固废暂存区设置为防风、防雨、防流失等，并张贴一般固废暂存的标识标牌；</w:t>
            </w:r>
          </w:p>
          <w:p w14:paraId="22573008">
            <w:pPr>
              <w:pStyle w:val="51"/>
              <w:bidi w:val="0"/>
              <w:rPr>
                <w:rFonts w:hint="default"/>
                <w:color w:val="auto"/>
                <w:lang w:val="en-US" w:eastAsia="zh-CN"/>
              </w:rPr>
            </w:pPr>
            <w:r>
              <w:rPr>
                <w:rFonts w:hint="default"/>
                <w:color w:val="auto"/>
                <w:lang w:val="en-US" w:eastAsia="zh-CN"/>
              </w:rPr>
              <w:t>③</w:t>
            </w:r>
            <w:r>
              <w:rPr>
                <w:rFonts w:hint="eastAsia"/>
                <w:color w:val="auto"/>
                <w:lang w:val="en-US" w:eastAsia="zh-CN"/>
              </w:rPr>
              <w:t>污水处理站张贴污水处理工艺、处理规模的标识标牌，按照运行台账要求的规范填写运行台账；</w:t>
            </w:r>
          </w:p>
          <w:p w14:paraId="4A634E59">
            <w:pPr>
              <w:pStyle w:val="51"/>
              <w:bidi w:val="0"/>
              <w:rPr>
                <w:rFonts w:hint="eastAsia"/>
                <w:color w:val="auto"/>
                <w:lang w:val="en-US" w:eastAsia="zh-CN"/>
              </w:rPr>
            </w:pPr>
            <w:r>
              <w:rPr>
                <w:rFonts w:hint="default"/>
                <w:color w:val="auto"/>
                <w:lang w:val="en-US" w:eastAsia="zh-CN"/>
              </w:rPr>
              <w:t>④</w:t>
            </w:r>
            <w:r>
              <w:rPr>
                <w:rFonts w:hint="eastAsia"/>
                <w:color w:val="auto"/>
                <w:lang w:val="en-US" w:eastAsia="zh-CN"/>
              </w:rPr>
              <w:t>按照环境管理制度要求张贴环境管理制度；</w:t>
            </w:r>
          </w:p>
          <w:p w14:paraId="007DFAB5">
            <w:pPr>
              <w:pStyle w:val="51"/>
              <w:bidi w:val="0"/>
              <w:rPr>
                <w:rFonts w:hint="default"/>
                <w:color w:val="auto"/>
                <w:lang w:val="en-US" w:eastAsia="zh-CN"/>
              </w:rPr>
            </w:pPr>
            <w:r>
              <w:rPr>
                <w:rFonts w:hint="default"/>
                <w:color w:val="auto"/>
                <w:lang w:val="en-US" w:eastAsia="zh-CN"/>
              </w:rPr>
              <w:t>⑤</w:t>
            </w:r>
            <w:r>
              <w:rPr>
                <w:rFonts w:hint="eastAsia"/>
                <w:color w:val="auto"/>
                <w:lang w:val="en-US" w:eastAsia="zh-CN"/>
              </w:rPr>
              <w:t>一般固废暂存于一般固废暂存区。</w:t>
            </w:r>
          </w:p>
          <w:p w14:paraId="05DD3247">
            <w:pPr>
              <w:pStyle w:val="51"/>
              <w:bidi w:val="0"/>
              <w:rPr>
                <w:rFonts w:hint="default"/>
                <w:color w:val="auto"/>
                <w:lang w:val="en-US" w:eastAsia="zh-CN"/>
              </w:rPr>
            </w:pPr>
          </w:p>
          <w:p w14:paraId="428A2A30">
            <w:pPr>
              <w:pStyle w:val="51"/>
              <w:bidi w:val="0"/>
              <w:rPr>
                <w:rFonts w:hint="default"/>
                <w:color w:val="auto"/>
                <w:lang w:val="en-US" w:eastAsia="zh-CN"/>
              </w:rPr>
            </w:pPr>
          </w:p>
          <w:p w14:paraId="106F92E8">
            <w:pPr>
              <w:pStyle w:val="51"/>
              <w:bidi w:val="0"/>
              <w:rPr>
                <w:rFonts w:hint="default"/>
                <w:color w:val="auto"/>
                <w:lang w:val="en-US" w:eastAsia="zh-CN"/>
              </w:rPr>
            </w:pPr>
          </w:p>
          <w:p w14:paraId="6FA25092">
            <w:pPr>
              <w:pStyle w:val="51"/>
              <w:bidi w:val="0"/>
              <w:rPr>
                <w:rFonts w:hint="default"/>
                <w:color w:val="auto"/>
                <w:lang w:val="en-US" w:eastAsia="zh-CN"/>
              </w:rPr>
            </w:pPr>
          </w:p>
          <w:p w14:paraId="069BB39D">
            <w:pPr>
              <w:pStyle w:val="51"/>
              <w:ind w:firstLine="0" w:firstLineChars="0"/>
              <w:rPr>
                <w:rFonts w:hint="default" w:ascii="Times New Roman" w:hAnsi="Times New Roman" w:cs="Times New Roman"/>
                <w:color w:val="auto"/>
              </w:rPr>
            </w:pPr>
          </w:p>
        </w:tc>
      </w:tr>
    </w:tbl>
    <w:p w14:paraId="08393401">
      <w:pPr>
        <w:pStyle w:val="16"/>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54632D8">
      <w:pPr>
        <w:pStyle w:val="16"/>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43BD9157">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8534"/>
      </w:tblGrid>
      <w:tr w14:paraId="278DD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00" w:type="dxa"/>
            <w:vAlign w:val="center"/>
          </w:tcPr>
          <w:p w14:paraId="0E9E16D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02D0216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5332483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5199980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190" w:type="dxa"/>
            <w:vAlign w:val="center"/>
          </w:tcPr>
          <w:p w14:paraId="424B7FE8">
            <w:pPr>
              <w:pStyle w:val="51"/>
              <w:ind w:firstLine="482"/>
              <w:rPr>
                <w:rFonts w:hint="default" w:ascii="Times New Roman" w:hAnsi="Times New Roman" w:cs="Times New Roman"/>
                <w:b/>
                <w:color w:val="auto"/>
                <w:kern w:val="0"/>
              </w:rPr>
            </w:pPr>
            <w:r>
              <w:rPr>
                <w:rFonts w:hint="default" w:ascii="Times New Roman" w:hAnsi="Times New Roman" w:cs="Times New Roman"/>
                <w:b/>
                <w:color w:val="auto"/>
                <w:kern w:val="0"/>
              </w:rPr>
              <w:t>1、环境空气质量现状</w:t>
            </w:r>
          </w:p>
          <w:p w14:paraId="6625DA68">
            <w:pPr>
              <w:pStyle w:val="51"/>
              <w:ind w:firstLine="480"/>
              <w:rPr>
                <w:rFonts w:hint="default" w:ascii="Times New Roman" w:hAnsi="Times New Roman" w:cs="Times New Roman"/>
                <w:color w:val="auto"/>
              </w:rPr>
            </w:pPr>
            <w:r>
              <w:rPr>
                <w:rFonts w:hint="default" w:ascii="Times New Roman" w:hAnsi="Times New Roman" w:cs="Times New Roman"/>
                <w:color w:val="auto"/>
                <w:kern w:val="0"/>
              </w:rPr>
              <w:t>项目所在地为</w:t>
            </w:r>
            <w:r>
              <w:rPr>
                <w:rFonts w:hint="eastAsia" w:cs="Times New Roman"/>
                <w:color w:val="auto"/>
                <w:szCs w:val="21"/>
                <w:lang w:eastAsia="zh-CN"/>
              </w:rPr>
              <w:t>曲靖市麒麟区越州镇老吴村委会（原平板玻璃厂内）</w:t>
            </w:r>
            <w:r>
              <w:rPr>
                <w:rFonts w:hint="default" w:ascii="Times New Roman" w:hAnsi="Times New Roman" w:cs="Times New Roman"/>
                <w:color w:val="auto"/>
                <w:kern w:val="0"/>
              </w:rPr>
              <w:t>，位于环境</w:t>
            </w:r>
            <w:r>
              <w:rPr>
                <w:rFonts w:hint="default" w:ascii="Times New Roman" w:hAnsi="Times New Roman" w:cs="Times New Roman"/>
                <w:color w:val="auto"/>
              </w:rPr>
              <w:t>空气二类区，项目区环境空气质量执行《环境空气质量标准》（GB3095-2012）及修改单中的二级标准要求。</w:t>
            </w:r>
          </w:p>
          <w:p w14:paraId="02A47D4C">
            <w:pPr>
              <w:pStyle w:val="51"/>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（1）</w:t>
            </w:r>
            <w:r>
              <w:rPr>
                <w:rFonts w:hint="eastAsia" w:cs="Times New Roman"/>
                <w:color w:val="auto"/>
                <w:lang w:val="en-US" w:eastAsia="zh-CN"/>
              </w:rPr>
              <w:t>区域环境空气质量达标情况</w:t>
            </w:r>
          </w:p>
          <w:p w14:paraId="1A4A4920">
            <w:pPr>
              <w:adjustRightInd w:val="0"/>
              <w:snapToGrid w:val="0"/>
              <w:spacing w:line="360" w:lineRule="auto"/>
              <w:ind w:firstLine="480" w:firstLineChars="200"/>
              <w:rPr>
                <w:color w:val="auto"/>
                <w:sz w:val="24"/>
              </w:rPr>
            </w:pPr>
            <w:r>
              <w:rPr>
                <w:color w:val="auto"/>
                <w:sz w:val="24"/>
              </w:rPr>
              <w:t>根据《曲靖市环境质量年报（2023年）》，2023年曲靖市主城区环境空气中SO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年均浓度，SO</w:t>
            </w:r>
            <w:r>
              <w:rPr>
                <w:color w:val="auto"/>
                <w:sz w:val="24"/>
                <w:vertAlign w:val="subscript"/>
              </w:rPr>
              <w:t>2</w:t>
            </w:r>
            <w:r>
              <w:rPr>
                <w:color w:val="auto"/>
                <w:sz w:val="24"/>
              </w:rPr>
              <w:t>、NO</w:t>
            </w:r>
            <w:r>
              <w:rPr>
                <w:color w:val="auto"/>
                <w:sz w:val="24"/>
                <w:vertAlign w:val="subscript"/>
              </w:rPr>
              <w:t>2</w:t>
            </w:r>
            <w:r>
              <w:rPr>
                <w:color w:val="auto"/>
                <w:sz w:val="24"/>
              </w:rPr>
              <w:t>24小时平均第98百分位数浓度，PM</w:t>
            </w:r>
            <w:r>
              <w:rPr>
                <w:color w:val="auto"/>
                <w:sz w:val="24"/>
                <w:vertAlign w:val="subscript"/>
              </w:rPr>
              <w:t>10</w:t>
            </w:r>
            <w:r>
              <w:rPr>
                <w:color w:val="auto"/>
                <w:sz w:val="24"/>
              </w:rPr>
              <w:t>、PM</w:t>
            </w:r>
            <w:r>
              <w:rPr>
                <w:color w:val="auto"/>
                <w:sz w:val="24"/>
                <w:vertAlign w:val="subscript"/>
              </w:rPr>
              <w:t>2.5</w:t>
            </w:r>
            <w:r>
              <w:rPr>
                <w:color w:val="auto"/>
                <w:sz w:val="24"/>
              </w:rPr>
              <w:t>、CO</w:t>
            </w:r>
            <w:r>
              <w:rPr>
                <w:color w:val="auto"/>
                <w:sz w:val="24"/>
                <w:vertAlign w:val="subscript"/>
              </w:rPr>
              <w:t>2</w:t>
            </w:r>
            <w:r>
              <w:rPr>
                <w:color w:val="auto"/>
                <w:sz w:val="24"/>
              </w:rPr>
              <w:t>4小时平均第95百分位数浓度，O</w:t>
            </w:r>
            <w:r>
              <w:rPr>
                <w:color w:val="auto"/>
                <w:sz w:val="24"/>
                <w:vertAlign w:val="subscript"/>
              </w:rPr>
              <w:t>3</w:t>
            </w:r>
            <w:r>
              <w:rPr>
                <w:color w:val="auto"/>
                <w:sz w:val="24"/>
              </w:rPr>
              <w:t>日最大8小时平均第90百分位数浓度均达到《环境空气质量标准》（GB3095-2012）二级标准；曲靖市主城区环境空气质量达到《环境空气质量标准》（GB3095-2012）二级标准要求</w:t>
            </w:r>
            <w:r>
              <w:rPr>
                <w:rFonts w:hint="eastAsia"/>
                <w:color w:val="auto"/>
                <w:sz w:val="24"/>
                <w:lang w:eastAsia="zh-CN"/>
              </w:rPr>
              <w:t>；</w:t>
            </w:r>
            <w:r>
              <w:rPr>
                <w:color w:val="auto"/>
                <w:sz w:val="24"/>
              </w:rPr>
              <w:t>项目所在区域为环境空气质量达标区。</w:t>
            </w:r>
          </w:p>
          <w:p w14:paraId="30C75C0A">
            <w:pPr>
              <w:pStyle w:val="51"/>
              <w:ind w:firstLine="480"/>
              <w:rPr>
                <w:rFonts w:hint="eastAsia" w:cs="宋体"/>
                <w:color w:val="auto"/>
                <w:kern w:val="2"/>
                <w:lang w:val="en-US"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cs="宋体"/>
                <w:color w:val="auto"/>
                <w:kern w:val="2"/>
                <w:lang w:val="en-US" w:eastAsia="zh-CN"/>
              </w:rPr>
              <w:t>补充监测</w:t>
            </w:r>
          </w:p>
          <w:p w14:paraId="542DDA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cs="宋体"/>
                <w:color w:val="auto"/>
              </w:rPr>
            </w:pPr>
            <w:r>
              <w:rPr>
                <w:color w:val="auto"/>
                <w:sz w:val="24"/>
              </w:rPr>
              <w:t>根据《建设项目环境影响报告表》内容、格式及编制技术指南常见问题解答</w:t>
            </w:r>
            <w:r>
              <w:rPr>
                <w:rFonts w:hint="eastAsia"/>
                <w:color w:val="auto"/>
                <w:sz w:val="24"/>
              </w:rPr>
              <w:t>（</w:t>
            </w:r>
            <w:r>
              <w:rPr>
                <w:color w:val="auto"/>
                <w:sz w:val="24"/>
              </w:rPr>
              <w:t>2021年10月</w:t>
            </w:r>
            <w:r>
              <w:rPr>
                <w:rFonts w:hint="eastAsia"/>
                <w:color w:val="auto"/>
                <w:sz w:val="24"/>
              </w:rPr>
              <w:t>）</w:t>
            </w:r>
            <w:r>
              <w:rPr>
                <w:color w:val="auto"/>
                <w:sz w:val="24"/>
              </w:rPr>
              <w:t>，</w:t>
            </w:r>
            <w:r>
              <w:rPr>
                <w:rFonts w:hint="eastAsia" w:ascii="宋体" w:hAnsi="宋体" w:cs="宋体"/>
                <w:color w:val="auto"/>
                <w:sz w:val="24"/>
              </w:rPr>
              <w:t>“</w:t>
            </w:r>
            <w:r>
              <w:rPr>
                <w:color w:val="auto"/>
                <w:sz w:val="24"/>
              </w:rPr>
              <w:t>技术指南中提到</w:t>
            </w:r>
            <w:r>
              <w:rPr>
                <w:rFonts w:hint="eastAsia" w:ascii="宋体" w:hAnsi="宋体" w:cs="宋体"/>
                <w:color w:val="auto"/>
                <w:sz w:val="24"/>
              </w:rPr>
              <w:t>‘</w:t>
            </w:r>
            <w:r>
              <w:rPr>
                <w:color w:val="auto"/>
                <w:sz w:val="24"/>
              </w:rPr>
              <w:t>排放国家、地方环境空气质量标准中有标准限值要求的特征污染物</w:t>
            </w:r>
            <w:r>
              <w:rPr>
                <w:rFonts w:hint="eastAsia" w:ascii="宋体" w:hAnsi="宋体" w:cs="宋体"/>
                <w:color w:val="auto"/>
                <w:sz w:val="24"/>
                <w:lang w:eastAsia="zh-CN"/>
              </w:rPr>
              <w:t>”</w:t>
            </w:r>
            <w:r>
              <w:rPr>
                <w:color w:val="auto"/>
                <w:sz w:val="24"/>
              </w:rPr>
              <w:t>，其中环境空气质量标准指《环境空气质量标准》</w:t>
            </w:r>
            <w:r>
              <w:rPr>
                <w:rFonts w:hint="eastAsia"/>
                <w:color w:val="auto"/>
                <w:sz w:val="24"/>
              </w:rPr>
              <w:t>（</w:t>
            </w:r>
            <w:r>
              <w:rPr>
                <w:color w:val="auto"/>
                <w:sz w:val="24"/>
              </w:rPr>
              <w:t>GB3095</w:t>
            </w:r>
            <w:r>
              <w:rPr>
                <w:rFonts w:hint="eastAsia"/>
                <w:color w:val="auto"/>
                <w:sz w:val="24"/>
              </w:rPr>
              <w:t>-2012）</w:t>
            </w:r>
            <w:r>
              <w:rPr>
                <w:color w:val="auto"/>
                <w:sz w:val="24"/>
              </w:rPr>
              <w:t>和地方的环境空气质量标准，不包括</w:t>
            </w:r>
            <w:r>
              <w:rPr>
                <w:rFonts w:hint="eastAsia"/>
                <w:color w:val="auto"/>
                <w:sz w:val="24"/>
              </w:rPr>
              <w:t>《环境影响评价技术导则 大气环境》（HJ2.2-2018）附录D、《工业企业设计卫生标准》（TJ36-97）、《大气污染物综合排放标准详解》等导则或参考资料</w:t>
            </w:r>
            <w:r>
              <w:rPr>
                <w:color w:val="auto"/>
                <w:sz w:val="24"/>
              </w:rPr>
              <w:t>。排放的特征污染物需要在国家、地方环境空气质量标准中有限值要求才涉及现状监测且优先引用现有监测</w:t>
            </w:r>
            <w:r>
              <w:rPr>
                <w:rFonts w:hint="eastAsia"/>
                <w:color w:val="auto"/>
                <w:sz w:val="24"/>
              </w:rPr>
              <w:t>数</w:t>
            </w:r>
            <w:r>
              <w:rPr>
                <w:color w:val="auto"/>
                <w:sz w:val="24"/>
              </w:rPr>
              <w:t>据</w:t>
            </w:r>
            <w:r>
              <w:rPr>
                <w:rFonts w:hint="eastAsia" w:ascii="宋体" w:hAnsi="宋体" w:cs="宋体"/>
                <w:color w:val="auto"/>
                <w:sz w:val="24"/>
              </w:rPr>
              <w:t>”</w:t>
            </w:r>
            <w:r>
              <w:rPr>
                <w:color w:val="auto"/>
                <w:sz w:val="24"/>
              </w:rPr>
              <w:t>。项目生产过程中产生的主要污染物为</w:t>
            </w:r>
            <w:r>
              <w:rPr>
                <w:rFonts w:hint="eastAsia"/>
                <w:color w:val="auto"/>
                <w:sz w:val="24"/>
              </w:rPr>
              <w:t>颗粒物、</w:t>
            </w:r>
            <w:r>
              <w:rPr>
                <w:rFonts w:hint="eastAsia"/>
                <w:color w:val="auto"/>
                <w:sz w:val="24"/>
                <w:lang w:val="en-US" w:eastAsia="zh-CN"/>
              </w:rPr>
              <w:t>非甲烷总烃，</w:t>
            </w:r>
            <w:r>
              <w:rPr>
                <w:rFonts w:hint="default" w:ascii="Times New Roman" w:hAnsi="Times New Roman" w:cs="Times New Roman"/>
                <w:color w:val="auto"/>
                <w:sz w:val="24"/>
                <w:szCs w:val="24"/>
                <w:highlight w:val="none"/>
                <w:lang w:val="en-US" w:eastAsia="zh-CN"/>
              </w:rPr>
              <w:t>由于本项目排放的特征污染物非甲烷总烃无《环境空气质量标准》</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GB3095-2012</w:t>
            </w:r>
            <w:r>
              <w:rPr>
                <w:rFonts w:hint="eastAsia" w:ascii="Times New Roman" w:hAnsi="Times New Roman" w:cs="Times New Roman"/>
                <w:color w:val="auto"/>
                <w:sz w:val="24"/>
                <w:szCs w:val="24"/>
                <w:highlight w:val="none"/>
                <w:lang w:val="en-US" w:eastAsia="zh-CN"/>
              </w:rPr>
              <w:t>）及其修改单</w:t>
            </w:r>
            <w:r>
              <w:rPr>
                <w:rFonts w:hint="default" w:ascii="Times New Roman" w:hAnsi="Times New Roman" w:cs="Times New Roman"/>
                <w:color w:val="auto"/>
                <w:sz w:val="24"/>
                <w:szCs w:val="24"/>
                <w:highlight w:val="none"/>
                <w:lang w:val="en-US" w:eastAsia="zh-CN"/>
              </w:rPr>
              <w:t>和地方的环境空气质量标准，因此无需进行现状监测。</w:t>
            </w:r>
          </w:p>
          <w:p w14:paraId="3B8ED292">
            <w:pPr>
              <w:pStyle w:val="51"/>
              <w:ind w:firstLine="480"/>
              <w:rPr>
                <w:rFonts w:cs="宋体"/>
                <w:color w:val="auto"/>
                <w:kern w:val="2"/>
                <w:lang w:val="en-US" w:eastAsia="zh-CN"/>
              </w:rPr>
            </w:pPr>
            <w:r>
              <w:rPr>
                <w:rFonts w:cs="宋体"/>
                <w:color w:val="auto"/>
                <w:kern w:val="2"/>
                <w:lang w:val="en-US" w:eastAsia="zh-CN"/>
              </w:rPr>
              <w:t>根据《建设项目环境影响报告表编制技术指南（污染影响类）》，该区域环境空气质量现状监测引用建设项目周边5千米范围内近3年的现有监测数据</w:t>
            </w:r>
            <w:r>
              <w:rPr>
                <w:rFonts w:hint="default" w:ascii="Times New Roman" w:hAnsi="Times New Roman" w:cs="Times New Roman"/>
                <w:color w:val="auto"/>
              </w:rPr>
              <w:t>，无相关数据的选择当季主导风向下风向 1 个点位补充不少于 3 天的监测数据</w:t>
            </w:r>
            <w:r>
              <w:rPr>
                <w:rFonts w:cs="宋体"/>
                <w:color w:val="auto"/>
                <w:kern w:val="2"/>
                <w:lang w:val="en-US" w:eastAsia="zh-CN"/>
              </w:rPr>
              <w:t>。</w:t>
            </w:r>
          </w:p>
          <w:p w14:paraId="682A3905">
            <w:pPr>
              <w:pStyle w:val="51"/>
              <w:ind w:firstLine="480"/>
              <w:rPr>
                <w:rFonts w:hint="default" w:ascii="Times New Roman" w:hAnsi="Times New Roman" w:cs="Times New Roman"/>
                <w:color w:val="auto"/>
              </w:rPr>
            </w:pPr>
            <w:r>
              <w:rPr>
                <w:rFonts w:hint="eastAsia"/>
                <w:color w:val="auto"/>
                <w:sz w:val="24"/>
              </w:rPr>
              <w:t>颗粒物</w:t>
            </w:r>
            <w:r>
              <w:rPr>
                <w:rFonts w:hint="default" w:ascii="Times New Roman" w:hAnsi="Times New Roman" w:cs="Times New Roman"/>
                <w:color w:val="auto"/>
                <w:szCs w:val="24"/>
              </w:rPr>
              <w:t>环境质量现状委托</w:t>
            </w:r>
            <w:r>
              <w:rPr>
                <w:rFonts w:hint="default" w:ascii="Times New Roman" w:hAnsi="Times New Roman" w:cs="Times New Roman"/>
                <w:color w:val="auto"/>
                <w:szCs w:val="24"/>
                <w:highlight w:val="none"/>
              </w:rPr>
              <w:t>云南</w:t>
            </w:r>
            <w:r>
              <w:rPr>
                <w:rFonts w:hint="eastAsia" w:cs="Times New Roman"/>
                <w:color w:val="auto"/>
                <w:szCs w:val="24"/>
                <w:highlight w:val="none"/>
                <w:lang w:val="en-US" w:eastAsia="zh-CN"/>
              </w:rPr>
              <w:t>升环</w:t>
            </w:r>
            <w:r>
              <w:rPr>
                <w:rFonts w:hint="default" w:ascii="Times New Roman" w:hAnsi="Times New Roman" w:cs="Times New Roman"/>
                <w:color w:val="auto"/>
                <w:szCs w:val="24"/>
                <w:highlight w:val="none"/>
              </w:rPr>
              <w:t>检测</w:t>
            </w:r>
            <w:r>
              <w:rPr>
                <w:rFonts w:hint="eastAsia" w:cs="Times New Roman"/>
                <w:color w:val="auto"/>
                <w:szCs w:val="24"/>
                <w:highlight w:val="none"/>
                <w:lang w:val="en-US" w:eastAsia="zh-CN"/>
              </w:rPr>
              <w:t>技术</w:t>
            </w:r>
            <w:r>
              <w:rPr>
                <w:rFonts w:hint="default" w:ascii="Times New Roman" w:hAnsi="Times New Roman" w:cs="Times New Roman"/>
                <w:color w:val="auto"/>
                <w:szCs w:val="24"/>
                <w:highlight w:val="none"/>
              </w:rPr>
              <w:t>有限公司</w:t>
            </w:r>
            <w:r>
              <w:rPr>
                <w:rFonts w:hint="default" w:ascii="Times New Roman" w:hAnsi="Times New Roman" w:cs="Times New Roman"/>
                <w:color w:val="auto"/>
                <w:szCs w:val="24"/>
              </w:rPr>
              <w:t>对项目区下风向</w:t>
            </w:r>
            <w:r>
              <w:rPr>
                <w:rFonts w:hint="eastAsia" w:ascii="Times New Roman" w:hAnsi="Times New Roman" w:cs="Times New Roman"/>
                <w:color w:val="auto"/>
                <w:szCs w:val="24"/>
                <w:lang w:val="en-US" w:eastAsia="zh-CN"/>
              </w:rPr>
              <w:t>老吴新村</w:t>
            </w:r>
            <w:r>
              <w:rPr>
                <w:rFonts w:hint="default" w:ascii="Times New Roman" w:hAnsi="Times New Roman" w:cs="Times New Roman"/>
                <w:color w:val="auto"/>
                <w:szCs w:val="24"/>
              </w:rPr>
              <w:t>进行监测，连续监测3天，于</w:t>
            </w:r>
            <w:r>
              <w:rPr>
                <w:rFonts w:hint="default" w:ascii="Times New Roman" w:hAnsi="Times New Roman" w:cs="Times New Roman"/>
                <w:color w:val="auto"/>
                <w:szCs w:val="24"/>
                <w:highlight w:val="none"/>
              </w:rPr>
              <w:t>202</w:t>
            </w:r>
            <w:r>
              <w:rPr>
                <w:rFonts w:hint="eastAsia"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rPr>
              <w:t>年</w:t>
            </w:r>
            <w:r>
              <w:rPr>
                <w:rFonts w:hint="eastAsia" w:ascii="Times New Roman" w:hAnsi="Times New Roman" w:cs="Times New Roman"/>
                <w:color w:val="auto"/>
                <w:szCs w:val="24"/>
                <w:highlight w:val="none"/>
                <w:lang w:val="en-US" w:eastAsia="zh-CN"/>
              </w:rPr>
              <w:t>5</w:t>
            </w:r>
            <w:r>
              <w:rPr>
                <w:rFonts w:hint="default" w:ascii="Times New Roman" w:hAnsi="Times New Roman" w:cs="Times New Roman"/>
                <w:color w:val="auto"/>
                <w:szCs w:val="24"/>
                <w:highlight w:val="none"/>
              </w:rPr>
              <w:t>月</w:t>
            </w:r>
            <w:r>
              <w:rPr>
                <w:rFonts w:hint="eastAsia" w:cs="Times New Roman"/>
                <w:color w:val="auto"/>
                <w:szCs w:val="24"/>
                <w:highlight w:val="none"/>
                <w:lang w:val="en-US" w:eastAsia="zh-CN"/>
              </w:rPr>
              <w:t>13</w:t>
            </w:r>
            <w:r>
              <w:rPr>
                <w:rFonts w:hint="default" w:ascii="Times New Roman" w:hAnsi="Times New Roman" w:cs="Times New Roman"/>
                <w:color w:val="auto"/>
                <w:szCs w:val="24"/>
                <w:highlight w:val="none"/>
              </w:rPr>
              <w:t>日</w:t>
            </w:r>
            <w:r>
              <w:rPr>
                <w:rFonts w:hint="eastAsia" w:cs="Times New Roman"/>
                <w:color w:val="auto"/>
                <w:szCs w:val="24"/>
                <w:highlight w:val="none"/>
                <w:lang w:eastAsia="zh-CN"/>
              </w:rPr>
              <w:t>—</w:t>
            </w:r>
            <w:r>
              <w:rPr>
                <w:rFonts w:hint="eastAsia" w:cs="Times New Roman"/>
                <w:color w:val="auto"/>
                <w:szCs w:val="24"/>
                <w:highlight w:val="none"/>
                <w:lang w:val="en-US" w:eastAsia="zh-CN"/>
              </w:rPr>
              <w:t>5月15</w:t>
            </w:r>
            <w:r>
              <w:rPr>
                <w:rFonts w:hint="default" w:ascii="Times New Roman" w:hAnsi="Times New Roman" w:cs="Times New Roman"/>
                <w:color w:val="auto"/>
                <w:szCs w:val="24"/>
                <w:highlight w:val="none"/>
              </w:rPr>
              <w:t>日</w:t>
            </w:r>
            <w:r>
              <w:rPr>
                <w:rFonts w:hint="default" w:ascii="Times New Roman" w:hAnsi="Times New Roman" w:cs="Times New Roman"/>
                <w:color w:val="auto"/>
                <w:szCs w:val="24"/>
              </w:rPr>
              <w:t>进行采样，</w:t>
            </w:r>
            <w:r>
              <w:rPr>
                <w:rFonts w:hint="default" w:ascii="Times New Roman" w:hAnsi="Times New Roman" w:cs="Times New Roman"/>
                <w:color w:val="auto"/>
              </w:rPr>
              <w:t>满足《建设项目环境影响报告表编制技术指南（污染影响类）（试行）》的监测要求；监测结果见表3-</w:t>
            </w:r>
            <w:r>
              <w:rPr>
                <w:rFonts w:hint="eastAsia" w:ascii="Times New Roman" w:hAnsi="Times New Roman" w:cs="Times New Roman"/>
                <w:color w:val="auto"/>
                <w:lang w:val="en-US" w:eastAsia="zh-CN"/>
              </w:rPr>
              <w:t>1</w:t>
            </w:r>
            <w:r>
              <w:rPr>
                <w:rFonts w:hint="default" w:ascii="Times New Roman" w:hAnsi="Times New Roman" w:cs="Times New Roman"/>
                <w:color w:val="auto"/>
              </w:rPr>
              <w:t>。</w:t>
            </w:r>
          </w:p>
          <w:p w14:paraId="0233B91E">
            <w:pPr>
              <w:pStyle w:val="52"/>
              <w:rPr>
                <w:rFonts w:hint="default" w:ascii="Times New Roman" w:hAnsi="Times New Roman" w:cs="Times New Roman"/>
                <w:color w:val="auto"/>
              </w:rPr>
            </w:pPr>
            <w:r>
              <w:rPr>
                <w:rFonts w:hint="default" w:ascii="Times New Roman" w:hAnsi="Times New Roman" w:cs="Times New Roman"/>
                <w:color w:val="auto"/>
              </w:rPr>
              <w:t>表3-</w:t>
            </w:r>
            <w:r>
              <w:rPr>
                <w:rFonts w:hint="eastAsia" w:cs="Times New Roman"/>
                <w:color w:val="auto"/>
                <w:lang w:val="en-US" w:eastAsia="zh-CN"/>
              </w:rPr>
              <w:t>1</w:t>
            </w:r>
            <w:r>
              <w:rPr>
                <w:rFonts w:hint="default" w:ascii="Times New Roman" w:hAnsi="Times New Roman" w:cs="Times New Roman"/>
                <w:color w:val="auto"/>
              </w:rPr>
              <w:t xml:space="preserve">     TSP现状监测结果一览表</w:t>
            </w:r>
          </w:p>
          <w:tbl>
            <w:tblPr>
              <w:tblStyle w:val="20"/>
              <w:tblW w:w="499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92"/>
              <w:gridCol w:w="827"/>
              <w:gridCol w:w="1094"/>
              <w:gridCol w:w="1109"/>
              <w:gridCol w:w="1424"/>
              <w:gridCol w:w="1131"/>
              <w:gridCol w:w="691"/>
              <w:gridCol w:w="833"/>
            </w:tblGrid>
            <w:tr w14:paraId="58F6F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 w:hRule="atLeast"/>
                <w:tblHeader/>
                <w:jc w:val="center"/>
              </w:trPr>
              <w:tc>
                <w:tcPr>
                  <w:tcW w:w="718" w:type="pct"/>
                  <w:vAlign w:val="center"/>
                </w:tcPr>
                <w:p w14:paraId="5B6BAC42">
                  <w:pPr>
                    <w:pStyle w:val="53"/>
                    <w:rPr>
                      <w:rFonts w:hint="default" w:ascii="Times New Roman" w:hAnsi="Times New Roman" w:cs="Times New Roman"/>
                      <w:color w:val="auto"/>
                    </w:rPr>
                  </w:pPr>
                  <w:r>
                    <w:rPr>
                      <w:rFonts w:hint="default" w:ascii="Times New Roman" w:hAnsi="Times New Roman" w:cs="Times New Roman"/>
                      <w:color w:val="auto"/>
                    </w:rPr>
                    <w:t>监测点位</w:t>
                  </w:r>
                </w:p>
              </w:tc>
              <w:tc>
                <w:tcPr>
                  <w:tcW w:w="498" w:type="pct"/>
                  <w:vAlign w:val="center"/>
                </w:tcPr>
                <w:p w14:paraId="52F8A674">
                  <w:pPr>
                    <w:pStyle w:val="53"/>
                    <w:rPr>
                      <w:rFonts w:hint="default" w:ascii="Times New Roman" w:hAnsi="Times New Roman" w:cs="Times New Roman"/>
                      <w:color w:val="auto"/>
                    </w:rPr>
                  </w:pPr>
                  <w:r>
                    <w:rPr>
                      <w:rFonts w:hint="default" w:ascii="Times New Roman" w:hAnsi="Times New Roman" w:cs="Times New Roman"/>
                      <w:color w:val="auto"/>
                    </w:rPr>
                    <w:t>污染物</w:t>
                  </w:r>
                </w:p>
              </w:tc>
              <w:tc>
                <w:tcPr>
                  <w:tcW w:w="659" w:type="pct"/>
                  <w:vAlign w:val="center"/>
                </w:tcPr>
                <w:p w14:paraId="02F9B67C">
                  <w:pPr>
                    <w:pStyle w:val="53"/>
                    <w:rPr>
                      <w:rFonts w:hint="default" w:ascii="Times New Roman" w:hAnsi="Times New Roman" w:cs="Times New Roman"/>
                      <w:color w:val="auto"/>
                    </w:rPr>
                  </w:pPr>
                  <w:r>
                    <w:rPr>
                      <w:rFonts w:hint="default" w:ascii="Times New Roman" w:hAnsi="Times New Roman" w:cs="Times New Roman"/>
                      <w:color w:val="auto"/>
                    </w:rPr>
                    <w:t>平均时间</w:t>
                  </w:r>
                </w:p>
              </w:tc>
              <w:tc>
                <w:tcPr>
                  <w:tcW w:w="668" w:type="pct"/>
                  <w:vAlign w:val="center"/>
                </w:tcPr>
                <w:p w14:paraId="0DC43FB0">
                  <w:pPr>
                    <w:pStyle w:val="53"/>
                    <w:rPr>
                      <w:rFonts w:hint="default" w:ascii="Times New Roman" w:hAnsi="Times New Roman" w:cs="Times New Roman"/>
                      <w:color w:val="auto"/>
                    </w:rPr>
                  </w:pPr>
                  <w:r>
                    <w:rPr>
                      <w:rFonts w:hint="default" w:ascii="Times New Roman" w:hAnsi="Times New Roman" w:cs="Times New Roman"/>
                      <w:color w:val="auto"/>
                    </w:rPr>
                    <w:t>评价标准</w:t>
                  </w:r>
                  <w:r>
                    <w:rPr>
                      <w:rFonts w:hint="eastAsia" w:cs="Times New Roman"/>
                      <w:color w:val="auto"/>
                      <w:lang w:eastAsia="zh-CN"/>
                    </w:rPr>
                    <w:t>（</w:t>
                  </w:r>
                  <w:r>
                    <w:rPr>
                      <w:rFonts w:hint="default" w:ascii="Times New Roman" w:hAnsi="Times New Roman" w:eastAsia="宋体" w:cs="Times New Roman"/>
                      <w:b w:val="0"/>
                      <w:bCs w:val="0"/>
                      <w:color w:val="auto"/>
                      <w:szCs w:val="21"/>
                    </w:rPr>
                    <w:t>μg</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cs="Times New Roman"/>
                      <w:color w:val="auto"/>
                      <w:vertAlign w:val="superscript"/>
                      <w:lang w:eastAsia="zh-CN"/>
                    </w:rPr>
                    <w:t>）</w:t>
                  </w:r>
                </w:p>
              </w:tc>
              <w:tc>
                <w:tcPr>
                  <w:tcW w:w="858" w:type="pct"/>
                  <w:vAlign w:val="center"/>
                </w:tcPr>
                <w:p w14:paraId="306F45FB">
                  <w:pPr>
                    <w:pStyle w:val="53"/>
                    <w:rPr>
                      <w:rFonts w:hint="default" w:ascii="Times New Roman" w:hAnsi="Times New Roman" w:cs="Times New Roman"/>
                      <w:color w:val="auto"/>
                    </w:rPr>
                  </w:pPr>
                  <w:r>
                    <w:rPr>
                      <w:rFonts w:hint="default" w:ascii="Times New Roman" w:hAnsi="Times New Roman" w:cs="Times New Roman"/>
                      <w:color w:val="auto"/>
                    </w:rPr>
                    <w:t>监测浓度范围（</w:t>
                  </w:r>
                  <w:r>
                    <w:rPr>
                      <w:rFonts w:hint="default" w:ascii="Times New Roman" w:hAnsi="Times New Roman" w:eastAsia="宋体" w:cs="Times New Roman"/>
                      <w:b w:val="0"/>
                      <w:bCs w:val="0"/>
                      <w:color w:val="auto"/>
                      <w:szCs w:val="21"/>
                    </w:rPr>
                    <w:t>μg</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681" w:type="pct"/>
                  <w:vAlign w:val="center"/>
                </w:tcPr>
                <w:p w14:paraId="75821B90">
                  <w:pPr>
                    <w:pStyle w:val="53"/>
                    <w:rPr>
                      <w:rFonts w:hint="default" w:ascii="Times New Roman" w:hAnsi="Times New Roman" w:cs="Times New Roman"/>
                      <w:color w:val="auto"/>
                    </w:rPr>
                  </w:pPr>
                  <w:r>
                    <w:rPr>
                      <w:rFonts w:hint="default" w:ascii="Times New Roman" w:hAnsi="Times New Roman" w:cs="Times New Roman"/>
                      <w:color w:val="auto"/>
                    </w:rPr>
                    <w:t>最大浓度占标率%</w:t>
                  </w:r>
                </w:p>
              </w:tc>
              <w:tc>
                <w:tcPr>
                  <w:tcW w:w="416" w:type="pct"/>
                  <w:vAlign w:val="center"/>
                </w:tcPr>
                <w:p w14:paraId="46DFE712">
                  <w:pPr>
                    <w:pStyle w:val="53"/>
                    <w:rPr>
                      <w:rFonts w:hint="default" w:ascii="Times New Roman" w:hAnsi="Times New Roman" w:cs="Times New Roman"/>
                      <w:color w:val="auto"/>
                    </w:rPr>
                  </w:pPr>
                  <w:r>
                    <w:rPr>
                      <w:rFonts w:hint="default" w:ascii="Times New Roman" w:hAnsi="Times New Roman" w:cs="Times New Roman"/>
                      <w:color w:val="auto"/>
                    </w:rPr>
                    <w:t>超标率%</w:t>
                  </w:r>
                </w:p>
              </w:tc>
              <w:tc>
                <w:tcPr>
                  <w:tcW w:w="502" w:type="pct"/>
                  <w:vAlign w:val="center"/>
                </w:tcPr>
                <w:p w14:paraId="06904CBC">
                  <w:pPr>
                    <w:pStyle w:val="53"/>
                    <w:rPr>
                      <w:rFonts w:hint="default" w:ascii="Times New Roman" w:hAnsi="Times New Roman" w:cs="Times New Roman"/>
                      <w:color w:val="auto"/>
                    </w:rPr>
                  </w:pPr>
                  <w:r>
                    <w:rPr>
                      <w:rFonts w:hint="default" w:ascii="Times New Roman" w:hAnsi="Times New Roman" w:cs="Times New Roman"/>
                      <w:color w:val="auto"/>
                    </w:rPr>
                    <w:t>达标情况</w:t>
                  </w:r>
                </w:p>
              </w:tc>
            </w:tr>
            <w:tr w14:paraId="1AA34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 w:hRule="atLeast"/>
                <w:tblHeader/>
                <w:jc w:val="center"/>
              </w:trPr>
              <w:tc>
                <w:tcPr>
                  <w:tcW w:w="718" w:type="pct"/>
                  <w:vAlign w:val="center"/>
                </w:tcPr>
                <w:p w14:paraId="4EFB939B">
                  <w:pPr>
                    <w:pStyle w:val="53"/>
                    <w:rPr>
                      <w:rFonts w:hint="eastAsia" w:ascii="Times New Roman" w:hAnsi="Times New Roman" w:eastAsia="宋体" w:cs="Times New Roman"/>
                      <w:color w:val="auto"/>
                      <w:kern w:val="0"/>
                      <w:lang w:eastAsia="zh-CN"/>
                    </w:rPr>
                  </w:pPr>
                  <w:r>
                    <w:rPr>
                      <w:rFonts w:hint="eastAsia" w:cs="Times New Roman"/>
                      <w:color w:val="auto"/>
                      <w:spacing w:val="-10"/>
                      <w:lang w:val="en-US" w:eastAsia="zh-CN"/>
                    </w:rPr>
                    <w:t>老吴新村</w:t>
                  </w:r>
                </w:p>
              </w:tc>
              <w:tc>
                <w:tcPr>
                  <w:tcW w:w="498" w:type="pct"/>
                  <w:vAlign w:val="center"/>
                </w:tcPr>
                <w:p w14:paraId="5352D267">
                  <w:pPr>
                    <w:pStyle w:val="53"/>
                    <w:rPr>
                      <w:rFonts w:hint="default" w:ascii="Times New Roman" w:hAnsi="Times New Roman" w:cs="Times New Roman"/>
                      <w:color w:val="auto"/>
                    </w:rPr>
                  </w:pPr>
                  <w:r>
                    <w:rPr>
                      <w:rFonts w:hint="default" w:ascii="Times New Roman" w:hAnsi="Times New Roman" w:cs="Times New Roman"/>
                      <w:color w:val="auto"/>
                      <w:kern w:val="0"/>
                    </w:rPr>
                    <w:t>颗粒物</w:t>
                  </w:r>
                </w:p>
              </w:tc>
              <w:tc>
                <w:tcPr>
                  <w:tcW w:w="659" w:type="pct"/>
                  <w:vAlign w:val="center"/>
                </w:tcPr>
                <w:p w14:paraId="1B2DC7A2">
                  <w:pPr>
                    <w:pStyle w:val="53"/>
                    <w:rPr>
                      <w:rFonts w:hint="default" w:ascii="Times New Roman" w:hAnsi="Times New Roman" w:cs="Times New Roman"/>
                      <w:color w:val="auto"/>
                    </w:rPr>
                  </w:pPr>
                  <w:r>
                    <w:rPr>
                      <w:rFonts w:hint="default" w:ascii="Times New Roman" w:hAnsi="Times New Roman" w:cs="Times New Roman"/>
                      <w:color w:val="auto"/>
                      <w:kern w:val="0"/>
                    </w:rPr>
                    <w:t>24h平均</w:t>
                  </w:r>
                </w:p>
              </w:tc>
              <w:tc>
                <w:tcPr>
                  <w:tcW w:w="668" w:type="pct"/>
                  <w:vAlign w:val="center"/>
                </w:tcPr>
                <w:p w14:paraId="73D55BA9">
                  <w:pPr>
                    <w:pStyle w:val="53"/>
                    <w:rPr>
                      <w:rFonts w:hint="default" w:ascii="Times New Roman" w:hAnsi="Times New Roman" w:cs="Times New Roman"/>
                      <w:color w:val="auto"/>
                    </w:rPr>
                  </w:pPr>
                  <w:r>
                    <w:rPr>
                      <w:rFonts w:hint="default" w:ascii="Times New Roman" w:hAnsi="Times New Roman" w:cs="Times New Roman"/>
                      <w:color w:val="auto"/>
                    </w:rPr>
                    <w:t>300</w:t>
                  </w:r>
                </w:p>
              </w:tc>
              <w:tc>
                <w:tcPr>
                  <w:tcW w:w="858" w:type="pct"/>
                  <w:vAlign w:val="center"/>
                </w:tcPr>
                <w:p w14:paraId="78E3AE40">
                  <w:pPr>
                    <w:pStyle w:val="53"/>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134</w:t>
                  </w:r>
                  <w:r>
                    <w:rPr>
                      <w:rFonts w:hint="default" w:ascii="Times New Roman" w:hAnsi="Times New Roman" w:cs="Times New Roman"/>
                      <w:color w:val="auto"/>
                      <w:highlight w:val="none"/>
                    </w:rPr>
                    <w:t>-</w:t>
                  </w:r>
                  <w:r>
                    <w:rPr>
                      <w:rFonts w:hint="eastAsia" w:cs="Times New Roman"/>
                      <w:color w:val="auto"/>
                      <w:highlight w:val="none"/>
                      <w:lang w:val="en-US" w:eastAsia="zh-CN"/>
                    </w:rPr>
                    <w:t>140</w:t>
                  </w:r>
                </w:p>
              </w:tc>
              <w:tc>
                <w:tcPr>
                  <w:tcW w:w="681" w:type="pct"/>
                  <w:vAlign w:val="center"/>
                </w:tcPr>
                <w:p w14:paraId="2DD4CD07">
                  <w:pPr>
                    <w:pStyle w:val="53"/>
                    <w:rPr>
                      <w:rFonts w:hint="default" w:ascii="Times New Roman" w:hAnsi="Times New Roman" w:cs="Times New Roman"/>
                      <w:color w:val="auto"/>
                      <w:highlight w:val="none"/>
                    </w:rPr>
                  </w:pPr>
                  <w:r>
                    <w:rPr>
                      <w:rFonts w:hint="eastAsia" w:cs="Times New Roman"/>
                      <w:color w:val="auto"/>
                      <w:highlight w:val="none"/>
                      <w:lang w:val="en-US" w:eastAsia="zh-CN"/>
                    </w:rPr>
                    <w:t>46</w:t>
                  </w:r>
                  <w:r>
                    <w:rPr>
                      <w:rFonts w:hint="default" w:ascii="Times New Roman" w:hAnsi="Times New Roman" w:cs="Times New Roman"/>
                      <w:color w:val="auto"/>
                      <w:highlight w:val="none"/>
                    </w:rPr>
                    <w:t>.67</w:t>
                  </w:r>
                </w:p>
              </w:tc>
              <w:tc>
                <w:tcPr>
                  <w:tcW w:w="416" w:type="pct"/>
                  <w:vAlign w:val="center"/>
                </w:tcPr>
                <w:p w14:paraId="287D2482">
                  <w:pPr>
                    <w:pStyle w:val="53"/>
                    <w:rPr>
                      <w:rFonts w:hint="default" w:ascii="Times New Roman" w:hAnsi="Times New Roman" w:cs="Times New Roman"/>
                      <w:color w:val="auto"/>
                    </w:rPr>
                  </w:pPr>
                  <w:r>
                    <w:rPr>
                      <w:rFonts w:hint="default" w:ascii="Times New Roman" w:hAnsi="Times New Roman" w:cs="Times New Roman"/>
                      <w:color w:val="auto"/>
                    </w:rPr>
                    <w:t>0</w:t>
                  </w:r>
                </w:p>
              </w:tc>
              <w:tc>
                <w:tcPr>
                  <w:tcW w:w="502" w:type="pct"/>
                  <w:vAlign w:val="center"/>
                </w:tcPr>
                <w:p w14:paraId="395E2920">
                  <w:pPr>
                    <w:pStyle w:val="53"/>
                    <w:rPr>
                      <w:rFonts w:hint="default" w:ascii="Times New Roman" w:hAnsi="Times New Roman" w:cs="Times New Roman"/>
                      <w:color w:val="auto"/>
                      <w:kern w:val="0"/>
                    </w:rPr>
                  </w:pPr>
                  <w:r>
                    <w:rPr>
                      <w:rFonts w:hint="default" w:ascii="Times New Roman" w:hAnsi="Times New Roman" w:cs="Times New Roman"/>
                      <w:color w:val="auto"/>
                      <w:kern w:val="0"/>
                    </w:rPr>
                    <w:t>达标</w:t>
                  </w:r>
                </w:p>
              </w:tc>
            </w:tr>
          </w:tbl>
          <w:p w14:paraId="6F966509">
            <w:pPr>
              <w:pStyle w:val="51"/>
              <w:ind w:firstLine="480"/>
              <w:rPr>
                <w:rFonts w:hint="default" w:ascii="Times New Roman" w:hAnsi="Times New Roman" w:cs="Times New Roman"/>
                <w:color w:val="auto"/>
              </w:rPr>
            </w:pPr>
            <w:r>
              <w:rPr>
                <w:rFonts w:hint="default" w:ascii="Times New Roman" w:hAnsi="Times New Roman" w:cs="Times New Roman"/>
                <w:color w:val="auto"/>
              </w:rPr>
              <w:t>根据监测结果可知，项目所在区域区TSP日均值浓度能达到《环境空气质量标准》（GB3095-2012）及其修改单二级标准；项目所在区环境空气质量现状良好。</w:t>
            </w:r>
          </w:p>
          <w:p w14:paraId="71F9B844">
            <w:pPr>
              <w:pStyle w:val="51"/>
              <w:ind w:firstLine="482"/>
              <w:rPr>
                <w:rFonts w:hint="default" w:ascii="Times New Roman" w:hAnsi="Times New Roman" w:cs="Times New Roman"/>
                <w:b/>
                <w:color w:val="auto"/>
              </w:rPr>
            </w:pPr>
            <w:r>
              <w:rPr>
                <w:rFonts w:hint="default" w:ascii="Times New Roman" w:hAnsi="Times New Roman" w:cs="Times New Roman"/>
                <w:b/>
                <w:color w:val="auto"/>
              </w:rPr>
              <w:t>2、地表水环境质量现状</w:t>
            </w:r>
          </w:p>
          <w:p w14:paraId="61AF20A8">
            <w:pPr>
              <w:pStyle w:val="51"/>
              <w:ind w:firstLine="480"/>
              <w:rPr>
                <w:color w:val="auto"/>
                <w:szCs w:val="24"/>
                <w:lang w:val="en-US" w:eastAsia="zh-CN"/>
              </w:rPr>
            </w:pPr>
            <w:r>
              <w:rPr>
                <w:rFonts w:hint="default" w:ascii="Times New Roman" w:hAnsi="Times New Roman" w:cs="Times New Roman"/>
                <w:color w:val="auto"/>
              </w:rPr>
              <w:t>项目区附近地表水体为</w:t>
            </w:r>
            <w:r>
              <w:rPr>
                <w:rFonts w:hint="eastAsia" w:cs="Times New Roman"/>
                <w:color w:val="auto"/>
                <w:lang w:val="en-US" w:eastAsia="zh-CN"/>
              </w:rPr>
              <w:t>南</w:t>
            </w:r>
            <w:r>
              <w:rPr>
                <w:rFonts w:hint="default" w:ascii="Times New Roman" w:hAnsi="Times New Roman" w:cs="Times New Roman"/>
                <w:color w:val="auto"/>
              </w:rPr>
              <w:t>侧</w:t>
            </w:r>
            <w:r>
              <w:rPr>
                <w:rFonts w:hint="eastAsia" w:cs="Times New Roman"/>
                <w:color w:val="auto"/>
                <w:lang w:val="en-US" w:eastAsia="zh-CN"/>
              </w:rPr>
              <w:t>350</w:t>
            </w:r>
            <w:r>
              <w:rPr>
                <w:rFonts w:hint="default" w:ascii="Times New Roman" w:hAnsi="Times New Roman" w:cs="Times New Roman"/>
                <w:color w:val="auto"/>
              </w:rPr>
              <w:t>m处的</w:t>
            </w:r>
            <w:r>
              <w:rPr>
                <w:rFonts w:hint="eastAsia" w:cs="Times New Roman"/>
                <w:color w:val="auto"/>
                <w:lang w:val="en-US" w:eastAsia="zh-CN"/>
              </w:rPr>
              <w:t>南盘江</w:t>
            </w:r>
            <w:r>
              <w:rPr>
                <w:rFonts w:hint="eastAsia" w:cs="Times New Roman"/>
                <w:color w:val="auto"/>
                <w:lang w:eastAsia="zh-CN"/>
              </w:rPr>
              <w:t>，</w:t>
            </w:r>
            <w:r>
              <w:rPr>
                <w:color w:val="auto"/>
                <w:kern w:val="24"/>
                <w:lang w:val="en-US" w:eastAsia="zh-CN"/>
              </w:rPr>
              <w:t>根据云南省水利厅发布的《云南省水功能区划（2014年修订）》可知，</w:t>
            </w:r>
            <w:r>
              <w:rPr>
                <w:rFonts w:hint="eastAsia"/>
                <w:color w:val="auto"/>
                <w:lang w:val="en-US" w:eastAsia="zh-CN"/>
              </w:rPr>
              <w:t>项目所在区域属于南盘江沾益</w:t>
            </w:r>
            <w:r>
              <w:rPr>
                <w:color w:val="auto"/>
                <w:lang w:val="en-US" w:eastAsia="zh-CN"/>
              </w:rPr>
              <w:t>-</w:t>
            </w:r>
            <w:r>
              <w:rPr>
                <w:rFonts w:hint="eastAsia"/>
                <w:color w:val="auto"/>
                <w:lang w:val="en-US" w:eastAsia="zh-CN"/>
              </w:rPr>
              <w:t>陆良农业、工业用水区，水质目标</w:t>
            </w:r>
            <w:r>
              <w:rPr>
                <w:color w:val="auto"/>
                <w:lang w:val="en-US" w:eastAsia="zh-CN"/>
              </w:rPr>
              <w:t>为</w:t>
            </w:r>
            <w:r>
              <w:rPr>
                <w:rFonts w:hint="eastAsia"/>
                <w:color w:val="auto"/>
                <w:lang w:val="en-US" w:eastAsia="zh-CN"/>
              </w:rPr>
              <w:t>Ⅲ类，执行《地表水环境质量标准》（GB3838-2002）中的Ⅲ类水质要求</w:t>
            </w:r>
            <w:r>
              <w:rPr>
                <w:rFonts w:hint="eastAsia"/>
                <w:color w:val="auto"/>
                <w:szCs w:val="24"/>
                <w:lang w:val="en-US" w:eastAsia="zh-CN"/>
              </w:rPr>
              <w:t>。</w:t>
            </w:r>
          </w:p>
          <w:p w14:paraId="5F76054C">
            <w:pPr>
              <w:pStyle w:val="51"/>
              <w:ind w:firstLine="480"/>
              <w:rPr>
                <w:rFonts w:hint="default" w:ascii="Times New Roman" w:hAnsi="Times New Roman" w:cs="Times New Roman"/>
                <w:color w:val="auto"/>
              </w:rPr>
            </w:pPr>
            <w:r>
              <w:rPr>
                <w:color w:val="auto"/>
                <w:lang w:val="en-US" w:eastAsia="zh-CN"/>
              </w:rPr>
              <w:t>项目所在流域南盘江最近断面为下游响水坝老吴村断面，根据曲靖市生态环境局 202</w:t>
            </w:r>
            <w:r>
              <w:rPr>
                <w:rFonts w:hint="eastAsia"/>
                <w:color w:val="auto"/>
                <w:lang w:val="en-US" w:eastAsia="zh-CN"/>
              </w:rPr>
              <w:t>4</w:t>
            </w:r>
            <w:r>
              <w:rPr>
                <w:color w:val="auto"/>
                <w:lang w:val="en-US" w:eastAsia="zh-CN"/>
              </w:rPr>
              <w:t>年</w:t>
            </w:r>
            <w:r>
              <w:rPr>
                <w:rFonts w:hint="eastAsia"/>
                <w:color w:val="auto"/>
                <w:lang w:val="en-US" w:eastAsia="zh-CN"/>
              </w:rPr>
              <w:t>1</w:t>
            </w:r>
            <w:r>
              <w:rPr>
                <w:color w:val="auto"/>
                <w:lang w:val="en-US" w:eastAsia="zh-CN"/>
              </w:rPr>
              <w:t>月</w:t>
            </w:r>
            <w:r>
              <w:rPr>
                <w:rFonts w:hint="eastAsia"/>
                <w:color w:val="auto"/>
                <w:lang w:val="en-US" w:eastAsia="zh-CN"/>
              </w:rPr>
              <w:t>～</w:t>
            </w:r>
            <w:r>
              <w:rPr>
                <w:color w:val="auto"/>
                <w:lang w:val="en-US" w:eastAsia="zh-CN"/>
              </w:rPr>
              <w:t>12 月地表水环境质量中的响水坝老吴村断面水质统计，南盘江响水坝老吴村省控断面水质能</w:t>
            </w:r>
            <w:r>
              <w:rPr>
                <w:rFonts w:hint="eastAsia"/>
                <w:color w:val="auto"/>
                <w:lang w:val="en-US" w:eastAsia="zh-CN"/>
              </w:rPr>
              <w:t>达到</w:t>
            </w:r>
            <w:r>
              <w:rPr>
                <w:color w:val="auto"/>
                <w:lang w:val="en-US" w:eastAsia="zh-CN"/>
              </w:rPr>
              <w:t xml:space="preserve">《地表水环境质量标准》（GB3838-2002）中 </w:t>
            </w:r>
            <w:r>
              <w:rPr>
                <w:rFonts w:hint="eastAsia"/>
                <w:color w:val="auto"/>
                <w:lang w:val="en-US" w:eastAsia="zh-CN"/>
              </w:rPr>
              <w:t>Ⅲ类标准。</w:t>
            </w:r>
          </w:p>
          <w:p w14:paraId="6ECB0D3B">
            <w:pPr>
              <w:pStyle w:val="51"/>
              <w:ind w:firstLine="482"/>
              <w:rPr>
                <w:rFonts w:hint="default" w:ascii="Times New Roman" w:hAnsi="Times New Roman" w:cs="Times New Roman"/>
                <w:b/>
                <w:color w:val="auto"/>
              </w:rPr>
            </w:pPr>
            <w:r>
              <w:rPr>
                <w:rFonts w:hint="default" w:ascii="Times New Roman" w:hAnsi="Times New Roman" w:cs="Times New Roman"/>
                <w:b/>
                <w:color w:val="auto"/>
              </w:rPr>
              <w:t>3、声环境质量现状</w:t>
            </w:r>
          </w:p>
          <w:p w14:paraId="525A2535">
            <w:pPr>
              <w:pStyle w:val="51"/>
              <w:ind w:firstLine="480"/>
              <w:rPr>
                <w:rFonts w:hint="eastAsia"/>
                <w:color w:val="auto"/>
                <w:lang w:val="en-US" w:eastAsia="zh-CN"/>
              </w:rPr>
            </w:pPr>
            <w:r>
              <w:rPr>
                <w:rFonts w:hint="default" w:ascii="Times New Roman" w:hAnsi="Times New Roman" w:cs="Times New Roman"/>
                <w:color w:val="auto"/>
              </w:rPr>
              <w:t>项目位于云南省</w:t>
            </w:r>
            <w:r>
              <w:rPr>
                <w:rFonts w:hint="eastAsia" w:cs="Times New Roman"/>
                <w:color w:val="auto"/>
                <w:lang w:eastAsia="zh-CN"/>
              </w:rPr>
              <w:t>曲靖市麒麟区越州镇老吴村委会（原平板玻璃厂内）</w:t>
            </w:r>
            <w:r>
              <w:rPr>
                <w:rFonts w:hint="default" w:ascii="Times New Roman" w:hAnsi="Times New Roman" w:cs="Times New Roman"/>
                <w:color w:val="auto"/>
              </w:rPr>
              <w:t>，属《声环境质量标准》（GB3096-2008）中2类区，执行《声环境质量标准》（GB3096-2008）中的2类标准。经现场踏勘，项目厂界外50m范围内声环境敏感目标</w:t>
            </w:r>
            <w:r>
              <w:rPr>
                <w:rFonts w:hint="eastAsia" w:cs="Times New Roman"/>
                <w:color w:val="auto"/>
                <w:lang w:val="en-US" w:eastAsia="zh-CN"/>
              </w:rPr>
              <w:t>为西侧30m处散户</w:t>
            </w:r>
            <w:r>
              <w:rPr>
                <w:rFonts w:hint="default" w:ascii="Times New Roman" w:hAnsi="Times New Roman" w:cs="Times New Roman"/>
                <w:color w:val="auto"/>
              </w:rPr>
              <w:t>，</w:t>
            </w:r>
            <w:r>
              <w:rPr>
                <w:rFonts w:hint="eastAsia"/>
                <w:color w:val="auto"/>
                <w:lang w:val="en-US" w:eastAsia="zh-CN"/>
              </w:rPr>
              <w:t>根据《建设项目环境影响报告表编制技术指南（污染影响类）（试行）》，应对项目区厂界周边50m范围内的声环境保护目标进行声环境质量现状监测。建设单位委托云南升环检测技术有限公司于2025年5月13日进行了声环境质量现状监测，监测结果如下。</w:t>
            </w:r>
          </w:p>
          <w:p w14:paraId="3D973C2A">
            <w:pPr>
              <w:pStyle w:val="52"/>
              <w:rPr>
                <w:rFonts w:hint="eastAsia" w:cs="宋体"/>
                <w:color w:val="auto"/>
                <w:lang w:val="en-US" w:eastAsia="zh-CN"/>
              </w:rPr>
            </w:pPr>
            <w:r>
              <w:rPr>
                <w:rFonts w:hint="eastAsia" w:cs="宋体"/>
                <w:color w:val="auto"/>
                <w:lang w:val="en-US" w:eastAsia="zh-CN"/>
              </w:rPr>
              <w:t>表3-2    声环境质量现状监测结果一览表    单位：</w:t>
            </w:r>
            <w:r>
              <w:rPr>
                <w:rFonts w:eastAsia="Times New Roman"/>
                <w:bCs/>
                <w:color w:val="auto"/>
                <w:sz w:val="20"/>
                <w:szCs w:val="20"/>
                <w:lang w:val="en-US" w:eastAsia="zh-CN"/>
              </w:rPr>
              <w:t>dB</w:t>
            </w:r>
            <w:r>
              <w:rPr>
                <w:rFonts w:eastAsia="Times New Roman"/>
                <w:bCs/>
                <w:color w:val="auto"/>
                <w:spacing w:val="7"/>
                <w:sz w:val="20"/>
                <w:szCs w:val="20"/>
                <w:lang w:val="en-US" w:eastAsia="zh-CN"/>
              </w:rPr>
              <w:t>(A)</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6"/>
              <w:gridCol w:w="1432"/>
              <w:gridCol w:w="1525"/>
              <w:gridCol w:w="1630"/>
              <w:gridCol w:w="1035"/>
              <w:gridCol w:w="900"/>
            </w:tblGrid>
            <w:tr w14:paraId="7A9A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restart"/>
                  <w:noWrap w:val="0"/>
                  <w:vAlign w:val="center"/>
                </w:tcPr>
                <w:p w14:paraId="2C9DF50A">
                  <w:pPr>
                    <w:pStyle w:val="53"/>
                    <w:rPr>
                      <w:rFonts w:hint="eastAsia" w:cs="宋体"/>
                      <w:color w:val="auto"/>
                      <w:lang w:val="en-US" w:eastAsia="zh-CN"/>
                    </w:rPr>
                  </w:pPr>
                  <w:r>
                    <w:rPr>
                      <w:rFonts w:hint="eastAsia" w:cs="宋体"/>
                      <w:color w:val="auto"/>
                      <w:lang w:val="en-US" w:eastAsia="zh-CN"/>
                    </w:rPr>
                    <w:t>监测点位</w:t>
                  </w:r>
                </w:p>
              </w:tc>
              <w:tc>
                <w:tcPr>
                  <w:tcW w:w="862" w:type="pct"/>
                  <w:vMerge w:val="restart"/>
                  <w:noWrap w:val="0"/>
                  <w:vAlign w:val="center"/>
                </w:tcPr>
                <w:p w14:paraId="5D91AB41">
                  <w:pPr>
                    <w:pStyle w:val="53"/>
                    <w:rPr>
                      <w:rFonts w:hint="eastAsia" w:cs="宋体"/>
                      <w:color w:val="auto"/>
                      <w:lang w:val="en-US" w:eastAsia="zh-CN"/>
                    </w:rPr>
                  </w:pPr>
                  <w:r>
                    <w:rPr>
                      <w:rFonts w:hint="eastAsia" w:cs="宋体"/>
                      <w:color w:val="auto"/>
                      <w:lang w:val="en-US" w:eastAsia="zh-CN"/>
                    </w:rPr>
                    <w:t>检测时间</w:t>
                  </w:r>
                </w:p>
              </w:tc>
              <w:tc>
                <w:tcPr>
                  <w:tcW w:w="918" w:type="pct"/>
                  <w:vMerge w:val="restart"/>
                  <w:noWrap w:val="0"/>
                  <w:vAlign w:val="center"/>
                </w:tcPr>
                <w:p w14:paraId="5B3553EF">
                  <w:pPr>
                    <w:pStyle w:val="53"/>
                    <w:rPr>
                      <w:rFonts w:hint="eastAsia" w:cs="宋体"/>
                      <w:color w:val="auto"/>
                      <w:lang w:val="en-US" w:eastAsia="zh-CN"/>
                    </w:rPr>
                  </w:pPr>
                  <w:r>
                    <w:rPr>
                      <w:rFonts w:hint="eastAsia" w:cs="宋体"/>
                      <w:color w:val="auto"/>
                      <w:lang w:val="en-US" w:eastAsia="zh-CN"/>
                    </w:rPr>
                    <w:t>昼间</w:t>
                  </w:r>
                </w:p>
              </w:tc>
              <w:tc>
                <w:tcPr>
                  <w:tcW w:w="981" w:type="pct"/>
                  <w:vMerge w:val="restart"/>
                  <w:noWrap w:val="0"/>
                  <w:vAlign w:val="center"/>
                </w:tcPr>
                <w:p w14:paraId="2103E90D">
                  <w:pPr>
                    <w:pStyle w:val="53"/>
                    <w:rPr>
                      <w:rFonts w:hint="eastAsia" w:cs="宋体"/>
                      <w:color w:val="auto"/>
                      <w:lang w:val="en-US" w:eastAsia="zh-CN"/>
                    </w:rPr>
                  </w:pPr>
                  <w:r>
                    <w:rPr>
                      <w:rFonts w:hint="eastAsia" w:cs="宋体"/>
                      <w:color w:val="auto"/>
                      <w:lang w:val="en-US" w:eastAsia="zh-CN"/>
                    </w:rPr>
                    <w:t>夜间</w:t>
                  </w:r>
                </w:p>
              </w:tc>
              <w:tc>
                <w:tcPr>
                  <w:tcW w:w="1164" w:type="pct"/>
                  <w:gridSpan w:val="2"/>
                  <w:noWrap w:val="0"/>
                  <w:vAlign w:val="center"/>
                </w:tcPr>
                <w:p w14:paraId="70FFAEB3">
                  <w:pPr>
                    <w:pStyle w:val="53"/>
                    <w:rPr>
                      <w:rFonts w:hint="eastAsia" w:cs="宋体"/>
                      <w:color w:val="auto"/>
                      <w:lang w:val="en-US" w:eastAsia="zh-CN"/>
                    </w:rPr>
                  </w:pPr>
                  <w:r>
                    <w:rPr>
                      <w:rFonts w:hint="eastAsia" w:cs="宋体"/>
                      <w:color w:val="auto"/>
                      <w:lang w:val="en-US" w:eastAsia="zh-CN"/>
                    </w:rPr>
                    <w:t>达标情况</w:t>
                  </w:r>
                </w:p>
              </w:tc>
            </w:tr>
            <w:tr w14:paraId="40CA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continue"/>
                  <w:noWrap w:val="0"/>
                  <w:vAlign w:val="center"/>
                </w:tcPr>
                <w:p w14:paraId="27D33B0F">
                  <w:pPr>
                    <w:pStyle w:val="53"/>
                    <w:rPr>
                      <w:rFonts w:hint="eastAsia" w:cs="宋体"/>
                      <w:color w:val="auto"/>
                      <w:lang w:val="en-US" w:eastAsia="zh-CN"/>
                    </w:rPr>
                  </w:pPr>
                </w:p>
              </w:tc>
              <w:tc>
                <w:tcPr>
                  <w:tcW w:w="862" w:type="pct"/>
                  <w:vMerge w:val="continue"/>
                  <w:noWrap w:val="0"/>
                  <w:vAlign w:val="center"/>
                </w:tcPr>
                <w:p w14:paraId="700C278C">
                  <w:pPr>
                    <w:pStyle w:val="53"/>
                    <w:rPr>
                      <w:rFonts w:hint="eastAsia" w:cs="宋体"/>
                      <w:color w:val="auto"/>
                      <w:lang w:val="en-US" w:eastAsia="zh-CN"/>
                    </w:rPr>
                  </w:pPr>
                </w:p>
              </w:tc>
              <w:tc>
                <w:tcPr>
                  <w:tcW w:w="918" w:type="pct"/>
                  <w:vMerge w:val="continue"/>
                  <w:noWrap w:val="0"/>
                  <w:vAlign w:val="center"/>
                </w:tcPr>
                <w:p w14:paraId="3B797D5D">
                  <w:pPr>
                    <w:pStyle w:val="53"/>
                    <w:rPr>
                      <w:rFonts w:hint="eastAsia" w:cs="宋体"/>
                      <w:color w:val="auto"/>
                      <w:lang w:val="en-US" w:eastAsia="zh-CN"/>
                    </w:rPr>
                  </w:pPr>
                </w:p>
              </w:tc>
              <w:tc>
                <w:tcPr>
                  <w:tcW w:w="981" w:type="pct"/>
                  <w:vMerge w:val="continue"/>
                  <w:noWrap w:val="0"/>
                  <w:vAlign w:val="center"/>
                </w:tcPr>
                <w:p w14:paraId="7E17A5DE">
                  <w:pPr>
                    <w:pStyle w:val="53"/>
                    <w:rPr>
                      <w:rFonts w:hint="eastAsia" w:cs="宋体"/>
                      <w:color w:val="auto"/>
                      <w:lang w:val="en-US" w:eastAsia="zh-CN"/>
                    </w:rPr>
                  </w:pPr>
                </w:p>
              </w:tc>
              <w:tc>
                <w:tcPr>
                  <w:tcW w:w="623" w:type="pct"/>
                  <w:noWrap w:val="0"/>
                  <w:vAlign w:val="center"/>
                </w:tcPr>
                <w:p w14:paraId="22A27E73">
                  <w:pPr>
                    <w:pStyle w:val="53"/>
                    <w:rPr>
                      <w:rFonts w:hint="eastAsia" w:cs="宋体"/>
                      <w:color w:val="auto"/>
                      <w:lang w:val="en-US" w:eastAsia="zh-CN"/>
                    </w:rPr>
                  </w:pPr>
                  <w:r>
                    <w:rPr>
                      <w:rFonts w:hint="eastAsia" w:cs="宋体"/>
                      <w:color w:val="auto"/>
                      <w:lang w:val="en-US" w:eastAsia="zh-CN"/>
                    </w:rPr>
                    <w:t>昼间</w:t>
                  </w:r>
                </w:p>
              </w:tc>
              <w:tc>
                <w:tcPr>
                  <w:tcW w:w="541" w:type="pct"/>
                  <w:noWrap w:val="0"/>
                  <w:vAlign w:val="center"/>
                </w:tcPr>
                <w:p w14:paraId="267A2028">
                  <w:pPr>
                    <w:pStyle w:val="53"/>
                    <w:rPr>
                      <w:rFonts w:hint="eastAsia" w:cs="宋体"/>
                      <w:color w:val="auto"/>
                      <w:lang w:val="en-US" w:eastAsia="zh-CN"/>
                    </w:rPr>
                  </w:pPr>
                  <w:r>
                    <w:rPr>
                      <w:rFonts w:hint="eastAsia" w:cs="宋体"/>
                      <w:color w:val="auto"/>
                      <w:lang w:val="en-US" w:eastAsia="zh-CN"/>
                    </w:rPr>
                    <w:t>夜间</w:t>
                  </w:r>
                </w:p>
              </w:tc>
            </w:tr>
            <w:tr w14:paraId="13E59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restart"/>
                  <w:noWrap w:val="0"/>
                  <w:vAlign w:val="center"/>
                </w:tcPr>
                <w:p w14:paraId="5023493F">
                  <w:pPr>
                    <w:pStyle w:val="53"/>
                    <w:rPr>
                      <w:rFonts w:hint="default" w:cs="宋体"/>
                      <w:color w:val="auto"/>
                      <w:lang w:val="en-US" w:eastAsia="zh-CN"/>
                    </w:rPr>
                  </w:pPr>
                  <w:r>
                    <w:rPr>
                      <w:rFonts w:hint="eastAsia"/>
                      <w:color w:val="auto"/>
                      <w:lang w:val="en-US" w:eastAsia="zh-CN"/>
                    </w:rPr>
                    <w:t>西侧散户</w:t>
                  </w:r>
                </w:p>
              </w:tc>
              <w:tc>
                <w:tcPr>
                  <w:tcW w:w="862" w:type="pct"/>
                  <w:vMerge w:val="restart"/>
                  <w:noWrap w:val="0"/>
                  <w:vAlign w:val="center"/>
                </w:tcPr>
                <w:p w14:paraId="380A47EC">
                  <w:pPr>
                    <w:pStyle w:val="53"/>
                    <w:rPr>
                      <w:rFonts w:hint="default" w:cs="宋体"/>
                      <w:color w:val="auto"/>
                      <w:lang w:val="en-US" w:eastAsia="zh-CN"/>
                    </w:rPr>
                  </w:pPr>
                  <w:r>
                    <w:rPr>
                      <w:rFonts w:hint="eastAsia" w:cs="宋体"/>
                      <w:color w:val="auto"/>
                      <w:lang w:val="en-US" w:eastAsia="zh-CN"/>
                    </w:rPr>
                    <w:t>2025/05/13</w:t>
                  </w:r>
                </w:p>
              </w:tc>
              <w:tc>
                <w:tcPr>
                  <w:tcW w:w="918" w:type="pct"/>
                  <w:vMerge w:val="restart"/>
                  <w:noWrap w:val="0"/>
                  <w:vAlign w:val="center"/>
                </w:tcPr>
                <w:p w14:paraId="42049F0A">
                  <w:pPr>
                    <w:pStyle w:val="53"/>
                    <w:rPr>
                      <w:rFonts w:hint="default" w:cs="宋体"/>
                      <w:color w:val="auto"/>
                      <w:highlight w:val="none"/>
                      <w:lang w:val="en-US" w:eastAsia="zh-CN"/>
                    </w:rPr>
                  </w:pPr>
                  <w:r>
                    <w:rPr>
                      <w:rFonts w:hint="eastAsia" w:cs="宋体"/>
                      <w:color w:val="auto"/>
                      <w:highlight w:val="none"/>
                      <w:lang w:val="en-US" w:eastAsia="zh-CN"/>
                    </w:rPr>
                    <w:t>52</w:t>
                  </w:r>
                </w:p>
              </w:tc>
              <w:tc>
                <w:tcPr>
                  <w:tcW w:w="981" w:type="pct"/>
                  <w:vMerge w:val="restart"/>
                  <w:noWrap w:val="0"/>
                  <w:vAlign w:val="center"/>
                </w:tcPr>
                <w:p w14:paraId="24AA0749">
                  <w:pPr>
                    <w:pStyle w:val="53"/>
                    <w:rPr>
                      <w:rFonts w:hint="default" w:cs="宋体"/>
                      <w:color w:val="auto"/>
                      <w:highlight w:val="none"/>
                      <w:lang w:val="en-US" w:eastAsia="zh-CN"/>
                    </w:rPr>
                  </w:pPr>
                  <w:r>
                    <w:rPr>
                      <w:rFonts w:hint="eastAsia" w:cs="宋体"/>
                      <w:color w:val="auto"/>
                      <w:highlight w:val="none"/>
                      <w:lang w:val="en-US" w:eastAsia="zh-CN"/>
                    </w:rPr>
                    <w:t>42</w:t>
                  </w:r>
                </w:p>
              </w:tc>
              <w:tc>
                <w:tcPr>
                  <w:tcW w:w="623" w:type="pct"/>
                  <w:noWrap w:val="0"/>
                  <w:vAlign w:val="center"/>
                </w:tcPr>
                <w:p w14:paraId="4E7070E6">
                  <w:pPr>
                    <w:pStyle w:val="53"/>
                    <w:rPr>
                      <w:rFonts w:hint="eastAsia" w:cs="宋体"/>
                      <w:color w:val="auto"/>
                      <w:lang w:val="en-US" w:eastAsia="zh-CN"/>
                    </w:rPr>
                  </w:pPr>
                  <w:r>
                    <w:rPr>
                      <w:rFonts w:hint="eastAsia" w:cs="宋体"/>
                      <w:color w:val="auto"/>
                      <w:lang w:val="en-US" w:eastAsia="zh-CN"/>
                    </w:rPr>
                    <w:t>60</w:t>
                  </w:r>
                </w:p>
              </w:tc>
              <w:tc>
                <w:tcPr>
                  <w:tcW w:w="541" w:type="pct"/>
                  <w:noWrap w:val="0"/>
                  <w:vAlign w:val="center"/>
                </w:tcPr>
                <w:p w14:paraId="363FB029">
                  <w:pPr>
                    <w:pStyle w:val="53"/>
                    <w:rPr>
                      <w:rFonts w:hint="eastAsia" w:cs="宋体"/>
                      <w:color w:val="auto"/>
                      <w:lang w:val="en-US" w:eastAsia="zh-CN"/>
                    </w:rPr>
                  </w:pPr>
                  <w:r>
                    <w:rPr>
                      <w:rFonts w:hint="eastAsia" w:cs="宋体"/>
                      <w:color w:val="auto"/>
                      <w:lang w:val="en-US" w:eastAsia="zh-CN"/>
                    </w:rPr>
                    <w:t>50</w:t>
                  </w:r>
                </w:p>
              </w:tc>
            </w:tr>
            <w:tr w14:paraId="6292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pct"/>
                  <w:vMerge w:val="continue"/>
                  <w:noWrap w:val="0"/>
                  <w:vAlign w:val="center"/>
                </w:tcPr>
                <w:p w14:paraId="47675C94">
                  <w:pPr>
                    <w:pStyle w:val="53"/>
                    <w:rPr>
                      <w:rFonts w:hint="eastAsia" w:cs="宋体"/>
                      <w:color w:val="auto"/>
                      <w:lang w:val="en-US" w:eastAsia="zh-CN"/>
                    </w:rPr>
                  </w:pPr>
                </w:p>
              </w:tc>
              <w:tc>
                <w:tcPr>
                  <w:tcW w:w="862" w:type="pct"/>
                  <w:vMerge w:val="continue"/>
                  <w:noWrap w:val="0"/>
                  <w:vAlign w:val="center"/>
                </w:tcPr>
                <w:p w14:paraId="0D8C279C">
                  <w:pPr>
                    <w:pStyle w:val="53"/>
                    <w:rPr>
                      <w:rFonts w:hint="eastAsia" w:cs="宋体"/>
                      <w:color w:val="auto"/>
                      <w:lang w:val="en-US" w:eastAsia="zh-CN"/>
                    </w:rPr>
                  </w:pPr>
                </w:p>
              </w:tc>
              <w:tc>
                <w:tcPr>
                  <w:tcW w:w="918" w:type="pct"/>
                  <w:vMerge w:val="continue"/>
                  <w:noWrap w:val="0"/>
                  <w:vAlign w:val="center"/>
                </w:tcPr>
                <w:p w14:paraId="645F5871">
                  <w:pPr>
                    <w:pStyle w:val="53"/>
                    <w:rPr>
                      <w:rFonts w:hint="eastAsia" w:cs="宋体"/>
                      <w:color w:val="auto"/>
                      <w:lang w:val="en-US" w:eastAsia="zh-CN"/>
                    </w:rPr>
                  </w:pPr>
                </w:p>
              </w:tc>
              <w:tc>
                <w:tcPr>
                  <w:tcW w:w="981" w:type="pct"/>
                  <w:vMerge w:val="continue"/>
                  <w:noWrap w:val="0"/>
                  <w:vAlign w:val="center"/>
                </w:tcPr>
                <w:p w14:paraId="4BC6597F">
                  <w:pPr>
                    <w:pStyle w:val="53"/>
                    <w:rPr>
                      <w:rFonts w:hint="eastAsia" w:cs="宋体"/>
                      <w:color w:val="auto"/>
                      <w:lang w:val="en-US" w:eastAsia="zh-CN"/>
                    </w:rPr>
                  </w:pPr>
                </w:p>
              </w:tc>
              <w:tc>
                <w:tcPr>
                  <w:tcW w:w="623" w:type="pct"/>
                  <w:noWrap w:val="0"/>
                  <w:vAlign w:val="center"/>
                </w:tcPr>
                <w:p w14:paraId="28042E0F">
                  <w:pPr>
                    <w:pStyle w:val="53"/>
                    <w:rPr>
                      <w:rFonts w:hint="eastAsia" w:cs="宋体"/>
                      <w:color w:val="auto"/>
                      <w:lang w:val="en-US" w:eastAsia="zh-CN"/>
                    </w:rPr>
                  </w:pPr>
                  <w:r>
                    <w:rPr>
                      <w:rFonts w:hint="eastAsia" w:cs="宋体"/>
                      <w:color w:val="auto"/>
                      <w:lang w:val="en-US" w:eastAsia="zh-CN"/>
                    </w:rPr>
                    <w:t>达标</w:t>
                  </w:r>
                </w:p>
              </w:tc>
              <w:tc>
                <w:tcPr>
                  <w:tcW w:w="541" w:type="pct"/>
                  <w:noWrap w:val="0"/>
                  <w:vAlign w:val="center"/>
                </w:tcPr>
                <w:p w14:paraId="1C2BEF7E">
                  <w:pPr>
                    <w:pStyle w:val="53"/>
                    <w:rPr>
                      <w:rFonts w:hint="eastAsia" w:cs="宋体"/>
                      <w:color w:val="auto"/>
                      <w:lang w:val="en-US" w:eastAsia="zh-CN"/>
                    </w:rPr>
                  </w:pPr>
                  <w:r>
                    <w:rPr>
                      <w:rFonts w:hint="eastAsia" w:cs="宋体"/>
                      <w:color w:val="auto"/>
                      <w:lang w:val="en-US" w:eastAsia="zh-CN"/>
                    </w:rPr>
                    <w:t>达标</w:t>
                  </w:r>
                </w:p>
              </w:tc>
            </w:tr>
          </w:tbl>
          <w:p w14:paraId="50E9AEC2">
            <w:pPr>
              <w:pStyle w:val="51"/>
              <w:ind w:firstLine="480"/>
              <w:rPr>
                <w:rFonts w:hint="default" w:ascii="Times New Roman" w:hAnsi="Times New Roman" w:cs="Times New Roman"/>
                <w:color w:val="auto"/>
              </w:rPr>
            </w:pPr>
            <w:r>
              <w:rPr>
                <w:rFonts w:hint="eastAsia" w:cs="宋体"/>
                <w:color w:val="auto"/>
                <w:lang w:val="en-US" w:eastAsia="zh-CN"/>
              </w:rPr>
              <w:t>由上表可知，</w:t>
            </w:r>
            <w:r>
              <w:rPr>
                <w:rFonts w:hint="eastAsia"/>
                <w:color w:val="auto"/>
                <w:lang w:val="en-US" w:eastAsia="zh-CN"/>
              </w:rPr>
              <w:t>西侧散户</w:t>
            </w:r>
            <w:r>
              <w:rPr>
                <w:rFonts w:hint="eastAsia" w:cs="宋体"/>
                <w:color w:val="auto"/>
                <w:lang w:val="en-US" w:eastAsia="zh-CN"/>
              </w:rPr>
              <w:t>声环境质量现状能满足</w:t>
            </w:r>
            <w:r>
              <w:rPr>
                <w:rFonts w:cs="宋体"/>
                <w:color w:val="auto"/>
                <w:spacing w:val="-1"/>
                <w:lang w:val="en-US" w:eastAsia="zh-CN"/>
              </w:rPr>
              <w:t>《声环境质量标准》（</w:t>
            </w:r>
            <w:r>
              <w:rPr>
                <w:rFonts w:eastAsia="Times New Roman"/>
                <w:color w:val="auto"/>
                <w:spacing w:val="-1"/>
                <w:lang w:val="en-US" w:eastAsia="zh-CN"/>
              </w:rPr>
              <w:t>GB3096-2008</w:t>
            </w:r>
            <w:r>
              <w:rPr>
                <w:rFonts w:cs="宋体"/>
                <w:color w:val="auto"/>
                <w:spacing w:val="-1"/>
                <w:lang w:val="en-US" w:eastAsia="zh-CN"/>
              </w:rPr>
              <w:t>）中</w:t>
            </w:r>
            <w:r>
              <w:rPr>
                <w:rFonts w:hint="eastAsia" w:cs="宋体"/>
                <w:color w:val="auto"/>
                <w:spacing w:val="-1"/>
                <w:lang w:val="en-US" w:eastAsia="zh-CN"/>
              </w:rPr>
              <w:t>2类标准要求。</w:t>
            </w:r>
          </w:p>
          <w:p w14:paraId="12732634">
            <w:pPr>
              <w:pStyle w:val="51"/>
              <w:ind w:firstLine="482"/>
              <w:rPr>
                <w:rFonts w:hint="default" w:ascii="Times New Roman" w:hAnsi="Times New Roman" w:cs="Times New Roman"/>
                <w:b/>
                <w:color w:val="auto"/>
              </w:rPr>
            </w:pPr>
            <w:r>
              <w:rPr>
                <w:rFonts w:hint="default" w:ascii="Times New Roman" w:hAnsi="Times New Roman" w:cs="Times New Roman"/>
                <w:b/>
                <w:color w:val="auto"/>
              </w:rPr>
              <w:t>4、生态环境质量现状</w:t>
            </w:r>
          </w:p>
          <w:p w14:paraId="4E16CEC2">
            <w:pPr>
              <w:pStyle w:val="51"/>
              <w:ind w:firstLine="480"/>
              <w:rPr>
                <w:rFonts w:hint="default" w:ascii="Times New Roman" w:hAnsi="Times New Roman" w:cs="Times New Roman"/>
                <w:color w:val="auto"/>
              </w:rPr>
            </w:pPr>
            <w:r>
              <w:rPr>
                <w:rFonts w:hint="default" w:ascii="Times New Roman" w:hAnsi="Times New Roman" w:cs="Times New Roman"/>
                <w:bCs/>
                <w:color w:val="auto"/>
              </w:rPr>
              <w:t>根据现场勘查，</w:t>
            </w:r>
            <w:r>
              <w:rPr>
                <w:rFonts w:hint="default" w:ascii="Times New Roman" w:hAnsi="Times New Roman" w:cs="Times New Roman"/>
                <w:bCs/>
                <w:color w:val="auto"/>
                <w:highlight w:val="none"/>
              </w:rPr>
              <w:t>项目</w:t>
            </w:r>
            <w:r>
              <w:rPr>
                <w:rFonts w:hint="eastAsia" w:cs="Times New Roman"/>
                <w:bCs/>
                <w:color w:val="auto"/>
                <w:highlight w:val="none"/>
                <w:lang w:val="en-US" w:eastAsia="zh-CN"/>
              </w:rPr>
              <w:t>位于</w:t>
            </w:r>
            <w:r>
              <w:rPr>
                <w:rFonts w:hint="eastAsia" w:cs="Times New Roman"/>
                <w:color w:val="auto"/>
                <w:szCs w:val="21"/>
                <w:lang w:eastAsia="zh-CN"/>
              </w:rPr>
              <w:t>曲靖市麒麟区越州镇老吴村委会（原平板玻璃厂内）</w:t>
            </w:r>
            <w:r>
              <w:rPr>
                <w:rFonts w:hint="default" w:ascii="Times New Roman" w:hAnsi="Times New Roman" w:cs="Times New Roman"/>
                <w:bCs/>
                <w:color w:val="auto"/>
                <w:highlight w:val="none"/>
              </w:rPr>
              <w:t>，</w:t>
            </w:r>
            <w:r>
              <w:rPr>
                <w:rFonts w:hint="eastAsia" w:cs="Times New Roman"/>
                <w:bCs/>
                <w:color w:val="auto"/>
                <w:highlight w:val="none"/>
                <w:lang w:val="en-US" w:eastAsia="zh-CN"/>
              </w:rPr>
              <w:t>利用现有项目闲置厂房建设本项目，</w:t>
            </w:r>
            <w:r>
              <w:rPr>
                <w:rFonts w:hint="eastAsia"/>
                <w:color w:val="auto"/>
                <w:lang w:val="en-US" w:eastAsia="zh-CN"/>
              </w:rPr>
              <w:t>根据现场踏勘，</w:t>
            </w:r>
            <w:r>
              <w:rPr>
                <w:color w:val="auto"/>
                <w:kern w:val="2"/>
                <w:szCs w:val="24"/>
                <w:lang w:val="en-US" w:eastAsia="zh-CN"/>
              </w:rPr>
              <w:t>项目区域内</w:t>
            </w:r>
            <w:r>
              <w:rPr>
                <w:rFonts w:hint="eastAsia"/>
                <w:color w:val="auto"/>
                <w:kern w:val="2"/>
                <w:szCs w:val="24"/>
                <w:lang w:val="en-US" w:eastAsia="zh-CN"/>
              </w:rPr>
              <w:t>地面已硬化，</w:t>
            </w:r>
            <w:r>
              <w:rPr>
                <w:color w:val="auto"/>
                <w:kern w:val="2"/>
                <w:szCs w:val="24"/>
                <w:lang w:val="en-US" w:eastAsia="zh-CN"/>
              </w:rPr>
              <w:t>无天然植被，项目</w:t>
            </w:r>
            <w:r>
              <w:rPr>
                <w:rFonts w:hint="eastAsia"/>
                <w:color w:val="auto"/>
                <w:kern w:val="2"/>
                <w:szCs w:val="24"/>
                <w:lang w:val="en-US" w:eastAsia="zh-CN"/>
              </w:rPr>
              <w:t>区域</w:t>
            </w:r>
            <w:r>
              <w:rPr>
                <w:color w:val="auto"/>
                <w:kern w:val="2"/>
                <w:szCs w:val="24"/>
                <w:lang w:val="en-US" w:eastAsia="zh-CN"/>
              </w:rPr>
              <w:t>人工</w:t>
            </w:r>
            <w:r>
              <w:rPr>
                <w:rFonts w:hint="eastAsia"/>
                <w:color w:val="auto"/>
                <w:kern w:val="2"/>
                <w:szCs w:val="24"/>
                <w:lang w:val="en-US" w:eastAsia="zh-CN"/>
              </w:rPr>
              <w:t>植被为绿化植被</w:t>
            </w:r>
            <w:r>
              <w:rPr>
                <w:color w:val="auto"/>
                <w:kern w:val="2"/>
                <w:szCs w:val="24"/>
                <w:lang w:val="en-US" w:eastAsia="zh-CN"/>
              </w:rPr>
              <w:t>，生态系统受人为影响较大，自我调节能力较低；项目周围无风景名胜区，文物古迹及</w:t>
            </w:r>
            <w:r>
              <w:rPr>
                <w:rFonts w:hint="eastAsia"/>
                <w:color w:val="auto"/>
                <w:kern w:val="2"/>
                <w:szCs w:val="24"/>
                <w:lang w:val="en-US" w:eastAsia="zh-CN"/>
              </w:rPr>
              <w:t>珍稀动植物</w:t>
            </w:r>
            <w:r>
              <w:rPr>
                <w:color w:val="auto"/>
                <w:kern w:val="2"/>
                <w:szCs w:val="24"/>
                <w:lang w:val="en-US" w:eastAsia="zh-CN"/>
              </w:rPr>
              <w:t>。项目区周围无珍稀濒危保护物种和古树名木，也未发现有国家重点保护的野生动物资源，不涉及自然保护区。</w:t>
            </w:r>
          </w:p>
          <w:p w14:paraId="31FC9B15">
            <w:pPr>
              <w:pStyle w:val="51"/>
              <w:ind w:firstLine="482"/>
              <w:rPr>
                <w:rFonts w:hint="default" w:ascii="Times New Roman" w:hAnsi="Times New Roman" w:cs="Times New Roman"/>
                <w:b/>
                <w:color w:val="auto"/>
              </w:rPr>
            </w:pPr>
            <w:r>
              <w:rPr>
                <w:rFonts w:hint="default" w:ascii="Times New Roman" w:hAnsi="Times New Roman" w:cs="Times New Roman"/>
                <w:b/>
                <w:color w:val="auto"/>
              </w:rPr>
              <w:t>5、地下水、土壤环境现状</w:t>
            </w:r>
          </w:p>
          <w:p w14:paraId="6BEDD200">
            <w:pPr>
              <w:pStyle w:val="51"/>
              <w:ind w:firstLine="480"/>
              <w:rPr>
                <w:rFonts w:hint="default" w:ascii="Times New Roman" w:hAnsi="Times New Roman" w:cs="Times New Roman"/>
                <w:color w:val="auto"/>
                <w:kern w:val="0"/>
                <w:highlight w:val="none"/>
              </w:rPr>
            </w:pPr>
            <w:r>
              <w:rPr>
                <w:rFonts w:hint="default" w:ascii="Times New Roman" w:hAnsi="Times New Roman" w:cs="Times New Roman"/>
                <w:color w:val="auto"/>
              </w:rPr>
              <w:t>根据《建设项目环境影响报告表编制技术指南（污染影响类）（试行）》要求，报告表项目原则上不开展土壤和地下水环境质量现状调查。另外，根据《国民经济行业分类》（GBT 4754-2017）</w:t>
            </w:r>
            <w:r>
              <w:rPr>
                <w:rFonts w:hint="default" w:ascii="Times New Roman" w:hAnsi="Times New Roman" w:cs="Times New Roman"/>
                <w:color w:val="auto"/>
                <w:highlight w:val="none"/>
              </w:rPr>
              <w:t>，本项目属于</w:t>
            </w:r>
            <w:r>
              <w:rPr>
                <w:rFonts w:hint="eastAsia" w:ascii="Times New Roman" w:hAnsi="Times New Roman" w:eastAsia="宋体" w:cs="Times New Roman"/>
                <w:color w:val="auto"/>
                <w:lang w:val="en-US" w:eastAsia="zh-CN"/>
              </w:rPr>
              <w:t>4220非金属废料和碎屑加工处理，</w:t>
            </w:r>
            <w:r>
              <w:rPr>
                <w:rFonts w:hint="default" w:ascii="Times New Roman" w:hAnsi="Times New Roman" w:cs="Times New Roman"/>
                <w:color w:val="auto"/>
                <w:highlight w:val="none"/>
              </w:rPr>
              <w:t>对地下水、土壤潜在影响污染为废气、废水和固废，其中生活污水和固废通</w:t>
            </w:r>
            <w:r>
              <w:rPr>
                <w:rFonts w:hint="default" w:ascii="Times New Roman" w:hAnsi="Times New Roman" w:cs="Times New Roman"/>
                <w:color w:val="auto"/>
                <w:kern w:val="0"/>
                <w:highlight w:val="none"/>
              </w:rPr>
              <w:t>过有效收集并采取严格的防渗措施，正常情况下不会泄露至土壤和地下水，无地下水、土壤环境影响途径；废气主要为</w:t>
            </w:r>
            <w:r>
              <w:rPr>
                <w:rFonts w:hint="eastAsia" w:cs="Times New Roman"/>
                <w:color w:val="auto"/>
                <w:kern w:val="0"/>
                <w:highlight w:val="none"/>
                <w:lang w:val="en-US" w:eastAsia="zh-CN"/>
              </w:rPr>
              <w:t>颗粒物、非甲烷总烃</w:t>
            </w:r>
            <w:r>
              <w:rPr>
                <w:rFonts w:hint="default" w:ascii="Times New Roman" w:hAnsi="Times New Roman" w:cs="Times New Roman"/>
                <w:color w:val="auto"/>
                <w:kern w:val="0"/>
                <w:highlight w:val="none"/>
              </w:rPr>
              <w:t>，为非金属矿物，不涉及土壤污染重点污染物（镉、汞、砷、铅、六价铬、镍、石油烃），不属于土壤污染物评价指标，因此本项目无土壤环境特征影响因子。</w:t>
            </w:r>
          </w:p>
          <w:p w14:paraId="59BC7074">
            <w:pPr>
              <w:pStyle w:val="51"/>
              <w:ind w:firstLine="480"/>
              <w:rPr>
                <w:rFonts w:hint="default" w:ascii="Times New Roman" w:hAnsi="Times New Roman" w:cs="Times New Roman"/>
                <w:color w:val="auto"/>
                <w:kern w:val="0"/>
              </w:rPr>
            </w:pPr>
            <w:r>
              <w:rPr>
                <w:rFonts w:hint="default" w:ascii="Times New Roman" w:hAnsi="Times New Roman" w:cs="Times New Roman"/>
                <w:color w:val="auto"/>
                <w:kern w:val="0"/>
              </w:rPr>
              <w:t>根据生态环境部环境工程评估中心《环境影响评价技术导则  土壤环境（试行）》（HJ964-2018）关键要点解析“建设项目包括集中影响类型、有无影响途径、有无土壤环境特征影响因子；无影响途径的及对土壤环境不会产生影响的，可不开展土壤环境影响评价”。</w:t>
            </w:r>
          </w:p>
          <w:p w14:paraId="6A98964D">
            <w:pPr>
              <w:pStyle w:val="51"/>
              <w:ind w:firstLine="480"/>
              <w:rPr>
                <w:rFonts w:hint="default" w:ascii="Times New Roman" w:hAnsi="Times New Roman" w:cs="Times New Roman"/>
                <w:color w:val="auto"/>
                <w:kern w:val="0"/>
              </w:rPr>
            </w:pPr>
            <w:r>
              <w:rPr>
                <w:rFonts w:hint="default" w:ascii="Times New Roman" w:hAnsi="Times New Roman" w:cs="Times New Roman"/>
                <w:color w:val="auto"/>
                <w:kern w:val="0"/>
              </w:rPr>
              <w:t>因此，本项目无地下水、土壤环境特征影响因子，对地下水、土壤环境不会产生影响，可不进行土壤、地下水环境影响评价。</w:t>
            </w:r>
          </w:p>
        </w:tc>
      </w:tr>
      <w:tr w14:paraId="0CD34B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00" w:type="dxa"/>
            <w:vAlign w:val="center"/>
          </w:tcPr>
          <w:p w14:paraId="3B4BCC0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2B4E68EA">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523A71B3">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190" w:type="dxa"/>
            <w:vAlign w:val="center"/>
          </w:tcPr>
          <w:p w14:paraId="49C4C0D7">
            <w:pPr>
              <w:pStyle w:val="51"/>
              <w:ind w:firstLine="480"/>
              <w:rPr>
                <w:rFonts w:hint="default" w:ascii="Times New Roman" w:hAnsi="Times New Roman" w:cs="Times New Roman"/>
                <w:color w:val="auto"/>
              </w:rPr>
            </w:pPr>
            <w:r>
              <w:rPr>
                <w:rFonts w:hint="default" w:ascii="Times New Roman" w:hAnsi="Times New Roman" w:cs="Times New Roman"/>
                <w:color w:val="auto"/>
              </w:rPr>
              <w:t>（1）大气环境保护目标</w:t>
            </w:r>
          </w:p>
          <w:p w14:paraId="44D50802">
            <w:pPr>
              <w:pStyle w:val="51"/>
              <w:ind w:firstLine="480"/>
              <w:rPr>
                <w:rFonts w:hint="default" w:ascii="Times New Roman" w:hAnsi="Times New Roman" w:cs="Times New Roman"/>
                <w:color w:val="auto"/>
              </w:rPr>
            </w:pPr>
            <w:r>
              <w:rPr>
                <w:rFonts w:hint="default" w:ascii="Times New Roman" w:hAnsi="Times New Roman" w:cs="Times New Roman"/>
                <w:color w:val="auto"/>
              </w:rPr>
              <w:t>项目所在地为环境空气二类区，根据《建设项目环境影响报告表编制技术指南（污染影响类）（试行）》，确定项目大气环境保护目标调查范围为500m内的自然保护区、风景名胜区、居住区、文化区和农村地区中人群较集中等区域，根据现场踏勘及查阅，项目涉及的大气环境保护目标为项目北侧</w:t>
            </w:r>
            <w:r>
              <w:rPr>
                <w:rFonts w:hint="eastAsia" w:cs="Times New Roman"/>
                <w:color w:val="auto"/>
                <w:lang w:val="en-US" w:eastAsia="zh-CN"/>
              </w:rPr>
              <w:t>220</w:t>
            </w:r>
            <w:r>
              <w:rPr>
                <w:rFonts w:hint="default" w:ascii="Times New Roman" w:hAnsi="Times New Roman" w:cs="Times New Roman"/>
                <w:color w:val="auto"/>
              </w:rPr>
              <w:t>m处的</w:t>
            </w:r>
            <w:r>
              <w:rPr>
                <w:rFonts w:hint="eastAsia" w:cs="Times New Roman"/>
                <w:color w:val="auto"/>
                <w:lang w:val="en-US" w:eastAsia="zh-CN"/>
              </w:rPr>
              <w:t>老吴新村、</w:t>
            </w:r>
            <w:r>
              <w:rPr>
                <w:rFonts w:hint="eastAsia" w:cs="Times New Roman"/>
                <w:color w:val="auto"/>
                <w:kern w:val="0"/>
                <w:lang w:val="en-US" w:eastAsia="zh-CN"/>
              </w:rPr>
              <w:t>西侧30</w:t>
            </w:r>
            <w:r>
              <w:rPr>
                <w:rFonts w:hint="default" w:ascii="Times New Roman" w:hAnsi="Times New Roman" w:cs="Times New Roman"/>
                <w:color w:val="auto"/>
                <w:kern w:val="0"/>
              </w:rPr>
              <w:t>米</w:t>
            </w:r>
            <w:r>
              <w:rPr>
                <w:rFonts w:hint="eastAsia" w:cs="Times New Roman"/>
                <w:color w:val="auto"/>
                <w:lang w:val="en-US" w:eastAsia="zh-CN"/>
              </w:rPr>
              <w:t>老吴新村散户、西侧120m处的老吴新村</w:t>
            </w:r>
            <w:r>
              <w:rPr>
                <w:rFonts w:hint="default" w:ascii="Times New Roman" w:hAnsi="Times New Roman" w:cs="Times New Roman"/>
                <w:color w:val="auto"/>
              </w:rPr>
              <w:t>。</w:t>
            </w:r>
          </w:p>
          <w:p w14:paraId="10C5DE1A">
            <w:pPr>
              <w:pStyle w:val="51"/>
              <w:ind w:firstLine="480"/>
              <w:rPr>
                <w:rFonts w:hint="default" w:ascii="Times New Roman" w:hAnsi="Times New Roman" w:cs="Times New Roman"/>
                <w:color w:val="auto"/>
              </w:rPr>
            </w:pPr>
            <w:r>
              <w:rPr>
                <w:rFonts w:hint="default" w:ascii="Times New Roman" w:hAnsi="Times New Roman" w:cs="Times New Roman"/>
                <w:color w:val="auto"/>
              </w:rPr>
              <w:t>（2）声环境保护目标</w:t>
            </w:r>
          </w:p>
          <w:p w14:paraId="74ED8C85">
            <w:pPr>
              <w:pStyle w:val="51"/>
              <w:ind w:firstLine="480"/>
              <w:rPr>
                <w:rFonts w:hint="default" w:ascii="Times New Roman" w:hAnsi="Times New Roman" w:cs="Times New Roman"/>
                <w:color w:val="auto"/>
                <w:kern w:val="0"/>
              </w:rPr>
            </w:pPr>
            <w:r>
              <w:rPr>
                <w:rFonts w:hint="default" w:ascii="Times New Roman" w:hAnsi="Times New Roman" w:cs="Times New Roman"/>
                <w:color w:val="auto"/>
              </w:rPr>
              <w:t>根据《建设项目环境影响报告表编制技术指南（污染影响类）（试行）》，确定项目声环境保护目标调查范围为50m，根据现状调查，</w:t>
            </w:r>
            <w:r>
              <w:rPr>
                <w:rFonts w:hint="default" w:ascii="Times New Roman" w:hAnsi="Times New Roman" w:cs="Times New Roman"/>
                <w:color w:val="auto"/>
                <w:kern w:val="0"/>
              </w:rPr>
              <w:t>本项目</w:t>
            </w:r>
            <w:r>
              <w:rPr>
                <w:rFonts w:hint="eastAsia" w:cs="Times New Roman"/>
                <w:color w:val="auto"/>
                <w:kern w:val="0"/>
                <w:lang w:val="en-US" w:eastAsia="zh-CN"/>
              </w:rPr>
              <w:t>声环境保护目标为</w:t>
            </w:r>
            <w:r>
              <w:rPr>
                <w:rFonts w:hint="default" w:ascii="Times New Roman" w:hAnsi="Times New Roman" w:cs="Times New Roman"/>
                <w:color w:val="auto"/>
                <w:kern w:val="0"/>
              </w:rPr>
              <w:t>厂界外</w:t>
            </w:r>
            <w:r>
              <w:rPr>
                <w:rFonts w:hint="eastAsia" w:cs="Times New Roman"/>
                <w:color w:val="auto"/>
                <w:kern w:val="0"/>
                <w:lang w:val="en-US" w:eastAsia="zh-CN"/>
              </w:rPr>
              <w:t>西侧30</w:t>
            </w:r>
            <w:r>
              <w:rPr>
                <w:rFonts w:hint="default" w:ascii="Times New Roman" w:hAnsi="Times New Roman" w:cs="Times New Roman"/>
                <w:color w:val="auto"/>
                <w:kern w:val="0"/>
              </w:rPr>
              <w:t>米</w:t>
            </w:r>
            <w:r>
              <w:rPr>
                <w:rFonts w:hint="eastAsia" w:cs="Times New Roman"/>
                <w:color w:val="auto"/>
                <w:lang w:val="en-US" w:eastAsia="zh-CN"/>
              </w:rPr>
              <w:t>老吴新村散户</w:t>
            </w:r>
            <w:r>
              <w:rPr>
                <w:rFonts w:hint="default" w:ascii="Times New Roman" w:hAnsi="Times New Roman" w:cs="Times New Roman"/>
                <w:color w:val="auto"/>
                <w:kern w:val="0"/>
              </w:rPr>
              <w:t>。</w:t>
            </w:r>
          </w:p>
          <w:p w14:paraId="2915C8C1">
            <w:pPr>
              <w:pStyle w:val="51"/>
              <w:ind w:firstLine="480"/>
              <w:rPr>
                <w:rFonts w:hint="default" w:ascii="Times New Roman" w:hAnsi="Times New Roman" w:cs="Times New Roman"/>
                <w:color w:val="auto"/>
              </w:rPr>
            </w:pPr>
            <w:r>
              <w:rPr>
                <w:rFonts w:hint="default" w:ascii="Times New Roman" w:hAnsi="Times New Roman" w:cs="Times New Roman"/>
                <w:color w:val="auto"/>
              </w:rPr>
              <w:t>（3）地下水环境保护目标</w:t>
            </w:r>
          </w:p>
          <w:p w14:paraId="28686C53">
            <w:pPr>
              <w:pStyle w:val="51"/>
              <w:ind w:firstLine="480"/>
              <w:rPr>
                <w:rFonts w:hint="default" w:ascii="Times New Roman" w:hAnsi="Times New Roman" w:cs="Times New Roman"/>
                <w:color w:val="auto"/>
              </w:rPr>
            </w:pPr>
            <w:r>
              <w:rPr>
                <w:rFonts w:hint="default" w:ascii="Times New Roman" w:hAnsi="Times New Roman" w:cs="Times New Roman"/>
                <w:color w:val="auto"/>
              </w:rPr>
              <w:t>根据《建设项目环境影响报告表编制技术指南（污染影响类）（试行）》确定项目厂界外500m范围内的地下水集中式饮用水水源和热水、矿泉水、温泉等特殊地下水资源为地下水环境保护目标。根据现场调查，因此本项目500m范围内无地下水环境保护目标。</w:t>
            </w:r>
          </w:p>
          <w:p w14:paraId="5180FAAB">
            <w:pPr>
              <w:pStyle w:val="51"/>
              <w:ind w:firstLine="480"/>
              <w:rPr>
                <w:rFonts w:hint="default" w:ascii="Times New Roman" w:hAnsi="Times New Roman" w:cs="Times New Roman"/>
                <w:color w:val="auto"/>
              </w:rPr>
            </w:pPr>
            <w:r>
              <w:rPr>
                <w:rFonts w:hint="default" w:ascii="Times New Roman" w:hAnsi="Times New Roman" w:cs="Times New Roman"/>
                <w:color w:val="auto"/>
              </w:rPr>
              <w:t>（4）生态环境保护目标</w:t>
            </w:r>
          </w:p>
          <w:p w14:paraId="556AF760">
            <w:pPr>
              <w:pStyle w:val="5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项目周界外200m范围内的自然植被等</w:t>
            </w:r>
            <w:r>
              <w:rPr>
                <w:rFonts w:hint="eastAsia" w:cs="Times New Roman"/>
                <w:color w:val="auto"/>
                <w:lang w:eastAsia="zh-CN"/>
              </w:rPr>
              <w:t>，</w:t>
            </w:r>
            <w:r>
              <w:rPr>
                <w:rFonts w:hint="default" w:ascii="Times New Roman" w:hAnsi="Times New Roman" w:cs="Times New Roman"/>
                <w:color w:val="auto"/>
              </w:rPr>
              <w:t>不涉及《环境影响评价技术导则  生态影响》（HJ19-2022）中重要物种、生态敏感区及其他需要保护的物种、种群、生物群落等生态保护目标。</w:t>
            </w:r>
          </w:p>
          <w:p w14:paraId="59878106">
            <w:pPr>
              <w:pStyle w:val="52"/>
              <w:rPr>
                <w:rFonts w:hint="default" w:ascii="Times New Roman" w:hAnsi="Times New Roman" w:cs="Times New Roman"/>
                <w:color w:val="auto"/>
                <w:kern w:val="0"/>
              </w:rPr>
            </w:pPr>
            <w:r>
              <w:rPr>
                <w:rFonts w:hint="default" w:ascii="Times New Roman" w:hAnsi="Times New Roman" w:cs="Times New Roman"/>
                <w:color w:val="auto"/>
                <w:kern w:val="0"/>
              </w:rPr>
              <w:t>表3-</w:t>
            </w:r>
            <w:r>
              <w:rPr>
                <w:rFonts w:hint="eastAsia" w:cs="Times New Roman"/>
                <w:color w:val="auto"/>
                <w:kern w:val="0"/>
                <w:lang w:val="en-US" w:eastAsia="zh-CN"/>
              </w:rPr>
              <w:t>3</w:t>
            </w:r>
            <w:r>
              <w:rPr>
                <w:rFonts w:hint="default" w:ascii="Times New Roman" w:hAnsi="Times New Roman" w:cs="Times New Roman"/>
                <w:color w:val="auto"/>
                <w:kern w:val="0"/>
              </w:rPr>
              <w:t xml:space="preserve">     项目环境保护目标一览表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55"/>
              <w:gridCol w:w="829"/>
              <w:gridCol w:w="1348"/>
              <w:gridCol w:w="1238"/>
              <w:gridCol w:w="655"/>
              <w:gridCol w:w="758"/>
              <w:gridCol w:w="1232"/>
              <w:gridCol w:w="733"/>
              <w:gridCol w:w="760"/>
            </w:tblGrid>
            <w:tr w14:paraId="486E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7" w:hRule="atLeast"/>
              </w:trPr>
              <w:tc>
                <w:tcPr>
                  <w:tcW w:w="454" w:type="pct"/>
                  <w:vMerge w:val="restart"/>
                  <w:tcMar>
                    <w:top w:w="15" w:type="dxa"/>
                    <w:left w:w="15" w:type="dxa"/>
                    <w:right w:w="15" w:type="dxa"/>
                  </w:tcMar>
                  <w:vAlign w:val="center"/>
                </w:tcPr>
                <w:p w14:paraId="6C10A667">
                  <w:pPr>
                    <w:pStyle w:val="53"/>
                    <w:rPr>
                      <w:rFonts w:hint="default" w:ascii="Times New Roman" w:hAnsi="Times New Roman" w:cs="Times New Roman"/>
                      <w:color w:val="auto"/>
                      <w:kern w:val="0"/>
                    </w:rPr>
                  </w:pPr>
                  <w:r>
                    <w:rPr>
                      <w:rFonts w:hint="default" w:ascii="Times New Roman" w:hAnsi="Times New Roman" w:cs="Times New Roman"/>
                      <w:color w:val="auto"/>
                      <w:kern w:val="0"/>
                    </w:rPr>
                    <w:t>环境</w:t>
                  </w:r>
                </w:p>
                <w:p w14:paraId="0E3980DC">
                  <w:pPr>
                    <w:pStyle w:val="53"/>
                    <w:rPr>
                      <w:rFonts w:hint="default" w:ascii="Times New Roman" w:hAnsi="Times New Roman" w:cs="Times New Roman"/>
                      <w:color w:val="auto"/>
                    </w:rPr>
                  </w:pPr>
                  <w:r>
                    <w:rPr>
                      <w:rFonts w:hint="default" w:ascii="Times New Roman" w:hAnsi="Times New Roman" w:cs="Times New Roman"/>
                      <w:color w:val="auto"/>
                      <w:kern w:val="0"/>
                    </w:rPr>
                    <w:t>要素</w:t>
                  </w:r>
                </w:p>
              </w:tc>
              <w:tc>
                <w:tcPr>
                  <w:tcW w:w="499" w:type="pct"/>
                  <w:vMerge w:val="restart"/>
                  <w:tcMar>
                    <w:top w:w="15" w:type="dxa"/>
                    <w:left w:w="15" w:type="dxa"/>
                    <w:right w:w="15" w:type="dxa"/>
                  </w:tcMar>
                  <w:vAlign w:val="center"/>
                </w:tcPr>
                <w:p w14:paraId="53717A77">
                  <w:pPr>
                    <w:pStyle w:val="53"/>
                    <w:rPr>
                      <w:rFonts w:hint="default" w:ascii="Times New Roman" w:hAnsi="Times New Roman" w:cs="Times New Roman"/>
                      <w:color w:val="auto"/>
                    </w:rPr>
                  </w:pPr>
                  <w:r>
                    <w:rPr>
                      <w:rFonts w:hint="default" w:ascii="Times New Roman" w:hAnsi="Times New Roman" w:cs="Times New Roman"/>
                      <w:color w:val="auto"/>
                      <w:kern w:val="0"/>
                    </w:rPr>
                    <w:t>名称</w:t>
                  </w:r>
                </w:p>
              </w:tc>
              <w:tc>
                <w:tcPr>
                  <w:tcW w:w="1556" w:type="pct"/>
                  <w:gridSpan w:val="2"/>
                  <w:tcMar>
                    <w:top w:w="15" w:type="dxa"/>
                    <w:left w:w="15" w:type="dxa"/>
                    <w:right w:w="15" w:type="dxa"/>
                  </w:tcMar>
                  <w:vAlign w:val="center"/>
                </w:tcPr>
                <w:p w14:paraId="09C0C347">
                  <w:pPr>
                    <w:pStyle w:val="53"/>
                    <w:rPr>
                      <w:rFonts w:hint="default" w:ascii="Times New Roman" w:hAnsi="Times New Roman" w:cs="Times New Roman"/>
                      <w:color w:val="auto"/>
                    </w:rPr>
                  </w:pPr>
                  <w:r>
                    <w:rPr>
                      <w:rFonts w:hint="default" w:ascii="Times New Roman" w:hAnsi="Times New Roman" w:cs="Times New Roman"/>
                      <w:color w:val="auto"/>
                      <w:kern w:val="0"/>
                    </w:rPr>
                    <w:t>坐标</w:t>
                  </w:r>
                </w:p>
              </w:tc>
              <w:tc>
                <w:tcPr>
                  <w:tcW w:w="394" w:type="pct"/>
                  <w:vMerge w:val="restart"/>
                  <w:tcMar>
                    <w:top w:w="15" w:type="dxa"/>
                    <w:left w:w="15" w:type="dxa"/>
                    <w:right w:w="15" w:type="dxa"/>
                  </w:tcMar>
                  <w:vAlign w:val="center"/>
                </w:tcPr>
                <w:p w14:paraId="79AF91EF">
                  <w:pPr>
                    <w:pStyle w:val="53"/>
                    <w:rPr>
                      <w:rFonts w:hint="default" w:ascii="Times New Roman" w:hAnsi="Times New Roman" w:cs="Times New Roman"/>
                      <w:color w:val="auto"/>
                    </w:rPr>
                  </w:pPr>
                  <w:r>
                    <w:rPr>
                      <w:rFonts w:hint="default" w:ascii="Times New Roman" w:hAnsi="Times New Roman" w:cs="Times New Roman"/>
                      <w:color w:val="auto"/>
                      <w:kern w:val="0"/>
                    </w:rPr>
                    <w:t>保护对象</w:t>
                  </w:r>
                </w:p>
              </w:tc>
              <w:tc>
                <w:tcPr>
                  <w:tcW w:w="454" w:type="pct"/>
                  <w:vMerge w:val="restart"/>
                  <w:tcMar>
                    <w:top w:w="15" w:type="dxa"/>
                    <w:left w:w="15" w:type="dxa"/>
                    <w:right w:w="15" w:type="dxa"/>
                  </w:tcMar>
                  <w:vAlign w:val="center"/>
                </w:tcPr>
                <w:p w14:paraId="53F8A355">
                  <w:pPr>
                    <w:pStyle w:val="53"/>
                    <w:rPr>
                      <w:rFonts w:hint="default" w:ascii="Times New Roman" w:hAnsi="Times New Roman" w:cs="Times New Roman"/>
                      <w:color w:val="auto"/>
                    </w:rPr>
                  </w:pPr>
                  <w:r>
                    <w:rPr>
                      <w:rFonts w:hint="default" w:ascii="Times New Roman" w:hAnsi="Times New Roman" w:cs="Times New Roman"/>
                      <w:color w:val="auto"/>
                      <w:kern w:val="0"/>
                    </w:rPr>
                    <w:t>保护内容</w:t>
                  </w:r>
                </w:p>
              </w:tc>
              <w:tc>
                <w:tcPr>
                  <w:tcW w:w="741" w:type="pct"/>
                  <w:vMerge w:val="restart"/>
                  <w:tcMar>
                    <w:top w:w="15" w:type="dxa"/>
                    <w:left w:w="15" w:type="dxa"/>
                    <w:right w:w="15" w:type="dxa"/>
                  </w:tcMar>
                  <w:vAlign w:val="center"/>
                </w:tcPr>
                <w:p w14:paraId="61679821">
                  <w:pPr>
                    <w:pStyle w:val="53"/>
                    <w:rPr>
                      <w:rFonts w:hint="default" w:ascii="Times New Roman" w:hAnsi="Times New Roman" w:cs="Times New Roman"/>
                      <w:color w:val="auto"/>
                    </w:rPr>
                  </w:pPr>
                  <w:r>
                    <w:rPr>
                      <w:rFonts w:hint="default" w:ascii="Times New Roman" w:hAnsi="Times New Roman" w:cs="Times New Roman"/>
                      <w:color w:val="auto"/>
                      <w:kern w:val="0"/>
                    </w:rPr>
                    <w:t>环境功能区</w:t>
                  </w:r>
                </w:p>
              </w:tc>
              <w:tc>
                <w:tcPr>
                  <w:tcW w:w="441" w:type="pct"/>
                  <w:vMerge w:val="restart"/>
                  <w:tcMar>
                    <w:top w:w="15" w:type="dxa"/>
                    <w:left w:w="15" w:type="dxa"/>
                    <w:right w:w="15" w:type="dxa"/>
                  </w:tcMar>
                  <w:vAlign w:val="center"/>
                </w:tcPr>
                <w:p w14:paraId="3205F3A0">
                  <w:pPr>
                    <w:pStyle w:val="53"/>
                    <w:rPr>
                      <w:rFonts w:hint="default" w:ascii="Times New Roman" w:hAnsi="Times New Roman" w:cs="Times New Roman"/>
                      <w:color w:val="auto"/>
                    </w:rPr>
                  </w:pPr>
                  <w:r>
                    <w:rPr>
                      <w:rFonts w:hint="default" w:ascii="Times New Roman" w:hAnsi="Times New Roman" w:cs="Times New Roman"/>
                      <w:color w:val="auto"/>
                      <w:kern w:val="0"/>
                    </w:rPr>
                    <w:t>相对厂址方位</w:t>
                  </w:r>
                </w:p>
              </w:tc>
              <w:tc>
                <w:tcPr>
                  <w:tcW w:w="457" w:type="pct"/>
                  <w:vMerge w:val="restart"/>
                  <w:tcMar>
                    <w:top w:w="15" w:type="dxa"/>
                    <w:left w:w="15" w:type="dxa"/>
                    <w:right w:w="15" w:type="dxa"/>
                  </w:tcMar>
                  <w:vAlign w:val="center"/>
                </w:tcPr>
                <w:p w14:paraId="260092ED">
                  <w:pPr>
                    <w:pStyle w:val="53"/>
                    <w:rPr>
                      <w:rFonts w:hint="default" w:ascii="Times New Roman" w:hAnsi="Times New Roman" w:cs="Times New Roman"/>
                      <w:color w:val="auto"/>
                    </w:rPr>
                  </w:pPr>
                  <w:r>
                    <w:rPr>
                      <w:rFonts w:hint="default" w:ascii="Times New Roman" w:hAnsi="Times New Roman" w:cs="Times New Roman"/>
                      <w:color w:val="auto"/>
                      <w:kern w:val="0"/>
                    </w:rPr>
                    <w:t>相对厂界距离m</w:t>
                  </w:r>
                </w:p>
              </w:tc>
            </w:tr>
            <w:tr w14:paraId="674AC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vMerge w:val="continue"/>
                  <w:tcMar>
                    <w:top w:w="15" w:type="dxa"/>
                    <w:left w:w="15" w:type="dxa"/>
                    <w:right w:w="15" w:type="dxa"/>
                  </w:tcMar>
                  <w:vAlign w:val="center"/>
                </w:tcPr>
                <w:p w14:paraId="0B1BD088">
                  <w:pPr>
                    <w:pStyle w:val="53"/>
                    <w:rPr>
                      <w:rFonts w:hint="default" w:ascii="Times New Roman" w:hAnsi="Times New Roman" w:cs="Times New Roman"/>
                      <w:color w:val="auto"/>
                    </w:rPr>
                  </w:pPr>
                </w:p>
              </w:tc>
              <w:tc>
                <w:tcPr>
                  <w:tcW w:w="499" w:type="pct"/>
                  <w:vMerge w:val="continue"/>
                  <w:tcMar>
                    <w:top w:w="15" w:type="dxa"/>
                    <w:left w:w="15" w:type="dxa"/>
                    <w:right w:w="15" w:type="dxa"/>
                  </w:tcMar>
                  <w:vAlign w:val="center"/>
                </w:tcPr>
                <w:p w14:paraId="61ACEB9F">
                  <w:pPr>
                    <w:pStyle w:val="53"/>
                    <w:rPr>
                      <w:rFonts w:hint="default" w:ascii="Times New Roman" w:hAnsi="Times New Roman" w:cs="Times New Roman"/>
                      <w:color w:val="auto"/>
                    </w:rPr>
                  </w:pPr>
                </w:p>
              </w:tc>
              <w:tc>
                <w:tcPr>
                  <w:tcW w:w="811" w:type="pct"/>
                  <w:tcMar>
                    <w:top w:w="15" w:type="dxa"/>
                    <w:left w:w="15" w:type="dxa"/>
                    <w:right w:w="15" w:type="dxa"/>
                  </w:tcMar>
                  <w:vAlign w:val="center"/>
                </w:tcPr>
                <w:p w14:paraId="677BA183">
                  <w:pPr>
                    <w:pStyle w:val="53"/>
                    <w:rPr>
                      <w:rFonts w:hint="default" w:ascii="Times New Roman" w:hAnsi="Times New Roman" w:cs="Times New Roman"/>
                      <w:color w:val="auto"/>
                    </w:rPr>
                  </w:pPr>
                  <w:r>
                    <w:rPr>
                      <w:rFonts w:hint="default" w:ascii="Times New Roman" w:hAnsi="Times New Roman" w:cs="Times New Roman"/>
                      <w:color w:val="auto"/>
                      <w:kern w:val="0"/>
                    </w:rPr>
                    <w:t>E</w:t>
                  </w:r>
                </w:p>
              </w:tc>
              <w:tc>
                <w:tcPr>
                  <w:tcW w:w="745" w:type="pct"/>
                  <w:tcMar>
                    <w:top w:w="15" w:type="dxa"/>
                    <w:left w:w="15" w:type="dxa"/>
                    <w:right w:w="15" w:type="dxa"/>
                  </w:tcMar>
                  <w:vAlign w:val="center"/>
                </w:tcPr>
                <w:p w14:paraId="055AB88E">
                  <w:pPr>
                    <w:pStyle w:val="53"/>
                    <w:rPr>
                      <w:rFonts w:hint="default" w:ascii="Times New Roman" w:hAnsi="Times New Roman" w:cs="Times New Roman"/>
                      <w:color w:val="auto"/>
                    </w:rPr>
                  </w:pPr>
                  <w:r>
                    <w:rPr>
                      <w:rFonts w:hint="default" w:ascii="Times New Roman" w:hAnsi="Times New Roman" w:cs="Times New Roman"/>
                      <w:color w:val="auto"/>
                      <w:kern w:val="0"/>
                    </w:rPr>
                    <w:t>N</w:t>
                  </w:r>
                </w:p>
              </w:tc>
              <w:tc>
                <w:tcPr>
                  <w:tcW w:w="394" w:type="pct"/>
                  <w:vMerge w:val="continue"/>
                  <w:tcMar>
                    <w:top w:w="15" w:type="dxa"/>
                    <w:left w:w="15" w:type="dxa"/>
                    <w:right w:w="15" w:type="dxa"/>
                  </w:tcMar>
                  <w:vAlign w:val="center"/>
                </w:tcPr>
                <w:p w14:paraId="643731CB">
                  <w:pPr>
                    <w:pStyle w:val="53"/>
                    <w:rPr>
                      <w:rFonts w:hint="default" w:ascii="Times New Roman" w:hAnsi="Times New Roman" w:cs="Times New Roman"/>
                      <w:color w:val="auto"/>
                    </w:rPr>
                  </w:pPr>
                </w:p>
              </w:tc>
              <w:tc>
                <w:tcPr>
                  <w:tcW w:w="454" w:type="pct"/>
                  <w:vMerge w:val="continue"/>
                  <w:tcMar>
                    <w:top w:w="15" w:type="dxa"/>
                    <w:left w:w="15" w:type="dxa"/>
                    <w:right w:w="15" w:type="dxa"/>
                  </w:tcMar>
                  <w:vAlign w:val="center"/>
                </w:tcPr>
                <w:p w14:paraId="1F060157">
                  <w:pPr>
                    <w:pStyle w:val="53"/>
                    <w:rPr>
                      <w:rFonts w:hint="default" w:ascii="Times New Roman" w:hAnsi="Times New Roman" w:cs="Times New Roman"/>
                      <w:color w:val="auto"/>
                    </w:rPr>
                  </w:pPr>
                </w:p>
              </w:tc>
              <w:tc>
                <w:tcPr>
                  <w:tcW w:w="741" w:type="pct"/>
                  <w:vMerge w:val="continue"/>
                  <w:tcMar>
                    <w:top w:w="15" w:type="dxa"/>
                    <w:left w:w="15" w:type="dxa"/>
                    <w:right w:w="15" w:type="dxa"/>
                  </w:tcMar>
                  <w:vAlign w:val="center"/>
                </w:tcPr>
                <w:p w14:paraId="27E81454">
                  <w:pPr>
                    <w:pStyle w:val="53"/>
                    <w:rPr>
                      <w:rFonts w:hint="default" w:ascii="Times New Roman" w:hAnsi="Times New Roman" w:cs="Times New Roman"/>
                      <w:color w:val="auto"/>
                    </w:rPr>
                  </w:pPr>
                </w:p>
              </w:tc>
              <w:tc>
                <w:tcPr>
                  <w:tcW w:w="441" w:type="pct"/>
                  <w:vMerge w:val="continue"/>
                  <w:tcMar>
                    <w:top w:w="15" w:type="dxa"/>
                    <w:left w:w="15" w:type="dxa"/>
                    <w:right w:w="15" w:type="dxa"/>
                  </w:tcMar>
                  <w:vAlign w:val="center"/>
                </w:tcPr>
                <w:p w14:paraId="5B0B407C">
                  <w:pPr>
                    <w:pStyle w:val="53"/>
                    <w:rPr>
                      <w:rFonts w:hint="default" w:ascii="Times New Roman" w:hAnsi="Times New Roman" w:cs="Times New Roman"/>
                      <w:color w:val="auto"/>
                    </w:rPr>
                  </w:pPr>
                </w:p>
              </w:tc>
              <w:tc>
                <w:tcPr>
                  <w:tcW w:w="457" w:type="pct"/>
                  <w:vMerge w:val="continue"/>
                  <w:tcMar>
                    <w:top w:w="15" w:type="dxa"/>
                    <w:left w:w="15" w:type="dxa"/>
                    <w:right w:w="15" w:type="dxa"/>
                  </w:tcMar>
                  <w:vAlign w:val="center"/>
                </w:tcPr>
                <w:p w14:paraId="36AECDEB">
                  <w:pPr>
                    <w:pStyle w:val="53"/>
                    <w:rPr>
                      <w:rFonts w:hint="default" w:ascii="Times New Roman" w:hAnsi="Times New Roman" w:cs="Times New Roman"/>
                      <w:color w:val="auto"/>
                    </w:rPr>
                  </w:pPr>
                </w:p>
              </w:tc>
            </w:tr>
            <w:tr w14:paraId="17D0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vMerge w:val="restart"/>
                  <w:tcMar>
                    <w:top w:w="15" w:type="dxa"/>
                    <w:left w:w="15" w:type="dxa"/>
                    <w:right w:w="15" w:type="dxa"/>
                  </w:tcMar>
                  <w:vAlign w:val="center"/>
                </w:tcPr>
                <w:p w14:paraId="4A9718CA">
                  <w:pPr>
                    <w:pStyle w:val="53"/>
                    <w:rPr>
                      <w:rFonts w:hint="default" w:ascii="Times New Roman" w:hAnsi="Times New Roman" w:cs="Times New Roman"/>
                      <w:color w:val="auto"/>
                      <w:kern w:val="0"/>
                    </w:rPr>
                  </w:pPr>
                  <w:r>
                    <w:rPr>
                      <w:rFonts w:hint="default" w:ascii="Times New Roman" w:hAnsi="Times New Roman" w:cs="Times New Roman"/>
                      <w:color w:val="auto"/>
                      <w:kern w:val="0"/>
                    </w:rPr>
                    <w:t>大气</w:t>
                  </w:r>
                </w:p>
                <w:p w14:paraId="59E9C224">
                  <w:pPr>
                    <w:pStyle w:val="53"/>
                    <w:rPr>
                      <w:rFonts w:hint="default" w:ascii="Times New Roman" w:hAnsi="Times New Roman" w:cs="Times New Roman"/>
                      <w:color w:val="auto"/>
                    </w:rPr>
                  </w:pPr>
                  <w:r>
                    <w:rPr>
                      <w:rFonts w:hint="default" w:ascii="Times New Roman" w:hAnsi="Times New Roman" w:cs="Times New Roman"/>
                      <w:color w:val="auto"/>
                      <w:kern w:val="0"/>
                    </w:rPr>
                    <w:t>环境</w:t>
                  </w:r>
                </w:p>
              </w:tc>
              <w:tc>
                <w:tcPr>
                  <w:tcW w:w="499" w:type="pct"/>
                  <w:tcMar>
                    <w:top w:w="15" w:type="dxa"/>
                    <w:left w:w="15" w:type="dxa"/>
                    <w:right w:w="15" w:type="dxa"/>
                  </w:tcMar>
                  <w:vAlign w:val="center"/>
                </w:tcPr>
                <w:p w14:paraId="43390A17">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老吴新村</w:t>
                  </w:r>
                </w:p>
              </w:tc>
              <w:tc>
                <w:tcPr>
                  <w:tcW w:w="811" w:type="pct"/>
                  <w:tcMar>
                    <w:top w:w="15" w:type="dxa"/>
                    <w:left w:w="15" w:type="dxa"/>
                    <w:right w:w="15" w:type="dxa"/>
                  </w:tcMar>
                  <w:vAlign w:val="center"/>
                </w:tcPr>
                <w:p w14:paraId="06B38731">
                  <w:pPr>
                    <w:pStyle w:val="53"/>
                    <w:rPr>
                      <w:rFonts w:hint="default" w:ascii="Times New Roman" w:hAnsi="Times New Roman" w:cs="Times New Roman"/>
                      <w:color w:val="auto"/>
                      <w:kern w:val="0"/>
                    </w:rPr>
                  </w:pPr>
                  <w:r>
                    <w:rPr>
                      <w:rFonts w:hint="default" w:ascii="Times New Roman" w:hAnsi="Times New Roman" w:cs="Times New Roman"/>
                      <w:color w:val="auto"/>
                      <w:spacing w:val="-10"/>
                    </w:rPr>
                    <w:t>10</w:t>
                  </w:r>
                  <w:r>
                    <w:rPr>
                      <w:rFonts w:hint="eastAsia" w:cs="Times New Roman"/>
                      <w:color w:val="auto"/>
                      <w:spacing w:val="-10"/>
                      <w:lang w:val="en-US" w:eastAsia="zh-CN"/>
                    </w:rPr>
                    <w:t>3</w:t>
                  </w:r>
                  <w:r>
                    <w:rPr>
                      <w:rFonts w:hint="default" w:ascii="Times New Roman" w:hAnsi="Times New Roman" w:cs="Times New Roman"/>
                      <w:color w:val="auto"/>
                      <w:spacing w:val="-10"/>
                    </w:rPr>
                    <w:t>°</w:t>
                  </w:r>
                  <w:r>
                    <w:rPr>
                      <w:rFonts w:hint="eastAsia" w:cs="Times New Roman"/>
                      <w:color w:val="auto"/>
                      <w:spacing w:val="-10"/>
                      <w:lang w:val="en-US" w:eastAsia="zh-CN"/>
                    </w:rPr>
                    <w:t>50</w:t>
                  </w:r>
                  <w:r>
                    <w:rPr>
                      <w:rFonts w:hint="default" w:ascii="Times New Roman" w:hAnsi="Times New Roman" w:cs="Times New Roman"/>
                      <w:color w:val="auto"/>
                      <w:spacing w:val="-10"/>
                    </w:rPr>
                    <w:t>′</w:t>
                  </w:r>
                  <w:r>
                    <w:rPr>
                      <w:rFonts w:hint="eastAsia" w:cs="Times New Roman"/>
                      <w:color w:val="auto"/>
                      <w:spacing w:val="-10"/>
                      <w:lang w:val="en-US" w:eastAsia="zh-CN"/>
                    </w:rPr>
                    <w:t>58.159</w:t>
                  </w:r>
                  <w:r>
                    <w:rPr>
                      <w:rFonts w:hint="default" w:ascii="Times New Roman" w:hAnsi="Times New Roman" w:cs="Times New Roman"/>
                      <w:color w:val="auto"/>
                      <w:spacing w:val="-10"/>
                    </w:rPr>
                    <w:t>″</w:t>
                  </w:r>
                </w:p>
              </w:tc>
              <w:tc>
                <w:tcPr>
                  <w:tcW w:w="745" w:type="pct"/>
                  <w:tcMar>
                    <w:top w:w="15" w:type="dxa"/>
                    <w:left w:w="15" w:type="dxa"/>
                    <w:right w:w="15" w:type="dxa"/>
                  </w:tcMar>
                  <w:vAlign w:val="center"/>
                </w:tcPr>
                <w:p w14:paraId="3A4B4B43">
                  <w:pPr>
                    <w:pStyle w:val="53"/>
                    <w:rPr>
                      <w:rFonts w:hint="default" w:ascii="Times New Roman" w:hAnsi="Times New Roman" w:cs="Times New Roman"/>
                      <w:color w:val="auto"/>
                      <w:kern w:val="0"/>
                    </w:rPr>
                  </w:pPr>
                  <w:r>
                    <w:rPr>
                      <w:rFonts w:hint="default" w:ascii="Times New Roman" w:hAnsi="Times New Roman" w:cs="Times New Roman"/>
                      <w:color w:val="auto"/>
                      <w:spacing w:val="-10"/>
                    </w:rPr>
                    <w:t>25°</w:t>
                  </w:r>
                  <w:r>
                    <w:rPr>
                      <w:rFonts w:hint="eastAsia" w:cs="Times New Roman"/>
                      <w:color w:val="auto"/>
                      <w:spacing w:val="-10"/>
                      <w:lang w:val="en-US" w:eastAsia="zh-CN"/>
                    </w:rPr>
                    <w:t>11</w:t>
                  </w:r>
                  <w:r>
                    <w:rPr>
                      <w:rFonts w:hint="default" w:ascii="Times New Roman" w:hAnsi="Times New Roman" w:cs="Times New Roman"/>
                      <w:color w:val="auto"/>
                      <w:spacing w:val="-10"/>
                    </w:rPr>
                    <w:t>′</w:t>
                  </w:r>
                  <w:r>
                    <w:rPr>
                      <w:rFonts w:hint="eastAsia" w:cs="Times New Roman"/>
                      <w:color w:val="auto"/>
                      <w:spacing w:val="-10"/>
                      <w:lang w:val="en-US" w:eastAsia="zh-CN"/>
                    </w:rPr>
                    <w:t>48.410</w:t>
                  </w:r>
                  <w:r>
                    <w:rPr>
                      <w:rFonts w:hint="default" w:ascii="Times New Roman" w:hAnsi="Times New Roman" w:cs="Times New Roman"/>
                      <w:color w:val="auto"/>
                      <w:spacing w:val="-10"/>
                    </w:rPr>
                    <w:t>″</w:t>
                  </w:r>
                </w:p>
              </w:tc>
              <w:tc>
                <w:tcPr>
                  <w:tcW w:w="394" w:type="pct"/>
                  <w:tcMar>
                    <w:top w:w="15" w:type="dxa"/>
                    <w:left w:w="15" w:type="dxa"/>
                    <w:right w:w="15" w:type="dxa"/>
                  </w:tcMar>
                  <w:vAlign w:val="center"/>
                </w:tcPr>
                <w:p w14:paraId="01AD9054">
                  <w:pPr>
                    <w:pStyle w:val="53"/>
                    <w:rPr>
                      <w:rFonts w:hint="default" w:ascii="Times New Roman" w:hAnsi="Times New Roman" w:cs="Times New Roman"/>
                      <w:color w:val="auto"/>
                    </w:rPr>
                  </w:pPr>
                  <w:r>
                    <w:rPr>
                      <w:rFonts w:hint="default" w:ascii="Times New Roman" w:hAnsi="Times New Roman" w:cs="Times New Roman"/>
                      <w:color w:val="auto"/>
                    </w:rPr>
                    <w:t>居民</w:t>
                  </w:r>
                </w:p>
              </w:tc>
              <w:tc>
                <w:tcPr>
                  <w:tcW w:w="454" w:type="pct"/>
                  <w:tcMar>
                    <w:top w:w="15" w:type="dxa"/>
                    <w:left w:w="15" w:type="dxa"/>
                    <w:right w:w="15" w:type="dxa"/>
                  </w:tcMar>
                  <w:vAlign w:val="center"/>
                </w:tcPr>
                <w:p w14:paraId="5464E586">
                  <w:pPr>
                    <w:pStyle w:val="53"/>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0户，</w:t>
                  </w:r>
                  <w:r>
                    <w:rPr>
                      <w:rFonts w:hint="eastAsia" w:cs="Times New Roman"/>
                      <w:color w:val="auto"/>
                      <w:lang w:val="en-US" w:eastAsia="zh-CN"/>
                    </w:rPr>
                    <w:t>15</w:t>
                  </w:r>
                  <w:r>
                    <w:rPr>
                      <w:rFonts w:hint="default" w:ascii="Times New Roman" w:hAnsi="Times New Roman" w:cs="Times New Roman"/>
                      <w:color w:val="auto"/>
                    </w:rPr>
                    <w:t>5人</w:t>
                  </w:r>
                </w:p>
              </w:tc>
              <w:tc>
                <w:tcPr>
                  <w:tcW w:w="741" w:type="pct"/>
                  <w:tcMar>
                    <w:top w:w="15" w:type="dxa"/>
                    <w:left w:w="15" w:type="dxa"/>
                    <w:right w:w="15" w:type="dxa"/>
                  </w:tcMar>
                  <w:vAlign w:val="center"/>
                </w:tcPr>
                <w:p w14:paraId="26F5E737">
                  <w:pPr>
                    <w:pStyle w:val="53"/>
                    <w:rPr>
                      <w:rFonts w:hint="default" w:ascii="Times New Roman" w:hAnsi="Times New Roman" w:cs="Times New Roman"/>
                      <w:color w:val="auto"/>
                    </w:rPr>
                  </w:pPr>
                  <w:r>
                    <w:rPr>
                      <w:rFonts w:hint="default" w:ascii="Times New Roman" w:hAnsi="Times New Roman" w:cs="Times New Roman"/>
                      <w:color w:val="auto"/>
                    </w:rPr>
                    <w:t>二类区</w:t>
                  </w:r>
                </w:p>
              </w:tc>
              <w:tc>
                <w:tcPr>
                  <w:tcW w:w="441" w:type="pct"/>
                  <w:tcMar>
                    <w:top w:w="15" w:type="dxa"/>
                    <w:left w:w="15" w:type="dxa"/>
                    <w:right w:w="15" w:type="dxa"/>
                  </w:tcMar>
                  <w:vAlign w:val="center"/>
                </w:tcPr>
                <w:p w14:paraId="728AFE6C">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北侧</w:t>
                  </w:r>
                </w:p>
              </w:tc>
              <w:tc>
                <w:tcPr>
                  <w:tcW w:w="457" w:type="pct"/>
                  <w:tcMar>
                    <w:top w:w="15" w:type="dxa"/>
                    <w:left w:w="15" w:type="dxa"/>
                    <w:right w:w="15" w:type="dxa"/>
                  </w:tcMar>
                  <w:vAlign w:val="center"/>
                </w:tcPr>
                <w:p w14:paraId="50A18789">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220</w:t>
                  </w:r>
                </w:p>
              </w:tc>
            </w:tr>
            <w:tr w14:paraId="6534F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vMerge w:val="continue"/>
                  <w:tcMar>
                    <w:top w:w="15" w:type="dxa"/>
                    <w:left w:w="15" w:type="dxa"/>
                    <w:right w:w="15" w:type="dxa"/>
                  </w:tcMar>
                  <w:vAlign w:val="center"/>
                </w:tcPr>
                <w:p w14:paraId="722A8921">
                  <w:pPr>
                    <w:pStyle w:val="53"/>
                    <w:rPr>
                      <w:rFonts w:hint="default" w:ascii="Times New Roman" w:hAnsi="Times New Roman" w:cs="Times New Roman"/>
                      <w:color w:val="auto"/>
                      <w:kern w:val="0"/>
                    </w:rPr>
                  </w:pPr>
                </w:p>
              </w:tc>
              <w:tc>
                <w:tcPr>
                  <w:tcW w:w="499" w:type="pct"/>
                  <w:tcMar>
                    <w:top w:w="15" w:type="dxa"/>
                    <w:left w:w="15" w:type="dxa"/>
                    <w:right w:w="15" w:type="dxa"/>
                  </w:tcMar>
                  <w:vAlign w:val="center"/>
                </w:tcPr>
                <w:p w14:paraId="44E2A153">
                  <w:pPr>
                    <w:pStyle w:val="53"/>
                    <w:rPr>
                      <w:rFonts w:hint="eastAsia" w:cs="Times New Roman"/>
                      <w:color w:val="auto"/>
                      <w:lang w:val="en-US" w:eastAsia="zh-CN"/>
                    </w:rPr>
                  </w:pPr>
                  <w:r>
                    <w:rPr>
                      <w:rFonts w:hint="eastAsia" w:cs="Times New Roman"/>
                      <w:color w:val="auto"/>
                      <w:lang w:val="en-US" w:eastAsia="zh-CN"/>
                    </w:rPr>
                    <w:t>老吴新村</w:t>
                  </w:r>
                </w:p>
              </w:tc>
              <w:tc>
                <w:tcPr>
                  <w:tcW w:w="1348" w:type="dxa"/>
                  <w:tcMar>
                    <w:top w:w="15" w:type="dxa"/>
                    <w:left w:w="15" w:type="dxa"/>
                    <w:right w:w="15" w:type="dxa"/>
                  </w:tcMar>
                  <w:vAlign w:val="center"/>
                </w:tcPr>
                <w:p w14:paraId="3C6F1BFA">
                  <w:pPr>
                    <w:pStyle w:val="53"/>
                    <w:ind w:firstLine="0" w:firstLineChars="0"/>
                    <w:rPr>
                      <w:rFonts w:hint="default" w:ascii="Times New Roman" w:hAnsi="Times New Roman" w:cs="Times New Roman"/>
                      <w:color w:val="auto"/>
                      <w:spacing w:val="-10"/>
                    </w:rPr>
                  </w:pPr>
                  <w:r>
                    <w:rPr>
                      <w:rFonts w:hint="default" w:ascii="Times New Roman" w:hAnsi="Times New Roman" w:cs="Times New Roman"/>
                      <w:color w:val="auto"/>
                      <w:spacing w:val="-10"/>
                    </w:rPr>
                    <w:t>10</w:t>
                  </w:r>
                  <w:r>
                    <w:rPr>
                      <w:rFonts w:hint="eastAsia" w:cs="Times New Roman"/>
                      <w:color w:val="auto"/>
                      <w:spacing w:val="-10"/>
                      <w:lang w:val="en-US" w:eastAsia="zh-CN"/>
                    </w:rPr>
                    <w:t>3</w:t>
                  </w:r>
                  <w:r>
                    <w:rPr>
                      <w:rFonts w:hint="default" w:ascii="Times New Roman" w:hAnsi="Times New Roman" w:cs="Times New Roman"/>
                      <w:color w:val="auto"/>
                      <w:spacing w:val="-10"/>
                    </w:rPr>
                    <w:t>°</w:t>
                  </w:r>
                  <w:r>
                    <w:rPr>
                      <w:rFonts w:hint="eastAsia" w:cs="Times New Roman"/>
                      <w:color w:val="auto"/>
                      <w:spacing w:val="-10"/>
                      <w:lang w:val="en-US" w:eastAsia="zh-CN"/>
                    </w:rPr>
                    <w:t>50</w:t>
                  </w:r>
                  <w:r>
                    <w:rPr>
                      <w:rFonts w:hint="default" w:ascii="Times New Roman" w:hAnsi="Times New Roman" w:cs="Times New Roman"/>
                      <w:color w:val="auto"/>
                      <w:spacing w:val="-10"/>
                    </w:rPr>
                    <w:t>′</w:t>
                  </w:r>
                  <w:r>
                    <w:rPr>
                      <w:rFonts w:hint="eastAsia" w:cs="Times New Roman"/>
                      <w:color w:val="auto"/>
                      <w:spacing w:val="-10"/>
                      <w:lang w:val="en-US" w:eastAsia="zh-CN"/>
                    </w:rPr>
                    <w:t>55.962</w:t>
                  </w:r>
                  <w:r>
                    <w:rPr>
                      <w:rFonts w:hint="default" w:ascii="Times New Roman" w:hAnsi="Times New Roman" w:cs="Times New Roman"/>
                      <w:color w:val="auto"/>
                      <w:spacing w:val="-10"/>
                    </w:rPr>
                    <w:t>″</w:t>
                  </w:r>
                </w:p>
              </w:tc>
              <w:tc>
                <w:tcPr>
                  <w:tcW w:w="1238" w:type="dxa"/>
                  <w:tcMar>
                    <w:top w:w="15" w:type="dxa"/>
                    <w:left w:w="15" w:type="dxa"/>
                    <w:right w:w="15" w:type="dxa"/>
                  </w:tcMar>
                  <w:vAlign w:val="center"/>
                </w:tcPr>
                <w:p w14:paraId="2CCD421B">
                  <w:pPr>
                    <w:pStyle w:val="53"/>
                    <w:ind w:firstLine="0" w:firstLineChars="0"/>
                    <w:rPr>
                      <w:rFonts w:hint="default" w:ascii="Times New Roman" w:hAnsi="Times New Roman" w:cs="Times New Roman"/>
                      <w:color w:val="auto"/>
                      <w:spacing w:val="-10"/>
                    </w:rPr>
                  </w:pPr>
                  <w:r>
                    <w:rPr>
                      <w:rFonts w:hint="default" w:ascii="Times New Roman" w:hAnsi="Times New Roman" w:cs="Times New Roman"/>
                      <w:color w:val="auto"/>
                      <w:spacing w:val="-10"/>
                    </w:rPr>
                    <w:t>25°</w:t>
                  </w:r>
                  <w:r>
                    <w:rPr>
                      <w:rFonts w:hint="eastAsia" w:cs="Times New Roman"/>
                      <w:color w:val="auto"/>
                      <w:spacing w:val="-10"/>
                      <w:lang w:val="en-US" w:eastAsia="zh-CN"/>
                    </w:rPr>
                    <w:t>11</w:t>
                  </w:r>
                  <w:r>
                    <w:rPr>
                      <w:rFonts w:hint="default" w:ascii="Times New Roman" w:hAnsi="Times New Roman" w:cs="Times New Roman"/>
                      <w:color w:val="auto"/>
                      <w:spacing w:val="-10"/>
                    </w:rPr>
                    <w:t>′</w:t>
                  </w:r>
                  <w:r>
                    <w:rPr>
                      <w:rFonts w:hint="eastAsia" w:cs="Times New Roman"/>
                      <w:color w:val="auto"/>
                      <w:spacing w:val="-10"/>
                      <w:lang w:val="en-US" w:eastAsia="zh-CN"/>
                    </w:rPr>
                    <w:t>37.970</w:t>
                  </w:r>
                  <w:r>
                    <w:rPr>
                      <w:rFonts w:hint="default" w:ascii="Times New Roman" w:hAnsi="Times New Roman" w:cs="Times New Roman"/>
                      <w:color w:val="auto"/>
                      <w:spacing w:val="-10"/>
                    </w:rPr>
                    <w:t>″</w:t>
                  </w:r>
                </w:p>
              </w:tc>
              <w:tc>
                <w:tcPr>
                  <w:tcW w:w="655" w:type="dxa"/>
                  <w:tcMar>
                    <w:top w:w="15" w:type="dxa"/>
                    <w:left w:w="15" w:type="dxa"/>
                    <w:right w:w="15" w:type="dxa"/>
                  </w:tcMar>
                  <w:vAlign w:val="center"/>
                </w:tcPr>
                <w:p w14:paraId="065569E0">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居民</w:t>
                  </w:r>
                </w:p>
              </w:tc>
              <w:tc>
                <w:tcPr>
                  <w:tcW w:w="758" w:type="dxa"/>
                  <w:tcMar>
                    <w:top w:w="15" w:type="dxa"/>
                    <w:left w:w="15" w:type="dxa"/>
                    <w:right w:w="15" w:type="dxa"/>
                  </w:tcMar>
                  <w:vAlign w:val="center"/>
                </w:tcPr>
                <w:p w14:paraId="549527CD">
                  <w:pPr>
                    <w:pStyle w:val="53"/>
                    <w:ind w:firstLine="0" w:firstLineChars="0"/>
                    <w:rPr>
                      <w:rFonts w:hint="eastAsia" w:cs="Times New Roman"/>
                      <w:color w:val="auto"/>
                      <w:lang w:val="en-US" w:eastAsia="zh-CN"/>
                    </w:rPr>
                  </w:pPr>
                  <w:r>
                    <w:rPr>
                      <w:rFonts w:hint="eastAsia" w:cs="Times New Roman"/>
                      <w:color w:val="auto"/>
                      <w:lang w:val="en-US" w:eastAsia="zh-CN"/>
                    </w:rPr>
                    <w:t>8</w:t>
                  </w:r>
                  <w:r>
                    <w:rPr>
                      <w:rFonts w:hint="default" w:ascii="Times New Roman" w:hAnsi="Times New Roman" w:cs="Times New Roman"/>
                      <w:color w:val="auto"/>
                    </w:rPr>
                    <w:t>户，</w:t>
                  </w:r>
                  <w:r>
                    <w:rPr>
                      <w:rFonts w:hint="eastAsia" w:cs="Times New Roman"/>
                      <w:color w:val="auto"/>
                      <w:lang w:val="en-US" w:eastAsia="zh-CN"/>
                    </w:rPr>
                    <w:t>4</w:t>
                  </w:r>
                  <w:r>
                    <w:rPr>
                      <w:rFonts w:hint="default" w:ascii="Times New Roman" w:hAnsi="Times New Roman" w:cs="Times New Roman"/>
                      <w:color w:val="auto"/>
                    </w:rPr>
                    <w:t>5人</w:t>
                  </w:r>
                </w:p>
              </w:tc>
              <w:tc>
                <w:tcPr>
                  <w:tcW w:w="1232" w:type="dxa"/>
                  <w:tcMar>
                    <w:top w:w="15" w:type="dxa"/>
                    <w:left w:w="15" w:type="dxa"/>
                    <w:right w:w="15" w:type="dxa"/>
                  </w:tcMar>
                  <w:vAlign w:val="center"/>
                </w:tcPr>
                <w:p w14:paraId="42673498">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二类区</w:t>
                  </w:r>
                </w:p>
              </w:tc>
              <w:tc>
                <w:tcPr>
                  <w:tcW w:w="733" w:type="dxa"/>
                  <w:tcMar>
                    <w:top w:w="15" w:type="dxa"/>
                    <w:left w:w="15" w:type="dxa"/>
                    <w:right w:w="15" w:type="dxa"/>
                  </w:tcMar>
                  <w:vAlign w:val="center"/>
                </w:tcPr>
                <w:p w14:paraId="5060662B">
                  <w:pPr>
                    <w:pStyle w:val="53"/>
                    <w:ind w:firstLine="0" w:firstLineChars="0"/>
                    <w:rPr>
                      <w:rFonts w:hint="eastAsia" w:cs="Times New Roman"/>
                      <w:color w:val="auto"/>
                      <w:lang w:val="en-US" w:eastAsia="zh-CN"/>
                    </w:rPr>
                  </w:pPr>
                  <w:r>
                    <w:rPr>
                      <w:rFonts w:hint="eastAsia" w:cs="Times New Roman"/>
                      <w:color w:val="auto"/>
                      <w:lang w:val="en-US" w:eastAsia="zh-CN"/>
                    </w:rPr>
                    <w:t>西侧</w:t>
                  </w:r>
                </w:p>
              </w:tc>
              <w:tc>
                <w:tcPr>
                  <w:tcW w:w="760" w:type="dxa"/>
                  <w:tcMar>
                    <w:top w:w="15" w:type="dxa"/>
                    <w:left w:w="15" w:type="dxa"/>
                    <w:right w:w="15" w:type="dxa"/>
                  </w:tcMar>
                  <w:vAlign w:val="center"/>
                </w:tcPr>
                <w:p w14:paraId="4F788D8F">
                  <w:pPr>
                    <w:pStyle w:val="53"/>
                    <w:ind w:firstLine="0" w:firstLineChars="0"/>
                    <w:rPr>
                      <w:rFonts w:hint="eastAsia" w:cs="Times New Roman"/>
                      <w:color w:val="auto"/>
                      <w:lang w:val="en-US" w:eastAsia="zh-CN"/>
                    </w:rPr>
                  </w:pPr>
                  <w:r>
                    <w:rPr>
                      <w:rFonts w:hint="eastAsia" w:cs="Times New Roman"/>
                      <w:color w:val="auto"/>
                      <w:lang w:val="en-US" w:eastAsia="zh-CN"/>
                    </w:rPr>
                    <w:t>120</w:t>
                  </w:r>
                </w:p>
              </w:tc>
            </w:tr>
            <w:tr w14:paraId="6596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vMerge w:val="continue"/>
                  <w:tcMar>
                    <w:top w:w="15" w:type="dxa"/>
                    <w:left w:w="15" w:type="dxa"/>
                    <w:right w:w="15" w:type="dxa"/>
                  </w:tcMar>
                  <w:vAlign w:val="center"/>
                </w:tcPr>
                <w:p w14:paraId="2E325266">
                  <w:pPr>
                    <w:pStyle w:val="53"/>
                    <w:rPr>
                      <w:rFonts w:hint="default" w:ascii="Times New Roman" w:hAnsi="Times New Roman" w:cs="Times New Roman"/>
                      <w:color w:val="auto"/>
                      <w:kern w:val="0"/>
                    </w:rPr>
                  </w:pPr>
                </w:p>
              </w:tc>
              <w:tc>
                <w:tcPr>
                  <w:tcW w:w="829" w:type="dxa"/>
                  <w:tcMar>
                    <w:top w:w="15" w:type="dxa"/>
                    <w:left w:w="15" w:type="dxa"/>
                    <w:right w:w="15" w:type="dxa"/>
                  </w:tcMar>
                  <w:vAlign w:val="center"/>
                </w:tcPr>
                <w:p w14:paraId="2541C423">
                  <w:pPr>
                    <w:pStyle w:val="53"/>
                    <w:ind w:firstLine="0" w:firstLineChars="0"/>
                    <w:rPr>
                      <w:rFonts w:hint="default" w:cs="Times New Roman"/>
                      <w:color w:val="auto"/>
                      <w:lang w:val="en-US" w:eastAsia="zh-CN"/>
                    </w:rPr>
                  </w:pPr>
                  <w:r>
                    <w:rPr>
                      <w:rFonts w:hint="eastAsia" w:cs="Times New Roman"/>
                      <w:color w:val="auto"/>
                      <w:lang w:val="en-US" w:eastAsia="zh-CN"/>
                    </w:rPr>
                    <w:t>老吴新村散户</w:t>
                  </w:r>
                </w:p>
              </w:tc>
              <w:tc>
                <w:tcPr>
                  <w:tcW w:w="1348" w:type="dxa"/>
                  <w:tcMar>
                    <w:top w:w="15" w:type="dxa"/>
                    <w:left w:w="15" w:type="dxa"/>
                    <w:right w:w="15" w:type="dxa"/>
                  </w:tcMar>
                  <w:vAlign w:val="center"/>
                </w:tcPr>
                <w:p w14:paraId="7AE5B90A">
                  <w:pPr>
                    <w:pStyle w:val="53"/>
                    <w:ind w:firstLine="0" w:firstLineChars="0"/>
                    <w:rPr>
                      <w:rFonts w:hint="default" w:ascii="Times New Roman" w:hAnsi="Times New Roman" w:cs="Times New Roman"/>
                      <w:color w:val="auto"/>
                      <w:spacing w:val="-10"/>
                    </w:rPr>
                  </w:pPr>
                  <w:r>
                    <w:rPr>
                      <w:rFonts w:hint="default" w:ascii="Times New Roman" w:hAnsi="Times New Roman" w:cs="Times New Roman"/>
                      <w:color w:val="auto"/>
                      <w:spacing w:val="-10"/>
                    </w:rPr>
                    <w:t>10</w:t>
                  </w:r>
                  <w:r>
                    <w:rPr>
                      <w:rFonts w:hint="eastAsia" w:cs="Times New Roman"/>
                      <w:color w:val="auto"/>
                      <w:spacing w:val="-10"/>
                      <w:lang w:val="en-US" w:eastAsia="zh-CN"/>
                    </w:rPr>
                    <w:t>3</w:t>
                  </w:r>
                  <w:r>
                    <w:rPr>
                      <w:rFonts w:hint="default" w:ascii="Times New Roman" w:hAnsi="Times New Roman" w:cs="Times New Roman"/>
                      <w:color w:val="auto"/>
                      <w:spacing w:val="-10"/>
                    </w:rPr>
                    <w:t>°</w:t>
                  </w:r>
                  <w:r>
                    <w:rPr>
                      <w:rFonts w:hint="eastAsia" w:cs="Times New Roman"/>
                      <w:color w:val="auto"/>
                      <w:spacing w:val="-10"/>
                      <w:lang w:val="en-US" w:eastAsia="zh-CN"/>
                    </w:rPr>
                    <w:t>50</w:t>
                  </w:r>
                  <w:r>
                    <w:rPr>
                      <w:rFonts w:hint="default" w:ascii="Times New Roman" w:hAnsi="Times New Roman" w:cs="Times New Roman"/>
                      <w:color w:val="auto"/>
                      <w:spacing w:val="-10"/>
                    </w:rPr>
                    <w:t>′</w:t>
                  </w:r>
                  <w:r>
                    <w:rPr>
                      <w:rFonts w:hint="eastAsia" w:cs="Times New Roman"/>
                      <w:color w:val="auto"/>
                      <w:spacing w:val="-10"/>
                      <w:lang w:val="en-US" w:eastAsia="zh-CN"/>
                    </w:rPr>
                    <w:t>58.410</w:t>
                  </w:r>
                  <w:r>
                    <w:rPr>
                      <w:rFonts w:hint="default" w:ascii="Times New Roman" w:hAnsi="Times New Roman" w:cs="Times New Roman"/>
                      <w:color w:val="auto"/>
                      <w:spacing w:val="-10"/>
                    </w:rPr>
                    <w:t>″</w:t>
                  </w:r>
                </w:p>
              </w:tc>
              <w:tc>
                <w:tcPr>
                  <w:tcW w:w="1238" w:type="dxa"/>
                  <w:tcMar>
                    <w:top w:w="15" w:type="dxa"/>
                    <w:left w:w="15" w:type="dxa"/>
                    <w:right w:w="15" w:type="dxa"/>
                  </w:tcMar>
                  <w:vAlign w:val="center"/>
                </w:tcPr>
                <w:p w14:paraId="7564B699">
                  <w:pPr>
                    <w:pStyle w:val="53"/>
                    <w:ind w:firstLine="0" w:firstLineChars="0"/>
                    <w:rPr>
                      <w:rFonts w:hint="default" w:ascii="Times New Roman" w:hAnsi="Times New Roman" w:cs="Times New Roman"/>
                      <w:color w:val="auto"/>
                      <w:spacing w:val="-10"/>
                    </w:rPr>
                  </w:pPr>
                  <w:r>
                    <w:rPr>
                      <w:rFonts w:hint="default" w:ascii="Times New Roman" w:hAnsi="Times New Roman" w:cs="Times New Roman"/>
                      <w:color w:val="auto"/>
                      <w:spacing w:val="-10"/>
                    </w:rPr>
                    <w:t>25°</w:t>
                  </w:r>
                  <w:r>
                    <w:rPr>
                      <w:rFonts w:hint="eastAsia" w:cs="Times New Roman"/>
                      <w:color w:val="auto"/>
                      <w:spacing w:val="-10"/>
                      <w:lang w:val="en-US" w:eastAsia="zh-CN"/>
                    </w:rPr>
                    <w:t>11</w:t>
                  </w:r>
                  <w:r>
                    <w:rPr>
                      <w:rFonts w:hint="default" w:ascii="Times New Roman" w:hAnsi="Times New Roman" w:cs="Times New Roman"/>
                      <w:color w:val="auto"/>
                      <w:spacing w:val="-10"/>
                    </w:rPr>
                    <w:t>′</w:t>
                  </w:r>
                  <w:r>
                    <w:rPr>
                      <w:rFonts w:hint="eastAsia" w:cs="Times New Roman"/>
                      <w:color w:val="auto"/>
                      <w:spacing w:val="-10"/>
                      <w:lang w:val="en-US" w:eastAsia="zh-CN"/>
                    </w:rPr>
                    <w:t>40.213</w:t>
                  </w:r>
                  <w:r>
                    <w:rPr>
                      <w:rFonts w:hint="default" w:ascii="Times New Roman" w:hAnsi="Times New Roman" w:cs="Times New Roman"/>
                      <w:color w:val="auto"/>
                      <w:spacing w:val="-10"/>
                    </w:rPr>
                    <w:t>″</w:t>
                  </w:r>
                </w:p>
              </w:tc>
              <w:tc>
                <w:tcPr>
                  <w:tcW w:w="655" w:type="dxa"/>
                  <w:tcMar>
                    <w:top w:w="15" w:type="dxa"/>
                    <w:left w:w="15" w:type="dxa"/>
                    <w:right w:w="15" w:type="dxa"/>
                  </w:tcMar>
                  <w:vAlign w:val="center"/>
                </w:tcPr>
                <w:p w14:paraId="14AEBF81">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居民</w:t>
                  </w:r>
                </w:p>
              </w:tc>
              <w:tc>
                <w:tcPr>
                  <w:tcW w:w="758" w:type="dxa"/>
                  <w:tcMar>
                    <w:top w:w="15" w:type="dxa"/>
                    <w:left w:w="15" w:type="dxa"/>
                    <w:right w:w="15" w:type="dxa"/>
                  </w:tcMar>
                  <w:vAlign w:val="center"/>
                </w:tcPr>
                <w:p w14:paraId="06F5DE83">
                  <w:pPr>
                    <w:pStyle w:val="53"/>
                    <w:ind w:firstLine="0" w:firstLineChars="0"/>
                    <w:rPr>
                      <w:rFonts w:hint="eastAsia" w:cs="Times New Roman"/>
                      <w:color w:val="auto"/>
                      <w:lang w:val="en-US" w:eastAsia="zh-CN"/>
                    </w:rPr>
                  </w:pPr>
                  <w:r>
                    <w:rPr>
                      <w:rFonts w:hint="eastAsia" w:cs="Times New Roman"/>
                      <w:color w:val="auto"/>
                      <w:lang w:val="en-US" w:eastAsia="zh-CN"/>
                    </w:rPr>
                    <w:t>2</w:t>
                  </w:r>
                  <w:r>
                    <w:rPr>
                      <w:rFonts w:hint="default" w:ascii="Times New Roman" w:hAnsi="Times New Roman" w:cs="Times New Roman"/>
                      <w:color w:val="auto"/>
                    </w:rPr>
                    <w:t>户，</w:t>
                  </w:r>
                  <w:r>
                    <w:rPr>
                      <w:rFonts w:hint="eastAsia" w:cs="Times New Roman"/>
                      <w:color w:val="auto"/>
                      <w:lang w:val="en-US" w:eastAsia="zh-CN"/>
                    </w:rPr>
                    <w:t>8</w:t>
                  </w:r>
                  <w:r>
                    <w:rPr>
                      <w:rFonts w:hint="default" w:ascii="Times New Roman" w:hAnsi="Times New Roman" w:cs="Times New Roman"/>
                      <w:color w:val="auto"/>
                    </w:rPr>
                    <w:t>人</w:t>
                  </w:r>
                </w:p>
              </w:tc>
              <w:tc>
                <w:tcPr>
                  <w:tcW w:w="1232" w:type="dxa"/>
                  <w:tcMar>
                    <w:top w:w="15" w:type="dxa"/>
                    <w:left w:w="15" w:type="dxa"/>
                    <w:right w:w="15" w:type="dxa"/>
                  </w:tcMar>
                  <w:vAlign w:val="center"/>
                </w:tcPr>
                <w:p w14:paraId="75CE1DA7">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二类区</w:t>
                  </w:r>
                </w:p>
              </w:tc>
              <w:tc>
                <w:tcPr>
                  <w:tcW w:w="733" w:type="dxa"/>
                  <w:tcMar>
                    <w:top w:w="15" w:type="dxa"/>
                    <w:left w:w="15" w:type="dxa"/>
                    <w:right w:w="15" w:type="dxa"/>
                  </w:tcMar>
                  <w:vAlign w:val="center"/>
                </w:tcPr>
                <w:p w14:paraId="7FDF79BD">
                  <w:pPr>
                    <w:pStyle w:val="53"/>
                    <w:ind w:firstLine="0" w:firstLineChars="0"/>
                    <w:rPr>
                      <w:rFonts w:hint="eastAsia" w:cs="Times New Roman"/>
                      <w:color w:val="auto"/>
                      <w:lang w:val="en-US" w:eastAsia="zh-CN"/>
                    </w:rPr>
                  </w:pPr>
                  <w:r>
                    <w:rPr>
                      <w:rFonts w:hint="eastAsia" w:cs="Times New Roman"/>
                      <w:color w:val="auto"/>
                      <w:kern w:val="1"/>
                      <w:lang w:val="en-US" w:eastAsia="zh-CN"/>
                    </w:rPr>
                    <w:t>西侧</w:t>
                  </w:r>
                </w:p>
              </w:tc>
              <w:tc>
                <w:tcPr>
                  <w:tcW w:w="760" w:type="dxa"/>
                  <w:tcMar>
                    <w:top w:w="15" w:type="dxa"/>
                    <w:left w:w="15" w:type="dxa"/>
                    <w:right w:w="15" w:type="dxa"/>
                  </w:tcMar>
                  <w:vAlign w:val="center"/>
                </w:tcPr>
                <w:p w14:paraId="4E1615C1">
                  <w:pPr>
                    <w:pStyle w:val="53"/>
                    <w:ind w:firstLine="0" w:firstLineChars="0"/>
                    <w:rPr>
                      <w:rFonts w:hint="eastAsia" w:cs="Times New Roman"/>
                      <w:color w:val="auto"/>
                      <w:lang w:val="en-US" w:eastAsia="zh-CN"/>
                    </w:rPr>
                  </w:pPr>
                  <w:r>
                    <w:rPr>
                      <w:rFonts w:hint="eastAsia" w:cs="Times New Roman"/>
                      <w:color w:val="auto"/>
                      <w:kern w:val="0"/>
                      <w:lang w:val="en-US" w:eastAsia="zh-CN"/>
                    </w:rPr>
                    <w:t>30</w:t>
                  </w:r>
                </w:p>
              </w:tc>
            </w:tr>
            <w:tr w14:paraId="2E3F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tcMar>
                    <w:top w:w="15" w:type="dxa"/>
                    <w:left w:w="15" w:type="dxa"/>
                    <w:right w:w="15" w:type="dxa"/>
                  </w:tcMar>
                  <w:vAlign w:val="center"/>
                </w:tcPr>
                <w:p w14:paraId="776870CE">
                  <w:pPr>
                    <w:pStyle w:val="53"/>
                    <w:rPr>
                      <w:rFonts w:hint="default" w:ascii="Times New Roman" w:hAnsi="Times New Roman" w:cs="Times New Roman"/>
                      <w:color w:val="auto"/>
                      <w:kern w:val="0"/>
                    </w:rPr>
                  </w:pPr>
                  <w:r>
                    <w:rPr>
                      <w:rFonts w:hint="default" w:ascii="Times New Roman" w:hAnsi="Times New Roman" w:cs="Times New Roman"/>
                      <w:color w:val="auto"/>
                      <w:kern w:val="0"/>
                    </w:rPr>
                    <w:t>声环境</w:t>
                  </w:r>
                </w:p>
              </w:tc>
              <w:tc>
                <w:tcPr>
                  <w:tcW w:w="499" w:type="pct"/>
                  <w:tcMar>
                    <w:top w:w="15" w:type="dxa"/>
                    <w:left w:w="15" w:type="dxa"/>
                    <w:right w:w="15" w:type="dxa"/>
                  </w:tcMar>
                  <w:vAlign w:val="center"/>
                </w:tcPr>
                <w:p w14:paraId="710BDE5E">
                  <w:pPr>
                    <w:pStyle w:val="53"/>
                    <w:rPr>
                      <w:rFonts w:hint="default" w:ascii="Times New Roman" w:hAnsi="Times New Roman" w:cs="Times New Roman"/>
                      <w:color w:val="auto"/>
                      <w:lang w:val="en-US"/>
                    </w:rPr>
                  </w:pPr>
                  <w:r>
                    <w:rPr>
                      <w:rFonts w:hint="eastAsia" w:cs="Times New Roman"/>
                      <w:color w:val="auto"/>
                      <w:lang w:val="en-US" w:eastAsia="zh-CN"/>
                    </w:rPr>
                    <w:t>老吴新村散户</w:t>
                  </w:r>
                </w:p>
              </w:tc>
              <w:tc>
                <w:tcPr>
                  <w:tcW w:w="811" w:type="pct"/>
                  <w:tcMar>
                    <w:top w:w="15" w:type="dxa"/>
                    <w:left w:w="15" w:type="dxa"/>
                    <w:right w:w="15" w:type="dxa"/>
                  </w:tcMar>
                  <w:vAlign w:val="center"/>
                </w:tcPr>
                <w:p w14:paraId="1B94E570">
                  <w:pPr>
                    <w:pStyle w:val="53"/>
                    <w:ind w:firstLine="0" w:firstLineChars="0"/>
                    <w:rPr>
                      <w:rFonts w:hint="default" w:ascii="Times New Roman" w:hAnsi="Times New Roman" w:cs="Times New Roman"/>
                      <w:color w:val="auto"/>
                      <w:kern w:val="0"/>
                    </w:rPr>
                  </w:pPr>
                  <w:r>
                    <w:rPr>
                      <w:rFonts w:hint="default" w:ascii="Times New Roman" w:hAnsi="Times New Roman" w:cs="Times New Roman"/>
                      <w:color w:val="auto"/>
                      <w:spacing w:val="-10"/>
                    </w:rPr>
                    <w:t>10</w:t>
                  </w:r>
                  <w:r>
                    <w:rPr>
                      <w:rFonts w:hint="eastAsia" w:cs="Times New Roman"/>
                      <w:color w:val="auto"/>
                      <w:spacing w:val="-10"/>
                      <w:lang w:val="en-US" w:eastAsia="zh-CN"/>
                    </w:rPr>
                    <w:t>3</w:t>
                  </w:r>
                  <w:r>
                    <w:rPr>
                      <w:rFonts w:hint="default" w:ascii="Times New Roman" w:hAnsi="Times New Roman" w:cs="Times New Roman"/>
                      <w:color w:val="auto"/>
                      <w:spacing w:val="-10"/>
                    </w:rPr>
                    <w:t>°</w:t>
                  </w:r>
                  <w:r>
                    <w:rPr>
                      <w:rFonts w:hint="eastAsia" w:cs="Times New Roman"/>
                      <w:color w:val="auto"/>
                      <w:spacing w:val="-10"/>
                      <w:lang w:val="en-US" w:eastAsia="zh-CN"/>
                    </w:rPr>
                    <w:t>50</w:t>
                  </w:r>
                  <w:r>
                    <w:rPr>
                      <w:rFonts w:hint="default" w:ascii="Times New Roman" w:hAnsi="Times New Roman" w:cs="Times New Roman"/>
                      <w:color w:val="auto"/>
                      <w:spacing w:val="-10"/>
                    </w:rPr>
                    <w:t>′</w:t>
                  </w:r>
                  <w:r>
                    <w:rPr>
                      <w:rFonts w:hint="eastAsia" w:cs="Times New Roman"/>
                      <w:color w:val="auto"/>
                      <w:spacing w:val="-10"/>
                      <w:lang w:val="en-US" w:eastAsia="zh-CN"/>
                    </w:rPr>
                    <w:t>58.410</w:t>
                  </w:r>
                  <w:r>
                    <w:rPr>
                      <w:rFonts w:hint="default" w:ascii="Times New Roman" w:hAnsi="Times New Roman" w:cs="Times New Roman"/>
                      <w:color w:val="auto"/>
                      <w:spacing w:val="-10"/>
                    </w:rPr>
                    <w:t>″</w:t>
                  </w:r>
                </w:p>
              </w:tc>
              <w:tc>
                <w:tcPr>
                  <w:tcW w:w="745" w:type="pct"/>
                  <w:tcMar>
                    <w:top w:w="15" w:type="dxa"/>
                    <w:left w:w="15" w:type="dxa"/>
                    <w:right w:w="15" w:type="dxa"/>
                  </w:tcMar>
                  <w:vAlign w:val="center"/>
                </w:tcPr>
                <w:p w14:paraId="17000AC7">
                  <w:pPr>
                    <w:pStyle w:val="53"/>
                    <w:ind w:firstLine="0" w:firstLineChars="0"/>
                    <w:rPr>
                      <w:rFonts w:hint="default" w:ascii="Times New Roman" w:hAnsi="Times New Roman" w:cs="Times New Roman"/>
                      <w:color w:val="auto"/>
                      <w:kern w:val="0"/>
                    </w:rPr>
                  </w:pPr>
                  <w:r>
                    <w:rPr>
                      <w:rFonts w:hint="default" w:ascii="Times New Roman" w:hAnsi="Times New Roman" w:cs="Times New Roman"/>
                      <w:color w:val="auto"/>
                      <w:spacing w:val="-10"/>
                    </w:rPr>
                    <w:t>25°</w:t>
                  </w:r>
                  <w:r>
                    <w:rPr>
                      <w:rFonts w:hint="eastAsia" w:cs="Times New Roman"/>
                      <w:color w:val="auto"/>
                      <w:spacing w:val="-10"/>
                      <w:lang w:val="en-US" w:eastAsia="zh-CN"/>
                    </w:rPr>
                    <w:t>11</w:t>
                  </w:r>
                  <w:r>
                    <w:rPr>
                      <w:rFonts w:hint="default" w:ascii="Times New Roman" w:hAnsi="Times New Roman" w:cs="Times New Roman"/>
                      <w:color w:val="auto"/>
                      <w:spacing w:val="-10"/>
                    </w:rPr>
                    <w:t>′</w:t>
                  </w:r>
                  <w:r>
                    <w:rPr>
                      <w:rFonts w:hint="eastAsia" w:cs="Times New Roman"/>
                      <w:color w:val="auto"/>
                      <w:spacing w:val="-10"/>
                      <w:lang w:val="en-US" w:eastAsia="zh-CN"/>
                    </w:rPr>
                    <w:t>40.213</w:t>
                  </w:r>
                  <w:r>
                    <w:rPr>
                      <w:rFonts w:hint="default" w:ascii="Times New Roman" w:hAnsi="Times New Roman" w:cs="Times New Roman"/>
                      <w:color w:val="auto"/>
                      <w:spacing w:val="-10"/>
                    </w:rPr>
                    <w:t>″</w:t>
                  </w:r>
                </w:p>
              </w:tc>
              <w:tc>
                <w:tcPr>
                  <w:tcW w:w="394" w:type="pct"/>
                  <w:tcMar>
                    <w:top w:w="15" w:type="dxa"/>
                    <w:left w:w="15" w:type="dxa"/>
                    <w:right w:w="15" w:type="dxa"/>
                  </w:tcMar>
                  <w:vAlign w:val="center"/>
                </w:tcPr>
                <w:p w14:paraId="559CCCA9">
                  <w:pPr>
                    <w:pStyle w:val="53"/>
                    <w:rPr>
                      <w:rFonts w:hint="default" w:ascii="Times New Roman" w:hAnsi="Times New Roman" w:cs="Times New Roman"/>
                      <w:color w:val="auto"/>
                    </w:rPr>
                  </w:pPr>
                  <w:r>
                    <w:rPr>
                      <w:rFonts w:hint="default" w:ascii="Times New Roman" w:hAnsi="Times New Roman" w:cs="Times New Roman"/>
                      <w:color w:val="auto"/>
                    </w:rPr>
                    <w:t>居民</w:t>
                  </w:r>
                </w:p>
              </w:tc>
              <w:tc>
                <w:tcPr>
                  <w:tcW w:w="454" w:type="pct"/>
                  <w:tcMar>
                    <w:top w:w="15" w:type="dxa"/>
                    <w:left w:w="15" w:type="dxa"/>
                    <w:right w:w="15" w:type="dxa"/>
                  </w:tcMar>
                  <w:vAlign w:val="center"/>
                </w:tcPr>
                <w:p w14:paraId="54B682C2">
                  <w:pPr>
                    <w:pStyle w:val="53"/>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户，</w:t>
                  </w:r>
                  <w:r>
                    <w:rPr>
                      <w:rFonts w:hint="eastAsia" w:cs="Times New Roman"/>
                      <w:color w:val="auto"/>
                      <w:lang w:val="en-US" w:eastAsia="zh-CN"/>
                    </w:rPr>
                    <w:t>8</w:t>
                  </w:r>
                  <w:r>
                    <w:rPr>
                      <w:rFonts w:hint="default" w:ascii="Times New Roman" w:hAnsi="Times New Roman" w:cs="Times New Roman"/>
                      <w:color w:val="auto"/>
                    </w:rPr>
                    <w:t>人</w:t>
                  </w:r>
                </w:p>
              </w:tc>
              <w:tc>
                <w:tcPr>
                  <w:tcW w:w="741" w:type="pct"/>
                  <w:tcMar>
                    <w:top w:w="15" w:type="dxa"/>
                    <w:left w:w="15" w:type="dxa"/>
                    <w:right w:w="15" w:type="dxa"/>
                  </w:tcMar>
                  <w:vAlign w:val="center"/>
                </w:tcPr>
                <w:p w14:paraId="38D44344">
                  <w:pPr>
                    <w:pStyle w:val="53"/>
                    <w:rPr>
                      <w:rFonts w:hint="default" w:ascii="Times New Roman" w:hAnsi="Times New Roman" w:cs="Times New Roman"/>
                      <w:color w:val="auto"/>
                    </w:rPr>
                  </w:pPr>
                  <w:r>
                    <w:rPr>
                      <w:rFonts w:hint="default" w:ascii="Times New Roman" w:hAnsi="Times New Roman" w:cs="Times New Roman"/>
                      <w:color w:val="auto"/>
                    </w:rPr>
                    <w:t>二类区</w:t>
                  </w:r>
                </w:p>
              </w:tc>
              <w:tc>
                <w:tcPr>
                  <w:tcW w:w="441" w:type="pct"/>
                  <w:tcMar>
                    <w:top w:w="15" w:type="dxa"/>
                    <w:left w:w="15" w:type="dxa"/>
                    <w:right w:w="15" w:type="dxa"/>
                  </w:tcMar>
                  <w:vAlign w:val="center"/>
                </w:tcPr>
                <w:p w14:paraId="57ADB0C3">
                  <w:pPr>
                    <w:pStyle w:val="53"/>
                    <w:rPr>
                      <w:rFonts w:hint="eastAsia" w:ascii="Times New Roman" w:hAnsi="Times New Roman" w:eastAsia="宋体" w:cs="Times New Roman"/>
                      <w:color w:val="auto"/>
                      <w:kern w:val="1"/>
                      <w:lang w:val="en-US" w:eastAsia="zh-CN"/>
                    </w:rPr>
                  </w:pPr>
                  <w:r>
                    <w:rPr>
                      <w:rFonts w:hint="eastAsia" w:cs="Times New Roman"/>
                      <w:color w:val="auto"/>
                      <w:kern w:val="1"/>
                      <w:lang w:val="en-US" w:eastAsia="zh-CN"/>
                    </w:rPr>
                    <w:t>西侧</w:t>
                  </w:r>
                </w:p>
              </w:tc>
              <w:tc>
                <w:tcPr>
                  <w:tcW w:w="457" w:type="pct"/>
                  <w:tcMar>
                    <w:top w:w="15" w:type="dxa"/>
                    <w:left w:w="15" w:type="dxa"/>
                    <w:right w:w="15" w:type="dxa"/>
                  </w:tcMar>
                  <w:vAlign w:val="center"/>
                </w:tcPr>
                <w:p w14:paraId="4FE78123">
                  <w:pPr>
                    <w:pStyle w:val="53"/>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30</w:t>
                  </w:r>
                </w:p>
              </w:tc>
            </w:tr>
            <w:tr w14:paraId="7AA5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54" w:type="pct"/>
                  <w:tcMar>
                    <w:top w:w="15" w:type="dxa"/>
                    <w:left w:w="15" w:type="dxa"/>
                    <w:right w:w="15" w:type="dxa"/>
                  </w:tcMar>
                  <w:vAlign w:val="center"/>
                </w:tcPr>
                <w:p w14:paraId="5677D83B">
                  <w:pPr>
                    <w:pStyle w:val="53"/>
                    <w:rPr>
                      <w:rFonts w:hint="default" w:ascii="Times New Roman" w:hAnsi="Times New Roman" w:cs="Times New Roman"/>
                      <w:color w:val="auto"/>
                      <w:kern w:val="0"/>
                    </w:rPr>
                  </w:pPr>
                  <w:r>
                    <w:rPr>
                      <w:rFonts w:hint="default" w:ascii="Times New Roman" w:hAnsi="Times New Roman" w:cs="Times New Roman"/>
                      <w:color w:val="auto"/>
                      <w:kern w:val="0"/>
                    </w:rPr>
                    <w:t>地表水</w:t>
                  </w:r>
                </w:p>
              </w:tc>
              <w:tc>
                <w:tcPr>
                  <w:tcW w:w="499" w:type="pct"/>
                  <w:tcMar>
                    <w:top w:w="15" w:type="dxa"/>
                    <w:left w:w="15" w:type="dxa"/>
                    <w:right w:w="15" w:type="dxa"/>
                  </w:tcMar>
                  <w:vAlign w:val="center"/>
                </w:tcPr>
                <w:p w14:paraId="5FEC467D">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南盘江</w:t>
                  </w:r>
                </w:p>
              </w:tc>
              <w:tc>
                <w:tcPr>
                  <w:tcW w:w="2406" w:type="pct"/>
                  <w:gridSpan w:val="4"/>
                  <w:tcMar>
                    <w:top w:w="15" w:type="dxa"/>
                    <w:left w:w="15" w:type="dxa"/>
                    <w:right w:w="15" w:type="dxa"/>
                  </w:tcMar>
                  <w:vAlign w:val="center"/>
                </w:tcPr>
                <w:p w14:paraId="00ABA5C1">
                  <w:pPr>
                    <w:pStyle w:val="53"/>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741" w:type="pct"/>
                  <w:tcMar>
                    <w:top w:w="15" w:type="dxa"/>
                    <w:left w:w="15" w:type="dxa"/>
                    <w:right w:w="15" w:type="dxa"/>
                  </w:tcMar>
                  <w:vAlign w:val="center"/>
                </w:tcPr>
                <w:p w14:paraId="4D2E845D">
                  <w:pPr>
                    <w:pStyle w:val="53"/>
                    <w:rPr>
                      <w:rFonts w:hint="default" w:ascii="Times New Roman" w:hAnsi="Times New Roman" w:cs="Times New Roman"/>
                      <w:color w:val="auto"/>
                    </w:rPr>
                  </w:pPr>
                  <w:r>
                    <w:rPr>
                      <w:rFonts w:hint="default" w:ascii="Times New Roman" w:hAnsi="Times New Roman" w:cs="Times New Roman"/>
                      <w:color w:val="auto"/>
                    </w:rPr>
                    <w:t>GB3838-2002</w:t>
                  </w:r>
                </w:p>
                <w:p w14:paraId="77299117">
                  <w:pPr>
                    <w:pStyle w:val="53"/>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3 \* ROMAN \* MERGEFORMAT </w:instrText>
                  </w:r>
                  <w:r>
                    <w:rPr>
                      <w:rFonts w:hint="default" w:ascii="Times New Roman" w:hAnsi="Times New Roman" w:cs="Times New Roman"/>
                      <w:color w:val="auto"/>
                    </w:rPr>
                    <w:fldChar w:fldCharType="separate"/>
                  </w:r>
                  <w:r>
                    <w:rPr>
                      <w:rFonts w:hint="eastAsia" w:cs="Times New Roman"/>
                      <w:color w:val="auto"/>
                      <w:lang w:eastAsia="zh-CN"/>
                    </w:rPr>
                    <w:t>Ⅲ</w:t>
                  </w:r>
                  <w:r>
                    <w:rPr>
                      <w:rFonts w:hint="default" w:ascii="Times New Roman" w:hAnsi="Times New Roman" w:cs="Times New Roman"/>
                      <w:color w:val="auto"/>
                    </w:rPr>
                    <w:fldChar w:fldCharType="end"/>
                  </w:r>
                  <w:r>
                    <w:rPr>
                      <w:rFonts w:hint="default" w:ascii="Times New Roman" w:hAnsi="Times New Roman" w:cs="Times New Roman"/>
                      <w:color w:val="auto"/>
                    </w:rPr>
                    <w:t>类</w:t>
                  </w:r>
                </w:p>
              </w:tc>
              <w:tc>
                <w:tcPr>
                  <w:tcW w:w="441" w:type="pct"/>
                  <w:tcMar>
                    <w:top w:w="15" w:type="dxa"/>
                    <w:left w:w="15" w:type="dxa"/>
                    <w:right w:w="15" w:type="dxa"/>
                  </w:tcMar>
                  <w:vAlign w:val="center"/>
                </w:tcPr>
                <w:p w14:paraId="68EA1961">
                  <w:pPr>
                    <w:pStyle w:val="53"/>
                    <w:rPr>
                      <w:rFonts w:hint="eastAsia" w:ascii="Times New Roman" w:hAnsi="Times New Roman" w:eastAsia="宋体" w:cs="Times New Roman"/>
                      <w:color w:val="auto"/>
                      <w:kern w:val="1"/>
                      <w:lang w:val="en-US" w:eastAsia="zh-CN"/>
                    </w:rPr>
                  </w:pPr>
                  <w:r>
                    <w:rPr>
                      <w:rFonts w:hint="eastAsia" w:cs="Times New Roman"/>
                      <w:color w:val="auto"/>
                      <w:kern w:val="1"/>
                      <w:lang w:val="en-US" w:eastAsia="zh-CN"/>
                    </w:rPr>
                    <w:t>南侧</w:t>
                  </w:r>
                </w:p>
              </w:tc>
              <w:tc>
                <w:tcPr>
                  <w:tcW w:w="457" w:type="pct"/>
                  <w:tcMar>
                    <w:top w:w="15" w:type="dxa"/>
                    <w:left w:w="15" w:type="dxa"/>
                    <w:right w:w="15" w:type="dxa"/>
                  </w:tcMar>
                  <w:vAlign w:val="center"/>
                </w:tcPr>
                <w:p w14:paraId="17C78A3B">
                  <w:pPr>
                    <w:pStyle w:val="53"/>
                    <w:rPr>
                      <w:rFonts w:hint="default" w:ascii="Times New Roman" w:hAnsi="Times New Roman" w:eastAsia="宋体" w:cs="Times New Roman"/>
                      <w:color w:val="auto"/>
                      <w:kern w:val="0"/>
                      <w:lang w:val="en-US" w:eastAsia="zh-CN"/>
                    </w:rPr>
                  </w:pPr>
                  <w:r>
                    <w:rPr>
                      <w:rFonts w:hint="eastAsia" w:cs="Times New Roman"/>
                      <w:color w:val="auto"/>
                      <w:kern w:val="0"/>
                      <w:lang w:val="en-US" w:eastAsia="zh-CN"/>
                    </w:rPr>
                    <w:t>350</w:t>
                  </w:r>
                </w:p>
              </w:tc>
            </w:tr>
          </w:tbl>
          <w:p w14:paraId="601E2BE3">
            <w:pPr>
              <w:pStyle w:val="51"/>
              <w:ind w:left="0" w:leftChars="0" w:firstLine="0" w:firstLineChars="0"/>
              <w:rPr>
                <w:rFonts w:hint="default" w:ascii="Times New Roman" w:hAnsi="Times New Roman" w:cs="Times New Roman"/>
                <w:color w:val="auto"/>
                <w:kern w:val="0"/>
              </w:rPr>
            </w:pPr>
          </w:p>
        </w:tc>
      </w:tr>
      <w:tr w14:paraId="73AA3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800" w:type="dxa"/>
            <w:tcMar>
              <w:left w:w="28" w:type="dxa"/>
              <w:right w:w="28" w:type="dxa"/>
            </w:tcMar>
            <w:vAlign w:val="center"/>
          </w:tcPr>
          <w:p w14:paraId="46989D8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7133B3C4">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15AC226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50C4E04A">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2F8775A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190" w:type="dxa"/>
            <w:vAlign w:val="center"/>
          </w:tcPr>
          <w:p w14:paraId="53FD56FF">
            <w:pPr>
              <w:pStyle w:val="51"/>
              <w:ind w:firstLine="482"/>
              <w:rPr>
                <w:rFonts w:hint="default" w:ascii="Times New Roman" w:hAnsi="Times New Roman" w:cs="Times New Roman"/>
                <w:b/>
                <w:color w:val="auto"/>
              </w:rPr>
            </w:pPr>
            <w:r>
              <w:rPr>
                <w:rFonts w:hint="default" w:ascii="Times New Roman" w:hAnsi="Times New Roman" w:cs="Times New Roman"/>
                <w:b/>
                <w:color w:val="auto"/>
              </w:rPr>
              <w:t>1、废气排放标准</w:t>
            </w:r>
          </w:p>
          <w:p w14:paraId="6E7517BA">
            <w:pPr>
              <w:pStyle w:val="51"/>
              <w:ind w:firstLine="480"/>
              <w:rPr>
                <w:rFonts w:hint="default" w:ascii="Times New Roman" w:hAnsi="Times New Roman" w:cs="Times New Roman"/>
                <w:bCs/>
                <w:color w:val="auto"/>
              </w:rPr>
            </w:pPr>
            <w:r>
              <w:rPr>
                <w:rFonts w:hint="default" w:ascii="Times New Roman" w:hAnsi="Times New Roman" w:cs="Times New Roman"/>
                <w:bCs/>
                <w:color w:val="auto"/>
              </w:rPr>
              <w:t>（1）施工期</w:t>
            </w:r>
          </w:p>
          <w:p w14:paraId="53F5DB93">
            <w:pPr>
              <w:pStyle w:val="51"/>
              <w:ind w:firstLine="480"/>
              <w:rPr>
                <w:rFonts w:hint="default" w:ascii="Times New Roman" w:hAnsi="Times New Roman" w:cs="Times New Roman"/>
                <w:color w:val="auto"/>
              </w:rPr>
            </w:pPr>
            <w:r>
              <w:rPr>
                <w:rFonts w:hint="default" w:ascii="Times New Roman" w:hAnsi="Times New Roman" w:cs="Times New Roman"/>
                <w:color w:val="auto"/>
              </w:rPr>
              <w:t>项目施工期颗粒物排放执行《大气污染物综合排放标准》（GB16297-1996）无组织排放监控浓度限值，</w:t>
            </w:r>
            <w:r>
              <w:rPr>
                <w:rFonts w:hint="default" w:ascii="Times New Roman" w:hAnsi="Times New Roman" w:cs="Times New Roman"/>
                <w:color w:val="auto"/>
                <w:szCs w:val="24"/>
              </w:rPr>
              <w:t>即：≤1.0mg/m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，标准值见表3-</w:t>
            </w:r>
            <w:r>
              <w:rPr>
                <w:rFonts w:hint="eastAsia" w:cs="Times New Roman"/>
                <w:color w:val="auto"/>
                <w:szCs w:val="24"/>
                <w:lang w:val="en-US" w:eastAsia="zh-CN"/>
              </w:rPr>
              <w:t>4</w:t>
            </w:r>
            <w:r>
              <w:rPr>
                <w:rFonts w:hint="default" w:ascii="Times New Roman" w:hAnsi="Times New Roman" w:cs="Times New Roman"/>
                <w:color w:val="auto"/>
                <w:szCs w:val="24"/>
              </w:rPr>
              <w:t>。</w:t>
            </w:r>
          </w:p>
          <w:p w14:paraId="51916A05">
            <w:pPr>
              <w:pStyle w:val="52"/>
              <w:rPr>
                <w:rFonts w:hint="default" w:ascii="Times New Roman" w:hAnsi="Times New Roman" w:cs="Times New Roman"/>
                <w:color w:val="auto"/>
              </w:rPr>
            </w:pPr>
            <w:r>
              <w:rPr>
                <w:rFonts w:hint="default" w:ascii="Times New Roman" w:hAnsi="Times New Roman" w:cs="Times New Roman"/>
                <w:color w:val="auto"/>
              </w:rPr>
              <w:t>表3-</w:t>
            </w:r>
            <w:r>
              <w:rPr>
                <w:rFonts w:hint="eastAsia" w:cs="Times New Roman"/>
                <w:color w:val="auto"/>
                <w:lang w:val="en-US" w:eastAsia="zh-CN"/>
              </w:rPr>
              <w:t>4</w:t>
            </w:r>
            <w:r>
              <w:rPr>
                <w:rFonts w:hint="default" w:ascii="Times New Roman" w:hAnsi="Times New Roman" w:cs="Times New Roman"/>
                <w:color w:val="auto"/>
              </w:rPr>
              <w:t xml:space="preserve">    无组织排放执行标准     单位：mg/m</w:t>
            </w:r>
            <w:r>
              <w:rPr>
                <w:rFonts w:hint="default" w:ascii="Times New Roman" w:hAnsi="Times New Roman" w:cs="Times New Roman"/>
                <w:color w:val="auto"/>
                <w:vertAlign w:val="superscript"/>
              </w:rPr>
              <w:t>3</w:t>
            </w:r>
          </w:p>
          <w:tbl>
            <w:tblPr>
              <w:tblStyle w:val="20"/>
              <w:tblW w:w="83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2373"/>
              <w:gridCol w:w="1879"/>
              <w:gridCol w:w="3027"/>
            </w:tblGrid>
            <w:tr w14:paraId="5991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tcBorders>
                    <w:tl2br w:val="nil"/>
                    <w:tr2bl w:val="nil"/>
                  </w:tcBorders>
                  <w:vAlign w:val="center"/>
                </w:tcPr>
                <w:p w14:paraId="3B2DF9F6">
                  <w:pPr>
                    <w:pStyle w:val="53"/>
                    <w:rPr>
                      <w:rFonts w:hint="default" w:ascii="Times New Roman" w:hAnsi="Times New Roman" w:cs="Times New Roman"/>
                      <w:color w:val="auto"/>
                    </w:rPr>
                  </w:pPr>
                  <w:r>
                    <w:rPr>
                      <w:rFonts w:hint="default" w:ascii="Times New Roman" w:hAnsi="Times New Roman" w:cs="Times New Roman"/>
                      <w:color w:val="auto"/>
                    </w:rPr>
                    <w:t>序号</w:t>
                  </w:r>
                </w:p>
              </w:tc>
              <w:tc>
                <w:tcPr>
                  <w:tcW w:w="4252" w:type="dxa"/>
                  <w:gridSpan w:val="2"/>
                  <w:tcBorders>
                    <w:tl2br w:val="nil"/>
                    <w:tr2bl w:val="nil"/>
                  </w:tcBorders>
                  <w:vAlign w:val="center"/>
                </w:tcPr>
                <w:p w14:paraId="707EB1F7">
                  <w:pPr>
                    <w:pStyle w:val="53"/>
                    <w:rPr>
                      <w:rFonts w:hint="default" w:ascii="Times New Roman" w:hAnsi="Times New Roman" w:cs="Times New Roman"/>
                      <w:color w:val="auto"/>
                    </w:rPr>
                  </w:pPr>
                  <w:r>
                    <w:rPr>
                      <w:rFonts w:hint="default" w:ascii="Times New Roman" w:hAnsi="Times New Roman" w:cs="Times New Roman"/>
                      <w:color w:val="auto"/>
                    </w:rPr>
                    <w:t>污染物因子</w:t>
                  </w:r>
                </w:p>
              </w:tc>
              <w:tc>
                <w:tcPr>
                  <w:tcW w:w="3027" w:type="dxa"/>
                  <w:tcBorders>
                    <w:tl2br w:val="nil"/>
                    <w:tr2bl w:val="nil"/>
                  </w:tcBorders>
                  <w:vAlign w:val="center"/>
                </w:tcPr>
                <w:p w14:paraId="19E9BB73">
                  <w:pPr>
                    <w:pStyle w:val="53"/>
                    <w:rPr>
                      <w:rFonts w:hint="default" w:ascii="Times New Roman" w:hAnsi="Times New Roman" w:cs="Times New Roman"/>
                      <w:color w:val="auto"/>
                    </w:rPr>
                  </w:pPr>
                  <w:r>
                    <w:rPr>
                      <w:rFonts w:hint="default" w:ascii="Times New Roman" w:hAnsi="Times New Roman" w:cs="Times New Roman"/>
                      <w:color w:val="auto"/>
                    </w:rPr>
                    <w:t>无组织排放监控浓度（mg/m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r>
            <w:tr w14:paraId="5AB4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9" w:type="dxa"/>
                  <w:tcBorders>
                    <w:tl2br w:val="nil"/>
                    <w:tr2bl w:val="nil"/>
                  </w:tcBorders>
                  <w:vAlign w:val="center"/>
                </w:tcPr>
                <w:p w14:paraId="6CA90431">
                  <w:pPr>
                    <w:pStyle w:val="53"/>
                    <w:rPr>
                      <w:rFonts w:hint="default" w:ascii="Times New Roman" w:hAnsi="Times New Roman" w:cs="Times New Roman"/>
                      <w:color w:val="auto"/>
                    </w:rPr>
                  </w:pPr>
                  <w:r>
                    <w:rPr>
                      <w:rFonts w:hint="default" w:ascii="Times New Roman" w:hAnsi="Times New Roman" w:cs="Times New Roman"/>
                      <w:color w:val="auto"/>
                    </w:rPr>
                    <w:t>1</w:t>
                  </w:r>
                </w:p>
              </w:tc>
              <w:tc>
                <w:tcPr>
                  <w:tcW w:w="2373" w:type="dxa"/>
                  <w:tcBorders>
                    <w:tl2br w:val="nil"/>
                    <w:tr2bl w:val="nil"/>
                  </w:tcBorders>
                  <w:vAlign w:val="center"/>
                </w:tcPr>
                <w:p w14:paraId="6804F55B">
                  <w:pPr>
                    <w:pStyle w:val="53"/>
                    <w:rPr>
                      <w:rFonts w:hint="default" w:ascii="Times New Roman" w:hAnsi="Times New Roman" w:cs="Times New Roman"/>
                      <w:color w:val="auto"/>
                    </w:rPr>
                  </w:pPr>
                  <w:r>
                    <w:rPr>
                      <w:rFonts w:hint="default" w:ascii="Times New Roman" w:hAnsi="Times New Roman" w:cs="Times New Roman"/>
                      <w:color w:val="auto"/>
                    </w:rPr>
                    <w:t>项目周界外</w:t>
                  </w:r>
                </w:p>
              </w:tc>
              <w:tc>
                <w:tcPr>
                  <w:tcW w:w="1879" w:type="dxa"/>
                  <w:tcBorders>
                    <w:tl2br w:val="nil"/>
                    <w:tr2bl w:val="nil"/>
                  </w:tcBorders>
                  <w:vAlign w:val="center"/>
                </w:tcPr>
                <w:p w14:paraId="2F96675D">
                  <w:pPr>
                    <w:pStyle w:val="53"/>
                    <w:rPr>
                      <w:rFonts w:hint="default" w:ascii="Times New Roman" w:hAnsi="Times New Roman" w:cs="Times New Roman"/>
                      <w:color w:val="auto"/>
                    </w:rPr>
                  </w:pPr>
                  <w:r>
                    <w:rPr>
                      <w:rFonts w:hint="default" w:ascii="Times New Roman" w:hAnsi="Times New Roman" w:cs="Times New Roman"/>
                      <w:color w:val="auto"/>
                    </w:rPr>
                    <w:t>颗粒物</w:t>
                  </w:r>
                </w:p>
              </w:tc>
              <w:tc>
                <w:tcPr>
                  <w:tcW w:w="3027" w:type="dxa"/>
                  <w:tcBorders>
                    <w:tl2br w:val="nil"/>
                    <w:tr2bl w:val="nil"/>
                  </w:tcBorders>
                  <w:vAlign w:val="center"/>
                </w:tcPr>
                <w:p w14:paraId="57AED240">
                  <w:pPr>
                    <w:pStyle w:val="53"/>
                    <w:rPr>
                      <w:rFonts w:hint="default" w:ascii="Times New Roman" w:hAnsi="Times New Roman" w:cs="Times New Roman"/>
                      <w:color w:val="auto"/>
                    </w:rPr>
                  </w:pPr>
                  <w:r>
                    <w:rPr>
                      <w:rFonts w:hint="default" w:ascii="Times New Roman" w:hAnsi="Times New Roman" w:cs="Times New Roman"/>
                      <w:color w:val="auto"/>
                    </w:rPr>
                    <w:t>≤1.0</w:t>
                  </w:r>
                </w:p>
              </w:tc>
            </w:tr>
          </w:tbl>
          <w:p w14:paraId="12159558">
            <w:pPr>
              <w:pStyle w:val="51"/>
              <w:ind w:firstLine="480"/>
              <w:rPr>
                <w:rFonts w:hint="default" w:ascii="Times New Roman" w:hAnsi="Times New Roman" w:cs="Times New Roman"/>
                <w:color w:val="auto"/>
              </w:rPr>
            </w:pPr>
            <w:r>
              <w:rPr>
                <w:rFonts w:hint="default" w:ascii="Times New Roman" w:hAnsi="Times New Roman" w:cs="Times New Roman"/>
                <w:color w:val="auto"/>
              </w:rPr>
              <w:t>（2）运营期</w:t>
            </w:r>
          </w:p>
          <w:p w14:paraId="220D43C0">
            <w:pPr>
              <w:pStyle w:val="51"/>
              <w:bidi w:val="0"/>
              <w:rPr>
                <w:rFonts w:hint="default"/>
                <w:color w:val="auto"/>
                <w:lang w:val="en-US" w:eastAsia="zh-CN"/>
              </w:rPr>
            </w:pPr>
            <w:r>
              <w:rPr>
                <w:rFonts w:hint="eastAsia"/>
                <w:color w:val="auto"/>
                <w:lang w:val="en-US" w:eastAsia="zh-CN"/>
              </w:rPr>
              <w:t>项目生产过程产生的污染物为颗粒物、非甲烷总烃，在熔融挤出工序设置集气罩收集产生的颗粒物、非甲烷总烃，经收集后进入三级活性炭吸附装置处理后由1根15m高排气筒（</w:t>
            </w:r>
            <w:r>
              <w:rPr>
                <w:rFonts w:hint="default" w:ascii="Times New Roman" w:hAnsi="Times New Roman" w:cs="Times New Roman"/>
                <w:color w:val="auto"/>
                <w:sz w:val="24"/>
                <w:szCs w:val="24"/>
                <w:lang w:val="en-US" w:eastAsia="zh-CN"/>
              </w:rPr>
              <w:t>项目200m范围内</w:t>
            </w:r>
            <w:r>
              <w:rPr>
                <w:rFonts w:hint="eastAsia" w:cs="Times New Roman"/>
                <w:color w:val="auto"/>
                <w:sz w:val="24"/>
                <w:szCs w:val="24"/>
                <w:lang w:val="en-US" w:eastAsia="zh-CN"/>
              </w:rPr>
              <w:t>无</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及以上</w:t>
            </w:r>
            <w:r>
              <w:rPr>
                <w:rFonts w:hint="default" w:ascii="Times New Roman" w:hAnsi="Times New Roman" w:cs="Times New Roman"/>
                <w:color w:val="auto"/>
                <w:sz w:val="24"/>
                <w:szCs w:val="24"/>
                <w:lang w:val="en-US" w:eastAsia="zh-CN"/>
              </w:rPr>
              <w:t>的建筑</w:t>
            </w:r>
            <w:r>
              <w:rPr>
                <w:rFonts w:hint="eastAsia" w:cs="Times New Roman"/>
                <w:color w:val="auto"/>
                <w:sz w:val="24"/>
                <w:szCs w:val="24"/>
                <w:lang w:val="en-US" w:eastAsia="zh-CN"/>
              </w:rPr>
              <w:t>（附近最高建筑物为三层居民楼、办公楼，最高约9m</w:t>
            </w:r>
            <w:r>
              <w:rPr>
                <w:rFonts w:hint="eastAsia"/>
                <w:color w:val="auto"/>
                <w:lang w:val="en-US" w:eastAsia="zh-CN"/>
              </w:rPr>
              <w:t>）排放；排放废气执行</w:t>
            </w:r>
            <w:r>
              <w:rPr>
                <w:rFonts w:hint="eastAsia" w:cs="Times New Roman"/>
                <w:color w:val="auto"/>
                <w:sz w:val="24"/>
                <w:highlight w:val="none"/>
                <w:lang w:val="en-US" w:eastAsia="zh-CN"/>
              </w:rPr>
              <w:t>《大气污染物综合排放标准》（GB16297—1996）表2二级标准限值，标准值见3-5。</w:t>
            </w:r>
          </w:p>
          <w:p w14:paraId="5B6E1922">
            <w:pPr>
              <w:pStyle w:val="52"/>
              <w:bidi w:val="0"/>
              <w:rPr>
                <w:rFonts w:hint="default"/>
                <w:color w:val="auto"/>
                <w:lang w:val="en-US" w:eastAsia="zh-CN"/>
              </w:rPr>
            </w:pPr>
            <w:r>
              <w:rPr>
                <w:rFonts w:hint="eastAsia"/>
                <w:color w:val="auto"/>
                <w:lang w:val="en-US" w:eastAsia="zh-CN"/>
              </w:rPr>
              <w:t>表3-5    有组织废气排放标准</w:t>
            </w:r>
          </w:p>
          <w:tbl>
            <w:tblPr>
              <w:tblStyle w:val="20"/>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2240"/>
              <w:gridCol w:w="1891"/>
              <w:gridCol w:w="1812"/>
              <w:gridCol w:w="2350"/>
            </w:tblGrid>
            <w:tr w14:paraId="37BE8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23" w:hRule="atLeast"/>
                <w:jc w:val="center"/>
              </w:trPr>
              <w:tc>
                <w:tcPr>
                  <w:tcW w:w="1350" w:type="pct"/>
                  <w:noWrap w:val="0"/>
                  <w:vAlign w:val="center"/>
                </w:tcPr>
                <w:p w14:paraId="0F310DDA">
                  <w:pPr>
                    <w:pStyle w:val="53"/>
                    <w:rPr>
                      <w:color w:val="auto"/>
                    </w:rPr>
                  </w:pPr>
                  <w:r>
                    <w:rPr>
                      <w:rFonts w:hint="eastAsia"/>
                      <w:color w:val="auto"/>
                    </w:rPr>
                    <w:t>排放口编号/排气筒高度</w:t>
                  </w:r>
                </w:p>
              </w:tc>
              <w:tc>
                <w:tcPr>
                  <w:tcW w:w="1140" w:type="pct"/>
                  <w:noWrap w:val="0"/>
                  <w:vAlign w:val="center"/>
                </w:tcPr>
                <w:p w14:paraId="7BC1D07B">
                  <w:pPr>
                    <w:pStyle w:val="53"/>
                    <w:rPr>
                      <w:color w:val="auto"/>
                    </w:rPr>
                  </w:pPr>
                  <w:r>
                    <w:rPr>
                      <w:color w:val="auto"/>
                    </w:rPr>
                    <w:t>污染物</w:t>
                  </w:r>
                </w:p>
              </w:tc>
              <w:tc>
                <w:tcPr>
                  <w:tcW w:w="1092" w:type="pct"/>
                  <w:noWrap w:val="0"/>
                  <w:vAlign w:val="center"/>
                </w:tcPr>
                <w:p w14:paraId="6F1F1295">
                  <w:pPr>
                    <w:pStyle w:val="53"/>
                    <w:rPr>
                      <w:color w:val="auto"/>
                    </w:rPr>
                  </w:pPr>
                  <w:r>
                    <w:rPr>
                      <w:rFonts w:hint="eastAsia"/>
                      <w:color w:val="auto"/>
                    </w:rPr>
                    <w:t>最高允许排放浓度</w:t>
                  </w:r>
                </w:p>
              </w:tc>
              <w:tc>
                <w:tcPr>
                  <w:tcW w:w="1416" w:type="pct"/>
                  <w:noWrap w:val="0"/>
                  <w:vAlign w:val="center"/>
                </w:tcPr>
                <w:p w14:paraId="79DCBB83">
                  <w:pPr>
                    <w:pStyle w:val="53"/>
                    <w:rPr>
                      <w:color w:val="auto"/>
                    </w:rPr>
                  </w:pPr>
                  <w:r>
                    <w:rPr>
                      <w:rFonts w:hint="eastAsia"/>
                      <w:color w:val="auto"/>
                    </w:rPr>
                    <w:t>最高允许排放速率</w:t>
                  </w:r>
                </w:p>
              </w:tc>
            </w:tr>
            <w:tr w14:paraId="195F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350" w:type="pct"/>
                  <w:vMerge w:val="restart"/>
                  <w:noWrap w:val="0"/>
                  <w:vAlign w:val="center"/>
                </w:tcPr>
                <w:p w14:paraId="3D427198">
                  <w:pPr>
                    <w:pStyle w:val="53"/>
                    <w:rPr>
                      <w:color w:val="auto"/>
                    </w:rPr>
                  </w:pPr>
                  <w:r>
                    <w:rPr>
                      <w:rFonts w:hint="eastAsia"/>
                      <w:color w:val="auto"/>
                    </w:rPr>
                    <w:t>DA00</w:t>
                  </w:r>
                  <w:r>
                    <w:rPr>
                      <w:rFonts w:hint="eastAsia"/>
                      <w:color w:val="auto"/>
                      <w:lang w:val="en-US" w:eastAsia="zh-CN"/>
                    </w:rPr>
                    <w:t>1</w:t>
                  </w:r>
                  <w:r>
                    <w:rPr>
                      <w:rFonts w:hint="eastAsia"/>
                      <w:color w:val="auto"/>
                    </w:rPr>
                    <w:t>/15m</w:t>
                  </w:r>
                </w:p>
              </w:tc>
              <w:tc>
                <w:tcPr>
                  <w:tcW w:w="1140" w:type="pct"/>
                  <w:noWrap w:val="0"/>
                  <w:vAlign w:val="center"/>
                </w:tcPr>
                <w:p w14:paraId="6512FC5A">
                  <w:pPr>
                    <w:pStyle w:val="53"/>
                    <w:rPr>
                      <w:rFonts w:hint="default" w:eastAsia="宋体"/>
                      <w:color w:val="auto"/>
                      <w:lang w:val="en-US" w:eastAsia="zh-CN"/>
                    </w:rPr>
                  </w:pPr>
                  <w:r>
                    <w:rPr>
                      <w:rFonts w:hint="eastAsia"/>
                      <w:color w:val="auto"/>
                      <w:lang w:val="en-US" w:eastAsia="zh-CN"/>
                    </w:rPr>
                    <w:t>非甲烷总烃</w:t>
                  </w:r>
                </w:p>
              </w:tc>
              <w:tc>
                <w:tcPr>
                  <w:tcW w:w="1092" w:type="pct"/>
                  <w:noWrap w:val="0"/>
                  <w:vAlign w:val="center"/>
                </w:tcPr>
                <w:p w14:paraId="569C1CE5">
                  <w:pPr>
                    <w:pStyle w:val="53"/>
                    <w:rPr>
                      <w:rFonts w:hint="default" w:eastAsia="宋体"/>
                      <w:color w:val="auto"/>
                      <w:lang w:val="en-US" w:eastAsia="zh-CN"/>
                    </w:rPr>
                  </w:pPr>
                  <w:r>
                    <w:rPr>
                      <w:rFonts w:hint="eastAsia"/>
                      <w:color w:val="auto"/>
                      <w:lang w:val="en-US" w:eastAsia="zh-CN"/>
                    </w:rPr>
                    <w:t>120</w:t>
                  </w:r>
                  <w:r>
                    <w:rPr>
                      <w:color w:val="auto"/>
                    </w:rPr>
                    <w:t>mg/m</w:t>
                  </w:r>
                  <w:r>
                    <w:rPr>
                      <w:color w:val="auto"/>
                      <w:vertAlign w:val="superscript"/>
                    </w:rPr>
                    <w:t>3</w:t>
                  </w:r>
                </w:p>
              </w:tc>
              <w:tc>
                <w:tcPr>
                  <w:tcW w:w="1416" w:type="pct"/>
                  <w:noWrap w:val="0"/>
                  <w:vAlign w:val="center"/>
                </w:tcPr>
                <w:p w14:paraId="60BB2C7F">
                  <w:pPr>
                    <w:pStyle w:val="53"/>
                    <w:rPr>
                      <w:color w:val="auto"/>
                    </w:rPr>
                  </w:pPr>
                  <w:r>
                    <w:rPr>
                      <w:rFonts w:hint="eastAsia"/>
                      <w:color w:val="auto"/>
                      <w:lang w:val="en-US" w:eastAsia="zh-CN"/>
                    </w:rPr>
                    <w:t>10</w:t>
                  </w:r>
                  <w:r>
                    <w:rPr>
                      <w:rFonts w:hint="eastAsia"/>
                      <w:color w:val="auto"/>
                    </w:rPr>
                    <w:t>kg/h</w:t>
                  </w:r>
                </w:p>
              </w:tc>
            </w:tr>
            <w:tr w14:paraId="7AF4F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1350" w:type="pct"/>
                  <w:vMerge w:val="continue"/>
                  <w:noWrap w:val="0"/>
                  <w:vAlign w:val="center"/>
                </w:tcPr>
                <w:p w14:paraId="48C614E6">
                  <w:pPr>
                    <w:pStyle w:val="53"/>
                    <w:rPr>
                      <w:color w:val="auto"/>
                    </w:rPr>
                  </w:pPr>
                </w:p>
              </w:tc>
              <w:tc>
                <w:tcPr>
                  <w:tcW w:w="1140" w:type="pct"/>
                  <w:noWrap w:val="0"/>
                  <w:vAlign w:val="center"/>
                </w:tcPr>
                <w:p w14:paraId="0DBC313C">
                  <w:pPr>
                    <w:pStyle w:val="53"/>
                    <w:rPr>
                      <w:color w:val="auto"/>
                    </w:rPr>
                  </w:pPr>
                  <w:r>
                    <w:rPr>
                      <w:color w:val="auto"/>
                    </w:rPr>
                    <w:t>颗粒物</w:t>
                  </w:r>
                </w:p>
              </w:tc>
              <w:tc>
                <w:tcPr>
                  <w:tcW w:w="1092" w:type="pct"/>
                  <w:noWrap w:val="0"/>
                  <w:vAlign w:val="center"/>
                </w:tcPr>
                <w:p w14:paraId="1896E6DE">
                  <w:pPr>
                    <w:pStyle w:val="53"/>
                    <w:rPr>
                      <w:color w:val="auto"/>
                    </w:rPr>
                  </w:pPr>
                  <w:r>
                    <w:rPr>
                      <w:rFonts w:hint="eastAsia"/>
                      <w:color w:val="auto"/>
                    </w:rPr>
                    <w:t>120</w:t>
                  </w:r>
                  <w:r>
                    <w:rPr>
                      <w:color w:val="auto"/>
                    </w:rPr>
                    <w:t>mg/m</w:t>
                  </w:r>
                  <w:r>
                    <w:rPr>
                      <w:color w:val="auto"/>
                      <w:vertAlign w:val="superscript"/>
                    </w:rPr>
                    <w:t>3</w:t>
                  </w:r>
                </w:p>
              </w:tc>
              <w:tc>
                <w:tcPr>
                  <w:tcW w:w="1416" w:type="pct"/>
                  <w:noWrap w:val="0"/>
                  <w:vAlign w:val="center"/>
                </w:tcPr>
                <w:p w14:paraId="20339DB2">
                  <w:pPr>
                    <w:pStyle w:val="53"/>
                    <w:rPr>
                      <w:color w:val="auto"/>
                    </w:rPr>
                  </w:pPr>
                  <w:r>
                    <w:rPr>
                      <w:rFonts w:hint="eastAsia"/>
                      <w:color w:val="auto"/>
                    </w:rPr>
                    <w:t>3.5kg/h</w:t>
                  </w:r>
                </w:p>
              </w:tc>
            </w:tr>
          </w:tbl>
          <w:p w14:paraId="7B93E935">
            <w:pPr>
              <w:pStyle w:val="51"/>
              <w:bidi w:val="0"/>
              <w:rPr>
                <w:rFonts w:hint="default" w:eastAsia="宋体"/>
                <w:color w:val="auto"/>
                <w:lang w:val="en-US" w:eastAsia="zh-CN"/>
              </w:rPr>
            </w:pPr>
            <w:r>
              <w:rPr>
                <w:rFonts w:hint="default" w:ascii="Times New Roman" w:hAnsi="Times New Roman" w:eastAsia="宋体" w:cs="Times New Roman"/>
                <w:color w:val="auto"/>
                <w:sz w:val="24"/>
                <w:highlight w:val="none"/>
              </w:rPr>
              <w:t>项目生产过程中会产生塑料异味</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塑料异味主要产生于熔融</w:t>
            </w:r>
            <w:r>
              <w:rPr>
                <w:rFonts w:hint="eastAsia" w:cs="Times New Roman"/>
                <w:color w:val="auto"/>
                <w:sz w:val="24"/>
                <w:highlight w:val="none"/>
                <w:lang w:val="en-US" w:eastAsia="zh-CN"/>
              </w:rPr>
              <w:t>挤出</w:t>
            </w:r>
            <w:r>
              <w:rPr>
                <w:rFonts w:hint="default" w:ascii="Times New Roman" w:hAnsi="Times New Roman" w:eastAsia="宋体" w:cs="Times New Roman"/>
                <w:color w:val="auto"/>
                <w:sz w:val="24"/>
                <w:highlight w:val="none"/>
              </w:rPr>
              <w:t>过程，未</w:t>
            </w:r>
            <w:r>
              <w:rPr>
                <w:rFonts w:hint="eastAsia" w:eastAsia="宋体" w:cs="Times New Roman"/>
                <w:color w:val="auto"/>
                <w:sz w:val="24"/>
                <w:highlight w:val="none"/>
                <w:lang w:val="en-US" w:eastAsia="zh-CN"/>
              </w:rPr>
              <w:t>经</w:t>
            </w:r>
            <w:r>
              <w:rPr>
                <w:rFonts w:hint="default" w:ascii="Times New Roman" w:hAnsi="Times New Roman" w:eastAsia="宋体" w:cs="Times New Roman"/>
                <w:color w:val="auto"/>
                <w:sz w:val="24"/>
                <w:highlight w:val="none"/>
              </w:rPr>
              <w:t>收集的异味在生产车间内呈无组织排放</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异味的排放执行《恶臭污染物排放标准》（GB14554-93）</w:t>
            </w:r>
            <w:r>
              <w:rPr>
                <w:rFonts w:hint="eastAsia" w:eastAsia="宋体" w:cs="Times New Roman"/>
                <w:color w:val="auto"/>
                <w:sz w:val="24"/>
                <w:highlight w:val="none"/>
                <w:lang w:val="en-US" w:eastAsia="zh-CN"/>
              </w:rPr>
              <w:t>表1二级</w:t>
            </w:r>
            <w:r>
              <w:rPr>
                <w:rFonts w:hint="default" w:ascii="Times New Roman" w:hAnsi="Times New Roman" w:eastAsia="宋体" w:cs="Times New Roman"/>
                <w:color w:val="auto"/>
                <w:sz w:val="24"/>
                <w:highlight w:val="none"/>
              </w:rPr>
              <w:t>标准限值要求</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未经集气罩收集的熔融挤出、真空烧网废气呈无组织排放，无组织排放的颗粒物、非甲烷总烃执行</w:t>
            </w:r>
            <w:r>
              <w:rPr>
                <w:rFonts w:hint="eastAsia" w:cs="Times New Roman"/>
                <w:color w:val="auto"/>
                <w:sz w:val="24"/>
                <w:highlight w:val="none"/>
                <w:lang w:val="en-US" w:eastAsia="zh-CN"/>
              </w:rPr>
              <w:t>《大气污染物综合排放标准》（GB16297—1996）表2无组织排放监控浓度限值；</w:t>
            </w:r>
            <w:r>
              <w:rPr>
                <w:rFonts w:hint="eastAsia" w:eastAsia="宋体" w:cs="Times New Roman"/>
                <w:color w:val="auto"/>
                <w:sz w:val="24"/>
                <w:highlight w:val="none"/>
                <w:lang w:val="en-US" w:eastAsia="zh-CN"/>
              </w:rPr>
              <w:t>标准值见表3-6</w:t>
            </w:r>
            <w:r>
              <w:rPr>
                <w:rFonts w:hint="eastAsia" w:eastAsia="宋体" w:cs="Times New Roman"/>
                <w:color w:val="auto"/>
                <w:sz w:val="24"/>
                <w:highlight w:val="none"/>
                <w:lang w:eastAsia="zh-CN"/>
              </w:rPr>
              <w:t>；</w:t>
            </w:r>
            <w:r>
              <w:rPr>
                <w:rFonts w:hint="default" w:ascii="Times New Roman" w:hAnsi="Times New Roman" w:eastAsia="宋体" w:cs="Times New Roman"/>
                <w:color w:val="auto"/>
                <w:sz w:val="24"/>
                <w:highlight w:val="none"/>
              </w:rPr>
              <w:t>厂区内非甲烷总烃无组织排放执行《挥发性有机物无组织排放控制标准》（GB37822-2019）表A.1厂区内VOCs无组织排放限值</w:t>
            </w:r>
            <w:r>
              <w:rPr>
                <w:rFonts w:hint="eastAsia" w:eastAsia="宋体" w:cs="Times New Roman"/>
                <w:color w:val="auto"/>
                <w:sz w:val="24"/>
                <w:highlight w:val="none"/>
                <w:lang w:eastAsia="zh-CN"/>
              </w:rPr>
              <w:t>；</w:t>
            </w:r>
            <w:r>
              <w:rPr>
                <w:rFonts w:hint="eastAsia" w:eastAsia="宋体" w:cs="Times New Roman"/>
                <w:color w:val="auto"/>
                <w:sz w:val="24"/>
                <w:highlight w:val="none"/>
                <w:lang w:val="en-US" w:eastAsia="zh-CN"/>
              </w:rPr>
              <w:t>标准值见表3-7。</w:t>
            </w:r>
          </w:p>
          <w:p w14:paraId="3158168A">
            <w:pPr>
              <w:pStyle w:val="52"/>
              <w:bidi w:val="0"/>
              <w:rPr>
                <w:rFonts w:hint="default"/>
                <w:color w:val="auto"/>
                <w:lang w:val="en-US" w:eastAsia="zh-CN"/>
              </w:rPr>
            </w:pPr>
            <w:r>
              <w:rPr>
                <w:rFonts w:hint="eastAsia"/>
                <w:color w:val="auto"/>
                <w:lang w:val="en-US" w:eastAsia="zh-CN"/>
              </w:rPr>
              <w:t>表3-6    无组织废气排放标准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3051"/>
              <w:gridCol w:w="3046"/>
            </w:tblGrid>
            <w:tr w14:paraId="7571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9" w:type="pct"/>
                  <w:noWrap w:val="0"/>
                  <w:vAlign w:val="center"/>
                </w:tcPr>
                <w:p w14:paraId="13BD9CE5">
                  <w:pPr>
                    <w:pStyle w:val="53"/>
                    <w:bidi w:val="0"/>
                    <w:rPr>
                      <w:rFonts w:hint="default"/>
                      <w:color w:val="auto"/>
                    </w:rPr>
                  </w:pPr>
                  <w:r>
                    <w:rPr>
                      <w:rFonts w:hint="default"/>
                      <w:color w:val="auto"/>
                    </w:rPr>
                    <w:t>污染物</w:t>
                  </w:r>
                </w:p>
              </w:tc>
              <w:tc>
                <w:tcPr>
                  <w:tcW w:w="1836" w:type="pct"/>
                  <w:noWrap w:val="0"/>
                  <w:vAlign w:val="center"/>
                </w:tcPr>
                <w:p w14:paraId="55729CFA">
                  <w:pPr>
                    <w:pStyle w:val="53"/>
                    <w:bidi w:val="0"/>
                    <w:rPr>
                      <w:rFonts w:hint="default"/>
                      <w:color w:val="auto"/>
                      <w:lang w:val="en-US" w:eastAsia="zh-CN"/>
                    </w:rPr>
                  </w:pPr>
                  <w:r>
                    <w:rPr>
                      <w:rFonts w:hint="default"/>
                      <w:color w:val="auto"/>
                    </w:rPr>
                    <w:t>排放限值</w:t>
                  </w:r>
                  <w:r>
                    <w:rPr>
                      <w:rFonts w:hint="eastAsia"/>
                      <w:color w:val="auto"/>
                      <w:lang w:eastAsia="zh-CN"/>
                    </w:rPr>
                    <w:t>（</w:t>
                  </w:r>
                  <w:r>
                    <w:rPr>
                      <w:rFonts w:hint="eastAsia"/>
                      <w:color w:val="auto"/>
                      <w:lang w:val="en-US" w:eastAsia="zh-CN"/>
                    </w:rPr>
                    <w:t>mg/m</w:t>
                  </w:r>
                  <w:r>
                    <w:rPr>
                      <w:rFonts w:hint="eastAsia"/>
                      <w:color w:val="auto"/>
                      <w:vertAlign w:val="superscript"/>
                      <w:lang w:val="en-US" w:eastAsia="zh-CN"/>
                    </w:rPr>
                    <w:t>3</w:t>
                  </w:r>
                  <w:r>
                    <w:rPr>
                      <w:rFonts w:hint="eastAsia"/>
                      <w:color w:val="auto"/>
                      <w:lang w:val="en-US" w:eastAsia="zh-CN"/>
                    </w:rPr>
                    <w:t>）</w:t>
                  </w:r>
                </w:p>
              </w:tc>
              <w:tc>
                <w:tcPr>
                  <w:tcW w:w="1833" w:type="pct"/>
                  <w:noWrap w:val="0"/>
                  <w:vAlign w:val="center"/>
                </w:tcPr>
                <w:p w14:paraId="1CA8BDC7">
                  <w:pPr>
                    <w:pStyle w:val="53"/>
                    <w:bidi w:val="0"/>
                    <w:rPr>
                      <w:rFonts w:hint="eastAsia"/>
                      <w:color w:val="auto"/>
                      <w:lang w:eastAsia="zh-CN"/>
                    </w:rPr>
                  </w:pPr>
                  <w:r>
                    <w:rPr>
                      <w:rFonts w:hint="eastAsia"/>
                      <w:color w:val="auto"/>
                      <w:lang w:val="en-US" w:eastAsia="zh-CN"/>
                    </w:rPr>
                    <w:t>监控点</w:t>
                  </w:r>
                </w:p>
              </w:tc>
            </w:tr>
            <w:tr w14:paraId="5526D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9" w:type="pct"/>
                  <w:noWrap w:val="0"/>
                  <w:vAlign w:val="center"/>
                </w:tcPr>
                <w:p w14:paraId="59C44E88">
                  <w:pPr>
                    <w:pStyle w:val="53"/>
                    <w:bidi w:val="0"/>
                    <w:rPr>
                      <w:rFonts w:hint="default"/>
                      <w:color w:val="auto"/>
                    </w:rPr>
                  </w:pPr>
                  <w:r>
                    <w:rPr>
                      <w:rFonts w:hint="default"/>
                      <w:color w:val="auto"/>
                    </w:rPr>
                    <w:t>颗粒物</w:t>
                  </w:r>
                </w:p>
              </w:tc>
              <w:tc>
                <w:tcPr>
                  <w:tcW w:w="1836" w:type="pct"/>
                  <w:noWrap w:val="0"/>
                  <w:vAlign w:val="center"/>
                </w:tcPr>
                <w:p w14:paraId="6294A3DE">
                  <w:pPr>
                    <w:pStyle w:val="53"/>
                    <w:bidi w:val="0"/>
                    <w:rPr>
                      <w:rFonts w:hint="default"/>
                      <w:color w:val="auto"/>
                    </w:rPr>
                  </w:pPr>
                  <w:r>
                    <w:rPr>
                      <w:rFonts w:hint="default"/>
                      <w:color w:val="auto"/>
                    </w:rPr>
                    <w:t>1.0</w:t>
                  </w:r>
                </w:p>
              </w:tc>
              <w:tc>
                <w:tcPr>
                  <w:tcW w:w="1833" w:type="pct"/>
                  <w:vMerge w:val="restart"/>
                  <w:noWrap w:val="0"/>
                  <w:vAlign w:val="center"/>
                </w:tcPr>
                <w:p w14:paraId="75974376">
                  <w:pPr>
                    <w:pStyle w:val="53"/>
                    <w:bidi w:val="0"/>
                    <w:rPr>
                      <w:rFonts w:hint="default"/>
                      <w:color w:val="auto"/>
                      <w:lang w:val="en-US" w:eastAsia="zh-CN"/>
                    </w:rPr>
                  </w:pPr>
                  <w:r>
                    <w:rPr>
                      <w:rFonts w:hint="eastAsia"/>
                      <w:color w:val="auto"/>
                      <w:lang w:val="en-US" w:eastAsia="zh-CN"/>
                    </w:rPr>
                    <w:t>周界外浓度最高点</w:t>
                  </w:r>
                </w:p>
              </w:tc>
            </w:tr>
            <w:tr w14:paraId="55DB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9" w:type="pct"/>
                  <w:noWrap w:val="0"/>
                  <w:vAlign w:val="center"/>
                </w:tcPr>
                <w:p w14:paraId="74D6C7B4">
                  <w:pPr>
                    <w:pStyle w:val="53"/>
                    <w:bidi w:val="0"/>
                    <w:rPr>
                      <w:rFonts w:hint="default"/>
                      <w:color w:val="auto"/>
                    </w:rPr>
                  </w:pPr>
                  <w:r>
                    <w:rPr>
                      <w:rFonts w:hint="default"/>
                      <w:color w:val="auto"/>
                    </w:rPr>
                    <w:t>非甲烷总烃</w:t>
                  </w:r>
                </w:p>
              </w:tc>
              <w:tc>
                <w:tcPr>
                  <w:tcW w:w="1836" w:type="pct"/>
                  <w:noWrap w:val="0"/>
                  <w:vAlign w:val="center"/>
                </w:tcPr>
                <w:p w14:paraId="438A9B76">
                  <w:pPr>
                    <w:pStyle w:val="53"/>
                    <w:bidi w:val="0"/>
                    <w:rPr>
                      <w:rFonts w:hint="default"/>
                      <w:color w:val="auto"/>
                    </w:rPr>
                  </w:pPr>
                  <w:r>
                    <w:rPr>
                      <w:rFonts w:hint="default"/>
                      <w:color w:val="auto"/>
                    </w:rPr>
                    <w:t>4.0</w:t>
                  </w:r>
                </w:p>
              </w:tc>
              <w:tc>
                <w:tcPr>
                  <w:tcW w:w="1833" w:type="pct"/>
                  <w:vMerge w:val="continue"/>
                  <w:noWrap w:val="0"/>
                  <w:vAlign w:val="center"/>
                </w:tcPr>
                <w:p w14:paraId="298D3083">
                  <w:pPr>
                    <w:pStyle w:val="53"/>
                    <w:bidi w:val="0"/>
                    <w:rPr>
                      <w:rFonts w:hint="default"/>
                      <w:color w:val="auto"/>
                    </w:rPr>
                  </w:pPr>
                </w:p>
              </w:tc>
            </w:tr>
            <w:tr w14:paraId="1B49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9" w:type="pct"/>
                  <w:noWrap w:val="0"/>
                  <w:vAlign w:val="center"/>
                </w:tcPr>
                <w:p w14:paraId="5818D075">
                  <w:pPr>
                    <w:pStyle w:val="53"/>
                    <w:bidi w:val="0"/>
                    <w:rPr>
                      <w:rFonts w:hint="eastAsia"/>
                      <w:color w:val="auto"/>
                      <w:lang w:val="en-US" w:eastAsia="zh-CN"/>
                    </w:rPr>
                  </w:pPr>
                  <w:r>
                    <w:rPr>
                      <w:rFonts w:hint="eastAsia"/>
                      <w:color w:val="auto"/>
                      <w:lang w:val="en-US" w:eastAsia="zh-CN"/>
                    </w:rPr>
                    <w:t>臭气浓度</w:t>
                  </w:r>
                </w:p>
              </w:tc>
              <w:tc>
                <w:tcPr>
                  <w:tcW w:w="1836" w:type="pct"/>
                  <w:noWrap w:val="0"/>
                  <w:vAlign w:val="center"/>
                </w:tcPr>
                <w:p w14:paraId="5F04A2DE">
                  <w:pPr>
                    <w:pStyle w:val="53"/>
                    <w:bidi w:val="0"/>
                    <w:rPr>
                      <w:rFonts w:hint="default"/>
                      <w:color w:val="auto"/>
                      <w:lang w:val="en-US" w:eastAsia="zh-CN"/>
                    </w:rPr>
                  </w:pPr>
                  <w:r>
                    <w:rPr>
                      <w:rFonts w:hint="eastAsia"/>
                      <w:color w:val="auto"/>
                      <w:lang w:val="en-US" w:eastAsia="zh-CN"/>
                    </w:rPr>
                    <w:t>20（无量纲）</w:t>
                  </w:r>
                </w:p>
              </w:tc>
              <w:tc>
                <w:tcPr>
                  <w:tcW w:w="1833" w:type="pct"/>
                  <w:noWrap w:val="0"/>
                  <w:vAlign w:val="center"/>
                </w:tcPr>
                <w:p w14:paraId="65982321">
                  <w:pPr>
                    <w:pStyle w:val="53"/>
                    <w:bidi w:val="0"/>
                    <w:rPr>
                      <w:rFonts w:hint="eastAsia"/>
                      <w:color w:val="auto"/>
                      <w:lang w:val="en-US" w:eastAsia="zh-CN"/>
                    </w:rPr>
                  </w:pPr>
                  <w:r>
                    <w:rPr>
                      <w:rFonts w:hint="eastAsia"/>
                      <w:color w:val="auto"/>
                      <w:lang w:val="en-US" w:eastAsia="zh-CN"/>
                    </w:rPr>
                    <w:t>厂界</w:t>
                  </w:r>
                </w:p>
              </w:tc>
            </w:tr>
          </w:tbl>
          <w:p w14:paraId="65525F8F">
            <w:pPr>
              <w:pStyle w:val="52"/>
              <w:bidi w:val="0"/>
              <w:rPr>
                <w:rFonts w:hint="default"/>
                <w:color w:val="auto"/>
                <w:lang w:val="en-US" w:eastAsia="zh-CN"/>
              </w:rPr>
            </w:pPr>
            <w:r>
              <w:rPr>
                <w:rFonts w:hint="eastAsia"/>
                <w:color w:val="auto"/>
                <w:lang w:val="en-US" w:eastAsia="zh-CN"/>
              </w:rPr>
              <w:t>表3-7    厂区内非甲烷总烃无组织排放标准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2062"/>
              <w:gridCol w:w="2674"/>
              <w:gridCol w:w="2099"/>
            </w:tblGrid>
            <w:tr w14:paraId="408D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noWrap w:val="0"/>
                  <w:vAlign w:val="center"/>
                </w:tcPr>
                <w:p w14:paraId="54CF513D">
                  <w:pPr>
                    <w:pStyle w:val="53"/>
                    <w:bidi w:val="0"/>
                    <w:rPr>
                      <w:rFonts w:hint="default"/>
                      <w:color w:val="auto"/>
                      <w:lang w:val="en-US" w:eastAsia="zh-CN"/>
                    </w:rPr>
                  </w:pPr>
                  <w:r>
                    <w:rPr>
                      <w:rFonts w:hint="eastAsia"/>
                      <w:color w:val="auto"/>
                      <w:lang w:val="en-US" w:eastAsia="zh-CN"/>
                    </w:rPr>
                    <w:t>污染物项目</w:t>
                  </w:r>
                </w:p>
              </w:tc>
              <w:tc>
                <w:tcPr>
                  <w:tcW w:w="2062" w:type="dxa"/>
                  <w:noWrap w:val="0"/>
                  <w:vAlign w:val="center"/>
                </w:tcPr>
                <w:p w14:paraId="02347C85">
                  <w:pPr>
                    <w:pStyle w:val="53"/>
                    <w:bidi w:val="0"/>
                    <w:rPr>
                      <w:rFonts w:hint="default"/>
                      <w:color w:val="auto"/>
                      <w:lang w:val="en-US" w:eastAsia="zh-CN"/>
                    </w:rPr>
                  </w:pPr>
                  <w:r>
                    <w:rPr>
                      <w:rFonts w:hint="eastAsia"/>
                      <w:color w:val="auto"/>
                      <w:lang w:val="en-US" w:eastAsia="zh-CN"/>
                    </w:rPr>
                    <w:t>排放限值（mg/m</w:t>
                  </w:r>
                  <w:r>
                    <w:rPr>
                      <w:rFonts w:hint="eastAsia"/>
                      <w:color w:val="auto"/>
                      <w:vertAlign w:val="superscript"/>
                      <w:lang w:val="en-US" w:eastAsia="zh-CN"/>
                    </w:rPr>
                    <w:t>3</w:t>
                  </w:r>
                  <w:r>
                    <w:rPr>
                      <w:rFonts w:hint="eastAsia"/>
                      <w:color w:val="auto"/>
                      <w:lang w:val="en-US" w:eastAsia="zh-CN"/>
                    </w:rPr>
                    <w:t>）</w:t>
                  </w:r>
                </w:p>
              </w:tc>
              <w:tc>
                <w:tcPr>
                  <w:tcW w:w="2674" w:type="dxa"/>
                  <w:noWrap w:val="0"/>
                  <w:vAlign w:val="center"/>
                </w:tcPr>
                <w:p w14:paraId="40FEE0BB">
                  <w:pPr>
                    <w:pStyle w:val="53"/>
                    <w:bidi w:val="0"/>
                    <w:rPr>
                      <w:rFonts w:hint="default"/>
                      <w:color w:val="auto"/>
                      <w:lang w:val="en-US" w:eastAsia="zh-CN"/>
                    </w:rPr>
                  </w:pPr>
                  <w:r>
                    <w:rPr>
                      <w:rFonts w:hint="eastAsia"/>
                      <w:color w:val="auto"/>
                      <w:lang w:val="en-US" w:eastAsia="zh-CN"/>
                    </w:rPr>
                    <w:t>限值含义</w:t>
                  </w:r>
                </w:p>
              </w:tc>
              <w:tc>
                <w:tcPr>
                  <w:tcW w:w="2099" w:type="dxa"/>
                  <w:noWrap w:val="0"/>
                  <w:vAlign w:val="center"/>
                </w:tcPr>
                <w:p w14:paraId="7EFE74FA">
                  <w:pPr>
                    <w:pStyle w:val="53"/>
                    <w:bidi w:val="0"/>
                    <w:rPr>
                      <w:rFonts w:hint="default"/>
                      <w:color w:val="auto"/>
                      <w:lang w:val="en-US" w:eastAsia="zh-CN"/>
                    </w:rPr>
                  </w:pPr>
                  <w:r>
                    <w:rPr>
                      <w:rFonts w:hint="eastAsia"/>
                      <w:color w:val="auto"/>
                      <w:lang w:val="en-US" w:eastAsia="zh-CN"/>
                    </w:rPr>
                    <w:t>无组织排放监控位置</w:t>
                  </w:r>
                </w:p>
              </w:tc>
            </w:tr>
            <w:tr w14:paraId="30A1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restart"/>
                  <w:noWrap w:val="0"/>
                  <w:vAlign w:val="center"/>
                </w:tcPr>
                <w:p w14:paraId="4BC2D28F">
                  <w:pPr>
                    <w:pStyle w:val="53"/>
                    <w:bidi w:val="0"/>
                    <w:rPr>
                      <w:rFonts w:hint="default"/>
                      <w:color w:val="auto"/>
                      <w:lang w:val="en-US" w:eastAsia="zh-CN"/>
                    </w:rPr>
                  </w:pPr>
                  <w:r>
                    <w:rPr>
                      <w:rFonts w:hint="eastAsia"/>
                      <w:color w:val="auto"/>
                      <w:lang w:val="en-US" w:eastAsia="zh-CN"/>
                    </w:rPr>
                    <w:t>非甲烷总烃</w:t>
                  </w:r>
                </w:p>
              </w:tc>
              <w:tc>
                <w:tcPr>
                  <w:tcW w:w="2062" w:type="dxa"/>
                  <w:noWrap w:val="0"/>
                  <w:vAlign w:val="center"/>
                </w:tcPr>
                <w:p w14:paraId="51650574">
                  <w:pPr>
                    <w:pStyle w:val="53"/>
                    <w:bidi w:val="0"/>
                    <w:rPr>
                      <w:rFonts w:hint="default"/>
                      <w:color w:val="auto"/>
                      <w:lang w:val="en-US" w:eastAsia="zh-CN"/>
                    </w:rPr>
                  </w:pPr>
                  <w:r>
                    <w:rPr>
                      <w:rFonts w:hint="eastAsia"/>
                      <w:color w:val="auto"/>
                      <w:lang w:val="en-US" w:eastAsia="zh-CN"/>
                    </w:rPr>
                    <w:t>10</w:t>
                  </w:r>
                </w:p>
              </w:tc>
              <w:tc>
                <w:tcPr>
                  <w:tcW w:w="2674" w:type="dxa"/>
                  <w:noWrap w:val="0"/>
                  <w:vAlign w:val="center"/>
                </w:tcPr>
                <w:p w14:paraId="390417CD">
                  <w:pPr>
                    <w:pStyle w:val="53"/>
                    <w:bidi w:val="0"/>
                    <w:rPr>
                      <w:rFonts w:hint="default"/>
                      <w:color w:val="auto"/>
                      <w:lang w:val="en-US" w:eastAsia="zh-CN"/>
                    </w:rPr>
                  </w:pPr>
                  <w:r>
                    <w:rPr>
                      <w:rFonts w:hint="eastAsia"/>
                      <w:color w:val="auto"/>
                      <w:lang w:val="en-US" w:eastAsia="zh-CN"/>
                    </w:rPr>
                    <w:t>监控点处1h平均浓度</w:t>
                  </w:r>
                </w:p>
              </w:tc>
              <w:tc>
                <w:tcPr>
                  <w:tcW w:w="2099" w:type="dxa"/>
                  <w:vMerge w:val="restart"/>
                  <w:noWrap w:val="0"/>
                  <w:vAlign w:val="center"/>
                </w:tcPr>
                <w:p w14:paraId="7E2C88CA">
                  <w:pPr>
                    <w:pStyle w:val="53"/>
                    <w:bidi w:val="0"/>
                    <w:rPr>
                      <w:rFonts w:hint="default"/>
                      <w:color w:val="auto"/>
                      <w:lang w:val="en-US" w:eastAsia="zh-CN"/>
                    </w:rPr>
                  </w:pPr>
                  <w:r>
                    <w:rPr>
                      <w:rFonts w:hint="eastAsia"/>
                      <w:color w:val="auto"/>
                      <w:lang w:val="en-US" w:eastAsia="zh-CN"/>
                    </w:rPr>
                    <w:t>在厂房外设置监控点</w:t>
                  </w:r>
                </w:p>
              </w:tc>
            </w:tr>
            <w:tr w14:paraId="22C7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3" w:type="dxa"/>
                  <w:vMerge w:val="continue"/>
                  <w:noWrap w:val="0"/>
                  <w:vAlign w:val="center"/>
                </w:tcPr>
                <w:p w14:paraId="3FCA050C">
                  <w:pPr>
                    <w:pStyle w:val="53"/>
                    <w:bidi w:val="0"/>
                    <w:rPr>
                      <w:rFonts w:hint="default"/>
                      <w:color w:val="auto"/>
                      <w:lang w:val="en-US" w:eastAsia="zh-CN"/>
                    </w:rPr>
                  </w:pPr>
                </w:p>
              </w:tc>
              <w:tc>
                <w:tcPr>
                  <w:tcW w:w="2062" w:type="dxa"/>
                  <w:noWrap w:val="0"/>
                  <w:vAlign w:val="center"/>
                </w:tcPr>
                <w:p w14:paraId="555CB0E1">
                  <w:pPr>
                    <w:pStyle w:val="53"/>
                    <w:bidi w:val="0"/>
                    <w:rPr>
                      <w:rFonts w:hint="default"/>
                      <w:color w:val="auto"/>
                      <w:lang w:val="en-US" w:eastAsia="zh-CN"/>
                    </w:rPr>
                  </w:pPr>
                  <w:r>
                    <w:rPr>
                      <w:rFonts w:hint="eastAsia"/>
                      <w:color w:val="auto"/>
                      <w:lang w:val="en-US" w:eastAsia="zh-CN"/>
                    </w:rPr>
                    <w:t>30</w:t>
                  </w:r>
                </w:p>
              </w:tc>
              <w:tc>
                <w:tcPr>
                  <w:tcW w:w="2674" w:type="dxa"/>
                  <w:noWrap w:val="0"/>
                  <w:vAlign w:val="center"/>
                </w:tcPr>
                <w:p w14:paraId="3296F53D">
                  <w:pPr>
                    <w:pStyle w:val="53"/>
                    <w:bidi w:val="0"/>
                    <w:rPr>
                      <w:rFonts w:hint="default"/>
                      <w:color w:val="auto"/>
                      <w:lang w:val="en-US" w:eastAsia="zh-CN"/>
                    </w:rPr>
                  </w:pPr>
                  <w:r>
                    <w:rPr>
                      <w:rFonts w:hint="eastAsia"/>
                      <w:color w:val="auto"/>
                      <w:lang w:val="en-US" w:eastAsia="zh-CN"/>
                    </w:rPr>
                    <w:t>监控点处任意一次浓度值</w:t>
                  </w:r>
                </w:p>
              </w:tc>
              <w:tc>
                <w:tcPr>
                  <w:tcW w:w="2099" w:type="dxa"/>
                  <w:vMerge w:val="continue"/>
                  <w:noWrap w:val="0"/>
                  <w:vAlign w:val="center"/>
                </w:tcPr>
                <w:p w14:paraId="400C9B12">
                  <w:pPr>
                    <w:pStyle w:val="53"/>
                    <w:bidi w:val="0"/>
                    <w:rPr>
                      <w:rFonts w:hint="eastAsia"/>
                      <w:color w:val="auto"/>
                      <w:lang w:val="en-US" w:eastAsia="zh-CN"/>
                    </w:rPr>
                  </w:pPr>
                </w:p>
              </w:tc>
            </w:tr>
          </w:tbl>
          <w:p w14:paraId="1DF054BD">
            <w:pPr>
              <w:pStyle w:val="51"/>
              <w:ind w:firstLine="482"/>
              <w:rPr>
                <w:rFonts w:hint="default" w:ascii="Times New Roman" w:hAnsi="Times New Roman" w:cs="Times New Roman"/>
                <w:b/>
                <w:color w:val="auto"/>
              </w:rPr>
            </w:pPr>
            <w:r>
              <w:rPr>
                <w:rFonts w:hint="default" w:ascii="Times New Roman" w:hAnsi="Times New Roman" w:cs="Times New Roman"/>
                <w:b/>
                <w:color w:val="auto"/>
              </w:rPr>
              <w:t>2、废水排放标准</w:t>
            </w:r>
          </w:p>
          <w:p w14:paraId="4918F085">
            <w:pPr>
              <w:pStyle w:val="51"/>
              <w:bidi w:val="0"/>
              <w:rPr>
                <w:rFonts w:hint="eastAsia"/>
                <w:color w:val="auto"/>
              </w:rPr>
            </w:pPr>
            <w:r>
              <w:rPr>
                <w:rFonts w:hint="eastAsia"/>
                <w:color w:val="auto"/>
              </w:rPr>
              <w:t>项目</w:t>
            </w:r>
            <w:r>
              <w:rPr>
                <w:rFonts w:hint="eastAsia"/>
                <w:color w:val="auto"/>
                <w:lang w:val="en-US" w:eastAsia="zh-CN"/>
              </w:rPr>
              <w:t>冷却过程中的冷却水循环使用；</w:t>
            </w:r>
            <w:r>
              <w:rPr>
                <w:rFonts w:hint="eastAsia"/>
                <w:color w:val="auto"/>
              </w:rPr>
              <w:t>生活污水进入化粪池处理后用作农肥。因此，本项目不</w:t>
            </w:r>
            <w:r>
              <w:rPr>
                <w:rFonts w:hint="eastAsia"/>
                <w:color w:val="auto"/>
                <w:lang w:eastAsia="zh-CN"/>
              </w:rPr>
              <w:t>列入</w:t>
            </w:r>
            <w:r>
              <w:rPr>
                <w:rFonts w:hint="eastAsia"/>
                <w:color w:val="auto"/>
              </w:rPr>
              <w:t>水污染物排放标准。</w:t>
            </w:r>
          </w:p>
          <w:p w14:paraId="3CFBB56D">
            <w:pPr>
              <w:pStyle w:val="51"/>
              <w:ind w:firstLine="482"/>
              <w:rPr>
                <w:rFonts w:hint="default" w:ascii="Times New Roman" w:hAnsi="Times New Roman" w:cs="Times New Roman"/>
                <w:b/>
                <w:color w:val="auto"/>
              </w:rPr>
            </w:pPr>
            <w:r>
              <w:rPr>
                <w:rFonts w:hint="default" w:ascii="Times New Roman" w:hAnsi="Times New Roman" w:cs="Times New Roman"/>
                <w:b/>
                <w:color w:val="auto"/>
              </w:rPr>
              <w:t>3、噪声排放标准</w:t>
            </w:r>
          </w:p>
          <w:p w14:paraId="53A4A306">
            <w:pPr>
              <w:pStyle w:val="51"/>
              <w:ind w:firstLine="480"/>
              <w:rPr>
                <w:rFonts w:hint="default" w:ascii="Times New Roman" w:hAnsi="Times New Roman" w:cs="Times New Roman"/>
                <w:color w:val="auto"/>
              </w:rPr>
            </w:pPr>
            <w:r>
              <w:rPr>
                <w:rFonts w:hint="default" w:ascii="Times New Roman" w:hAnsi="Times New Roman" w:cs="Times New Roman"/>
                <w:color w:val="auto"/>
              </w:rPr>
              <w:t>（1）施工期</w:t>
            </w:r>
          </w:p>
          <w:p w14:paraId="14CA369F">
            <w:pPr>
              <w:pStyle w:val="51"/>
              <w:ind w:firstLine="480"/>
              <w:rPr>
                <w:rFonts w:hint="default" w:ascii="Times New Roman" w:hAnsi="Times New Roman" w:cs="Times New Roman"/>
                <w:color w:val="auto"/>
              </w:rPr>
            </w:pPr>
            <w:r>
              <w:rPr>
                <w:rFonts w:hint="default" w:ascii="Times New Roman" w:hAnsi="Times New Roman" w:cs="Times New Roman"/>
                <w:color w:val="auto"/>
              </w:rPr>
              <w:t>施工期噪声排放执行《建筑施工场界环境噪声排放标准》（GB12523-2011），标准值见下表：</w:t>
            </w:r>
          </w:p>
          <w:p w14:paraId="0718F140">
            <w:pPr>
              <w:pStyle w:val="52"/>
              <w:rPr>
                <w:rFonts w:hint="default" w:ascii="Times New Roman" w:hAnsi="Times New Roman" w:cs="Times New Roman"/>
                <w:color w:val="auto"/>
              </w:rPr>
            </w:pPr>
            <w:r>
              <w:rPr>
                <w:rFonts w:hint="default" w:ascii="Times New Roman" w:hAnsi="Times New Roman" w:cs="Times New Roman"/>
                <w:color w:val="auto"/>
              </w:rPr>
              <w:t>表3-</w:t>
            </w:r>
            <w:r>
              <w:rPr>
                <w:rFonts w:hint="eastAsia" w:cs="Times New Roman"/>
                <w:color w:val="auto"/>
                <w:lang w:val="en-US" w:eastAsia="zh-CN"/>
              </w:rPr>
              <w:t>8</w:t>
            </w:r>
            <w:r>
              <w:rPr>
                <w:rFonts w:hint="default" w:ascii="Times New Roman" w:hAnsi="Times New Roman" w:cs="Times New Roman"/>
                <w:color w:val="auto"/>
              </w:rPr>
              <w:t xml:space="preserve">     建筑施工场界环境噪声排放限值    单位： dB（A）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383"/>
              <w:gridCol w:w="3925"/>
            </w:tblGrid>
            <w:tr w14:paraId="49587B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8" w:type="pct"/>
                  <w:tcBorders>
                    <w:tl2br w:val="nil"/>
                    <w:tr2bl w:val="nil"/>
                  </w:tcBorders>
                  <w:vAlign w:val="center"/>
                </w:tcPr>
                <w:p w14:paraId="52588A71">
                  <w:pPr>
                    <w:pStyle w:val="53"/>
                    <w:rPr>
                      <w:rFonts w:hint="default" w:ascii="Times New Roman" w:hAnsi="Times New Roman" w:cs="Times New Roman"/>
                      <w:color w:val="auto"/>
                    </w:rPr>
                  </w:pPr>
                  <w:r>
                    <w:rPr>
                      <w:rFonts w:hint="default" w:ascii="Times New Roman" w:hAnsi="Times New Roman" w:cs="Times New Roman"/>
                      <w:color w:val="auto"/>
                    </w:rPr>
                    <w:t>昼间</w:t>
                  </w:r>
                </w:p>
              </w:tc>
              <w:tc>
                <w:tcPr>
                  <w:tcW w:w="2362" w:type="pct"/>
                  <w:tcBorders>
                    <w:tl2br w:val="nil"/>
                    <w:tr2bl w:val="nil"/>
                  </w:tcBorders>
                  <w:vAlign w:val="center"/>
                </w:tcPr>
                <w:p w14:paraId="666BC84F">
                  <w:pPr>
                    <w:pStyle w:val="53"/>
                    <w:rPr>
                      <w:rFonts w:hint="default" w:ascii="Times New Roman" w:hAnsi="Times New Roman" w:cs="Times New Roman"/>
                      <w:color w:val="auto"/>
                    </w:rPr>
                  </w:pPr>
                  <w:r>
                    <w:rPr>
                      <w:rFonts w:hint="default" w:ascii="Times New Roman" w:hAnsi="Times New Roman" w:cs="Times New Roman"/>
                      <w:color w:val="auto"/>
                    </w:rPr>
                    <w:t>夜间</w:t>
                  </w:r>
                </w:p>
              </w:tc>
            </w:tr>
            <w:tr w14:paraId="6A4DCD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38" w:type="pct"/>
                  <w:tcBorders>
                    <w:tl2br w:val="nil"/>
                    <w:tr2bl w:val="nil"/>
                  </w:tcBorders>
                  <w:vAlign w:val="center"/>
                </w:tcPr>
                <w:p w14:paraId="6A4E56A1">
                  <w:pPr>
                    <w:pStyle w:val="53"/>
                    <w:rPr>
                      <w:rFonts w:hint="default" w:ascii="Times New Roman" w:hAnsi="Times New Roman" w:cs="Times New Roman"/>
                      <w:color w:val="auto"/>
                    </w:rPr>
                  </w:pPr>
                  <w:r>
                    <w:rPr>
                      <w:rFonts w:hint="default" w:ascii="Times New Roman" w:hAnsi="Times New Roman" w:cs="Times New Roman"/>
                      <w:color w:val="auto"/>
                    </w:rPr>
                    <w:t>70</w:t>
                  </w:r>
                </w:p>
              </w:tc>
              <w:tc>
                <w:tcPr>
                  <w:tcW w:w="2362" w:type="pct"/>
                  <w:tcBorders>
                    <w:tl2br w:val="nil"/>
                    <w:tr2bl w:val="nil"/>
                  </w:tcBorders>
                  <w:vAlign w:val="center"/>
                </w:tcPr>
                <w:p w14:paraId="3DBDD64D">
                  <w:pPr>
                    <w:pStyle w:val="53"/>
                    <w:rPr>
                      <w:rFonts w:hint="default" w:ascii="Times New Roman" w:hAnsi="Times New Roman" w:cs="Times New Roman"/>
                      <w:color w:val="auto"/>
                    </w:rPr>
                  </w:pPr>
                  <w:r>
                    <w:rPr>
                      <w:rFonts w:hint="default" w:ascii="Times New Roman" w:hAnsi="Times New Roman" w:cs="Times New Roman"/>
                      <w:color w:val="auto"/>
                    </w:rPr>
                    <w:t>55</w:t>
                  </w:r>
                </w:p>
              </w:tc>
            </w:tr>
          </w:tbl>
          <w:p w14:paraId="15745D86">
            <w:pPr>
              <w:pStyle w:val="51"/>
              <w:ind w:firstLine="480"/>
              <w:rPr>
                <w:rFonts w:hint="default" w:ascii="Times New Roman" w:hAnsi="Times New Roman" w:cs="Times New Roman"/>
                <w:color w:val="auto"/>
              </w:rPr>
            </w:pPr>
            <w:r>
              <w:rPr>
                <w:rFonts w:hint="default" w:ascii="Times New Roman" w:hAnsi="Times New Roman" w:cs="Times New Roman"/>
                <w:color w:val="auto"/>
              </w:rPr>
              <w:t>（2）运营期</w:t>
            </w:r>
          </w:p>
          <w:p w14:paraId="7CECA71B">
            <w:pPr>
              <w:pStyle w:val="51"/>
              <w:ind w:firstLine="480"/>
              <w:rPr>
                <w:rFonts w:hint="default" w:ascii="Times New Roman" w:hAnsi="Times New Roman" w:cs="Times New Roman"/>
                <w:color w:val="auto"/>
              </w:rPr>
            </w:pPr>
            <w:r>
              <w:rPr>
                <w:rFonts w:hint="default" w:ascii="Times New Roman" w:hAnsi="Times New Roman" w:cs="Times New Roman"/>
                <w:color w:val="auto"/>
              </w:rPr>
              <w:t>项目运营期厂界噪声执行《工业企业厂界环境噪声排放标准》 （GB12348-2008）2类区标准，标准限值见表3-</w:t>
            </w:r>
            <w:r>
              <w:rPr>
                <w:rFonts w:hint="eastAsia" w:cs="Times New Roman"/>
                <w:color w:val="auto"/>
                <w:lang w:val="en-US" w:eastAsia="zh-CN"/>
              </w:rPr>
              <w:t>9</w:t>
            </w:r>
            <w:r>
              <w:rPr>
                <w:rFonts w:hint="default" w:ascii="Times New Roman" w:hAnsi="Times New Roman" w:cs="Times New Roman"/>
                <w:color w:val="auto"/>
              </w:rPr>
              <w:t>。</w:t>
            </w:r>
          </w:p>
          <w:p w14:paraId="77849CEE">
            <w:pPr>
              <w:spacing w:line="360" w:lineRule="auto"/>
              <w:ind w:firstLine="560"/>
              <w:jc w:val="center"/>
              <w:rPr>
                <w:rFonts w:hint="default" w:ascii="Times New Roman" w:hAnsi="Times New Roman" w:cs="Times New Roman"/>
                <w:b/>
                <w:bCs/>
                <w:color w:val="auto"/>
              </w:rPr>
            </w:pPr>
            <w:r>
              <w:rPr>
                <w:rFonts w:hint="default" w:ascii="Times New Roman" w:hAnsi="Times New Roman" w:cs="Times New Roman"/>
                <w:b/>
                <w:bCs/>
                <w:color w:val="auto"/>
              </w:rPr>
              <w:t>表3-</w:t>
            </w:r>
            <w:r>
              <w:rPr>
                <w:rFonts w:hint="eastAsia" w:hAnsi="Times New Roman" w:cs="Times New Roman"/>
                <w:b/>
                <w:bCs/>
                <w:color w:val="auto"/>
                <w:lang w:val="en-US" w:eastAsia="zh-CN"/>
              </w:rPr>
              <w:t>9</w:t>
            </w:r>
            <w:r>
              <w:rPr>
                <w:rFonts w:hint="default" w:ascii="Times New Roman" w:hAnsi="Times New Roman" w:cs="Times New Roman"/>
                <w:b/>
                <w:bCs/>
                <w:color w:val="auto"/>
              </w:rPr>
              <w:t xml:space="preserve">    工业企业厂界噪声排放限值  单位：dB(A)</w:t>
            </w:r>
          </w:p>
          <w:tbl>
            <w:tblPr>
              <w:tblStyle w:val="20"/>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1"/>
              <w:gridCol w:w="2690"/>
              <w:gridCol w:w="2367"/>
            </w:tblGrid>
            <w:tr w14:paraId="2EC9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tcBorders>
                    <w:tl2br w:val="nil"/>
                    <w:tr2bl w:val="nil"/>
                  </w:tcBorders>
                  <w:vAlign w:val="center"/>
                </w:tcPr>
                <w:p w14:paraId="6AC84020">
                  <w:pPr>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2690" w:type="dxa"/>
                  <w:tcBorders>
                    <w:tl2br w:val="nil"/>
                    <w:tr2bl w:val="nil"/>
                  </w:tcBorders>
                  <w:vAlign w:val="center"/>
                </w:tcPr>
                <w:p w14:paraId="2EC6B045">
                  <w:pPr>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367" w:type="dxa"/>
                  <w:tcBorders>
                    <w:tl2br w:val="nil"/>
                    <w:tr2bl w:val="nil"/>
                  </w:tcBorders>
                  <w:vAlign w:val="center"/>
                </w:tcPr>
                <w:p w14:paraId="2EFE59A4">
                  <w:pPr>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14:paraId="6BD0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1" w:type="dxa"/>
                  <w:tcBorders>
                    <w:tl2br w:val="nil"/>
                    <w:tr2bl w:val="nil"/>
                  </w:tcBorders>
                  <w:vAlign w:val="center"/>
                </w:tcPr>
                <w:p w14:paraId="7CE4B3F0">
                  <w:pPr>
                    <w:jc w:val="center"/>
                    <w:rPr>
                      <w:rFonts w:hint="default" w:ascii="Times New Roman" w:hAnsi="Times New Roman" w:cs="Times New Roman"/>
                      <w:color w:val="auto"/>
                      <w:szCs w:val="21"/>
                    </w:rPr>
                  </w:pPr>
                  <w:r>
                    <w:rPr>
                      <w:rFonts w:hint="default" w:ascii="Times New Roman" w:hAnsi="Times New Roman" w:cs="Times New Roman"/>
                      <w:color w:val="auto"/>
                      <w:szCs w:val="21"/>
                    </w:rPr>
                    <w:t>2类</w:t>
                  </w:r>
                </w:p>
              </w:tc>
              <w:tc>
                <w:tcPr>
                  <w:tcW w:w="2690" w:type="dxa"/>
                  <w:tcBorders>
                    <w:tl2br w:val="nil"/>
                    <w:tr2bl w:val="nil"/>
                  </w:tcBorders>
                  <w:vAlign w:val="center"/>
                </w:tcPr>
                <w:p w14:paraId="79D065F9">
                  <w:pPr>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2367" w:type="dxa"/>
                  <w:tcBorders>
                    <w:tl2br w:val="nil"/>
                    <w:tr2bl w:val="nil"/>
                  </w:tcBorders>
                  <w:vAlign w:val="center"/>
                </w:tcPr>
                <w:p w14:paraId="2DD0725B">
                  <w:pPr>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14:paraId="5BFFEF54">
            <w:pPr>
              <w:pStyle w:val="51"/>
              <w:ind w:firstLine="482"/>
              <w:rPr>
                <w:rFonts w:hint="default" w:ascii="Times New Roman" w:hAnsi="Times New Roman" w:cs="Times New Roman"/>
                <w:b/>
                <w:color w:val="auto"/>
              </w:rPr>
            </w:pPr>
            <w:r>
              <w:rPr>
                <w:rFonts w:hint="default" w:ascii="Times New Roman" w:hAnsi="Times New Roman" w:cs="Times New Roman"/>
                <w:b/>
                <w:color w:val="auto"/>
              </w:rPr>
              <w:t>4、固体废弃物</w:t>
            </w:r>
          </w:p>
          <w:p w14:paraId="7E33DBDD">
            <w:pPr>
              <w:pStyle w:val="51"/>
              <w:ind w:firstLine="480"/>
              <w:rPr>
                <w:rFonts w:hint="default" w:ascii="Times New Roman" w:hAnsi="Times New Roman" w:cs="Times New Roman"/>
                <w:color w:val="auto"/>
              </w:rPr>
            </w:pPr>
            <w:r>
              <w:rPr>
                <w:rFonts w:hint="default" w:ascii="Times New Roman" w:hAnsi="Times New Roman" w:cs="Times New Roman"/>
                <w:color w:val="auto"/>
              </w:rPr>
              <w:t>一般固体废物执行《一般工业固体废物贮存和填埋污染控制标准》（GB18599-2020）。</w:t>
            </w:r>
          </w:p>
          <w:p w14:paraId="4892454C">
            <w:pPr>
              <w:pStyle w:val="51"/>
              <w:ind w:firstLine="480"/>
              <w:rPr>
                <w:rFonts w:hint="default" w:ascii="Times New Roman" w:hAnsi="Times New Roman" w:cs="Times New Roman"/>
                <w:color w:val="auto"/>
              </w:rPr>
            </w:pPr>
            <w:r>
              <w:rPr>
                <w:rFonts w:hint="default" w:ascii="Times New Roman" w:hAnsi="Times New Roman" w:cs="Times New Roman"/>
                <w:color w:val="auto"/>
              </w:rPr>
              <w:t>项目产生的危险废物贮存应满足《危险废物贮存污染控制标准》（GB18597-2023）中的</w:t>
            </w:r>
            <w:r>
              <w:rPr>
                <w:rFonts w:hint="eastAsia" w:cs="Times New Roman"/>
                <w:color w:val="auto"/>
                <w:lang w:val="en-US" w:eastAsia="zh-CN"/>
              </w:rPr>
              <w:t>相关</w:t>
            </w:r>
            <w:r>
              <w:rPr>
                <w:rFonts w:hint="default" w:ascii="Times New Roman" w:hAnsi="Times New Roman" w:cs="Times New Roman"/>
                <w:color w:val="auto"/>
              </w:rPr>
              <w:t>要求。</w:t>
            </w:r>
          </w:p>
        </w:tc>
      </w:tr>
      <w:tr w14:paraId="7F949E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00" w:type="dxa"/>
            <w:vAlign w:val="center"/>
          </w:tcPr>
          <w:p w14:paraId="0F83FD0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总量控制指标</w:t>
            </w:r>
          </w:p>
        </w:tc>
        <w:tc>
          <w:tcPr>
            <w:tcW w:w="8190" w:type="dxa"/>
            <w:vAlign w:val="center"/>
          </w:tcPr>
          <w:p w14:paraId="10F38005">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根据本项目的排污特征，结合国家污染物排放总量控制原则，列出本项目建议执行的总量控制指标：</w:t>
            </w:r>
          </w:p>
          <w:p w14:paraId="248E0404">
            <w:pPr>
              <w:pStyle w:val="51"/>
              <w:bidi w:val="0"/>
              <w:rPr>
                <w:rFonts w:hint="eastAsia" w:cs="宋体"/>
                <w:color w:val="auto"/>
                <w:kern w:val="2"/>
                <w:highlight w:val="none"/>
                <w:lang w:val="en-US" w:eastAsia="zh-CN"/>
              </w:rPr>
            </w:pPr>
            <w:r>
              <w:rPr>
                <w:rFonts w:hint="eastAsia"/>
                <w:color w:val="auto"/>
                <w:lang w:val="en-US" w:eastAsia="zh-CN"/>
              </w:rPr>
              <w:t>废气：</w:t>
            </w:r>
            <w:r>
              <w:rPr>
                <w:rFonts w:hint="eastAsia" w:cs="宋体"/>
                <w:color w:val="auto"/>
                <w:kern w:val="2"/>
                <w:highlight w:val="none"/>
                <w:lang w:val="en-US" w:eastAsia="zh-CN"/>
              </w:rPr>
              <w:t>非甲烷总烃：</w:t>
            </w:r>
            <w:r>
              <w:rPr>
                <w:rFonts w:hint="eastAsia"/>
                <w:color w:val="auto"/>
                <w:highlight w:val="none"/>
                <w:lang w:val="en-US" w:eastAsia="zh-CN"/>
              </w:rPr>
              <w:t>1.26</w:t>
            </w:r>
            <w:r>
              <w:rPr>
                <w:rFonts w:hint="eastAsia" w:cs="宋体"/>
                <w:color w:val="auto"/>
                <w:kern w:val="2"/>
                <w:highlight w:val="none"/>
                <w:lang w:val="en-US" w:eastAsia="zh-CN"/>
              </w:rPr>
              <w:t>t/a。</w:t>
            </w:r>
          </w:p>
          <w:p w14:paraId="70D30C64">
            <w:pPr>
              <w:pStyle w:val="51"/>
              <w:bidi w:val="0"/>
              <w:rPr>
                <w:rFonts w:hint="eastAsia" w:cs="宋体"/>
                <w:color w:val="auto"/>
                <w:kern w:val="2"/>
                <w:highlight w:val="none"/>
                <w:lang w:val="en-US" w:eastAsia="zh-CN"/>
              </w:rPr>
            </w:pPr>
          </w:p>
          <w:p w14:paraId="51C255D5">
            <w:pPr>
              <w:pStyle w:val="51"/>
              <w:bidi w:val="0"/>
              <w:ind w:left="0" w:leftChars="0" w:firstLine="0" w:firstLineChars="0"/>
              <w:rPr>
                <w:rFonts w:hint="default" w:cs="宋体"/>
                <w:color w:val="auto"/>
                <w:kern w:val="2"/>
                <w:highlight w:val="none"/>
                <w:lang w:val="en-US" w:eastAsia="zh-CN"/>
              </w:rPr>
            </w:pPr>
          </w:p>
          <w:p w14:paraId="248C4EB4">
            <w:pPr>
              <w:pStyle w:val="51"/>
              <w:bidi w:val="0"/>
              <w:ind w:left="0" w:leftChars="0" w:firstLine="0" w:firstLineChars="0"/>
              <w:rPr>
                <w:rFonts w:hint="default" w:cs="宋体"/>
                <w:color w:val="auto"/>
                <w:kern w:val="2"/>
                <w:highlight w:val="none"/>
                <w:lang w:val="en-US" w:eastAsia="zh-CN"/>
              </w:rPr>
            </w:pPr>
          </w:p>
          <w:p w14:paraId="2DA26F9C">
            <w:pPr>
              <w:pStyle w:val="51"/>
              <w:bidi w:val="0"/>
              <w:ind w:left="0" w:leftChars="0" w:firstLine="0" w:firstLineChars="0"/>
              <w:rPr>
                <w:rFonts w:hint="default" w:cs="宋体"/>
                <w:color w:val="auto"/>
                <w:kern w:val="2"/>
                <w:highlight w:val="none"/>
                <w:lang w:val="en-US" w:eastAsia="zh-CN"/>
              </w:rPr>
            </w:pPr>
          </w:p>
          <w:p w14:paraId="77FE2714">
            <w:pPr>
              <w:pStyle w:val="51"/>
              <w:bidi w:val="0"/>
              <w:ind w:left="0" w:leftChars="0" w:firstLine="0" w:firstLineChars="0"/>
              <w:rPr>
                <w:rFonts w:hint="default" w:cs="宋体"/>
                <w:color w:val="auto"/>
                <w:kern w:val="2"/>
                <w:highlight w:val="none"/>
                <w:lang w:val="en-US" w:eastAsia="zh-CN"/>
              </w:rPr>
            </w:pPr>
          </w:p>
          <w:p w14:paraId="774F0407">
            <w:pPr>
              <w:pStyle w:val="51"/>
              <w:bidi w:val="0"/>
              <w:ind w:left="0" w:leftChars="0" w:firstLine="0" w:firstLineChars="0"/>
              <w:rPr>
                <w:rFonts w:hint="default" w:cs="宋体"/>
                <w:color w:val="auto"/>
                <w:kern w:val="2"/>
                <w:highlight w:val="none"/>
                <w:lang w:val="en-US" w:eastAsia="zh-CN"/>
              </w:rPr>
            </w:pPr>
          </w:p>
          <w:p w14:paraId="0CD95EA3">
            <w:pPr>
              <w:pStyle w:val="51"/>
              <w:bidi w:val="0"/>
              <w:ind w:left="0" w:leftChars="0" w:firstLine="0" w:firstLineChars="0"/>
              <w:rPr>
                <w:rFonts w:hint="default" w:cs="宋体"/>
                <w:color w:val="auto"/>
                <w:kern w:val="2"/>
                <w:highlight w:val="none"/>
                <w:lang w:val="en-US" w:eastAsia="zh-CN"/>
              </w:rPr>
            </w:pPr>
          </w:p>
          <w:p w14:paraId="4131907A">
            <w:pPr>
              <w:pStyle w:val="51"/>
              <w:bidi w:val="0"/>
              <w:ind w:left="0" w:leftChars="0" w:firstLine="0" w:firstLineChars="0"/>
              <w:rPr>
                <w:rFonts w:hint="default" w:cs="宋体"/>
                <w:color w:val="auto"/>
                <w:kern w:val="2"/>
                <w:highlight w:val="none"/>
                <w:lang w:val="en-US" w:eastAsia="zh-CN"/>
              </w:rPr>
            </w:pPr>
          </w:p>
          <w:p w14:paraId="75A8FD53">
            <w:pPr>
              <w:pStyle w:val="51"/>
              <w:bidi w:val="0"/>
              <w:ind w:left="0" w:leftChars="0" w:firstLine="0" w:firstLineChars="0"/>
              <w:rPr>
                <w:rFonts w:hint="default" w:cs="宋体"/>
                <w:color w:val="auto"/>
                <w:kern w:val="2"/>
                <w:highlight w:val="none"/>
                <w:lang w:val="en-US" w:eastAsia="zh-CN"/>
              </w:rPr>
            </w:pPr>
          </w:p>
          <w:p w14:paraId="683A9765">
            <w:pPr>
              <w:pStyle w:val="51"/>
              <w:bidi w:val="0"/>
              <w:ind w:left="0" w:leftChars="0" w:firstLine="0" w:firstLineChars="0"/>
              <w:rPr>
                <w:rFonts w:hint="default" w:cs="宋体"/>
                <w:color w:val="auto"/>
                <w:kern w:val="2"/>
                <w:highlight w:val="none"/>
                <w:lang w:val="en-US" w:eastAsia="zh-CN"/>
              </w:rPr>
            </w:pPr>
          </w:p>
          <w:p w14:paraId="7901386A">
            <w:pPr>
              <w:pStyle w:val="51"/>
              <w:bidi w:val="0"/>
              <w:ind w:left="0" w:leftChars="0" w:firstLine="0" w:firstLineChars="0"/>
              <w:rPr>
                <w:rFonts w:hint="default" w:cs="宋体"/>
                <w:color w:val="auto"/>
                <w:kern w:val="2"/>
                <w:highlight w:val="none"/>
                <w:lang w:val="en-US" w:eastAsia="zh-CN"/>
              </w:rPr>
            </w:pPr>
          </w:p>
          <w:p w14:paraId="68CA6166">
            <w:pPr>
              <w:pStyle w:val="51"/>
              <w:bidi w:val="0"/>
              <w:ind w:left="0" w:leftChars="0" w:firstLine="0" w:firstLineChars="0"/>
              <w:rPr>
                <w:rFonts w:hint="default" w:cs="宋体"/>
                <w:color w:val="auto"/>
                <w:kern w:val="2"/>
                <w:highlight w:val="none"/>
                <w:lang w:val="en-US" w:eastAsia="zh-CN"/>
              </w:rPr>
            </w:pPr>
          </w:p>
          <w:p w14:paraId="3EA10EA0">
            <w:pPr>
              <w:pStyle w:val="51"/>
              <w:bidi w:val="0"/>
              <w:ind w:left="0" w:leftChars="0" w:firstLine="0" w:firstLineChars="0"/>
              <w:rPr>
                <w:rFonts w:hint="default" w:cs="宋体"/>
                <w:color w:val="auto"/>
                <w:kern w:val="2"/>
                <w:highlight w:val="none"/>
                <w:lang w:val="en-US" w:eastAsia="zh-CN"/>
              </w:rPr>
            </w:pPr>
          </w:p>
          <w:p w14:paraId="731FC5C5">
            <w:pPr>
              <w:pStyle w:val="51"/>
              <w:bidi w:val="0"/>
              <w:ind w:left="0" w:leftChars="0" w:firstLine="0" w:firstLineChars="0"/>
              <w:rPr>
                <w:rFonts w:hint="default" w:cs="宋体"/>
                <w:color w:val="auto"/>
                <w:kern w:val="2"/>
                <w:highlight w:val="none"/>
                <w:lang w:val="en-US" w:eastAsia="zh-CN"/>
              </w:rPr>
            </w:pPr>
          </w:p>
          <w:p w14:paraId="722BC954">
            <w:pPr>
              <w:pStyle w:val="51"/>
              <w:bidi w:val="0"/>
              <w:ind w:left="0" w:leftChars="0" w:firstLine="0" w:firstLineChars="0"/>
              <w:rPr>
                <w:rFonts w:hint="default" w:cs="宋体"/>
                <w:color w:val="auto"/>
                <w:kern w:val="2"/>
                <w:highlight w:val="none"/>
                <w:lang w:val="en-US" w:eastAsia="zh-CN"/>
              </w:rPr>
            </w:pPr>
          </w:p>
          <w:p w14:paraId="747F6BA5">
            <w:pPr>
              <w:pStyle w:val="51"/>
              <w:bidi w:val="0"/>
              <w:ind w:left="0" w:leftChars="0" w:firstLine="0" w:firstLineChars="0"/>
              <w:rPr>
                <w:rFonts w:hint="default" w:cs="宋体"/>
                <w:color w:val="auto"/>
                <w:kern w:val="2"/>
                <w:highlight w:val="none"/>
                <w:lang w:val="en-US" w:eastAsia="zh-CN"/>
              </w:rPr>
            </w:pPr>
          </w:p>
          <w:p w14:paraId="5E953039">
            <w:pPr>
              <w:pStyle w:val="51"/>
              <w:bidi w:val="0"/>
              <w:ind w:left="0" w:leftChars="0" w:firstLine="0" w:firstLineChars="0"/>
              <w:rPr>
                <w:rFonts w:hint="default" w:cs="宋体"/>
                <w:color w:val="auto"/>
                <w:kern w:val="2"/>
                <w:highlight w:val="none"/>
                <w:lang w:val="en-US" w:eastAsia="zh-CN"/>
              </w:rPr>
            </w:pPr>
          </w:p>
          <w:p w14:paraId="4203AD80">
            <w:pPr>
              <w:pStyle w:val="51"/>
              <w:bidi w:val="0"/>
              <w:ind w:left="0" w:leftChars="0" w:firstLine="0" w:firstLineChars="0"/>
              <w:rPr>
                <w:rFonts w:hint="default" w:cs="宋体"/>
                <w:color w:val="auto"/>
                <w:kern w:val="2"/>
                <w:highlight w:val="none"/>
                <w:lang w:val="en-US" w:eastAsia="zh-CN"/>
              </w:rPr>
            </w:pPr>
          </w:p>
          <w:p w14:paraId="6F1783C7">
            <w:pPr>
              <w:pStyle w:val="51"/>
              <w:bidi w:val="0"/>
              <w:ind w:left="0" w:leftChars="0" w:firstLine="0" w:firstLineChars="0"/>
              <w:rPr>
                <w:rFonts w:hint="default" w:cs="宋体"/>
                <w:color w:val="auto"/>
                <w:kern w:val="2"/>
                <w:highlight w:val="none"/>
                <w:lang w:val="en-US" w:eastAsia="zh-CN"/>
              </w:rPr>
            </w:pPr>
          </w:p>
          <w:p w14:paraId="2557BAF1">
            <w:pPr>
              <w:pStyle w:val="51"/>
              <w:bidi w:val="0"/>
              <w:ind w:left="0" w:leftChars="0" w:firstLine="0" w:firstLineChars="0"/>
              <w:rPr>
                <w:rFonts w:hint="default" w:cs="宋体"/>
                <w:color w:val="auto"/>
                <w:kern w:val="2"/>
                <w:highlight w:val="none"/>
                <w:lang w:val="en-US" w:eastAsia="zh-CN"/>
              </w:rPr>
            </w:pPr>
          </w:p>
          <w:p w14:paraId="76DAA202">
            <w:pPr>
              <w:pStyle w:val="51"/>
              <w:bidi w:val="0"/>
              <w:ind w:left="0" w:leftChars="0" w:firstLine="0" w:firstLineChars="0"/>
              <w:rPr>
                <w:rFonts w:hint="default" w:cs="宋体"/>
                <w:color w:val="auto"/>
                <w:kern w:val="2"/>
                <w:highlight w:val="none"/>
                <w:lang w:val="en-US" w:eastAsia="zh-CN"/>
              </w:rPr>
            </w:pPr>
          </w:p>
          <w:p w14:paraId="19816DDA">
            <w:pPr>
              <w:pStyle w:val="51"/>
              <w:bidi w:val="0"/>
              <w:ind w:left="0" w:leftChars="0" w:firstLine="0" w:firstLineChars="0"/>
              <w:rPr>
                <w:rFonts w:hint="default" w:cs="宋体"/>
                <w:color w:val="auto"/>
                <w:kern w:val="2"/>
                <w:highlight w:val="none"/>
                <w:lang w:val="en-US" w:eastAsia="zh-CN"/>
              </w:rPr>
            </w:pPr>
          </w:p>
          <w:p w14:paraId="7D5C5548">
            <w:pPr>
              <w:pStyle w:val="51"/>
              <w:bidi w:val="0"/>
              <w:ind w:left="0" w:leftChars="0" w:firstLine="0" w:firstLineChars="0"/>
              <w:rPr>
                <w:rFonts w:hint="default" w:cs="宋体"/>
                <w:color w:val="auto"/>
                <w:kern w:val="2"/>
                <w:highlight w:val="none"/>
                <w:lang w:val="en-US" w:eastAsia="zh-CN"/>
              </w:rPr>
            </w:pPr>
          </w:p>
        </w:tc>
      </w:tr>
    </w:tbl>
    <w:p w14:paraId="6AAC7190">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5F88E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746" w:type="dxa"/>
            <w:tcMar>
              <w:left w:w="28" w:type="dxa"/>
              <w:right w:w="28" w:type="dxa"/>
            </w:tcMar>
            <w:vAlign w:val="center"/>
          </w:tcPr>
          <w:p w14:paraId="7477CC00">
            <w:pPr>
              <w:pStyle w:val="16"/>
              <w:adjustRightInd w:val="0"/>
              <w:snapToGrid w:val="0"/>
              <w:spacing w:before="0" w:beforeAutospacing="0" w:after="0" w:afterAutospacing="0"/>
              <w:jc w:val="center"/>
              <w:rPr>
                <w:rFonts w:hint="default" w:ascii="Times New Roman" w:hAnsi="Times New Roman" w:cs="Times New Roman"/>
                <w:color w:val="auto"/>
                <w:kern w:val="2"/>
                <w:sz w:val="21"/>
                <w:szCs w:val="21"/>
              </w:rPr>
            </w:pPr>
            <w:bookmarkStart w:id="3" w:name="OLE_LINK1"/>
            <w:r>
              <w:rPr>
                <w:rFonts w:hint="default" w:ascii="Times New Roman" w:hAnsi="Times New Roman" w:cs="Times New Roman"/>
                <w:color w:val="auto"/>
                <w:kern w:val="2"/>
                <w:sz w:val="21"/>
                <w:szCs w:val="21"/>
              </w:rPr>
              <w:t>施工</w:t>
            </w:r>
          </w:p>
          <w:p w14:paraId="42D902BC">
            <w:pPr>
              <w:pStyle w:val="1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0E0B276D">
            <w:pPr>
              <w:pStyle w:val="1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BE4AFD2">
            <w:pPr>
              <w:pStyle w:val="16"/>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42734BC8">
            <w:pPr>
              <w:pStyle w:val="16"/>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162" w:type="dxa"/>
            <w:vAlign w:val="center"/>
          </w:tcPr>
          <w:p w14:paraId="1B779514">
            <w:pPr>
              <w:pStyle w:val="51"/>
              <w:ind w:firstLine="480"/>
              <w:rPr>
                <w:rFonts w:hint="eastAsia"/>
                <w:color w:val="auto"/>
                <w:sz w:val="24"/>
              </w:rPr>
            </w:pPr>
            <w:r>
              <w:rPr>
                <w:rFonts w:hint="eastAsia" w:cs="宋体"/>
                <w:color w:val="auto"/>
                <w:kern w:val="2"/>
                <w:lang w:val="en-US" w:eastAsia="zh-CN"/>
              </w:rPr>
              <w:t>项目为扩建项目，根据现场踏勘，企业还未开工建设；在已建的闲置厂房内进行建设本项目，项目施工期主要为生产设备安装，</w:t>
            </w:r>
            <w:r>
              <w:rPr>
                <w:rFonts w:hint="eastAsia"/>
                <w:color w:val="auto"/>
                <w:sz w:val="24"/>
              </w:rPr>
              <w:t>工程量小，施工期短，施工过程产生的污染物主要为施工粉尘、噪声、废水及固废等，环评要求施工过程采取以下环境保护措施：</w:t>
            </w:r>
          </w:p>
          <w:p w14:paraId="0E378654">
            <w:pPr>
              <w:spacing w:line="360" w:lineRule="auto"/>
              <w:ind w:firstLine="480" w:firstLineChars="200"/>
              <w:rPr>
                <w:rFonts w:hint="eastAsia"/>
                <w:color w:val="auto"/>
                <w:sz w:val="24"/>
              </w:rPr>
            </w:pPr>
            <w:r>
              <w:rPr>
                <w:rFonts w:hint="eastAsia"/>
                <w:color w:val="auto"/>
                <w:sz w:val="24"/>
              </w:rPr>
              <w:t>（1）</w:t>
            </w:r>
            <w:r>
              <w:rPr>
                <w:color w:val="auto"/>
                <w:sz w:val="24"/>
              </w:rPr>
              <w:t>加强施工</w:t>
            </w:r>
            <w:r>
              <w:rPr>
                <w:rFonts w:hint="eastAsia"/>
                <w:color w:val="auto"/>
                <w:sz w:val="24"/>
              </w:rPr>
              <w:t>期</w:t>
            </w:r>
            <w:r>
              <w:rPr>
                <w:color w:val="auto"/>
                <w:sz w:val="24"/>
              </w:rPr>
              <w:t>管理，合理安排</w:t>
            </w:r>
            <w:r>
              <w:rPr>
                <w:rFonts w:hint="eastAsia"/>
                <w:color w:val="auto"/>
                <w:sz w:val="24"/>
              </w:rPr>
              <w:t>施工</w:t>
            </w:r>
            <w:r>
              <w:rPr>
                <w:color w:val="auto"/>
                <w:sz w:val="24"/>
              </w:rPr>
              <w:t>作业时间，禁止夜间施工</w:t>
            </w:r>
            <w:r>
              <w:rPr>
                <w:rFonts w:hint="eastAsia"/>
                <w:color w:val="auto"/>
                <w:sz w:val="24"/>
              </w:rPr>
              <w:t>。</w:t>
            </w:r>
          </w:p>
          <w:p w14:paraId="61863DA6">
            <w:pPr>
              <w:spacing w:line="360" w:lineRule="auto"/>
              <w:ind w:firstLine="480" w:firstLineChars="200"/>
              <w:rPr>
                <w:rFonts w:hint="eastAsia"/>
                <w:color w:val="auto"/>
                <w:sz w:val="24"/>
              </w:rPr>
            </w:pPr>
            <w:r>
              <w:rPr>
                <w:rFonts w:hint="eastAsia"/>
                <w:color w:val="auto"/>
                <w:sz w:val="24"/>
              </w:rPr>
              <w:t>（2）</w:t>
            </w:r>
            <w:r>
              <w:rPr>
                <w:color w:val="auto"/>
                <w:sz w:val="24"/>
              </w:rPr>
              <w:t>施工过程中</w:t>
            </w:r>
            <w:r>
              <w:rPr>
                <w:rFonts w:hint="eastAsia"/>
                <w:color w:val="auto"/>
                <w:sz w:val="24"/>
              </w:rPr>
              <w:t>，易产尘的建筑物料</w:t>
            </w:r>
            <w:r>
              <w:rPr>
                <w:color w:val="auto"/>
                <w:sz w:val="24"/>
              </w:rPr>
              <w:t>临时</w:t>
            </w:r>
            <w:r>
              <w:rPr>
                <w:rFonts w:hint="eastAsia"/>
                <w:color w:val="auto"/>
                <w:sz w:val="24"/>
              </w:rPr>
              <w:t>堆放须采用防尘布苫盖或采取洒水抑尘措施。</w:t>
            </w:r>
          </w:p>
          <w:p w14:paraId="0D608317">
            <w:pPr>
              <w:spacing w:line="360" w:lineRule="auto"/>
              <w:ind w:firstLine="480" w:firstLineChars="200"/>
              <w:rPr>
                <w:rFonts w:hint="eastAsia"/>
                <w:color w:val="auto"/>
                <w:sz w:val="24"/>
              </w:rPr>
            </w:pPr>
            <w:r>
              <w:rPr>
                <w:rFonts w:hint="eastAsia"/>
                <w:color w:val="auto"/>
                <w:sz w:val="24"/>
              </w:rPr>
              <w:t>（3）施工过程产生的建筑垃圾主要是砂石、水泥等，均可进行回收利用；生活垃圾主要由施工人员产生，生活垃圾经垃圾桶收集，</w:t>
            </w:r>
            <w:r>
              <w:rPr>
                <w:rFonts w:hint="eastAsia"/>
                <w:color w:val="auto"/>
                <w:sz w:val="24"/>
                <w:lang w:val="en-US" w:eastAsia="zh-CN"/>
              </w:rPr>
              <w:t>委托</w:t>
            </w:r>
            <w:r>
              <w:rPr>
                <w:rFonts w:hint="eastAsia"/>
                <w:color w:val="auto"/>
                <w:sz w:val="24"/>
              </w:rPr>
              <w:t>环卫部门统一清运处置；施工人员生活污水</w:t>
            </w:r>
            <w:r>
              <w:rPr>
                <w:rFonts w:hint="eastAsia"/>
                <w:color w:val="auto"/>
                <w:sz w:val="24"/>
                <w:lang w:val="en-US" w:eastAsia="zh-CN"/>
              </w:rPr>
              <w:t>进入</w:t>
            </w:r>
            <w:r>
              <w:rPr>
                <w:rFonts w:hint="eastAsia"/>
                <w:color w:val="auto"/>
                <w:sz w:val="24"/>
              </w:rPr>
              <w:t>化粪池</w:t>
            </w:r>
            <w:r>
              <w:rPr>
                <w:rFonts w:hint="eastAsia"/>
                <w:color w:val="auto"/>
                <w:sz w:val="24"/>
                <w:lang w:val="en-US" w:eastAsia="zh-CN"/>
              </w:rPr>
              <w:t>处理后定期清掏</w:t>
            </w:r>
            <w:r>
              <w:rPr>
                <w:rFonts w:hint="eastAsia"/>
                <w:color w:val="auto"/>
                <w:sz w:val="24"/>
              </w:rPr>
              <w:t>。</w:t>
            </w:r>
          </w:p>
          <w:p w14:paraId="248682C5">
            <w:pPr>
              <w:pStyle w:val="51"/>
              <w:ind w:firstLine="480"/>
              <w:rPr>
                <w:rFonts w:hint="default" w:ascii="Times New Roman" w:hAnsi="Times New Roman" w:cs="Times New Roman"/>
                <w:color w:val="auto"/>
              </w:rPr>
            </w:pPr>
            <w:r>
              <w:rPr>
                <w:rFonts w:hint="eastAsia"/>
                <w:color w:val="auto"/>
                <w:lang w:val="en-US" w:eastAsia="zh-CN"/>
              </w:rPr>
              <w:t>本项目</w:t>
            </w:r>
            <w:r>
              <w:rPr>
                <w:color w:val="auto"/>
                <w:lang w:val="en-US" w:eastAsia="zh-CN"/>
              </w:rPr>
              <w:t>施工期</w:t>
            </w:r>
            <w:r>
              <w:rPr>
                <w:rFonts w:hint="eastAsia"/>
                <w:color w:val="auto"/>
                <w:lang w:val="en-US" w:eastAsia="zh-CN"/>
              </w:rPr>
              <w:t>采取以上环保措施后，施工期对周边环境影响很小。</w:t>
            </w:r>
          </w:p>
        </w:tc>
      </w:tr>
      <w:tr w14:paraId="4210D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746" w:type="dxa"/>
            <w:tcMar>
              <w:left w:w="28" w:type="dxa"/>
              <w:right w:w="28" w:type="dxa"/>
            </w:tcMar>
            <w:vAlign w:val="center"/>
          </w:tcPr>
          <w:p w14:paraId="75AC610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0ED814AD">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346D6E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58CA636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1E5C8D16">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63E13F9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162" w:type="dxa"/>
            <w:vAlign w:val="center"/>
          </w:tcPr>
          <w:p w14:paraId="310C2312">
            <w:pPr>
              <w:pStyle w:val="51"/>
              <w:numPr>
                <w:ilvl w:val="0"/>
                <w:numId w:val="0"/>
              </w:numPr>
              <w:ind w:firstLine="482" w:firstLineChars="200"/>
              <w:rPr>
                <w:rFonts w:hint="default" w:ascii="Times New Roman" w:hAnsi="Times New Roman" w:cs="Times New Roman"/>
                <w:b/>
                <w:color w:val="auto"/>
              </w:rPr>
            </w:pPr>
            <w:r>
              <w:rPr>
                <w:rFonts w:hint="eastAsia" w:ascii="Times New Roman" w:hAnsi="Times New Roman" w:eastAsia="宋体" w:cs="Times New Roman"/>
                <w:b/>
                <w:color w:val="auto"/>
                <w:kern w:val="2"/>
                <w:sz w:val="24"/>
                <w:szCs w:val="21"/>
                <w:lang w:val="en-US" w:eastAsia="zh-CN" w:bidi="ar-SA"/>
              </w:rPr>
              <w:t>一、</w:t>
            </w:r>
            <w:r>
              <w:rPr>
                <w:rFonts w:hint="default" w:ascii="Times New Roman" w:hAnsi="Times New Roman" w:cs="Times New Roman"/>
                <w:b/>
                <w:color w:val="auto"/>
              </w:rPr>
              <w:t>废气环境影响分析</w:t>
            </w:r>
          </w:p>
          <w:p w14:paraId="261EE30D">
            <w:pPr>
              <w:pStyle w:val="51"/>
              <w:bidi w:val="0"/>
              <w:rPr>
                <w:rFonts w:hint="default"/>
                <w:color w:val="auto"/>
              </w:rPr>
            </w:pPr>
            <w:r>
              <w:rPr>
                <w:rFonts w:hint="eastAsia"/>
                <w:color w:val="auto"/>
                <w:lang w:val="en-US" w:eastAsia="zh-CN"/>
              </w:rPr>
              <w:t>项目运营期废气主要为熔融挤出工序废气、真空烧网炉废气</w:t>
            </w:r>
            <w:r>
              <w:rPr>
                <w:color w:val="auto"/>
              </w:rPr>
              <w:t>。</w:t>
            </w:r>
          </w:p>
          <w:p w14:paraId="761D61A3">
            <w:pPr>
              <w:pStyle w:val="51"/>
              <w:ind w:firstLine="482"/>
              <w:rPr>
                <w:rFonts w:hint="default" w:ascii="Times New Roman" w:hAnsi="Times New Roman" w:cs="Times New Roman"/>
                <w:b/>
                <w:color w:val="auto"/>
              </w:rPr>
            </w:pPr>
            <w:r>
              <w:rPr>
                <w:rFonts w:hint="default" w:ascii="Times New Roman" w:hAnsi="Times New Roman" w:cs="Times New Roman"/>
                <w:b/>
                <w:color w:val="auto"/>
              </w:rPr>
              <w:t>1、废气污染物源强核算分析</w:t>
            </w:r>
          </w:p>
          <w:p w14:paraId="02FA081C">
            <w:pPr>
              <w:pStyle w:val="51"/>
              <w:bidi w:val="0"/>
              <w:rPr>
                <w:rFonts w:hint="eastAsia"/>
                <w:color w:val="auto"/>
                <w:lang w:val="en-US" w:eastAsia="zh-CN"/>
              </w:rPr>
            </w:pPr>
            <w:r>
              <w:rPr>
                <w:rFonts w:hint="eastAsia"/>
                <w:color w:val="auto"/>
                <w:lang w:val="en-US" w:eastAsia="zh-CN"/>
              </w:rPr>
              <w:t>（1）熔融挤出工序</w:t>
            </w:r>
          </w:p>
          <w:p w14:paraId="425577AF">
            <w:pPr>
              <w:pStyle w:val="51"/>
              <w:bidi w:val="0"/>
              <w:rPr>
                <w:rFonts w:hint="default"/>
                <w:color w:val="auto"/>
                <w:lang w:val="en-US" w:eastAsia="zh-CN"/>
              </w:rPr>
            </w:pPr>
            <w:r>
              <w:rPr>
                <w:rFonts w:hint="default"/>
                <w:color w:val="auto"/>
                <w:lang w:val="en-US" w:eastAsia="zh-CN"/>
              </w:rPr>
              <w:t>项目所使用的原材料，主要成分为聚乙烯，挤出机采用电加热方式，工艺加热温度为</w:t>
            </w:r>
            <w:r>
              <w:rPr>
                <w:rFonts w:hint="eastAsia"/>
                <w:color w:val="auto"/>
                <w:lang w:val="en-US" w:eastAsia="zh-CN"/>
              </w:rPr>
              <w:t>200</w:t>
            </w:r>
            <w:r>
              <w:rPr>
                <w:rFonts w:hint="default"/>
                <w:color w:val="auto"/>
                <w:lang w:val="en-US" w:eastAsia="zh-CN"/>
              </w:rPr>
              <w:t>-2</w:t>
            </w:r>
            <w:r>
              <w:rPr>
                <w:rFonts w:hint="eastAsia"/>
                <w:color w:val="auto"/>
                <w:lang w:val="en-US" w:eastAsia="zh-CN"/>
              </w:rPr>
              <w:t>5</w:t>
            </w:r>
            <w:r>
              <w:rPr>
                <w:rFonts w:hint="default"/>
                <w:color w:val="auto"/>
                <w:lang w:val="en-US" w:eastAsia="zh-CN"/>
              </w:rPr>
              <w:t>0℃。根据原料的理化性质可知，聚乙烯热分解温度在≥310℃，项目工艺加热温度低于上述物质的分解温度，故在该温度下，聚乙烯受热不会分解，</w:t>
            </w:r>
            <w:r>
              <w:rPr>
                <w:rFonts w:hint="eastAsia" w:cs="Times New Roman"/>
                <w:b w:val="0"/>
                <w:bCs w:val="0"/>
                <w:color w:val="auto"/>
                <w:kern w:val="2"/>
                <w:sz w:val="24"/>
                <w:szCs w:val="24"/>
                <w:highlight w:val="none"/>
                <w:lang w:val="en-US" w:eastAsia="zh-CN"/>
              </w:rPr>
              <w:t>仅有少部分小分子在加热时游离出来，主要成分为有机挥发性物质（以非甲烷总烃计），同时伴有微量烟尘（以颗粒物计）和异味产生；</w:t>
            </w:r>
            <w:r>
              <w:rPr>
                <w:rFonts w:hint="default"/>
                <w:color w:val="auto"/>
                <w:lang w:val="en-US" w:eastAsia="zh-CN"/>
              </w:rPr>
              <w:t>项目年运行3</w:t>
            </w:r>
            <w:r>
              <w:rPr>
                <w:rFonts w:hint="eastAsia"/>
                <w:color w:val="auto"/>
                <w:lang w:val="en-US" w:eastAsia="zh-CN"/>
              </w:rPr>
              <w:t>0</w:t>
            </w:r>
            <w:r>
              <w:rPr>
                <w:rFonts w:hint="default"/>
                <w:color w:val="auto"/>
                <w:lang w:val="en-US" w:eastAsia="zh-CN"/>
              </w:rPr>
              <w:t>0d，每天工作</w:t>
            </w:r>
            <w:r>
              <w:rPr>
                <w:rFonts w:hint="eastAsia"/>
                <w:color w:val="auto"/>
                <w:lang w:val="en-US" w:eastAsia="zh-CN"/>
              </w:rPr>
              <w:t>16</w:t>
            </w:r>
            <w:r>
              <w:rPr>
                <w:rFonts w:hint="default"/>
                <w:color w:val="auto"/>
                <w:lang w:val="en-US" w:eastAsia="zh-CN"/>
              </w:rPr>
              <w:t>小时。</w:t>
            </w:r>
          </w:p>
          <w:p w14:paraId="0E7136D0">
            <w:pPr>
              <w:pStyle w:val="51"/>
              <w:bidi w:val="0"/>
              <w:rPr>
                <w:rFonts w:hint="default"/>
                <w:color w:val="auto"/>
                <w:lang w:val="en-US" w:eastAsia="zh-CN"/>
              </w:rPr>
            </w:pPr>
            <w:r>
              <w:rPr>
                <w:rFonts w:hint="default"/>
                <w:color w:val="auto"/>
                <w:lang w:val="en-US" w:eastAsia="zh-CN"/>
              </w:rPr>
              <w:t>①</w:t>
            </w:r>
            <w:r>
              <w:rPr>
                <w:rFonts w:hint="eastAsia"/>
                <w:color w:val="auto"/>
                <w:lang w:val="en-US" w:eastAsia="zh-CN"/>
              </w:rPr>
              <w:t>非甲烷总烃</w:t>
            </w:r>
          </w:p>
          <w:p w14:paraId="626E3368">
            <w:pPr>
              <w:pStyle w:val="51"/>
              <w:bidi w:val="0"/>
              <w:rPr>
                <w:rFonts w:hint="eastAsia"/>
                <w:color w:val="auto"/>
                <w:lang w:val="en-US" w:eastAsia="zh-CN"/>
              </w:rPr>
            </w:pPr>
            <w:r>
              <w:rPr>
                <w:rFonts w:hint="default"/>
                <w:color w:val="auto"/>
                <w:lang w:val="en-US" w:eastAsia="zh-CN"/>
              </w:rPr>
              <w:t>根据《排放源统计调查产排污核算方法和系数手册》</w:t>
            </w:r>
            <w:r>
              <w:rPr>
                <w:rFonts w:hint="eastAsia"/>
                <w:color w:val="auto"/>
                <w:lang w:val="en-US" w:eastAsia="zh-CN"/>
              </w:rPr>
              <w:t>（</w:t>
            </w:r>
            <w:r>
              <w:rPr>
                <w:rFonts w:hint="default"/>
                <w:color w:val="auto"/>
                <w:lang w:val="en-US" w:eastAsia="zh-CN"/>
              </w:rPr>
              <w:t>生态环境部公告2021年第24号</w:t>
            </w:r>
            <w:r>
              <w:rPr>
                <w:rFonts w:hint="eastAsia"/>
                <w:color w:val="auto"/>
                <w:lang w:val="en-US" w:eastAsia="zh-CN"/>
              </w:rPr>
              <w:t>）</w:t>
            </w:r>
            <w:r>
              <w:rPr>
                <w:rFonts w:hint="default"/>
                <w:color w:val="auto"/>
                <w:lang w:val="en-US" w:eastAsia="zh-CN"/>
              </w:rPr>
              <w:t>中</w:t>
            </w:r>
            <w:r>
              <w:rPr>
                <w:rFonts w:hint="eastAsia"/>
                <w:color w:val="auto"/>
                <w:lang w:val="en-US" w:eastAsia="zh-CN"/>
              </w:rPr>
              <w:t>“</w:t>
            </w:r>
            <w:r>
              <w:rPr>
                <w:rFonts w:hint="default"/>
                <w:color w:val="auto"/>
                <w:lang w:val="en-US" w:eastAsia="zh-CN"/>
              </w:rPr>
              <w:t>42、废弃资源综合利用行业系数手册，4220非金属废料和碎屑加工处理行业系数手册中原料为废PE/PP，产品为再生塑料粒子，工艺为挤出造粒</w:t>
            </w:r>
            <w:r>
              <w:rPr>
                <w:rFonts w:hint="eastAsia"/>
                <w:color w:val="auto"/>
                <w:lang w:val="en-US" w:eastAsia="zh-CN"/>
              </w:rPr>
              <w:t>”</w:t>
            </w:r>
            <w:r>
              <w:rPr>
                <w:rFonts w:hint="default"/>
                <w:color w:val="auto"/>
                <w:lang w:val="en-US" w:eastAsia="zh-CN"/>
              </w:rPr>
              <w:t>有机废气</w:t>
            </w:r>
            <w:r>
              <w:rPr>
                <w:rFonts w:hint="eastAsia"/>
                <w:color w:val="auto"/>
                <w:lang w:val="en-US" w:eastAsia="zh-CN"/>
              </w:rPr>
              <w:t>（</w:t>
            </w:r>
            <w:r>
              <w:rPr>
                <w:rFonts w:hint="default"/>
                <w:color w:val="auto"/>
                <w:lang w:val="en-US" w:eastAsia="zh-CN"/>
              </w:rPr>
              <w:t>以非甲烷总烃计</w:t>
            </w:r>
            <w:r>
              <w:rPr>
                <w:rFonts w:hint="eastAsia"/>
                <w:color w:val="auto"/>
                <w:lang w:val="en-US" w:eastAsia="zh-CN"/>
              </w:rPr>
              <w:t>）</w:t>
            </w:r>
            <w:r>
              <w:rPr>
                <w:rFonts w:hint="default"/>
                <w:color w:val="auto"/>
                <w:lang w:val="en-US" w:eastAsia="zh-CN"/>
              </w:rPr>
              <w:t>产生系数为350克/吨-原料</w:t>
            </w:r>
            <w:r>
              <w:rPr>
                <w:rFonts w:hint="eastAsia"/>
                <w:color w:val="auto"/>
                <w:lang w:val="en-US" w:eastAsia="zh-CN"/>
              </w:rPr>
              <w:t>，</w:t>
            </w:r>
            <w:r>
              <w:rPr>
                <w:rFonts w:hint="default"/>
                <w:color w:val="auto"/>
                <w:lang w:val="en-US" w:eastAsia="zh-CN"/>
              </w:rPr>
              <w:t>项目年利用废塑料</w:t>
            </w:r>
            <w:r>
              <w:rPr>
                <w:rFonts w:hint="eastAsia"/>
                <w:color w:val="auto"/>
                <w:lang w:val="en-US" w:eastAsia="zh-CN"/>
              </w:rPr>
              <w:t>1</w:t>
            </w:r>
            <w:r>
              <w:rPr>
                <w:rFonts w:hint="default"/>
                <w:color w:val="auto"/>
                <w:lang w:val="en-US" w:eastAsia="zh-CN"/>
              </w:rPr>
              <w:t>0000t，则项目</w:t>
            </w:r>
            <w:r>
              <w:rPr>
                <w:rFonts w:hint="eastAsia"/>
                <w:color w:val="auto"/>
                <w:lang w:val="en-US" w:eastAsia="zh-CN"/>
              </w:rPr>
              <w:t>熔融挤出工序非甲烷总烃产生量为3.5t/a。</w:t>
            </w:r>
          </w:p>
          <w:p w14:paraId="6B183346">
            <w:pPr>
              <w:pStyle w:val="51"/>
              <w:bidi w:val="0"/>
              <w:rPr>
                <w:rFonts w:hint="eastAsia"/>
                <w:color w:val="auto"/>
                <w:lang w:val="en-US" w:eastAsia="zh-CN"/>
              </w:rPr>
            </w:pPr>
            <w:r>
              <w:rPr>
                <w:rFonts w:hint="eastAsia"/>
                <w:color w:val="auto"/>
                <w:lang w:val="en-US" w:eastAsia="zh-CN"/>
              </w:rPr>
              <w:t>项目设置3台挤出机，</w:t>
            </w:r>
            <w:r>
              <w:rPr>
                <w:rFonts w:hint="default"/>
                <w:color w:val="auto"/>
                <w:lang w:val="en-US" w:eastAsia="zh-CN"/>
              </w:rPr>
              <w:t>每台挤出机</w:t>
            </w:r>
            <w:r>
              <w:rPr>
                <w:rFonts w:hint="eastAsia"/>
                <w:color w:val="auto"/>
                <w:lang w:val="en-US" w:eastAsia="zh-CN"/>
              </w:rPr>
              <w:t>上方设置集气罩收集熔融挤出废气，收集效率为80%（</w:t>
            </w:r>
            <w:r>
              <w:rPr>
                <w:rFonts w:hint="eastAsia"/>
                <w:color w:val="auto"/>
                <w:kern w:val="2"/>
                <w:lang w:val="en-US" w:eastAsia="zh-CN"/>
              </w:rPr>
              <w:t>根据</w:t>
            </w:r>
            <w:r>
              <w:rPr>
                <w:rStyle w:val="58"/>
                <w:color w:val="auto"/>
              </w:rPr>
              <w:t>《广东省工业源挥发性有机物减排量核算方法（试行）》表4.5-1对于包围型集气设备废气收集效率取值</w:t>
            </w:r>
            <w:r>
              <w:rPr>
                <w:rStyle w:val="58"/>
                <w:rFonts w:hint="eastAsia"/>
                <w:color w:val="auto"/>
                <w:lang w:eastAsia="zh-CN"/>
              </w:rPr>
              <w:t>：</w:t>
            </w:r>
            <w:r>
              <w:rPr>
                <w:rStyle w:val="58"/>
                <w:color w:val="auto"/>
              </w:rPr>
              <w:t>污染物产生点（或生产设施）四周及上下有围挡设施，符合以下两种情况：1、仅保留1个操作工作面；2、仅保留物料进出通道，通道敞开面小于1个操作工位面</w:t>
            </w:r>
            <w:r>
              <w:rPr>
                <w:rStyle w:val="58"/>
                <w:rFonts w:hint="eastAsia"/>
                <w:color w:val="auto"/>
                <w:lang w:eastAsia="zh-CN"/>
              </w:rPr>
              <w:t>；</w:t>
            </w:r>
            <w:r>
              <w:rPr>
                <w:rStyle w:val="58"/>
                <w:color w:val="auto"/>
              </w:rPr>
              <w:t>敞开面控制风速不小于0.5m/s，集气效率取值80%</w:t>
            </w:r>
            <w:r>
              <w:rPr>
                <w:rStyle w:val="58"/>
                <w:rFonts w:hint="eastAsia"/>
                <w:color w:val="auto"/>
                <w:lang w:eastAsia="zh-CN"/>
              </w:rPr>
              <w:t>，</w:t>
            </w:r>
            <w:r>
              <w:rPr>
                <w:rStyle w:val="58"/>
                <w:rFonts w:hint="eastAsia"/>
                <w:color w:val="auto"/>
                <w:lang w:val="en-US" w:eastAsia="zh-CN"/>
              </w:rPr>
              <w:t>则本项目取值</w:t>
            </w:r>
            <w:r>
              <w:rPr>
                <w:rStyle w:val="58"/>
                <w:color w:val="auto"/>
              </w:rPr>
              <w:t>80%</w:t>
            </w:r>
            <w:r>
              <w:rPr>
                <w:rStyle w:val="58"/>
                <w:rFonts w:hint="eastAsia"/>
                <w:color w:val="auto"/>
                <w:lang w:eastAsia="zh-CN"/>
              </w:rPr>
              <w:t>，</w:t>
            </w:r>
            <w:r>
              <w:rPr>
                <w:rFonts w:hint="eastAsia"/>
                <w:color w:val="auto"/>
                <w:kern w:val="2"/>
                <w:lang w:val="en-US" w:eastAsia="zh-CN"/>
              </w:rPr>
              <w:t>20%为无组织排放</w:t>
            </w:r>
            <w:r>
              <w:rPr>
                <w:rFonts w:hint="eastAsia"/>
                <w:color w:val="auto"/>
                <w:lang w:val="en-US" w:eastAsia="zh-CN"/>
              </w:rPr>
              <w:t>），则收集到的非甲烷总烃量为2.8t/a。</w:t>
            </w:r>
          </w:p>
          <w:p w14:paraId="4F3D8D66">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根据《大气污染控制工程》（第三版）中集气罩排风量计算公式：</w:t>
            </w:r>
          </w:p>
          <w:p w14:paraId="46EB74AA">
            <w:pPr>
              <w:pStyle w:val="51"/>
              <w:bidi w:val="0"/>
              <w:rPr>
                <w:rFonts w:hint="eastAsia" w:ascii="Times New Roman" w:hAnsi="Times New Roman" w:eastAsia="宋体" w:cs="Times New Roman"/>
                <w:color w:val="auto"/>
                <w:vertAlign w:val="subscript"/>
                <w:lang w:val="en-US" w:eastAsia="zh-CN"/>
              </w:rPr>
            </w:pPr>
            <w:r>
              <w:rPr>
                <w:rFonts w:hint="eastAsia" w:ascii="Times New Roman" w:hAnsi="Times New Roman" w:eastAsia="宋体" w:cs="Times New Roman"/>
                <w:color w:val="auto"/>
                <w:lang w:val="en-US" w:eastAsia="zh-CN"/>
              </w:rPr>
              <w:t>Q=A</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V</w:t>
            </w:r>
            <w:r>
              <w:rPr>
                <w:rFonts w:hint="eastAsia" w:ascii="Times New Roman" w:hAnsi="Times New Roman" w:eastAsia="宋体" w:cs="Times New Roman"/>
                <w:color w:val="auto"/>
                <w:vertAlign w:val="subscript"/>
                <w:lang w:val="en-US" w:eastAsia="zh-CN"/>
              </w:rPr>
              <w:t>0</w:t>
            </w:r>
          </w:p>
          <w:p w14:paraId="718C3BE8">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式中：Q——集气罩排风量，m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/s；</w:t>
            </w:r>
          </w:p>
          <w:p w14:paraId="13034065">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A</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——罩口面积，m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，项目集气罩口总面积约3m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vertAlign w:val="baseline"/>
                <w:lang w:val="en-US" w:eastAsia="zh-CN"/>
              </w:rPr>
              <w:t>，在挤出机上方设置集气罩</w:t>
            </w:r>
            <w:r>
              <w:rPr>
                <w:rFonts w:hint="eastAsia" w:ascii="Times New Roman" w:hAnsi="Times New Roman" w:eastAsia="宋体" w:cs="Times New Roman"/>
                <w:color w:val="auto"/>
                <w:lang w:val="en-US" w:eastAsia="zh-CN"/>
              </w:rPr>
              <w:t>。</w:t>
            </w:r>
          </w:p>
          <w:p w14:paraId="17AC4D90">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V</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w:t>
            </w:r>
            <w:r>
              <w:rPr>
                <w:rFonts w:hint="eastAsia" w:cs="Times New Roman"/>
                <w:color w:val="auto"/>
                <w:lang w:val="en-US" w:eastAsia="zh-CN"/>
              </w:rPr>
              <w:t>口罩</w:t>
            </w:r>
            <w:r>
              <w:rPr>
                <w:rFonts w:hint="eastAsia" w:ascii="Times New Roman" w:hAnsi="Times New Roman" w:eastAsia="宋体" w:cs="Times New Roman"/>
                <w:color w:val="auto"/>
                <w:lang w:val="en-US" w:eastAsia="zh-CN"/>
              </w:rPr>
              <w:t>上的平均吸气速度，m/s。</w:t>
            </w:r>
          </w:p>
          <w:p w14:paraId="6FB01366">
            <w:pPr>
              <w:pStyle w:val="51"/>
              <w:bidi w:val="0"/>
              <w:rPr>
                <w:rFonts w:hint="eastAsia" w:ascii="Times New Roman" w:hAnsi="Times New Roman" w:eastAsia="宋体" w:cs="Times New Roman"/>
                <w:color w:val="auto"/>
                <w:vertAlign w:val="subscript"/>
                <w:lang w:val="en-US" w:eastAsia="zh-CN"/>
              </w:rPr>
            </w:pPr>
            <w:r>
              <w:rPr>
                <w:rFonts w:hint="eastAsia" w:ascii="Times New Roman" w:hAnsi="Times New Roman" w:eastAsia="宋体" w:cs="Times New Roman"/>
                <w:color w:val="auto"/>
                <w:lang w:val="en-US" w:eastAsia="zh-CN"/>
              </w:rPr>
              <w:t>此外，V</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/V</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=C（10X</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 A</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）/A</w:t>
            </w:r>
            <w:r>
              <w:rPr>
                <w:rFonts w:hint="eastAsia" w:ascii="Times New Roman" w:hAnsi="Times New Roman" w:eastAsia="宋体" w:cs="Times New Roman"/>
                <w:color w:val="auto"/>
                <w:vertAlign w:val="subscript"/>
                <w:lang w:val="en-US" w:eastAsia="zh-CN"/>
              </w:rPr>
              <w:t>0</w:t>
            </w:r>
          </w:p>
          <w:p w14:paraId="41F3F36C">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式中：V</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—污染源的控制速度，当污染物的产生状况为以</w:t>
            </w:r>
            <w:r>
              <w:rPr>
                <w:rFonts w:hint="eastAsia" w:cs="Times New Roman"/>
                <w:color w:val="auto"/>
                <w:lang w:val="en-US" w:eastAsia="zh-CN"/>
              </w:rPr>
              <w:t>较低</w:t>
            </w:r>
            <w:r>
              <w:rPr>
                <w:rFonts w:hint="eastAsia" w:ascii="Times New Roman" w:hAnsi="Times New Roman" w:eastAsia="宋体" w:cs="Times New Roman"/>
                <w:color w:val="auto"/>
                <w:lang w:val="en-US" w:eastAsia="zh-CN"/>
              </w:rPr>
              <w:t>的速度放散到尚属平静的空气中时，控制速度为 0.5</w:t>
            </w:r>
            <w:r>
              <w:rPr>
                <w:rFonts w:hint="eastAsia" w:cs="Times New Roman"/>
                <w:color w:val="auto"/>
                <w:lang w:val="en-US" w:eastAsia="zh-CN"/>
              </w:rPr>
              <w:t>～</w:t>
            </w:r>
            <w:r>
              <w:rPr>
                <w:rFonts w:hint="eastAsia" w:ascii="Times New Roman" w:hAnsi="Times New Roman" w:eastAsia="宋体" w:cs="Times New Roman"/>
                <w:color w:val="auto"/>
                <w:lang w:val="en-US" w:eastAsia="zh-CN"/>
              </w:rPr>
              <w:t>1.0m/s，本项目取 1.0m/s；</w:t>
            </w:r>
          </w:p>
          <w:p w14:paraId="2377DC9E">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C—与集气罩的结构形状和设置情况有关的系数，本项目取0.6；</w:t>
            </w:r>
          </w:p>
          <w:p w14:paraId="50336D8C">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X—控制距离，m，本项目取0.4m。</w:t>
            </w:r>
          </w:p>
          <w:p w14:paraId="7B6EFA83">
            <w:pPr>
              <w:pStyle w:val="51"/>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综上，Q=C（10X</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 A</w:t>
            </w:r>
            <w:r>
              <w:rPr>
                <w:rFonts w:hint="eastAsia" w:ascii="Times New Roman" w:hAnsi="Times New Roman" w:eastAsia="宋体" w:cs="Times New Roman"/>
                <w:color w:val="auto"/>
                <w:vertAlign w:val="subscript"/>
                <w:lang w:val="en-US" w:eastAsia="zh-CN"/>
              </w:rPr>
              <w:t>0</w:t>
            </w:r>
            <w:r>
              <w:rPr>
                <w:rFonts w:hint="eastAsia" w:ascii="Times New Roman" w:hAnsi="Times New Roman" w:eastAsia="宋体" w:cs="Times New Roman"/>
                <w:color w:val="auto"/>
                <w:lang w:val="en-US" w:eastAsia="zh-CN"/>
              </w:rPr>
              <w:t>）V</w:t>
            </w:r>
            <w:r>
              <w:rPr>
                <w:rFonts w:hint="eastAsia" w:ascii="Times New Roman" w:hAnsi="Times New Roman" w:eastAsia="宋体" w:cs="Times New Roman"/>
                <w:color w:val="auto"/>
                <w:vertAlign w:val="subscript"/>
                <w:lang w:val="en-US" w:eastAsia="zh-CN"/>
              </w:rPr>
              <w:t>X</w:t>
            </w:r>
            <w:r>
              <w:rPr>
                <w:rFonts w:hint="eastAsia" w:ascii="Times New Roman" w:hAnsi="Times New Roman" w:eastAsia="宋体" w:cs="Times New Roman"/>
                <w:color w:val="auto"/>
                <w:lang w:val="en-US" w:eastAsia="zh-CN"/>
              </w:rPr>
              <w:t>经计算，集气罩总风量为2.76m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/s，即9936m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w:t>
            </w:r>
          </w:p>
          <w:p w14:paraId="36102BAE">
            <w:pPr>
              <w:pStyle w:val="51"/>
              <w:ind w:firstLine="480"/>
              <w:rPr>
                <w:rFonts w:hint="eastAsia" w:eastAsia="宋体"/>
                <w:color w:val="auto"/>
                <w:vertAlign w:val="baseline"/>
                <w:lang w:eastAsia="zh-CN"/>
              </w:rPr>
            </w:pPr>
            <w:r>
              <w:rPr>
                <w:rFonts w:hint="eastAsia" w:ascii="Times New Roman" w:hAnsi="Times New Roman" w:eastAsia="宋体" w:cs="Times New Roman"/>
                <w:color w:val="auto"/>
                <w:lang w:val="en-US" w:eastAsia="zh-CN"/>
              </w:rPr>
              <w:t>项目集气罩配套风机风量为10000m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w:t>
            </w:r>
            <w:r>
              <w:rPr>
                <w:rFonts w:hint="eastAsia"/>
                <w:color w:val="auto"/>
                <w:kern w:val="2"/>
                <w:lang w:val="en-US" w:eastAsia="zh-CN"/>
              </w:rPr>
              <w:t>年运行4800h，集气罩收集效率为80%，</w:t>
            </w:r>
            <w:r>
              <w:rPr>
                <w:rFonts w:hint="eastAsia"/>
                <w:color w:val="auto"/>
                <w:lang w:val="en-US" w:eastAsia="zh-CN"/>
              </w:rPr>
              <w:t>收集到的非甲烷总烃量为2.8t/a。项目熔融挤出产生的废气经集气罩收集后进入三级</w:t>
            </w:r>
            <w:r>
              <w:rPr>
                <w:rFonts w:hint="eastAsia"/>
                <w:color w:val="auto"/>
              </w:rPr>
              <w:t>活性炭吸附</w:t>
            </w:r>
            <w:r>
              <w:rPr>
                <w:rFonts w:hint="eastAsia"/>
                <w:color w:val="auto"/>
                <w:lang w:val="en-US" w:eastAsia="zh-CN"/>
              </w:rPr>
              <w:t>装置处理；根据</w:t>
            </w:r>
            <w:r>
              <w:rPr>
                <w:rFonts w:hint="default"/>
                <w:color w:val="auto"/>
                <w:lang w:val="en-US" w:eastAsia="zh-CN"/>
              </w:rPr>
              <w:t>《排放源统计调查产排污核算方法和系数手册》</w:t>
            </w:r>
            <w:r>
              <w:rPr>
                <w:rFonts w:hint="eastAsia"/>
                <w:color w:val="auto"/>
                <w:lang w:val="en-US" w:eastAsia="zh-CN"/>
              </w:rPr>
              <w:t>（</w:t>
            </w:r>
            <w:r>
              <w:rPr>
                <w:rFonts w:hint="default"/>
                <w:color w:val="auto"/>
                <w:lang w:val="en-US" w:eastAsia="zh-CN"/>
              </w:rPr>
              <w:t>生态环境部公告2021年第24号</w:t>
            </w:r>
            <w:r>
              <w:rPr>
                <w:rFonts w:hint="eastAsia"/>
                <w:color w:val="auto"/>
                <w:lang w:val="en-US" w:eastAsia="zh-CN"/>
              </w:rPr>
              <w:t>）</w:t>
            </w:r>
            <w:r>
              <w:rPr>
                <w:rFonts w:hint="default"/>
                <w:color w:val="auto"/>
                <w:lang w:val="en-US" w:eastAsia="zh-CN"/>
              </w:rPr>
              <w:t>中</w:t>
            </w:r>
            <w:r>
              <w:rPr>
                <w:rFonts w:hint="eastAsia"/>
                <w:color w:val="auto"/>
                <w:lang w:val="en-US" w:eastAsia="zh-CN"/>
              </w:rPr>
              <w:t>“</w:t>
            </w:r>
            <w:r>
              <w:rPr>
                <w:rFonts w:hint="default"/>
                <w:color w:val="auto"/>
                <w:lang w:val="en-US" w:eastAsia="zh-CN"/>
              </w:rPr>
              <w:t>42、废弃资源综合利用行业系数手册，4220非金属废料和碎屑加工处理行业系数手册中原料为废PE/PP，</w:t>
            </w:r>
            <w:r>
              <w:rPr>
                <w:rFonts w:hint="eastAsia"/>
                <w:color w:val="auto"/>
                <w:lang w:val="en-US" w:eastAsia="zh-CN"/>
              </w:rPr>
              <w:t>挥发性有机物</w:t>
            </w:r>
            <w:r>
              <w:rPr>
                <w:rFonts w:hint="eastAsia"/>
                <w:color w:val="auto"/>
              </w:rPr>
              <w:t>活性炭吸附</w:t>
            </w:r>
            <w:r>
              <w:rPr>
                <w:rFonts w:hint="eastAsia"/>
                <w:color w:val="auto"/>
                <w:lang w:val="en-US" w:eastAsia="zh-CN"/>
              </w:rPr>
              <w:t>去除效率为55%，经处理后由1根15m高排气筒（DA001）排放；经</w:t>
            </w:r>
            <w:r>
              <w:rPr>
                <w:rFonts w:hint="eastAsia"/>
                <w:color w:val="auto"/>
              </w:rPr>
              <w:t>活性炭吸附装置处理后</w:t>
            </w:r>
            <w:r>
              <w:rPr>
                <w:rFonts w:hint="eastAsia"/>
                <w:color w:val="auto"/>
                <w:lang w:val="en-US" w:eastAsia="zh-CN"/>
              </w:rPr>
              <w:t>非甲烷总烃</w:t>
            </w:r>
            <w:r>
              <w:rPr>
                <w:rFonts w:hint="eastAsia"/>
                <w:color w:val="auto"/>
              </w:rPr>
              <w:t>有组织排放量为</w:t>
            </w:r>
            <w:r>
              <w:rPr>
                <w:rFonts w:hint="eastAsia"/>
                <w:color w:val="auto"/>
                <w:lang w:val="en-US" w:eastAsia="zh-CN"/>
              </w:rPr>
              <w:t>1.26</w:t>
            </w:r>
            <w:r>
              <w:rPr>
                <w:rFonts w:hint="eastAsia"/>
                <w:color w:val="auto"/>
              </w:rPr>
              <w:t>t/a、排放速率</w:t>
            </w:r>
            <w:r>
              <w:rPr>
                <w:rFonts w:hint="eastAsia"/>
                <w:color w:val="auto"/>
                <w:lang w:val="en-US" w:eastAsia="zh-CN"/>
              </w:rPr>
              <w:t>0.2625</w:t>
            </w:r>
            <w:r>
              <w:rPr>
                <w:rFonts w:hint="eastAsia"/>
                <w:color w:val="auto"/>
              </w:rPr>
              <w:t>kg/h，排放浓度</w:t>
            </w:r>
            <w:r>
              <w:rPr>
                <w:rFonts w:hint="eastAsia"/>
                <w:color w:val="auto"/>
                <w:lang w:val="en-US" w:eastAsia="zh-CN"/>
              </w:rPr>
              <w:t>26.25</w:t>
            </w:r>
            <w:r>
              <w:rPr>
                <w:rFonts w:hint="eastAsia"/>
                <w:color w:val="auto"/>
              </w:rPr>
              <w:t>mg/m</w:t>
            </w:r>
            <w:r>
              <w:rPr>
                <w:rFonts w:hint="eastAsia"/>
                <w:color w:val="auto"/>
                <w:vertAlign w:val="superscript"/>
              </w:rPr>
              <w:t>3</w:t>
            </w:r>
            <w:r>
              <w:rPr>
                <w:rFonts w:hint="eastAsia"/>
                <w:color w:val="auto"/>
                <w:vertAlign w:val="baseline"/>
                <w:lang w:eastAsia="zh-CN"/>
              </w:rPr>
              <w:t>。</w:t>
            </w:r>
          </w:p>
          <w:p w14:paraId="030164BE">
            <w:pPr>
              <w:pStyle w:val="51"/>
              <w:ind w:firstLine="480"/>
              <w:rPr>
                <w:color w:val="auto"/>
              </w:rPr>
            </w:pPr>
            <w:r>
              <w:rPr>
                <w:rFonts w:hint="eastAsia"/>
                <w:color w:val="auto"/>
                <w:lang w:val="en-US" w:eastAsia="zh-CN"/>
              </w:rPr>
              <w:t>未经集气罩收集的部分呈无组织排放，非甲烷总烃</w:t>
            </w:r>
            <w:r>
              <w:rPr>
                <w:rFonts w:hint="eastAsia"/>
                <w:color w:val="auto"/>
              </w:rPr>
              <w:t>无组织排放量0.</w:t>
            </w:r>
            <w:r>
              <w:rPr>
                <w:rFonts w:hint="eastAsia"/>
                <w:color w:val="auto"/>
                <w:lang w:val="en-US" w:eastAsia="zh-CN"/>
              </w:rPr>
              <w:t>7</w:t>
            </w:r>
            <w:r>
              <w:rPr>
                <w:rFonts w:hint="eastAsia"/>
                <w:color w:val="auto"/>
              </w:rPr>
              <w:t>t/a。</w:t>
            </w:r>
          </w:p>
          <w:p w14:paraId="338B1DD6">
            <w:pPr>
              <w:pStyle w:val="51"/>
              <w:bidi w:val="0"/>
              <w:rPr>
                <w:rFonts w:hint="default"/>
                <w:color w:val="auto"/>
                <w:lang w:val="en-US" w:eastAsia="zh-CN"/>
              </w:rPr>
            </w:pPr>
            <w:r>
              <w:rPr>
                <w:rFonts w:hint="eastAsia"/>
                <w:color w:val="auto"/>
                <w:lang w:val="en-US" w:eastAsia="zh-CN"/>
              </w:rPr>
              <w:t>②颗粒物</w:t>
            </w:r>
          </w:p>
          <w:p w14:paraId="7624A879">
            <w:pPr>
              <w:pStyle w:val="51"/>
              <w:bidi w:val="0"/>
              <w:rPr>
                <w:rFonts w:hint="default" w:ascii="Times New Roman" w:hAnsi="Times New Roman" w:cs="Times New Roman"/>
                <w:color w:val="auto"/>
                <w:lang w:val="en-US" w:eastAsia="zh-CN"/>
              </w:rPr>
            </w:pPr>
            <w:r>
              <w:rPr>
                <w:rFonts w:hint="eastAsia"/>
                <w:color w:val="auto"/>
                <w:lang w:val="en-US" w:eastAsia="zh-CN"/>
              </w:rPr>
              <w:t>根据</w:t>
            </w:r>
            <w:r>
              <w:rPr>
                <w:rFonts w:hint="default"/>
                <w:color w:val="auto"/>
                <w:lang w:val="en-US" w:eastAsia="zh-CN"/>
              </w:rPr>
              <w:t>《废塑料预处理行业环境影响评价中常见污染物源强估算及污染治理》（李飞，</w:t>
            </w:r>
            <w:r>
              <w:rPr>
                <w:rFonts w:hint="default" w:ascii="Times New Roman" w:hAnsi="Times New Roman" w:cs="Times New Roman"/>
                <w:color w:val="auto"/>
                <w:lang w:val="en-US" w:eastAsia="zh-CN"/>
              </w:rPr>
              <w:t>中国资源综合利用，Vol.37，No1.2019年1月）挤塑造粒废气中颗粒物产生量为有机废气污染物产生量的20%</w:t>
            </w:r>
            <w:r>
              <w:rPr>
                <w:rFonts w:hint="eastAsia" w:cs="Times New Roman"/>
                <w:color w:val="auto"/>
                <w:lang w:val="en-US" w:eastAsia="zh-CN"/>
              </w:rPr>
              <w:t>～</w:t>
            </w:r>
            <w:r>
              <w:rPr>
                <w:rFonts w:hint="default" w:ascii="Times New Roman" w:hAnsi="Times New Roman" w:cs="Times New Roman"/>
                <w:color w:val="auto"/>
                <w:lang w:val="en-US" w:eastAsia="zh-CN"/>
              </w:rPr>
              <w:t>45%，</w:t>
            </w:r>
            <w:r>
              <w:rPr>
                <w:rFonts w:hint="eastAsia" w:ascii="Times New Roman" w:hAnsi="Times New Roman" w:cs="Times New Roman"/>
                <w:color w:val="auto"/>
                <w:lang w:val="en-US" w:eastAsia="zh-CN"/>
              </w:rPr>
              <w:t>取0.15kg/t原料</w:t>
            </w:r>
            <w:r>
              <w:rPr>
                <w:rFonts w:hint="default" w:ascii="Times New Roman" w:hAnsi="Times New Roman" w:cs="Times New Roman"/>
                <w:color w:val="auto"/>
                <w:lang w:val="en-US" w:eastAsia="zh-CN"/>
              </w:rPr>
              <w:t>，项目年原料使用</w:t>
            </w:r>
            <w:r>
              <w:rPr>
                <w:rFonts w:hint="eastAsia" w:cs="Times New Roman"/>
                <w:color w:val="auto"/>
                <w:lang w:val="en-US" w:eastAsia="zh-CN"/>
              </w:rPr>
              <w:t>10</w:t>
            </w:r>
            <w:r>
              <w:rPr>
                <w:rFonts w:hint="default" w:ascii="Times New Roman" w:hAnsi="Times New Roman" w:cs="Times New Roman"/>
                <w:color w:val="auto"/>
                <w:lang w:val="en-US" w:eastAsia="zh-CN"/>
              </w:rPr>
              <w:t>0</w:t>
            </w:r>
            <w:r>
              <w:rPr>
                <w:rFonts w:hint="eastAsia" w:cs="Times New Roman"/>
                <w:color w:val="auto"/>
                <w:lang w:val="en-US" w:eastAsia="zh-CN"/>
              </w:rPr>
              <w:t>0</w:t>
            </w:r>
            <w:r>
              <w:rPr>
                <w:rFonts w:hint="default" w:ascii="Times New Roman" w:hAnsi="Times New Roman" w:cs="Times New Roman"/>
                <w:color w:val="auto"/>
                <w:lang w:val="en-US" w:eastAsia="zh-CN"/>
              </w:rPr>
              <w:t>0t，则熔融挤出工序颗粒物产生量为</w:t>
            </w:r>
            <w:r>
              <w:rPr>
                <w:rFonts w:hint="eastAsia" w:cs="Times New Roman"/>
                <w:color w:val="auto"/>
                <w:lang w:val="en-US" w:eastAsia="zh-CN"/>
              </w:rPr>
              <w:t>1.5</w:t>
            </w:r>
            <w:r>
              <w:rPr>
                <w:rFonts w:hint="default" w:ascii="Times New Roman" w:hAnsi="Times New Roman" w:cs="Times New Roman"/>
                <w:color w:val="auto"/>
                <w:lang w:val="en-US" w:eastAsia="zh-CN"/>
              </w:rPr>
              <w:t>t/a。</w:t>
            </w:r>
          </w:p>
          <w:p w14:paraId="1124EB6E">
            <w:pPr>
              <w:pStyle w:val="51"/>
              <w:bidi w:val="0"/>
              <w:rPr>
                <w:rFonts w:hint="default" w:cs="Times New Roman"/>
                <w:color w:val="auto"/>
                <w:kern w:val="2"/>
                <w:sz w:val="24"/>
                <w:szCs w:val="24"/>
                <w:highlight w:val="none"/>
                <w:lang w:val="en-US" w:eastAsia="zh-CN"/>
              </w:rPr>
            </w:pPr>
            <w:r>
              <w:rPr>
                <w:rFonts w:hint="eastAsia" w:ascii="Times New Roman" w:hAnsi="Times New Roman" w:eastAsia="宋体" w:cs="Times New Roman"/>
                <w:color w:val="auto"/>
                <w:lang w:val="en-US" w:eastAsia="zh-CN"/>
              </w:rPr>
              <w:t>项目集气罩配套风机风量为10000m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w:t>
            </w:r>
            <w:r>
              <w:rPr>
                <w:rFonts w:hint="eastAsia"/>
                <w:color w:val="auto"/>
                <w:kern w:val="2"/>
                <w:lang w:val="en-US" w:eastAsia="zh-CN"/>
              </w:rPr>
              <w:t>年运行4800h，集气罩收集效率为80%，</w:t>
            </w:r>
            <w:r>
              <w:rPr>
                <w:rFonts w:hint="eastAsia"/>
                <w:color w:val="auto"/>
                <w:lang w:val="en-US" w:eastAsia="zh-CN"/>
              </w:rPr>
              <w:t>收集到的颗粒物量为1.2t/a，经收集后由1根15m高排气筒（DA001）排放，</w:t>
            </w:r>
            <w:r>
              <w:rPr>
                <w:rFonts w:hint="eastAsia"/>
                <w:color w:val="auto"/>
              </w:rPr>
              <w:t>排放速率</w:t>
            </w:r>
            <w:r>
              <w:rPr>
                <w:rFonts w:hint="eastAsia"/>
                <w:color w:val="auto"/>
                <w:lang w:val="en-US" w:eastAsia="zh-CN"/>
              </w:rPr>
              <w:t>0.25</w:t>
            </w:r>
            <w:r>
              <w:rPr>
                <w:rFonts w:hint="eastAsia"/>
                <w:color w:val="auto"/>
              </w:rPr>
              <w:t>kg/h，排放浓度</w:t>
            </w:r>
            <w:r>
              <w:rPr>
                <w:rFonts w:hint="eastAsia"/>
                <w:color w:val="auto"/>
                <w:lang w:val="en-US" w:eastAsia="zh-CN"/>
              </w:rPr>
              <w:t>25</w:t>
            </w:r>
            <w:r>
              <w:rPr>
                <w:rFonts w:hint="eastAsia"/>
                <w:color w:val="auto"/>
              </w:rPr>
              <w:t>mg/m</w:t>
            </w:r>
            <w:r>
              <w:rPr>
                <w:rFonts w:hint="eastAsia"/>
                <w:color w:val="auto"/>
                <w:vertAlign w:val="superscript"/>
              </w:rPr>
              <w:t>3</w:t>
            </w:r>
            <w:r>
              <w:rPr>
                <w:rFonts w:hint="eastAsia"/>
                <w:color w:val="auto"/>
                <w:vertAlign w:val="baseline"/>
                <w:lang w:eastAsia="zh-CN"/>
              </w:rPr>
              <w:t>。</w:t>
            </w:r>
          </w:p>
          <w:p w14:paraId="3404E565">
            <w:pPr>
              <w:pStyle w:val="51"/>
              <w:ind w:firstLine="480"/>
              <w:rPr>
                <w:color w:val="auto"/>
              </w:rPr>
            </w:pPr>
            <w:r>
              <w:rPr>
                <w:rFonts w:hint="eastAsia"/>
                <w:color w:val="auto"/>
                <w:lang w:val="en-US" w:eastAsia="zh-CN"/>
              </w:rPr>
              <w:t>未经集气罩收集的部分呈无组织排放，颗粒物</w:t>
            </w:r>
            <w:r>
              <w:rPr>
                <w:rFonts w:hint="eastAsia"/>
                <w:color w:val="auto"/>
              </w:rPr>
              <w:t>无组织排放量0.</w:t>
            </w:r>
            <w:r>
              <w:rPr>
                <w:rFonts w:hint="eastAsia"/>
                <w:color w:val="auto"/>
                <w:lang w:val="en-US" w:eastAsia="zh-CN"/>
              </w:rPr>
              <w:t>3</w:t>
            </w:r>
            <w:r>
              <w:rPr>
                <w:rFonts w:hint="eastAsia"/>
                <w:color w:val="auto"/>
              </w:rPr>
              <w:t>t/a。</w:t>
            </w:r>
          </w:p>
          <w:p w14:paraId="302BABD6">
            <w:pPr>
              <w:pStyle w:val="51"/>
              <w:bidi w:val="0"/>
              <w:rPr>
                <w:rFonts w:hint="eastAsia"/>
                <w:color w:val="auto"/>
                <w:lang w:val="en-US" w:eastAsia="zh-CN"/>
              </w:rPr>
            </w:pPr>
            <w:r>
              <w:rPr>
                <w:rFonts w:hint="eastAsia"/>
                <w:color w:val="auto"/>
                <w:lang w:val="en-US" w:eastAsia="zh-CN"/>
              </w:rPr>
              <w:t>（2）真空烧网炉废气</w:t>
            </w:r>
          </w:p>
          <w:p w14:paraId="30ABD516">
            <w:pPr>
              <w:pStyle w:val="51"/>
              <w:bidi w:val="0"/>
              <w:rPr>
                <w:rFonts w:hint="default"/>
                <w:color w:val="auto"/>
                <w:lang w:val="en-US" w:eastAsia="zh-CN"/>
              </w:rPr>
            </w:pPr>
            <w:r>
              <w:rPr>
                <w:rFonts w:hint="eastAsia"/>
                <w:color w:val="auto"/>
                <w:lang w:val="en-US" w:eastAsia="zh-CN"/>
              </w:rPr>
              <w:t>①非甲烷总烃</w:t>
            </w:r>
          </w:p>
          <w:p w14:paraId="0B41D0E0">
            <w:pPr>
              <w:pStyle w:val="51"/>
              <w:bidi w:val="0"/>
              <w:rPr>
                <w:rFonts w:hint="eastAsia"/>
                <w:color w:val="auto"/>
                <w:lang w:val="en-US" w:eastAsia="zh-CN"/>
              </w:rPr>
            </w:pPr>
            <w:r>
              <w:rPr>
                <w:rFonts w:hint="eastAsia"/>
                <w:color w:val="auto"/>
                <w:lang w:val="en-US" w:eastAsia="zh-CN"/>
              </w:rPr>
              <w:t>项目挤出机过滤网使用一段时间后需要更换，更换的过滤网经真空烧网炉高温去除黏附在上面的塑料熔融残渣后再利用。真空烧网炉</w:t>
            </w:r>
            <w:r>
              <w:rPr>
                <w:rFonts w:hint="default"/>
                <w:color w:val="auto"/>
                <w:lang w:val="en-US" w:eastAsia="zh-CN"/>
              </w:rPr>
              <w:t>加热温度为</w:t>
            </w:r>
            <w:r>
              <w:rPr>
                <w:rFonts w:hint="eastAsia"/>
                <w:color w:val="auto"/>
                <w:lang w:val="en-US" w:eastAsia="zh-CN"/>
              </w:rPr>
              <w:t>3</w:t>
            </w:r>
            <w:r>
              <w:rPr>
                <w:rFonts w:hint="default"/>
                <w:color w:val="auto"/>
                <w:lang w:val="en-US" w:eastAsia="zh-CN"/>
              </w:rPr>
              <w:t>00℃。根据原料的理化性质可知，聚乙烯热分解温度≥310℃，项目工艺加热温度低于上述物质的分解温度，故在该温度下，聚乙烯受热不会分解，</w:t>
            </w:r>
            <w:r>
              <w:rPr>
                <w:rFonts w:hint="eastAsia"/>
                <w:color w:val="auto"/>
                <w:lang w:val="en-US" w:eastAsia="zh-CN"/>
              </w:rPr>
              <w:t>废气主要成分为非甲烷总烃。根据企业提供资料，项目每天更换一次过滤网，每个滤网杂质约0.5kg，则滤网杂质约为450kg，每天运行时间4h，参照</w:t>
            </w:r>
            <w:r>
              <w:rPr>
                <w:rFonts w:hint="default"/>
                <w:color w:val="auto"/>
                <w:lang w:val="en-US" w:eastAsia="zh-CN"/>
              </w:rPr>
              <w:t>《排放源统计调查产排污核算方法和系数手册》</w:t>
            </w:r>
            <w:r>
              <w:rPr>
                <w:rFonts w:hint="eastAsia"/>
                <w:color w:val="auto"/>
                <w:lang w:val="en-US" w:eastAsia="zh-CN"/>
              </w:rPr>
              <w:t>（</w:t>
            </w:r>
            <w:r>
              <w:rPr>
                <w:rFonts w:hint="default"/>
                <w:color w:val="auto"/>
                <w:lang w:val="en-US" w:eastAsia="zh-CN"/>
              </w:rPr>
              <w:t>生态环境部公告2021年第24号</w:t>
            </w:r>
            <w:r>
              <w:rPr>
                <w:rFonts w:hint="eastAsia"/>
                <w:color w:val="auto"/>
                <w:lang w:val="en-US" w:eastAsia="zh-CN"/>
              </w:rPr>
              <w:t>）</w:t>
            </w:r>
            <w:r>
              <w:rPr>
                <w:rFonts w:hint="default"/>
                <w:color w:val="auto"/>
                <w:lang w:val="en-US" w:eastAsia="zh-CN"/>
              </w:rPr>
              <w:t>中</w:t>
            </w:r>
            <w:r>
              <w:rPr>
                <w:rFonts w:hint="eastAsia"/>
                <w:color w:val="auto"/>
                <w:lang w:val="en-US" w:eastAsia="zh-CN"/>
              </w:rPr>
              <w:t>“</w:t>
            </w:r>
            <w:r>
              <w:rPr>
                <w:rFonts w:hint="default"/>
                <w:color w:val="auto"/>
                <w:lang w:val="en-US" w:eastAsia="zh-CN"/>
              </w:rPr>
              <w:t>42、废弃资源综合利用行业系数手册，4220非金属废料和碎屑加工处理行业系数手册中原料为废PE/PP，产品为再生塑料粒子，工艺为挤出造粒</w:t>
            </w:r>
            <w:r>
              <w:rPr>
                <w:rFonts w:hint="eastAsia"/>
                <w:color w:val="auto"/>
                <w:lang w:val="en-US" w:eastAsia="zh-CN"/>
              </w:rPr>
              <w:t>”</w:t>
            </w:r>
            <w:r>
              <w:rPr>
                <w:rFonts w:hint="default"/>
                <w:color w:val="auto"/>
                <w:lang w:val="en-US" w:eastAsia="zh-CN"/>
              </w:rPr>
              <w:t>有机废气</w:t>
            </w:r>
            <w:r>
              <w:rPr>
                <w:rFonts w:hint="eastAsia"/>
                <w:color w:val="auto"/>
                <w:lang w:val="en-US" w:eastAsia="zh-CN"/>
              </w:rPr>
              <w:t>（</w:t>
            </w:r>
            <w:r>
              <w:rPr>
                <w:rFonts w:hint="default"/>
                <w:color w:val="auto"/>
                <w:lang w:val="en-US" w:eastAsia="zh-CN"/>
              </w:rPr>
              <w:t>以非甲烷总烃计</w:t>
            </w:r>
            <w:r>
              <w:rPr>
                <w:rFonts w:hint="eastAsia"/>
                <w:color w:val="auto"/>
                <w:lang w:val="en-US" w:eastAsia="zh-CN"/>
              </w:rPr>
              <w:t>）</w:t>
            </w:r>
            <w:r>
              <w:rPr>
                <w:rFonts w:hint="default"/>
                <w:color w:val="auto"/>
                <w:lang w:val="en-US" w:eastAsia="zh-CN"/>
              </w:rPr>
              <w:t>产生系数为350克/吨-原料</w:t>
            </w:r>
            <w:r>
              <w:rPr>
                <w:rFonts w:hint="eastAsia"/>
                <w:color w:val="auto"/>
                <w:lang w:val="en-US" w:eastAsia="zh-CN"/>
              </w:rPr>
              <w:t>，</w:t>
            </w:r>
            <w:r>
              <w:rPr>
                <w:rFonts w:hint="default"/>
                <w:color w:val="auto"/>
                <w:lang w:val="en-US" w:eastAsia="zh-CN"/>
              </w:rPr>
              <w:t>则项目真空烧网炉废气</w:t>
            </w:r>
            <w:r>
              <w:rPr>
                <w:rFonts w:hint="eastAsia"/>
                <w:color w:val="auto"/>
                <w:lang w:val="en-US" w:eastAsia="zh-CN"/>
              </w:rPr>
              <w:t>非甲烷总烃产生量为0.1575kg/a。</w:t>
            </w:r>
          </w:p>
          <w:p w14:paraId="7C99BC45">
            <w:pPr>
              <w:pStyle w:val="51"/>
              <w:bidi w:val="0"/>
              <w:rPr>
                <w:rFonts w:hint="default"/>
                <w:color w:val="auto"/>
                <w:lang w:val="en-US" w:eastAsia="zh-CN"/>
              </w:rPr>
            </w:pPr>
            <w:r>
              <w:rPr>
                <w:rFonts w:hint="eastAsia"/>
                <w:color w:val="auto"/>
                <w:lang w:val="en-US" w:eastAsia="zh-CN"/>
              </w:rPr>
              <w:t>②颗粒物</w:t>
            </w:r>
          </w:p>
          <w:p w14:paraId="226AF03F">
            <w:pPr>
              <w:pStyle w:val="51"/>
              <w:bidi w:val="0"/>
              <w:rPr>
                <w:rFonts w:hint="eastAsia"/>
                <w:color w:val="auto"/>
                <w:lang w:val="en-US" w:eastAsia="zh-CN"/>
              </w:rPr>
            </w:pPr>
            <w:r>
              <w:rPr>
                <w:rFonts w:hint="eastAsia"/>
                <w:color w:val="auto"/>
                <w:lang w:val="en-US" w:eastAsia="zh-CN"/>
              </w:rPr>
              <w:t>根据</w:t>
            </w:r>
            <w:r>
              <w:rPr>
                <w:rFonts w:hint="default"/>
                <w:color w:val="auto"/>
                <w:lang w:val="en-US" w:eastAsia="zh-CN"/>
              </w:rPr>
              <w:t>《废塑料预处理行业环境影响评价中常见污染物源强估算及污染治理》（李飞，</w:t>
            </w:r>
            <w:r>
              <w:rPr>
                <w:rFonts w:hint="default" w:ascii="Times New Roman" w:hAnsi="Times New Roman" w:cs="Times New Roman"/>
                <w:color w:val="auto"/>
                <w:lang w:val="en-US" w:eastAsia="zh-CN"/>
              </w:rPr>
              <w:t>中国资源综合利用，Vol.37，No1.2019年1月）挤塑造粒废气中颗粒物产生量为有机废气污染物产生量的20%</w:t>
            </w:r>
            <w:r>
              <w:rPr>
                <w:rFonts w:hint="eastAsia" w:cs="Times New Roman"/>
                <w:color w:val="auto"/>
                <w:lang w:val="en-US" w:eastAsia="zh-CN"/>
              </w:rPr>
              <w:t>～</w:t>
            </w:r>
            <w:r>
              <w:rPr>
                <w:rFonts w:hint="default" w:ascii="Times New Roman" w:hAnsi="Times New Roman" w:cs="Times New Roman"/>
                <w:color w:val="auto"/>
                <w:lang w:val="en-US" w:eastAsia="zh-CN"/>
              </w:rPr>
              <w:t>45%，</w:t>
            </w:r>
            <w:r>
              <w:rPr>
                <w:rFonts w:hint="eastAsia" w:ascii="Times New Roman" w:hAnsi="Times New Roman" w:cs="Times New Roman"/>
                <w:color w:val="auto"/>
                <w:lang w:val="en-US" w:eastAsia="zh-CN"/>
              </w:rPr>
              <w:t>取0.15kg/t原料</w:t>
            </w:r>
            <w:r>
              <w:rPr>
                <w:rFonts w:hint="default" w:ascii="Times New Roman" w:hAnsi="Times New Roman" w:cs="Times New Roman"/>
                <w:color w:val="auto"/>
                <w:lang w:val="en-US" w:eastAsia="zh-CN"/>
              </w:rPr>
              <w:t>，</w:t>
            </w:r>
            <w:r>
              <w:rPr>
                <w:rFonts w:hint="default"/>
                <w:color w:val="auto"/>
                <w:lang w:val="en-US" w:eastAsia="zh-CN"/>
              </w:rPr>
              <w:t>真空烧网炉废气</w:t>
            </w:r>
            <w:r>
              <w:rPr>
                <w:rFonts w:hint="eastAsia"/>
                <w:color w:val="auto"/>
                <w:lang w:val="en-US" w:eastAsia="zh-CN"/>
              </w:rPr>
              <w:t>颗粒物产生量0.15kg/t原料计，细颗粒物</w:t>
            </w:r>
            <w:r>
              <w:rPr>
                <w:rFonts w:hint="default"/>
                <w:color w:val="auto"/>
                <w:lang w:val="en-US" w:eastAsia="zh-CN"/>
              </w:rPr>
              <w:t>产生量为</w:t>
            </w:r>
            <w:r>
              <w:rPr>
                <w:rFonts w:hint="eastAsia"/>
                <w:color w:val="auto"/>
                <w:lang w:val="en-US" w:eastAsia="zh-CN"/>
              </w:rPr>
              <w:t>0.0675kg</w:t>
            </w:r>
            <w:r>
              <w:rPr>
                <w:rFonts w:hint="default"/>
                <w:color w:val="auto"/>
                <w:lang w:val="en-US" w:eastAsia="zh-CN"/>
              </w:rPr>
              <w:t>/a。</w:t>
            </w:r>
          </w:p>
          <w:p w14:paraId="58BB1548">
            <w:pPr>
              <w:pStyle w:val="51"/>
              <w:bidi w:val="0"/>
              <w:rPr>
                <w:rFonts w:hint="eastAsia"/>
                <w:color w:val="auto"/>
                <w:lang w:val="en-US" w:eastAsia="zh-CN"/>
              </w:rPr>
            </w:pPr>
            <w:r>
              <w:rPr>
                <w:rFonts w:hint="eastAsia"/>
                <w:color w:val="auto"/>
                <w:lang w:val="en-US" w:eastAsia="zh-CN"/>
              </w:rPr>
              <w:t>真空烧网炉为密闭作业且设备位于密闭车间内，经自然扩散后对周边环境影响小。</w:t>
            </w:r>
          </w:p>
          <w:p w14:paraId="666394AD">
            <w:pPr>
              <w:pStyle w:val="51"/>
              <w:bidi w:val="0"/>
              <w:rPr>
                <w:rFonts w:hint="default"/>
                <w:b/>
                <w:bCs/>
                <w:color w:val="auto"/>
                <w:lang w:val="en-US" w:eastAsia="zh-CN"/>
              </w:rPr>
            </w:pPr>
            <w:r>
              <w:rPr>
                <w:rFonts w:hint="eastAsia"/>
                <w:b/>
                <w:bCs/>
                <w:color w:val="auto"/>
                <w:lang w:val="en-US" w:eastAsia="zh-CN"/>
              </w:rPr>
              <w:t>2、项目废气产排情况汇总</w:t>
            </w:r>
          </w:p>
          <w:p w14:paraId="415F932E">
            <w:pPr>
              <w:pStyle w:val="51"/>
              <w:bidi w:val="0"/>
              <w:rPr>
                <w:rFonts w:hint="default"/>
                <w:color w:val="auto"/>
                <w:lang w:val="en-US" w:eastAsia="zh-CN"/>
              </w:rPr>
            </w:pPr>
            <w:r>
              <w:rPr>
                <w:rFonts w:hint="default"/>
                <w:color w:val="auto"/>
                <w:lang w:val="en-US" w:eastAsia="zh-CN"/>
              </w:rPr>
              <w:t>根据前述污染源强分析，</w:t>
            </w:r>
            <w:r>
              <w:rPr>
                <w:rFonts w:hint="eastAsia"/>
                <w:color w:val="auto"/>
                <w:lang w:val="en-US" w:eastAsia="zh-CN"/>
              </w:rPr>
              <w:t>正常情况下</w:t>
            </w:r>
            <w:r>
              <w:rPr>
                <w:rFonts w:hint="default"/>
                <w:color w:val="auto"/>
                <w:lang w:val="en-US" w:eastAsia="zh-CN"/>
              </w:rPr>
              <w:t>各污染源排放</w:t>
            </w:r>
            <w:r>
              <w:rPr>
                <w:rFonts w:hint="eastAsia"/>
                <w:color w:val="auto"/>
                <w:lang w:val="en-US" w:eastAsia="zh-CN"/>
              </w:rPr>
              <w:t>情况汇总表见下表</w:t>
            </w:r>
            <w:r>
              <w:rPr>
                <w:rFonts w:hint="default"/>
                <w:color w:val="auto"/>
                <w:lang w:val="en-US" w:eastAsia="zh-CN"/>
              </w:rPr>
              <w:t>。</w:t>
            </w:r>
          </w:p>
          <w:p w14:paraId="769F40BE">
            <w:pPr>
              <w:pStyle w:val="52"/>
              <w:bidi w:val="0"/>
              <w:rPr>
                <w:rFonts w:hint="eastAsia"/>
                <w:color w:val="auto"/>
              </w:rPr>
            </w:pPr>
            <w:r>
              <w:rPr>
                <w:rFonts w:hint="default"/>
                <w:color w:val="auto"/>
              </w:rPr>
              <w:t>表</w:t>
            </w:r>
            <w:r>
              <w:rPr>
                <w:rFonts w:hint="eastAsia"/>
                <w:color w:val="auto"/>
                <w:lang w:val="en-US" w:eastAsia="zh-CN"/>
              </w:rPr>
              <w:t xml:space="preserve">4-1   </w:t>
            </w:r>
            <w:r>
              <w:rPr>
                <w:rFonts w:hint="default"/>
                <w:color w:val="auto"/>
              </w:rPr>
              <w:t>项目废气污染源源强核算结果及产排情况一览表</w:t>
            </w:r>
          </w:p>
          <w:tbl>
            <w:tblPr>
              <w:tblStyle w:val="20"/>
              <w:tblW w:w="4991"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51" w:type="dxa"/>
                <w:bottom w:w="0" w:type="dxa"/>
                <w:right w:w="51" w:type="dxa"/>
              </w:tblCellMar>
            </w:tblPr>
            <w:tblGrid>
              <w:gridCol w:w="553"/>
              <w:gridCol w:w="356"/>
              <w:gridCol w:w="530"/>
              <w:gridCol w:w="703"/>
              <w:gridCol w:w="784"/>
              <w:gridCol w:w="708"/>
              <w:gridCol w:w="1477"/>
              <w:gridCol w:w="546"/>
              <w:gridCol w:w="695"/>
              <w:gridCol w:w="785"/>
              <w:gridCol w:w="790"/>
            </w:tblGrid>
            <w:tr w14:paraId="08C4B6F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363" w:hRule="atLeast"/>
                <w:tblHeader/>
                <w:jc w:val="center"/>
              </w:trPr>
              <w:tc>
                <w:tcPr>
                  <w:tcW w:w="349" w:type="pct"/>
                  <w:vMerge w:val="restart"/>
                  <w:tcBorders>
                    <w:tl2br w:val="nil"/>
                    <w:tr2bl w:val="nil"/>
                  </w:tcBorders>
                  <w:noWrap w:val="0"/>
                  <w:vAlign w:val="center"/>
                </w:tcPr>
                <w:p w14:paraId="3BB92568">
                  <w:pPr>
                    <w:pStyle w:val="53"/>
                    <w:bidi w:val="0"/>
                    <w:rPr>
                      <w:color w:val="auto"/>
                    </w:rPr>
                  </w:pPr>
                  <w:r>
                    <w:rPr>
                      <w:color w:val="auto"/>
                    </w:rPr>
                    <w:t>产污环节</w:t>
                  </w:r>
                </w:p>
              </w:tc>
              <w:tc>
                <w:tcPr>
                  <w:tcW w:w="225" w:type="pct"/>
                  <w:vMerge w:val="restart"/>
                  <w:tcBorders>
                    <w:tl2br w:val="nil"/>
                    <w:tr2bl w:val="nil"/>
                  </w:tcBorders>
                  <w:noWrap w:val="0"/>
                  <w:vAlign w:val="center"/>
                </w:tcPr>
                <w:p w14:paraId="0CE25C30">
                  <w:pPr>
                    <w:pStyle w:val="53"/>
                    <w:bidi w:val="0"/>
                    <w:rPr>
                      <w:color w:val="auto"/>
                    </w:rPr>
                  </w:pPr>
                  <w:r>
                    <w:rPr>
                      <w:color w:val="auto"/>
                    </w:rPr>
                    <w:t>排放方式</w:t>
                  </w:r>
                </w:p>
              </w:tc>
              <w:tc>
                <w:tcPr>
                  <w:tcW w:w="334" w:type="pct"/>
                  <w:vMerge w:val="restart"/>
                  <w:tcBorders>
                    <w:tl2br w:val="nil"/>
                    <w:tr2bl w:val="nil"/>
                  </w:tcBorders>
                  <w:noWrap w:val="0"/>
                  <w:vAlign w:val="center"/>
                </w:tcPr>
                <w:p w14:paraId="372E17FD">
                  <w:pPr>
                    <w:pStyle w:val="53"/>
                    <w:bidi w:val="0"/>
                    <w:rPr>
                      <w:color w:val="auto"/>
                    </w:rPr>
                  </w:pPr>
                  <w:r>
                    <w:rPr>
                      <w:color w:val="auto"/>
                    </w:rPr>
                    <w:t>污染物种类</w:t>
                  </w:r>
                </w:p>
              </w:tc>
              <w:tc>
                <w:tcPr>
                  <w:tcW w:w="1383" w:type="pct"/>
                  <w:gridSpan w:val="3"/>
                  <w:tcBorders>
                    <w:tl2br w:val="nil"/>
                    <w:tr2bl w:val="nil"/>
                  </w:tcBorders>
                  <w:noWrap w:val="0"/>
                  <w:vAlign w:val="center"/>
                </w:tcPr>
                <w:p w14:paraId="5221B67B">
                  <w:pPr>
                    <w:pStyle w:val="53"/>
                    <w:bidi w:val="0"/>
                    <w:rPr>
                      <w:color w:val="auto"/>
                    </w:rPr>
                  </w:pPr>
                  <w:r>
                    <w:rPr>
                      <w:color w:val="auto"/>
                    </w:rPr>
                    <w:t>产生情况</w:t>
                  </w:r>
                </w:p>
              </w:tc>
              <w:tc>
                <w:tcPr>
                  <w:tcW w:w="931" w:type="pct"/>
                  <w:vMerge w:val="restart"/>
                  <w:tcBorders>
                    <w:tl2br w:val="nil"/>
                    <w:tr2bl w:val="nil"/>
                  </w:tcBorders>
                  <w:noWrap w:val="0"/>
                  <w:vAlign w:val="center"/>
                </w:tcPr>
                <w:p w14:paraId="0CBC2A17">
                  <w:pPr>
                    <w:pStyle w:val="53"/>
                    <w:bidi w:val="0"/>
                    <w:rPr>
                      <w:color w:val="auto"/>
                    </w:rPr>
                  </w:pPr>
                  <w:r>
                    <w:rPr>
                      <w:color w:val="auto"/>
                    </w:rPr>
                    <w:t>治理措施</w:t>
                  </w:r>
                </w:p>
              </w:tc>
              <w:tc>
                <w:tcPr>
                  <w:tcW w:w="344" w:type="pct"/>
                  <w:vMerge w:val="restart"/>
                  <w:tcBorders>
                    <w:tl2br w:val="nil"/>
                    <w:tr2bl w:val="nil"/>
                  </w:tcBorders>
                  <w:noWrap w:val="0"/>
                  <w:vAlign w:val="center"/>
                </w:tcPr>
                <w:p w14:paraId="14B2EF2D">
                  <w:pPr>
                    <w:pStyle w:val="53"/>
                    <w:bidi w:val="0"/>
                    <w:rPr>
                      <w:color w:val="auto"/>
                    </w:rPr>
                  </w:pPr>
                  <w:r>
                    <w:rPr>
                      <w:color w:val="auto"/>
                    </w:rPr>
                    <w:t>是否为可行技术</w:t>
                  </w:r>
                </w:p>
              </w:tc>
              <w:tc>
                <w:tcPr>
                  <w:tcW w:w="1431" w:type="pct"/>
                  <w:gridSpan w:val="3"/>
                  <w:tcBorders>
                    <w:tl2br w:val="nil"/>
                    <w:tr2bl w:val="nil"/>
                  </w:tcBorders>
                  <w:noWrap w:val="0"/>
                  <w:vAlign w:val="center"/>
                </w:tcPr>
                <w:p w14:paraId="76BD54B3">
                  <w:pPr>
                    <w:pStyle w:val="53"/>
                    <w:bidi w:val="0"/>
                    <w:rPr>
                      <w:color w:val="auto"/>
                    </w:rPr>
                  </w:pPr>
                  <w:r>
                    <w:rPr>
                      <w:color w:val="auto"/>
                    </w:rPr>
                    <w:t>排放情况</w:t>
                  </w:r>
                </w:p>
              </w:tc>
            </w:tr>
            <w:tr w14:paraId="4AE80A0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475" w:hRule="atLeast"/>
                <w:tblHeader/>
                <w:jc w:val="center"/>
              </w:trPr>
              <w:tc>
                <w:tcPr>
                  <w:tcW w:w="349" w:type="pct"/>
                  <w:vMerge w:val="continue"/>
                  <w:tcBorders>
                    <w:tl2br w:val="nil"/>
                    <w:tr2bl w:val="nil"/>
                  </w:tcBorders>
                  <w:noWrap w:val="0"/>
                  <w:vAlign w:val="center"/>
                </w:tcPr>
                <w:p w14:paraId="52C64524">
                  <w:pPr>
                    <w:pStyle w:val="53"/>
                    <w:bidi w:val="0"/>
                    <w:rPr>
                      <w:color w:val="auto"/>
                    </w:rPr>
                  </w:pPr>
                </w:p>
              </w:tc>
              <w:tc>
                <w:tcPr>
                  <w:tcW w:w="225" w:type="pct"/>
                  <w:vMerge w:val="continue"/>
                  <w:tcBorders>
                    <w:tl2br w:val="nil"/>
                    <w:tr2bl w:val="nil"/>
                  </w:tcBorders>
                  <w:noWrap w:val="0"/>
                  <w:vAlign w:val="center"/>
                </w:tcPr>
                <w:p w14:paraId="5DA06AF9">
                  <w:pPr>
                    <w:pStyle w:val="53"/>
                    <w:bidi w:val="0"/>
                    <w:rPr>
                      <w:color w:val="auto"/>
                    </w:rPr>
                  </w:pPr>
                </w:p>
              </w:tc>
              <w:tc>
                <w:tcPr>
                  <w:tcW w:w="334" w:type="pct"/>
                  <w:vMerge w:val="continue"/>
                  <w:tcBorders>
                    <w:tl2br w:val="nil"/>
                    <w:tr2bl w:val="nil"/>
                  </w:tcBorders>
                  <w:noWrap w:val="0"/>
                  <w:vAlign w:val="center"/>
                </w:tcPr>
                <w:p w14:paraId="464208C9">
                  <w:pPr>
                    <w:pStyle w:val="53"/>
                    <w:bidi w:val="0"/>
                    <w:rPr>
                      <w:color w:val="auto"/>
                    </w:rPr>
                  </w:pPr>
                </w:p>
              </w:tc>
              <w:tc>
                <w:tcPr>
                  <w:tcW w:w="443" w:type="pct"/>
                  <w:tcBorders>
                    <w:tl2br w:val="nil"/>
                    <w:tr2bl w:val="nil"/>
                  </w:tcBorders>
                  <w:noWrap w:val="0"/>
                  <w:vAlign w:val="center"/>
                </w:tcPr>
                <w:p w14:paraId="1EE81D65">
                  <w:pPr>
                    <w:pStyle w:val="53"/>
                    <w:bidi w:val="0"/>
                    <w:rPr>
                      <w:color w:val="auto"/>
                    </w:rPr>
                  </w:pPr>
                  <w:r>
                    <w:rPr>
                      <w:color w:val="auto"/>
                    </w:rPr>
                    <w:t>产生</w:t>
                  </w:r>
                </w:p>
                <w:p w14:paraId="19B10E50">
                  <w:pPr>
                    <w:pStyle w:val="53"/>
                    <w:bidi w:val="0"/>
                    <w:rPr>
                      <w:color w:val="auto"/>
                    </w:rPr>
                  </w:pPr>
                  <w:r>
                    <w:rPr>
                      <w:color w:val="auto"/>
                    </w:rPr>
                    <w:t>量t/a</w:t>
                  </w:r>
                </w:p>
              </w:tc>
              <w:tc>
                <w:tcPr>
                  <w:tcW w:w="494" w:type="pct"/>
                  <w:tcBorders>
                    <w:tl2br w:val="nil"/>
                    <w:tr2bl w:val="nil"/>
                  </w:tcBorders>
                  <w:noWrap w:val="0"/>
                  <w:vAlign w:val="center"/>
                </w:tcPr>
                <w:p w14:paraId="43D0A434">
                  <w:pPr>
                    <w:pStyle w:val="53"/>
                    <w:bidi w:val="0"/>
                    <w:rPr>
                      <w:color w:val="auto"/>
                    </w:rPr>
                  </w:pPr>
                  <w:r>
                    <w:rPr>
                      <w:color w:val="auto"/>
                    </w:rPr>
                    <w:t>产生</w:t>
                  </w:r>
                </w:p>
                <w:p w14:paraId="59D0AED0">
                  <w:pPr>
                    <w:pStyle w:val="53"/>
                    <w:bidi w:val="0"/>
                    <w:rPr>
                      <w:color w:val="auto"/>
                    </w:rPr>
                  </w:pPr>
                  <w:r>
                    <w:rPr>
                      <w:color w:val="auto"/>
                    </w:rPr>
                    <w:t>速率kg/h</w:t>
                  </w:r>
                </w:p>
              </w:tc>
              <w:tc>
                <w:tcPr>
                  <w:tcW w:w="445" w:type="pct"/>
                  <w:tcBorders>
                    <w:tl2br w:val="nil"/>
                    <w:tr2bl w:val="nil"/>
                  </w:tcBorders>
                  <w:noWrap w:val="0"/>
                  <w:vAlign w:val="center"/>
                </w:tcPr>
                <w:p w14:paraId="73398BDC">
                  <w:pPr>
                    <w:pStyle w:val="53"/>
                    <w:bidi w:val="0"/>
                    <w:rPr>
                      <w:color w:val="auto"/>
                    </w:rPr>
                  </w:pPr>
                  <w:r>
                    <w:rPr>
                      <w:color w:val="auto"/>
                    </w:rPr>
                    <w:t>产生</w:t>
                  </w:r>
                </w:p>
                <w:p w14:paraId="4757B75E">
                  <w:pPr>
                    <w:pStyle w:val="53"/>
                    <w:bidi w:val="0"/>
                    <w:rPr>
                      <w:color w:val="auto"/>
                    </w:rPr>
                  </w:pPr>
                  <w:r>
                    <w:rPr>
                      <w:color w:val="auto"/>
                    </w:rPr>
                    <w:t>浓度mg/m</w:t>
                  </w:r>
                  <w:r>
                    <w:rPr>
                      <w:color w:val="auto"/>
                      <w:vertAlign w:val="superscript"/>
                    </w:rPr>
                    <w:t>3</w:t>
                  </w:r>
                </w:p>
              </w:tc>
              <w:tc>
                <w:tcPr>
                  <w:tcW w:w="931" w:type="pct"/>
                  <w:vMerge w:val="continue"/>
                  <w:tcBorders>
                    <w:tl2br w:val="nil"/>
                    <w:tr2bl w:val="nil"/>
                  </w:tcBorders>
                  <w:noWrap w:val="0"/>
                  <w:vAlign w:val="center"/>
                </w:tcPr>
                <w:p w14:paraId="5F8231F6">
                  <w:pPr>
                    <w:pStyle w:val="53"/>
                    <w:bidi w:val="0"/>
                    <w:rPr>
                      <w:color w:val="auto"/>
                    </w:rPr>
                  </w:pPr>
                </w:p>
              </w:tc>
              <w:tc>
                <w:tcPr>
                  <w:tcW w:w="344" w:type="pct"/>
                  <w:vMerge w:val="continue"/>
                  <w:tcBorders>
                    <w:tl2br w:val="nil"/>
                    <w:tr2bl w:val="nil"/>
                  </w:tcBorders>
                  <w:noWrap w:val="0"/>
                  <w:vAlign w:val="center"/>
                </w:tcPr>
                <w:p w14:paraId="613FA568">
                  <w:pPr>
                    <w:pStyle w:val="53"/>
                    <w:bidi w:val="0"/>
                    <w:rPr>
                      <w:color w:val="auto"/>
                    </w:rPr>
                  </w:pPr>
                </w:p>
              </w:tc>
              <w:tc>
                <w:tcPr>
                  <w:tcW w:w="438" w:type="pct"/>
                  <w:tcBorders>
                    <w:tl2br w:val="nil"/>
                    <w:tr2bl w:val="nil"/>
                  </w:tcBorders>
                  <w:noWrap w:val="0"/>
                  <w:vAlign w:val="center"/>
                </w:tcPr>
                <w:p w14:paraId="6D8D97B4">
                  <w:pPr>
                    <w:pStyle w:val="53"/>
                    <w:bidi w:val="0"/>
                    <w:rPr>
                      <w:color w:val="auto"/>
                    </w:rPr>
                  </w:pPr>
                  <w:r>
                    <w:rPr>
                      <w:color w:val="auto"/>
                    </w:rPr>
                    <w:t>排放</w:t>
                  </w:r>
                </w:p>
                <w:p w14:paraId="2329545C">
                  <w:pPr>
                    <w:pStyle w:val="53"/>
                    <w:bidi w:val="0"/>
                    <w:rPr>
                      <w:color w:val="auto"/>
                    </w:rPr>
                  </w:pPr>
                  <w:r>
                    <w:rPr>
                      <w:color w:val="auto"/>
                    </w:rPr>
                    <w:t>量t/a</w:t>
                  </w:r>
                </w:p>
              </w:tc>
              <w:tc>
                <w:tcPr>
                  <w:tcW w:w="495" w:type="pct"/>
                  <w:tcBorders>
                    <w:tl2br w:val="nil"/>
                    <w:tr2bl w:val="nil"/>
                  </w:tcBorders>
                  <w:noWrap w:val="0"/>
                  <w:vAlign w:val="center"/>
                </w:tcPr>
                <w:p w14:paraId="58DC20E4">
                  <w:pPr>
                    <w:pStyle w:val="53"/>
                    <w:bidi w:val="0"/>
                    <w:rPr>
                      <w:color w:val="auto"/>
                    </w:rPr>
                  </w:pPr>
                  <w:r>
                    <w:rPr>
                      <w:color w:val="auto"/>
                    </w:rPr>
                    <w:t>排放</w:t>
                  </w:r>
                </w:p>
                <w:p w14:paraId="448E877B">
                  <w:pPr>
                    <w:pStyle w:val="53"/>
                    <w:bidi w:val="0"/>
                    <w:rPr>
                      <w:color w:val="auto"/>
                    </w:rPr>
                  </w:pPr>
                  <w:r>
                    <w:rPr>
                      <w:color w:val="auto"/>
                    </w:rPr>
                    <w:t>速率kg/h</w:t>
                  </w:r>
                </w:p>
              </w:tc>
              <w:tc>
                <w:tcPr>
                  <w:tcW w:w="496" w:type="pct"/>
                  <w:tcBorders>
                    <w:tl2br w:val="nil"/>
                    <w:tr2bl w:val="nil"/>
                  </w:tcBorders>
                  <w:noWrap w:val="0"/>
                  <w:vAlign w:val="center"/>
                </w:tcPr>
                <w:p w14:paraId="6F9A8827">
                  <w:pPr>
                    <w:pStyle w:val="53"/>
                    <w:bidi w:val="0"/>
                    <w:rPr>
                      <w:color w:val="auto"/>
                    </w:rPr>
                  </w:pPr>
                  <w:r>
                    <w:rPr>
                      <w:color w:val="auto"/>
                    </w:rPr>
                    <w:t>排放</w:t>
                  </w:r>
                </w:p>
                <w:p w14:paraId="2AE6F7C8">
                  <w:pPr>
                    <w:pStyle w:val="53"/>
                    <w:bidi w:val="0"/>
                    <w:rPr>
                      <w:color w:val="auto"/>
                    </w:rPr>
                  </w:pPr>
                  <w:r>
                    <w:rPr>
                      <w:color w:val="auto"/>
                    </w:rPr>
                    <w:t>浓度mg/m</w:t>
                  </w:r>
                  <w:r>
                    <w:rPr>
                      <w:color w:val="auto"/>
                      <w:vertAlign w:val="superscript"/>
                    </w:rPr>
                    <w:t>3</w:t>
                  </w:r>
                </w:p>
              </w:tc>
            </w:tr>
            <w:tr w14:paraId="463F49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1604" w:hRule="atLeast"/>
                <w:tblHeader/>
                <w:jc w:val="center"/>
              </w:trPr>
              <w:tc>
                <w:tcPr>
                  <w:tcW w:w="349" w:type="pct"/>
                  <w:vMerge w:val="restart"/>
                  <w:tcBorders>
                    <w:tl2br w:val="nil"/>
                    <w:tr2bl w:val="nil"/>
                  </w:tcBorders>
                  <w:noWrap w:val="0"/>
                  <w:vAlign w:val="center"/>
                </w:tcPr>
                <w:p w14:paraId="6E689FE3">
                  <w:pPr>
                    <w:pStyle w:val="53"/>
                    <w:bidi w:val="0"/>
                    <w:rPr>
                      <w:rFonts w:hint="default" w:eastAsia="宋体"/>
                      <w:color w:val="auto"/>
                      <w:lang w:val="en-US" w:eastAsia="zh-CN"/>
                    </w:rPr>
                  </w:pPr>
                  <w:r>
                    <w:rPr>
                      <w:rFonts w:hint="eastAsia"/>
                      <w:color w:val="auto"/>
                      <w:lang w:val="en-US" w:eastAsia="zh-CN"/>
                    </w:rPr>
                    <w:t>熔融挤出工段</w:t>
                  </w:r>
                </w:p>
              </w:tc>
              <w:tc>
                <w:tcPr>
                  <w:tcW w:w="225" w:type="pct"/>
                  <w:tcBorders>
                    <w:tl2br w:val="nil"/>
                    <w:tr2bl w:val="nil"/>
                  </w:tcBorders>
                  <w:noWrap w:val="0"/>
                  <w:vAlign w:val="center"/>
                </w:tcPr>
                <w:p w14:paraId="12B28798">
                  <w:pPr>
                    <w:pStyle w:val="53"/>
                    <w:bidi w:val="0"/>
                    <w:ind w:firstLine="0" w:firstLineChars="0"/>
                    <w:rPr>
                      <w:color w:val="auto"/>
                    </w:rPr>
                  </w:pPr>
                  <w:r>
                    <w:rPr>
                      <w:color w:val="auto"/>
                    </w:rPr>
                    <w:t>有组织</w:t>
                  </w:r>
                </w:p>
              </w:tc>
              <w:tc>
                <w:tcPr>
                  <w:tcW w:w="334" w:type="pct"/>
                  <w:tcBorders>
                    <w:tl2br w:val="nil"/>
                    <w:tr2bl w:val="nil"/>
                  </w:tcBorders>
                  <w:noWrap w:val="0"/>
                  <w:vAlign w:val="center"/>
                </w:tcPr>
                <w:p w14:paraId="05561673">
                  <w:pPr>
                    <w:pStyle w:val="53"/>
                    <w:bidi w:val="0"/>
                    <w:ind w:firstLine="0" w:firstLineChars="0"/>
                    <w:rPr>
                      <w:color w:val="auto"/>
                    </w:rPr>
                  </w:pPr>
                  <w:r>
                    <w:rPr>
                      <w:rFonts w:hint="eastAsia"/>
                      <w:color w:val="auto"/>
                      <w:lang w:val="en-US" w:eastAsia="zh-CN"/>
                    </w:rPr>
                    <w:t>非甲烷总烃</w:t>
                  </w:r>
                </w:p>
              </w:tc>
              <w:tc>
                <w:tcPr>
                  <w:tcW w:w="443" w:type="pct"/>
                  <w:tcBorders>
                    <w:tl2br w:val="nil"/>
                    <w:tr2bl w:val="nil"/>
                  </w:tcBorders>
                  <w:noWrap w:val="0"/>
                  <w:vAlign w:val="center"/>
                </w:tcPr>
                <w:p w14:paraId="7CB8B80E">
                  <w:pPr>
                    <w:pStyle w:val="53"/>
                    <w:bidi w:val="0"/>
                    <w:ind w:firstLine="0" w:firstLineChars="0"/>
                    <w:rPr>
                      <w:rFonts w:hint="default" w:eastAsia="宋体"/>
                      <w:color w:val="auto"/>
                      <w:lang w:val="en-US" w:eastAsia="zh-CN"/>
                    </w:rPr>
                  </w:pPr>
                  <w:r>
                    <w:rPr>
                      <w:rFonts w:hint="eastAsia"/>
                      <w:color w:val="auto"/>
                      <w:lang w:val="en-US" w:eastAsia="zh-CN"/>
                    </w:rPr>
                    <w:t>2.8</w:t>
                  </w:r>
                </w:p>
              </w:tc>
              <w:tc>
                <w:tcPr>
                  <w:tcW w:w="494" w:type="pct"/>
                  <w:tcBorders>
                    <w:tl2br w:val="nil"/>
                    <w:tr2bl w:val="nil"/>
                  </w:tcBorders>
                  <w:noWrap w:val="0"/>
                  <w:vAlign w:val="center"/>
                </w:tcPr>
                <w:p w14:paraId="0C522599">
                  <w:pPr>
                    <w:pStyle w:val="53"/>
                    <w:bidi w:val="0"/>
                    <w:ind w:firstLine="0" w:firstLineChars="0"/>
                    <w:rPr>
                      <w:rFonts w:hint="default" w:eastAsia="宋体"/>
                      <w:color w:val="auto"/>
                      <w:lang w:val="en-US" w:eastAsia="zh-CN"/>
                    </w:rPr>
                  </w:pPr>
                  <w:r>
                    <w:rPr>
                      <w:rFonts w:hint="eastAsia"/>
                      <w:color w:val="auto"/>
                      <w:lang w:val="en-US" w:eastAsia="zh-CN"/>
                    </w:rPr>
                    <w:t>0.5833</w:t>
                  </w:r>
                </w:p>
              </w:tc>
              <w:tc>
                <w:tcPr>
                  <w:tcW w:w="445" w:type="pct"/>
                  <w:tcBorders>
                    <w:tl2br w:val="nil"/>
                    <w:tr2bl w:val="nil"/>
                  </w:tcBorders>
                  <w:noWrap w:val="0"/>
                  <w:vAlign w:val="center"/>
                </w:tcPr>
                <w:p w14:paraId="17BEE2AE">
                  <w:pPr>
                    <w:pStyle w:val="53"/>
                    <w:bidi w:val="0"/>
                    <w:ind w:firstLine="0" w:firstLineChars="0"/>
                    <w:rPr>
                      <w:rFonts w:hint="default" w:eastAsia="宋体"/>
                      <w:color w:val="auto"/>
                      <w:lang w:val="en-US" w:eastAsia="zh-CN"/>
                    </w:rPr>
                  </w:pPr>
                  <w:r>
                    <w:rPr>
                      <w:rFonts w:hint="eastAsia"/>
                      <w:color w:val="auto"/>
                      <w:lang w:val="en-US" w:eastAsia="zh-CN"/>
                    </w:rPr>
                    <w:t>58.33</w:t>
                  </w:r>
                </w:p>
              </w:tc>
              <w:tc>
                <w:tcPr>
                  <w:tcW w:w="931" w:type="pct"/>
                  <w:vMerge w:val="restart"/>
                  <w:tcBorders>
                    <w:tl2br w:val="nil"/>
                    <w:tr2bl w:val="nil"/>
                  </w:tcBorders>
                  <w:noWrap w:val="0"/>
                  <w:vAlign w:val="center"/>
                </w:tcPr>
                <w:p w14:paraId="215E9FB1">
                  <w:pPr>
                    <w:pStyle w:val="53"/>
                    <w:bidi w:val="0"/>
                    <w:rPr>
                      <w:rFonts w:hint="default" w:eastAsia="宋体"/>
                      <w:color w:val="auto"/>
                      <w:lang w:val="en-US" w:eastAsia="zh-CN"/>
                    </w:rPr>
                  </w:pPr>
                  <w:r>
                    <w:rPr>
                      <w:rFonts w:hint="eastAsia"/>
                      <w:color w:val="auto"/>
                      <w:lang w:val="en-US" w:eastAsia="zh-CN"/>
                    </w:rPr>
                    <w:t>挤出机上方设置集气罩，产生的废气经集气罩收集后进入三级活性炭装置处理，非甲烷总烃经处理后由15m高排气筒（DA001）排放</w:t>
                  </w:r>
                </w:p>
              </w:tc>
              <w:tc>
                <w:tcPr>
                  <w:tcW w:w="344" w:type="pct"/>
                  <w:tcBorders>
                    <w:tl2br w:val="nil"/>
                    <w:tr2bl w:val="nil"/>
                  </w:tcBorders>
                  <w:noWrap w:val="0"/>
                  <w:vAlign w:val="center"/>
                </w:tcPr>
                <w:p w14:paraId="04E687B8">
                  <w:pPr>
                    <w:pStyle w:val="53"/>
                    <w:bidi w:val="0"/>
                    <w:rPr>
                      <w:rFonts w:hint="eastAsia" w:eastAsia="宋体"/>
                      <w:color w:val="auto"/>
                      <w:lang w:val="en-US" w:eastAsia="zh-CN"/>
                    </w:rPr>
                  </w:pPr>
                  <w:r>
                    <w:rPr>
                      <w:rFonts w:hint="eastAsia"/>
                      <w:color w:val="auto"/>
                      <w:lang w:val="en-US" w:eastAsia="zh-CN"/>
                    </w:rPr>
                    <w:t>是</w:t>
                  </w:r>
                </w:p>
              </w:tc>
              <w:tc>
                <w:tcPr>
                  <w:tcW w:w="438" w:type="pct"/>
                  <w:tcBorders>
                    <w:tl2br w:val="nil"/>
                    <w:tr2bl w:val="nil"/>
                  </w:tcBorders>
                  <w:noWrap w:val="0"/>
                  <w:vAlign w:val="center"/>
                </w:tcPr>
                <w:p w14:paraId="219BAD8D">
                  <w:pPr>
                    <w:pStyle w:val="53"/>
                    <w:bidi w:val="0"/>
                    <w:rPr>
                      <w:rFonts w:hint="default" w:eastAsia="宋体"/>
                      <w:color w:val="auto"/>
                      <w:lang w:val="en-US" w:eastAsia="zh-CN"/>
                    </w:rPr>
                  </w:pPr>
                  <w:r>
                    <w:rPr>
                      <w:rFonts w:hint="eastAsia"/>
                      <w:color w:val="auto"/>
                      <w:lang w:val="en-US" w:eastAsia="zh-CN"/>
                    </w:rPr>
                    <w:t>1.26</w:t>
                  </w:r>
                </w:p>
              </w:tc>
              <w:tc>
                <w:tcPr>
                  <w:tcW w:w="495" w:type="pct"/>
                  <w:tcBorders>
                    <w:tl2br w:val="nil"/>
                    <w:tr2bl w:val="nil"/>
                  </w:tcBorders>
                  <w:noWrap w:val="0"/>
                  <w:vAlign w:val="center"/>
                </w:tcPr>
                <w:p w14:paraId="1257F464">
                  <w:pPr>
                    <w:pStyle w:val="53"/>
                    <w:bidi w:val="0"/>
                    <w:rPr>
                      <w:rFonts w:hint="default" w:eastAsia="宋体"/>
                      <w:color w:val="auto"/>
                      <w:lang w:val="en-US" w:eastAsia="zh-CN"/>
                    </w:rPr>
                  </w:pPr>
                  <w:r>
                    <w:rPr>
                      <w:rFonts w:hint="eastAsia"/>
                      <w:color w:val="auto"/>
                      <w:lang w:val="en-US" w:eastAsia="zh-CN"/>
                    </w:rPr>
                    <w:t>0.2625</w:t>
                  </w:r>
                </w:p>
              </w:tc>
              <w:tc>
                <w:tcPr>
                  <w:tcW w:w="496" w:type="pct"/>
                  <w:tcBorders>
                    <w:tl2br w:val="nil"/>
                    <w:tr2bl w:val="nil"/>
                  </w:tcBorders>
                  <w:noWrap w:val="0"/>
                  <w:vAlign w:val="center"/>
                </w:tcPr>
                <w:p w14:paraId="1AF0DC09">
                  <w:pPr>
                    <w:pStyle w:val="53"/>
                    <w:bidi w:val="0"/>
                    <w:rPr>
                      <w:rFonts w:hint="default" w:eastAsia="宋体"/>
                      <w:color w:val="auto"/>
                      <w:lang w:val="en-US" w:eastAsia="zh-CN"/>
                    </w:rPr>
                  </w:pPr>
                  <w:r>
                    <w:rPr>
                      <w:rFonts w:hint="eastAsia"/>
                      <w:color w:val="auto"/>
                      <w:lang w:val="en-US" w:eastAsia="zh-CN"/>
                    </w:rPr>
                    <w:t>26.25</w:t>
                  </w:r>
                </w:p>
              </w:tc>
            </w:tr>
            <w:tr w14:paraId="195AC9B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90" w:hRule="atLeast"/>
                <w:jc w:val="center"/>
              </w:trPr>
              <w:tc>
                <w:tcPr>
                  <w:tcW w:w="349" w:type="pct"/>
                  <w:vMerge w:val="continue"/>
                  <w:tcBorders>
                    <w:tl2br w:val="nil"/>
                    <w:tr2bl w:val="nil"/>
                  </w:tcBorders>
                  <w:noWrap w:val="0"/>
                  <w:vAlign w:val="center"/>
                </w:tcPr>
                <w:p w14:paraId="5A3F6965">
                  <w:pPr>
                    <w:pStyle w:val="53"/>
                    <w:bidi w:val="0"/>
                    <w:rPr>
                      <w:rFonts w:hint="default"/>
                      <w:color w:val="auto"/>
                      <w:lang w:val="en-US" w:eastAsia="zh-CN"/>
                    </w:rPr>
                  </w:pPr>
                </w:p>
              </w:tc>
              <w:tc>
                <w:tcPr>
                  <w:tcW w:w="225" w:type="pct"/>
                  <w:tcBorders>
                    <w:tl2br w:val="nil"/>
                    <w:tr2bl w:val="nil"/>
                  </w:tcBorders>
                  <w:noWrap w:val="0"/>
                  <w:vAlign w:val="center"/>
                </w:tcPr>
                <w:p w14:paraId="6D363442">
                  <w:pPr>
                    <w:pStyle w:val="53"/>
                    <w:bidi w:val="0"/>
                    <w:rPr>
                      <w:color w:val="auto"/>
                      <w:lang w:val="en-US" w:eastAsia="zh-CN"/>
                    </w:rPr>
                  </w:pPr>
                  <w:r>
                    <w:rPr>
                      <w:color w:val="auto"/>
                    </w:rPr>
                    <w:t>有组织</w:t>
                  </w:r>
                </w:p>
              </w:tc>
              <w:tc>
                <w:tcPr>
                  <w:tcW w:w="334" w:type="pct"/>
                  <w:tcBorders>
                    <w:tl2br w:val="nil"/>
                    <w:tr2bl w:val="nil"/>
                  </w:tcBorders>
                  <w:noWrap w:val="0"/>
                  <w:vAlign w:val="center"/>
                </w:tcPr>
                <w:p w14:paraId="778E7A4F">
                  <w:pPr>
                    <w:pStyle w:val="53"/>
                    <w:bidi w:val="0"/>
                    <w:rPr>
                      <w:rFonts w:hint="eastAsia"/>
                      <w:color w:val="auto"/>
                      <w:lang w:val="en-US" w:eastAsia="zh-CN"/>
                    </w:rPr>
                  </w:pPr>
                  <w:r>
                    <w:rPr>
                      <w:rFonts w:hint="eastAsia"/>
                      <w:color w:val="auto"/>
                      <w:lang w:val="en-US" w:eastAsia="zh-CN"/>
                    </w:rPr>
                    <w:t>颗粒物</w:t>
                  </w:r>
                </w:p>
              </w:tc>
              <w:tc>
                <w:tcPr>
                  <w:tcW w:w="443" w:type="pct"/>
                  <w:tcBorders>
                    <w:tl2br w:val="nil"/>
                    <w:tr2bl w:val="nil"/>
                  </w:tcBorders>
                  <w:noWrap w:val="0"/>
                  <w:vAlign w:val="center"/>
                </w:tcPr>
                <w:p w14:paraId="0BAE3FD2">
                  <w:pPr>
                    <w:pStyle w:val="53"/>
                    <w:bidi w:val="0"/>
                    <w:rPr>
                      <w:rFonts w:hint="default"/>
                      <w:color w:val="auto"/>
                      <w:lang w:val="en-US" w:eastAsia="zh-CN"/>
                    </w:rPr>
                  </w:pPr>
                  <w:r>
                    <w:rPr>
                      <w:rFonts w:hint="eastAsia"/>
                      <w:color w:val="auto"/>
                      <w:lang w:val="en-US" w:eastAsia="zh-CN"/>
                    </w:rPr>
                    <w:t>1.2</w:t>
                  </w:r>
                </w:p>
              </w:tc>
              <w:tc>
                <w:tcPr>
                  <w:tcW w:w="494" w:type="pct"/>
                  <w:tcBorders>
                    <w:tl2br w:val="nil"/>
                    <w:tr2bl w:val="nil"/>
                  </w:tcBorders>
                  <w:noWrap w:val="0"/>
                  <w:vAlign w:val="center"/>
                </w:tcPr>
                <w:p w14:paraId="20D3E6CE">
                  <w:pPr>
                    <w:pStyle w:val="53"/>
                    <w:bidi w:val="0"/>
                    <w:ind w:firstLine="0" w:firstLineChars="0"/>
                    <w:rPr>
                      <w:rFonts w:hint="default"/>
                      <w:color w:val="auto"/>
                      <w:lang w:val="en-US" w:eastAsia="zh-CN"/>
                    </w:rPr>
                  </w:pPr>
                  <w:r>
                    <w:rPr>
                      <w:rFonts w:hint="eastAsia"/>
                      <w:color w:val="auto"/>
                      <w:lang w:val="en-US" w:eastAsia="zh-CN"/>
                    </w:rPr>
                    <w:t>0.25</w:t>
                  </w:r>
                </w:p>
              </w:tc>
              <w:tc>
                <w:tcPr>
                  <w:tcW w:w="445" w:type="pct"/>
                  <w:tcBorders>
                    <w:tl2br w:val="nil"/>
                    <w:tr2bl w:val="nil"/>
                  </w:tcBorders>
                  <w:noWrap w:val="0"/>
                  <w:vAlign w:val="center"/>
                </w:tcPr>
                <w:p w14:paraId="055CAB34">
                  <w:pPr>
                    <w:pStyle w:val="53"/>
                    <w:bidi w:val="0"/>
                    <w:ind w:firstLine="0" w:firstLineChars="0"/>
                    <w:rPr>
                      <w:rFonts w:hint="default"/>
                      <w:color w:val="auto"/>
                      <w:lang w:val="en-US" w:eastAsia="zh-CN"/>
                    </w:rPr>
                  </w:pPr>
                  <w:r>
                    <w:rPr>
                      <w:rFonts w:hint="eastAsia"/>
                      <w:color w:val="auto"/>
                      <w:lang w:val="en-US" w:eastAsia="zh-CN"/>
                    </w:rPr>
                    <w:t>25</w:t>
                  </w:r>
                </w:p>
              </w:tc>
              <w:tc>
                <w:tcPr>
                  <w:tcW w:w="931" w:type="pct"/>
                  <w:vMerge w:val="continue"/>
                  <w:tcBorders>
                    <w:tl2br w:val="nil"/>
                    <w:tr2bl w:val="nil"/>
                  </w:tcBorders>
                  <w:noWrap w:val="0"/>
                  <w:vAlign w:val="center"/>
                </w:tcPr>
                <w:p w14:paraId="7A69A4F4">
                  <w:pPr>
                    <w:pStyle w:val="53"/>
                    <w:bidi w:val="0"/>
                    <w:rPr>
                      <w:rFonts w:hint="default"/>
                      <w:color w:val="auto"/>
                      <w:lang w:val="en-US" w:eastAsia="zh-CN"/>
                    </w:rPr>
                  </w:pPr>
                </w:p>
              </w:tc>
              <w:tc>
                <w:tcPr>
                  <w:tcW w:w="344" w:type="pct"/>
                  <w:tcBorders>
                    <w:tl2br w:val="nil"/>
                    <w:tr2bl w:val="nil"/>
                  </w:tcBorders>
                  <w:noWrap w:val="0"/>
                  <w:vAlign w:val="center"/>
                </w:tcPr>
                <w:p w14:paraId="75892D9E">
                  <w:pPr>
                    <w:pStyle w:val="53"/>
                    <w:bidi w:val="0"/>
                    <w:rPr>
                      <w:rFonts w:hint="default"/>
                      <w:color w:val="auto"/>
                      <w:lang w:val="en-US" w:eastAsia="zh-CN"/>
                    </w:rPr>
                  </w:pPr>
                  <w:r>
                    <w:rPr>
                      <w:rFonts w:hint="eastAsia"/>
                      <w:color w:val="auto"/>
                      <w:lang w:val="en-US" w:eastAsia="zh-CN"/>
                    </w:rPr>
                    <w:t>/</w:t>
                  </w:r>
                </w:p>
              </w:tc>
              <w:tc>
                <w:tcPr>
                  <w:tcW w:w="438" w:type="pct"/>
                  <w:tcBorders>
                    <w:tl2br w:val="nil"/>
                    <w:tr2bl w:val="nil"/>
                  </w:tcBorders>
                  <w:noWrap w:val="0"/>
                  <w:vAlign w:val="center"/>
                </w:tcPr>
                <w:p w14:paraId="3AC987AB">
                  <w:pPr>
                    <w:pStyle w:val="53"/>
                    <w:bidi w:val="0"/>
                    <w:rPr>
                      <w:rFonts w:hint="default"/>
                      <w:color w:val="auto"/>
                      <w:lang w:val="en-US" w:eastAsia="zh-CN"/>
                    </w:rPr>
                  </w:pPr>
                  <w:r>
                    <w:rPr>
                      <w:rFonts w:hint="eastAsia"/>
                      <w:color w:val="auto"/>
                      <w:lang w:val="en-US" w:eastAsia="zh-CN"/>
                    </w:rPr>
                    <w:t>1.2</w:t>
                  </w:r>
                </w:p>
              </w:tc>
              <w:tc>
                <w:tcPr>
                  <w:tcW w:w="785" w:type="dxa"/>
                  <w:tcBorders>
                    <w:tl2br w:val="nil"/>
                    <w:tr2bl w:val="nil"/>
                  </w:tcBorders>
                  <w:noWrap w:val="0"/>
                  <w:vAlign w:val="center"/>
                </w:tcPr>
                <w:p w14:paraId="02FB551E">
                  <w:pPr>
                    <w:pStyle w:val="53"/>
                    <w:bidi w:val="0"/>
                    <w:ind w:firstLine="0" w:firstLineChars="0"/>
                    <w:rPr>
                      <w:rFonts w:hint="default"/>
                      <w:color w:val="auto"/>
                      <w:lang w:val="en-US" w:eastAsia="zh-CN"/>
                    </w:rPr>
                  </w:pPr>
                  <w:r>
                    <w:rPr>
                      <w:rFonts w:hint="eastAsia"/>
                      <w:color w:val="auto"/>
                      <w:lang w:val="en-US" w:eastAsia="zh-CN"/>
                    </w:rPr>
                    <w:t>0.25</w:t>
                  </w:r>
                </w:p>
              </w:tc>
              <w:tc>
                <w:tcPr>
                  <w:tcW w:w="790" w:type="dxa"/>
                  <w:tcBorders>
                    <w:tl2br w:val="nil"/>
                    <w:tr2bl w:val="nil"/>
                  </w:tcBorders>
                  <w:noWrap w:val="0"/>
                  <w:vAlign w:val="center"/>
                </w:tcPr>
                <w:p w14:paraId="77234BD5">
                  <w:pPr>
                    <w:pStyle w:val="53"/>
                    <w:bidi w:val="0"/>
                    <w:ind w:firstLine="0" w:firstLineChars="0"/>
                    <w:rPr>
                      <w:rFonts w:hint="default"/>
                      <w:color w:val="auto"/>
                      <w:lang w:val="en-US" w:eastAsia="zh-CN"/>
                    </w:rPr>
                  </w:pPr>
                  <w:r>
                    <w:rPr>
                      <w:rFonts w:hint="eastAsia"/>
                      <w:color w:val="auto"/>
                      <w:lang w:val="en-US" w:eastAsia="zh-CN"/>
                    </w:rPr>
                    <w:t>25</w:t>
                  </w:r>
                </w:p>
              </w:tc>
            </w:tr>
            <w:tr w14:paraId="297F578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574" w:type="pct"/>
                  <w:gridSpan w:val="2"/>
                  <w:vMerge w:val="restart"/>
                  <w:tcBorders>
                    <w:tl2br w:val="nil"/>
                    <w:tr2bl w:val="nil"/>
                  </w:tcBorders>
                  <w:noWrap w:val="0"/>
                  <w:vAlign w:val="center"/>
                </w:tcPr>
                <w:p w14:paraId="55B998E9">
                  <w:pPr>
                    <w:pStyle w:val="53"/>
                    <w:bidi w:val="0"/>
                    <w:rPr>
                      <w:color w:val="auto"/>
                    </w:rPr>
                  </w:pPr>
                  <w:r>
                    <w:rPr>
                      <w:color w:val="auto"/>
                    </w:rPr>
                    <w:t>无组织</w:t>
                  </w:r>
                </w:p>
              </w:tc>
              <w:tc>
                <w:tcPr>
                  <w:tcW w:w="334" w:type="pct"/>
                  <w:tcBorders>
                    <w:tl2br w:val="nil"/>
                    <w:tr2bl w:val="nil"/>
                  </w:tcBorders>
                  <w:noWrap w:val="0"/>
                  <w:vAlign w:val="center"/>
                </w:tcPr>
                <w:p w14:paraId="6E046E59">
                  <w:pPr>
                    <w:pStyle w:val="53"/>
                    <w:bidi w:val="0"/>
                    <w:rPr>
                      <w:rFonts w:hint="eastAsia"/>
                      <w:color w:val="auto"/>
                      <w:lang w:val="en-US" w:eastAsia="zh-CN"/>
                    </w:rPr>
                  </w:pPr>
                  <w:r>
                    <w:rPr>
                      <w:rFonts w:hint="eastAsia"/>
                      <w:color w:val="auto"/>
                      <w:lang w:val="en-US" w:eastAsia="zh-CN"/>
                    </w:rPr>
                    <w:t>非甲烷总烃</w:t>
                  </w:r>
                </w:p>
              </w:tc>
              <w:tc>
                <w:tcPr>
                  <w:tcW w:w="443" w:type="pct"/>
                  <w:tcBorders>
                    <w:tl2br w:val="nil"/>
                    <w:tr2bl w:val="nil"/>
                  </w:tcBorders>
                  <w:noWrap w:val="0"/>
                  <w:vAlign w:val="center"/>
                </w:tcPr>
                <w:p w14:paraId="33C59E21">
                  <w:pPr>
                    <w:pStyle w:val="53"/>
                    <w:bidi w:val="0"/>
                    <w:rPr>
                      <w:rFonts w:hint="default"/>
                      <w:color w:val="auto"/>
                      <w:lang w:val="en-US" w:eastAsia="zh-CN"/>
                    </w:rPr>
                  </w:pPr>
                  <w:r>
                    <w:rPr>
                      <w:rFonts w:hint="eastAsia"/>
                      <w:color w:val="auto"/>
                      <w:lang w:val="en-US" w:eastAsia="zh-CN"/>
                    </w:rPr>
                    <w:t>0.7002</w:t>
                  </w:r>
                </w:p>
              </w:tc>
              <w:tc>
                <w:tcPr>
                  <w:tcW w:w="494" w:type="pct"/>
                  <w:tcBorders>
                    <w:tl2br w:val="nil"/>
                    <w:tr2bl w:val="nil"/>
                  </w:tcBorders>
                  <w:noWrap w:val="0"/>
                  <w:vAlign w:val="center"/>
                </w:tcPr>
                <w:p w14:paraId="00AF68D3">
                  <w:pPr>
                    <w:pStyle w:val="53"/>
                    <w:bidi w:val="0"/>
                    <w:rPr>
                      <w:rFonts w:hint="default"/>
                      <w:color w:val="auto"/>
                      <w:lang w:val="en-US" w:eastAsia="zh-CN"/>
                    </w:rPr>
                  </w:pPr>
                  <w:r>
                    <w:rPr>
                      <w:rFonts w:hint="eastAsia"/>
                      <w:color w:val="auto"/>
                      <w:lang w:val="en-US" w:eastAsia="zh-CN"/>
                    </w:rPr>
                    <w:t>/</w:t>
                  </w:r>
                </w:p>
              </w:tc>
              <w:tc>
                <w:tcPr>
                  <w:tcW w:w="445" w:type="pct"/>
                  <w:tcBorders>
                    <w:tl2br w:val="nil"/>
                    <w:tr2bl w:val="nil"/>
                  </w:tcBorders>
                  <w:noWrap w:val="0"/>
                  <w:vAlign w:val="center"/>
                </w:tcPr>
                <w:p w14:paraId="5860ECB2">
                  <w:pPr>
                    <w:pStyle w:val="53"/>
                    <w:bidi w:val="0"/>
                    <w:rPr>
                      <w:rFonts w:hint="eastAsia"/>
                      <w:color w:val="auto"/>
                      <w:lang w:val="en-US" w:eastAsia="zh-CN"/>
                    </w:rPr>
                  </w:pPr>
                  <w:r>
                    <w:rPr>
                      <w:rFonts w:hint="eastAsia"/>
                      <w:color w:val="auto"/>
                      <w:lang w:val="en-US" w:eastAsia="zh-CN"/>
                    </w:rPr>
                    <w:t>/</w:t>
                  </w:r>
                </w:p>
              </w:tc>
              <w:tc>
                <w:tcPr>
                  <w:tcW w:w="931" w:type="pct"/>
                  <w:vMerge w:val="restart"/>
                  <w:tcBorders>
                    <w:tl2br w:val="nil"/>
                    <w:tr2bl w:val="nil"/>
                  </w:tcBorders>
                  <w:noWrap w:val="0"/>
                  <w:vAlign w:val="center"/>
                </w:tcPr>
                <w:p w14:paraId="3720E65F">
                  <w:pPr>
                    <w:pStyle w:val="53"/>
                    <w:bidi w:val="0"/>
                    <w:rPr>
                      <w:rFonts w:hint="eastAsia" w:eastAsia="宋体"/>
                      <w:color w:val="auto"/>
                      <w:lang w:val="en-US" w:eastAsia="zh-CN"/>
                    </w:rPr>
                  </w:pPr>
                  <w:r>
                    <w:rPr>
                      <w:color w:val="auto"/>
                    </w:rPr>
                    <w:t>生产车间全封闭</w:t>
                  </w:r>
                </w:p>
              </w:tc>
              <w:tc>
                <w:tcPr>
                  <w:tcW w:w="344" w:type="pct"/>
                  <w:tcBorders>
                    <w:tl2br w:val="nil"/>
                    <w:tr2bl w:val="nil"/>
                  </w:tcBorders>
                  <w:noWrap w:val="0"/>
                  <w:vAlign w:val="center"/>
                </w:tcPr>
                <w:p w14:paraId="797A1550">
                  <w:pPr>
                    <w:pStyle w:val="53"/>
                    <w:bidi w:val="0"/>
                    <w:rPr>
                      <w:color w:val="auto"/>
                    </w:rPr>
                  </w:pPr>
                  <w:r>
                    <w:rPr>
                      <w:rFonts w:hint="eastAsia"/>
                      <w:color w:val="auto"/>
                      <w:lang w:val="en-US" w:eastAsia="zh-CN"/>
                    </w:rPr>
                    <w:t>/</w:t>
                  </w:r>
                </w:p>
              </w:tc>
              <w:tc>
                <w:tcPr>
                  <w:tcW w:w="695" w:type="dxa"/>
                  <w:tcBorders>
                    <w:tl2br w:val="nil"/>
                    <w:tr2bl w:val="nil"/>
                  </w:tcBorders>
                  <w:noWrap w:val="0"/>
                  <w:vAlign w:val="center"/>
                </w:tcPr>
                <w:p w14:paraId="58C624FF">
                  <w:pPr>
                    <w:pStyle w:val="53"/>
                    <w:bidi w:val="0"/>
                    <w:ind w:firstLine="0" w:firstLineChars="0"/>
                    <w:rPr>
                      <w:rFonts w:hint="default"/>
                      <w:color w:val="auto"/>
                      <w:lang w:val="en-US"/>
                    </w:rPr>
                  </w:pPr>
                  <w:r>
                    <w:rPr>
                      <w:rFonts w:hint="eastAsia"/>
                      <w:color w:val="auto"/>
                      <w:lang w:val="en-US" w:eastAsia="zh-CN"/>
                    </w:rPr>
                    <w:t>0.7002</w:t>
                  </w:r>
                </w:p>
              </w:tc>
              <w:tc>
                <w:tcPr>
                  <w:tcW w:w="495" w:type="pct"/>
                  <w:tcBorders>
                    <w:tl2br w:val="nil"/>
                    <w:tr2bl w:val="nil"/>
                  </w:tcBorders>
                  <w:noWrap w:val="0"/>
                  <w:vAlign w:val="center"/>
                </w:tcPr>
                <w:p w14:paraId="71ABC108">
                  <w:pPr>
                    <w:pStyle w:val="53"/>
                    <w:bidi w:val="0"/>
                    <w:rPr>
                      <w:color w:val="auto"/>
                    </w:rPr>
                  </w:pPr>
                  <w:r>
                    <w:rPr>
                      <w:rFonts w:hint="eastAsia"/>
                      <w:color w:val="auto"/>
                      <w:lang w:val="en-US" w:eastAsia="zh-CN"/>
                    </w:rPr>
                    <w:t>/</w:t>
                  </w:r>
                </w:p>
              </w:tc>
              <w:tc>
                <w:tcPr>
                  <w:tcW w:w="496" w:type="pct"/>
                  <w:tcBorders>
                    <w:tl2br w:val="nil"/>
                    <w:tr2bl w:val="nil"/>
                  </w:tcBorders>
                  <w:noWrap w:val="0"/>
                  <w:vAlign w:val="center"/>
                </w:tcPr>
                <w:p w14:paraId="65FA95D6">
                  <w:pPr>
                    <w:pStyle w:val="53"/>
                    <w:bidi w:val="0"/>
                    <w:rPr>
                      <w:color w:val="auto"/>
                    </w:rPr>
                  </w:pPr>
                  <w:r>
                    <w:rPr>
                      <w:rFonts w:hint="eastAsia"/>
                      <w:color w:val="auto"/>
                      <w:lang w:val="en-US" w:eastAsia="zh-CN"/>
                    </w:rPr>
                    <w:t>/</w:t>
                  </w:r>
                </w:p>
              </w:tc>
            </w:tr>
            <w:tr w14:paraId="0DFB214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1" w:type="dxa"/>
                  <w:bottom w:w="0" w:type="dxa"/>
                  <w:right w:w="51" w:type="dxa"/>
                </w:tblCellMar>
              </w:tblPrEx>
              <w:trPr>
                <w:trHeight w:val="357" w:hRule="atLeast"/>
                <w:jc w:val="center"/>
              </w:trPr>
              <w:tc>
                <w:tcPr>
                  <w:tcW w:w="574" w:type="pct"/>
                  <w:gridSpan w:val="2"/>
                  <w:vMerge w:val="continue"/>
                  <w:tcBorders>
                    <w:tl2br w:val="nil"/>
                    <w:tr2bl w:val="nil"/>
                  </w:tcBorders>
                  <w:noWrap w:val="0"/>
                  <w:vAlign w:val="center"/>
                </w:tcPr>
                <w:p w14:paraId="4B98BE29">
                  <w:pPr>
                    <w:pStyle w:val="53"/>
                    <w:bidi w:val="0"/>
                    <w:rPr>
                      <w:color w:val="auto"/>
                    </w:rPr>
                  </w:pPr>
                </w:p>
              </w:tc>
              <w:tc>
                <w:tcPr>
                  <w:tcW w:w="334" w:type="pct"/>
                  <w:tcBorders>
                    <w:tl2br w:val="nil"/>
                    <w:tr2bl w:val="nil"/>
                  </w:tcBorders>
                  <w:noWrap w:val="0"/>
                  <w:vAlign w:val="center"/>
                </w:tcPr>
                <w:p w14:paraId="60A63FB4">
                  <w:pPr>
                    <w:pStyle w:val="53"/>
                    <w:bidi w:val="0"/>
                    <w:rPr>
                      <w:rFonts w:hint="default"/>
                      <w:color w:val="auto"/>
                      <w:lang w:val="en-US" w:eastAsia="zh-CN"/>
                    </w:rPr>
                  </w:pPr>
                  <w:r>
                    <w:rPr>
                      <w:rFonts w:hint="eastAsia"/>
                      <w:color w:val="auto"/>
                      <w:lang w:val="en-US" w:eastAsia="zh-CN"/>
                    </w:rPr>
                    <w:t>颗粒物</w:t>
                  </w:r>
                </w:p>
              </w:tc>
              <w:tc>
                <w:tcPr>
                  <w:tcW w:w="443" w:type="pct"/>
                  <w:tcBorders>
                    <w:tl2br w:val="nil"/>
                    <w:tr2bl w:val="nil"/>
                  </w:tcBorders>
                  <w:noWrap w:val="0"/>
                  <w:vAlign w:val="center"/>
                </w:tcPr>
                <w:p w14:paraId="3BE95927">
                  <w:pPr>
                    <w:pStyle w:val="53"/>
                    <w:bidi w:val="0"/>
                    <w:rPr>
                      <w:rFonts w:hint="default"/>
                      <w:color w:val="auto"/>
                      <w:lang w:val="en-US" w:eastAsia="zh-CN"/>
                    </w:rPr>
                  </w:pPr>
                  <w:r>
                    <w:rPr>
                      <w:rFonts w:hint="eastAsia"/>
                      <w:color w:val="auto"/>
                      <w:lang w:val="en-US" w:eastAsia="zh-CN"/>
                    </w:rPr>
                    <w:t>0.3001</w:t>
                  </w:r>
                </w:p>
              </w:tc>
              <w:tc>
                <w:tcPr>
                  <w:tcW w:w="494" w:type="pct"/>
                  <w:tcBorders>
                    <w:tl2br w:val="nil"/>
                    <w:tr2bl w:val="nil"/>
                  </w:tcBorders>
                  <w:noWrap w:val="0"/>
                  <w:vAlign w:val="center"/>
                </w:tcPr>
                <w:p w14:paraId="085202E3">
                  <w:pPr>
                    <w:pStyle w:val="53"/>
                    <w:bidi w:val="0"/>
                    <w:rPr>
                      <w:rFonts w:hint="default"/>
                      <w:color w:val="auto"/>
                      <w:lang w:val="en-US" w:eastAsia="zh-CN"/>
                    </w:rPr>
                  </w:pPr>
                  <w:r>
                    <w:rPr>
                      <w:rFonts w:hint="eastAsia"/>
                      <w:color w:val="auto"/>
                      <w:lang w:val="en-US" w:eastAsia="zh-CN"/>
                    </w:rPr>
                    <w:t>/</w:t>
                  </w:r>
                </w:p>
              </w:tc>
              <w:tc>
                <w:tcPr>
                  <w:tcW w:w="445" w:type="pct"/>
                  <w:tcBorders>
                    <w:tl2br w:val="nil"/>
                    <w:tr2bl w:val="nil"/>
                  </w:tcBorders>
                  <w:noWrap w:val="0"/>
                  <w:vAlign w:val="center"/>
                </w:tcPr>
                <w:p w14:paraId="1F990B14">
                  <w:pPr>
                    <w:pStyle w:val="53"/>
                    <w:bidi w:val="0"/>
                    <w:rPr>
                      <w:rFonts w:hint="default"/>
                      <w:color w:val="auto"/>
                      <w:lang w:val="en-US" w:eastAsia="zh-CN"/>
                    </w:rPr>
                  </w:pPr>
                  <w:r>
                    <w:rPr>
                      <w:rFonts w:hint="eastAsia"/>
                      <w:color w:val="auto"/>
                      <w:lang w:val="en-US" w:eastAsia="zh-CN"/>
                    </w:rPr>
                    <w:t>/</w:t>
                  </w:r>
                </w:p>
              </w:tc>
              <w:tc>
                <w:tcPr>
                  <w:tcW w:w="931" w:type="pct"/>
                  <w:vMerge w:val="continue"/>
                  <w:tcBorders>
                    <w:tl2br w:val="nil"/>
                    <w:tr2bl w:val="nil"/>
                  </w:tcBorders>
                  <w:noWrap w:val="0"/>
                  <w:vAlign w:val="center"/>
                </w:tcPr>
                <w:p w14:paraId="6548A3BC">
                  <w:pPr>
                    <w:pStyle w:val="53"/>
                    <w:bidi w:val="0"/>
                    <w:rPr>
                      <w:color w:val="auto"/>
                    </w:rPr>
                  </w:pPr>
                </w:p>
              </w:tc>
              <w:tc>
                <w:tcPr>
                  <w:tcW w:w="344" w:type="pct"/>
                  <w:tcBorders>
                    <w:tl2br w:val="nil"/>
                    <w:tr2bl w:val="nil"/>
                  </w:tcBorders>
                  <w:noWrap w:val="0"/>
                  <w:vAlign w:val="center"/>
                </w:tcPr>
                <w:p w14:paraId="0EE43907">
                  <w:pPr>
                    <w:pStyle w:val="53"/>
                    <w:bidi w:val="0"/>
                    <w:rPr>
                      <w:rFonts w:hint="default"/>
                      <w:color w:val="auto"/>
                      <w:lang w:val="en-US" w:eastAsia="zh-CN"/>
                    </w:rPr>
                  </w:pPr>
                  <w:r>
                    <w:rPr>
                      <w:rFonts w:hint="eastAsia"/>
                      <w:color w:val="auto"/>
                      <w:lang w:val="en-US" w:eastAsia="zh-CN"/>
                    </w:rPr>
                    <w:t>/</w:t>
                  </w:r>
                </w:p>
              </w:tc>
              <w:tc>
                <w:tcPr>
                  <w:tcW w:w="695" w:type="dxa"/>
                  <w:tcBorders>
                    <w:tl2br w:val="nil"/>
                    <w:tr2bl w:val="nil"/>
                  </w:tcBorders>
                  <w:noWrap w:val="0"/>
                  <w:vAlign w:val="center"/>
                </w:tcPr>
                <w:p w14:paraId="53F636B7">
                  <w:pPr>
                    <w:pStyle w:val="53"/>
                    <w:bidi w:val="0"/>
                    <w:ind w:firstLine="0" w:firstLineChars="0"/>
                    <w:rPr>
                      <w:rFonts w:hint="default"/>
                      <w:color w:val="auto"/>
                      <w:lang w:val="en-US" w:eastAsia="zh-CN"/>
                    </w:rPr>
                  </w:pPr>
                  <w:r>
                    <w:rPr>
                      <w:rFonts w:hint="eastAsia"/>
                      <w:color w:val="auto"/>
                      <w:lang w:val="en-US" w:eastAsia="zh-CN"/>
                    </w:rPr>
                    <w:t>0.3001</w:t>
                  </w:r>
                </w:p>
              </w:tc>
              <w:tc>
                <w:tcPr>
                  <w:tcW w:w="495" w:type="pct"/>
                  <w:tcBorders>
                    <w:tl2br w:val="nil"/>
                    <w:tr2bl w:val="nil"/>
                  </w:tcBorders>
                  <w:noWrap w:val="0"/>
                  <w:vAlign w:val="center"/>
                </w:tcPr>
                <w:p w14:paraId="10FA0A18">
                  <w:pPr>
                    <w:pStyle w:val="53"/>
                    <w:bidi w:val="0"/>
                    <w:rPr>
                      <w:rFonts w:hint="default"/>
                      <w:color w:val="auto"/>
                      <w:lang w:val="en-US" w:eastAsia="zh-CN"/>
                    </w:rPr>
                  </w:pPr>
                  <w:r>
                    <w:rPr>
                      <w:rFonts w:hint="eastAsia"/>
                      <w:color w:val="auto"/>
                      <w:lang w:val="en-US" w:eastAsia="zh-CN"/>
                    </w:rPr>
                    <w:t>/</w:t>
                  </w:r>
                </w:p>
              </w:tc>
              <w:tc>
                <w:tcPr>
                  <w:tcW w:w="496" w:type="pct"/>
                  <w:tcBorders>
                    <w:tl2br w:val="nil"/>
                    <w:tr2bl w:val="nil"/>
                  </w:tcBorders>
                  <w:noWrap w:val="0"/>
                  <w:vAlign w:val="center"/>
                </w:tcPr>
                <w:p w14:paraId="1A2C0BD6">
                  <w:pPr>
                    <w:pStyle w:val="53"/>
                    <w:bidi w:val="0"/>
                    <w:rPr>
                      <w:rFonts w:hint="default"/>
                      <w:color w:val="auto"/>
                      <w:lang w:val="en-US" w:eastAsia="zh-CN"/>
                    </w:rPr>
                  </w:pPr>
                  <w:r>
                    <w:rPr>
                      <w:rFonts w:hint="eastAsia"/>
                      <w:color w:val="auto"/>
                      <w:lang w:val="en-US" w:eastAsia="zh-CN"/>
                    </w:rPr>
                    <w:t>/</w:t>
                  </w:r>
                </w:p>
              </w:tc>
            </w:tr>
          </w:tbl>
          <w:p w14:paraId="50ACAEA5">
            <w:pPr>
              <w:pStyle w:val="52"/>
              <w:rPr>
                <w:rFonts w:hint="eastAsia"/>
                <w:color w:val="auto"/>
                <w:lang w:val="en-US" w:eastAsia="zh-CN" w:bidi="ar"/>
              </w:rPr>
            </w:pPr>
            <w:r>
              <w:rPr>
                <w:rFonts w:hint="eastAsia"/>
                <w:color w:val="auto"/>
                <w:lang w:val="en-US" w:eastAsia="zh-CN" w:bidi="ar"/>
              </w:rPr>
              <w:t>表4-2    项目运营期大气污染物有组织排放量核算表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64"/>
              <w:gridCol w:w="658"/>
              <w:gridCol w:w="1194"/>
              <w:gridCol w:w="1010"/>
              <w:gridCol w:w="845"/>
              <w:gridCol w:w="1944"/>
              <w:gridCol w:w="1195"/>
            </w:tblGrid>
            <w:tr w14:paraId="2ACF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restart"/>
                  <w:noWrap w:val="0"/>
                  <w:vAlign w:val="center"/>
                </w:tcPr>
                <w:p w14:paraId="10972D95">
                  <w:pPr>
                    <w:pStyle w:val="53"/>
                    <w:bidi w:val="0"/>
                    <w:rPr>
                      <w:color w:val="auto"/>
                      <w:lang w:val="en-US" w:eastAsia="zh-CN"/>
                    </w:rPr>
                  </w:pPr>
                  <w:r>
                    <w:rPr>
                      <w:rFonts w:hint="eastAsia"/>
                      <w:color w:val="auto"/>
                      <w:lang w:val="en-US" w:eastAsia="zh-CN"/>
                    </w:rPr>
                    <w:t>产污环节</w:t>
                  </w:r>
                </w:p>
              </w:tc>
              <w:tc>
                <w:tcPr>
                  <w:tcW w:w="418" w:type="pct"/>
                  <w:vMerge w:val="restart"/>
                  <w:noWrap w:val="0"/>
                  <w:vAlign w:val="center"/>
                </w:tcPr>
                <w:p w14:paraId="03EC5CDD">
                  <w:pPr>
                    <w:pStyle w:val="53"/>
                    <w:bidi w:val="0"/>
                    <w:rPr>
                      <w:color w:val="auto"/>
                      <w:lang w:val="en-US" w:eastAsia="zh-CN"/>
                    </w:rPr>
                  </w:pPr>
                  <w:r>
                    <w:rPr>
                      <w:rFonts w:hint="eastAsia"/>
                      <w:color w:val="auto"/>
                      <w:lang w:val="en-US" w:eastAsia="zh-CN"/>
                    </w:rPr>
                    <w:t>排放口编号</w:t>
                  </w:r>
                </w:p>
              </w:tc>
              <w:tc>
                <w:tcPr>
                  <w:tcW w:w="414" w:type="pct"/>
                  <w:vMerge w:val="restart"/>
                  <w:noWrap w:val="0"/>
                  <w:vAlign w:val="center"/>
                </w:tcPr>
                <w:p w14:paraId="42C0CC06">
                  <w:pPr>
                    <w:pStyle w:val="53"/>
                    <w:bidi w:val="0"/>
                    <w:rPr>
                      <w:color w:val="auto"/>
                      <w:lang w:val="en-US" w:eastAsia="zh-CN"/>
                    </w:rPr>
                  </w:pPr>
                  <w:r>
                    <w:rPr>
                      <w:rFonts w:hint="eastAsia"/>
                      <w:color w:val="auto"/>
                      <w:lang w:val="en-US" w:eastAsia="zh-CN"/>
                    </w:rPr>
                    <w:t>污染物</w:t>
                  </w:r>
                </w:p>
              </w:tc>
              <w:tc>
                <w:tcPr>
                  <w:tcW w:w="752" w:type="pct"/>
                  <w:vMerge w:val="restart"/>
                  <w:noWrap w:val="0"/>
                  <w:vAlign w:val="center"/>
                </w:tcPr>
                <w:p w14:paraId="2ABCCFBF">
                  <w:pPr>
                    <w:pStyle w:val="53"/>
                    <w:bidi w:val="0"/>
                    <w:rPr>
                      <w:rFonts w:hint="eastAsia"/>
                      <w:color w:val="auto"/>
                      <w:lang w:val="en-US" w:eastAsia="zh-CN"/>
                    </w:rPr>
                  </w:pPr>
                  <w:r>
                    <w:rPr>
                      <w:rFonts w:hint="eastAsia"/>
                      <w:color w:val="auto"/>
                      <w:lang w:val="en-US" w:eastAsia="zh-CN"/>
                    </w:rPr>
                    <w:t>核算排放浓度/ （mg/m</w:t>
                  </w:r>
                  <w:r>
                    <w:rPr>
                      <w:rFonts w:hint="eastAsia"/>
                      <w:color w:val="auto"/>
                      <w:vertAlign w:val="superscript"/>
                      <w:lang w:val="en-US" w:eastAsia="zh-CN"/>
                    </w:rPr>
                    <w:t>3</w:t>
                  </w:r>
                  <w:r>
                    <w:rPr>
                      <w:rFonts w:hint="eastAsia"/>
                      <w:color w:val="auto"/>
                      <w:lang w:val="en-US" w:eastAsia="zh-CN"/>
                    </w:rPr>
                    <w:t>）</w:t>
                  </w:r>
                </w:p>
              </w:tc>
              <w:tc>
                <w:tcPr>
                  <w:tcW w:w="636" w:type="pct"/>
                  <w:vMerge w:val="restart"/>
                  <w:noWrap w:val="0"/>
                  <w:vAlign w:val="center"/>
                </w:tcPr>
                <w:p w14:paraId="0A2DBEA2">
                  <w:pPr>
                    <w:pStyle w:val="53"/>
                    <w:bidi w:val="0"/>
                    <w:rPr>
                      <w:rFonts w:hint="eastAsia"/>
                      <w:color w:val="auto"/>
                      <w:lang w:val="en-US" w:eastAsia="zh-CN"/>
                    </w:rPr>
                  </w:pPr>
                  <w:r>
                    <w:rPr>
                      <w:rFonts w:hint="eastAsia"/>
                      <w:color w:val="auto"/>
                      <w:lang w:val="en-US" w:eastAsia="zh-CN"/>
                    </w:rPr>
                    <w:t>核算排放速率/ （kg/h）</w:t>
                  </w:r>
                </w:p>
              </w:tc>
              <w:tc>
                <w:tcPr>
                  <w:tcW w:w="532" w:type="pct"/>
                  <w:vMerge w:val="restart"/>
                  <w:noWrap w:val="0"/>
                  <w:vAlign w:val="center"/>
                </w:tcPr>
                <w:p w14:paraId="1A623031">
                  <w:pPr>
                    <w:pStyle w:val="53"/>
                    <w:bidi w:val="0"/>
                    <w:rPr>
                      <w:rFonts w:hint="eastAsia"/>
                      <w:color w:val="auto"/>
                      <w:lang w:val="en-US" w:eastAsia="zh-CN"/>
                    </w:rPr>
                  </w:pPr>
                  <w:r>
                    <w:rPr>
                      <w:rFonts w:hint="eastAsia"/>
                      <w:color w:val="auto"/>
                      <w:lang w:val="en-US" w:eastAsia="zh-CN"/>
                    </w:rPr>
                    <w:t>核算排放量/ （t/a）</w:t>
                  </w:r>
                </w:p>
              </w:tc>
              <w:tc>
                <w:tcPr>
                  <w:tcW w:w="1976" w:type="pct"/>
                  <w:gridSpan w:val="2"/>
                  <w:noWrap w:val="0"/>
                  <w:vAlign w:val="center"/>
                </w:tcPr>
                <w:p w14:paraId="00FFF9ED">
                  <w:pPr>
                    <w:pStyle w:val="53"/>
                    <w:bidi w:val="0"/>
                    <w:rPr>
                      <w:rFonts w:hint="eastAsia"/>
                      <w:color w:val="auto"/>
                      <w:lang w:val="en-US" w:eastAsia="zh-CN"/>
                    </w:rPr>
                  </w:pPr>
                  <w:r>
                    <w:rPr>
                      <w:rFonts w:hint="eastAsia"/>
                      <w:color w:val="auto"/>
                      <w:lang w:val="en-US" w:eastAsia="zh-CN"/>
                    </w:rPr>
                    <w:t>国家或地方污染物排放标准</w:t>
                  </w:r>
                </w:p>
              </w:tc>
            </w:tr>
            <w:tr w14:paraId="2769B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continue"/>
                  <w:noWrap w:val="0"/>
                  <w:vAlign w:val="center"/>
                </w:tcPr>
                <w:p w14:paraId="720EFA1C">
                  <w:pPr>
                    <w:pStyle w:val="53"/>
                    <w:bidi w:val="0"/>
                    <w:rPr>
                      <w:rFonts w:hint="eastAsia"/>
                      <w:color w:val="auto"/>
                      <w:lang w:val="en-US" w:eastAsia="zh-CN"/>
                    </w:rPr>
                  </w:pPr>
                </w:p>
              </w:tc>
              <w:tc>
                <w:tcPr>
                  <w:tcW w:w="418" w:type="pct"/>
                  <w:vMerge w:val="continue"/>
                  <w:noWrap w:val="0"/>
                  <w:vAlign w:val="center"/>
                </w:tcPr>
                <w:p w14:paraId="51966B6E">
                  <w:pPr>
                    <w:pStyle w:val="53"/>
                    <w:bidi w:val="0"/>
                    <w:rPr>
                      <w:rFonts w:hint="eastAsia"/>
                      <w:color w:val="auto"/>
                      <w:lang w:val="en-US" w:eastAsia="zh-CN"/>
                    </w:rPr>
                  </w:pPr>
                </w:p>
              </w:tc>
              <w:tc>
                <w:tcPr>
                  <w:tcW w:w="414" w:type="pct"/>
                  <w:vMerge w:val="continue"/>
                  <w:noWrap w:val="0"/>
                  <w:vAlign w:val="center"/>
                </w:tcPr>
                <w:p w14:paraId="4D7D07F9">
                  <w:pPr>
                    <w:pStyle w:val="53"/>
                    <w:bidi w:val="0"/>
                    <w:rPr>
                      <w:rFonts w:hint="eastAsia"/>
                      <w:color w:val="auto"/>
                      <w:lang w:val="en-US" w:eastAsia="zh-CN"/>
                    </w:rPr>
                  </w:pPr>
                </w:p>
              </w:tc>
              <w:tc>
                <w:tcPr>
                  <w:tcW w:w="752" w:type="pct"/>
                  <w:vMerge w:val="continue"/>
                  <w:noWrap w:val="0"/>
                  <w:vAlign w:val="center"/>
                </w:tcPr>
                <w:p w14:paraId="2853220C">
                  <w:pPr>
                    <w:pStyle w:val="53"/>
                    <w:bidi w:val="0"/>
                    <w:rPr>
                      <w:rFonts w:hint="eastAsia"/>
                      <w:color w:val="auto"/>
                      <w:lang w:val="en-US" w:eastAsia="zh-CN"/>
                    </w:rPr>
                  </w:pPr>
                </w:p>
              </w:tc>
              <w:tc>
                <w:tcPr>
                  <w:tcW w:w="636" w:type="pct"/>
                  <w:vMerge w:val="continue"/>
                  <w:noWrap w:val="0"/>
                  <w:vAlign w:val="center"/>
                </w:tcPr>
                <w:p w14:paraId="37563CB4">
                  <w:pPr>
                    <w:pStyle w:val="53"/>
                    <w:bidi w:val="0"/>
                    <w:rPr>
                      <w:rFonts w:hint="eastAsia"/>
                      <w:color w:val="auto"/>
                      <w:lang w:val="en-US" w:eastAsia="zh-CN"/>
                    </w:rPr>
                  </w:pPr>
                </w:p>
              </w:tc>
              <w:tc>
                <w:tcPr>
                  <w:tcW w:w="532" w:type="pct"/>
                  <w:vMerge w:val="continue"/>
                  <w:noWrap w:val="0"/>
                  <w:vAlign w:val="center"/>
                </w:tcPr>
                <w:p w14:paraId="358087AA">
                  <w:pPr>
                    <w:pStyle w:val="53"/>
                    <w:bidi w:val="0"/>
                    <w:rPr>
                      <w:rFonts w:hint="eastAsia"/>
                      <w:color w:val="auto"/>
                      <w:lang w:val="en-US" w:eastAsia="zh-CN"/>
                    </w:rPr>
                  </w:pPr>
                </w:p>
              </w:tc>
              <w:tc>
                <w:tcPr>
                  <w:tcW w:w="1224" w:type="pct"/>
                  <w:noWrap w:val="0"/>
                  <w:vAlign w:val="center"/>
                </w:tcPr>
                <w:p w14:paraId="4A7F64B0">
                  <w:pPr>
                    <w:pStyle w:val="53"/>
                    <w:bidi w:val="0"/>
                    <w:ind w:firstLine="0" w:firstLineChars="0"/>
                    <w:rPr>
                      <w:rFonts w:hint="eastAsia"/>
                      <w:color w:val="auto"/>
                      <w:lang w:val="en-US" w:eastAsia="zh-CN"/>
                    </w:rPr>
                  </w:pPr>
                  <w:r>
                    <w:rPr>
                      <w:rFonts w:hint="eastAsia"/>
                      <w:color w:val="auto"/>
                      <w:lang w:val="en-US" w:eastAsia="zh-CN"/>
                    </w:rPr>
                    <w:t>标准名称</w:t>
                  </w:r>
                </w:p>
              </w:tc>
              <w:tc>
                <w:tcPr>
                  <w:tcW w:w="752" w:type="pct"/>
                  <w:noWrap w:val="0"/>
                  <w:vAlign w:val="center"/>
                </w:tcPr>
                <w:p w14:paraId="7E6659D8">
                  <w:pPr>
                    <w:pStyle w:val="53"/>
                    <w:bidi w:val="0"/>
                    <w:ind w:firstLine="0" w:firstLineChars="0"/>
                    <w:rPr>
                      <w:rFonts w:hint="eastAsia"/>
                      <w:color w:val="auto"/>
                      <w:lang w:val="en-US" w:eastAsia="zh-CN"/>
                    </w:rPr>
                  </w:pPr>
                  <w:r>
                    <w:rPr>
                      <w:rFonts w:hint="eastAsia"/>
                      <w:color w:val="auto"/>
                      <w:lang w:val="en-US" w:eastAsia="zh-CN"/>
                    </w:rPr>
                    <w:t>浓度限值（mg/m</w:t>
                  </w:r>
                  <w:r>
                    <w:rPr>
                      <w:rFonts w:hint="eastAsia"/>
                      <w:color w:val="auto"/>
                      <w:vertAlign w:val="superscript"/>
                      <w:lang w:val="en-US" w:eastAsia="zh-CN"/>
                    </w:rPr>
                    <w:t>3</w:t>
                  </w:r>
                  <w:r>
                    <w:rPr>
                      <w:rFonts w:hint="eastAsia"/>
                      <w:color w:val="auto"/>
                      <w:lang w:val="en-US" w:eastAsia="zh-CN"/>
                    </w:rPr>
                    <w:t>）</w:t>
                  </w:r>
                </w:p>
              </w:tc>
            </w:tr>
            <w:tr w14:paraId="4800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68" w:type="pct"/>
                  <w:vMerge w:val="restart"/>
                  <w:noWrap w:val="0"/>
                  <w:vAlign w:val="center"/>
                </w:tcPr>
                <w:p w14:paraId="1C0364EC">
                  <w:pPr>
                    <w:pStyle w:val="53"/>
                    <w:bidi w:val="0"/>
                    <w:rPr>
                      <w:rFonts w:hint="eastAsia"/>
                      <w:color w:val="auto"/>
                      <w:lang w:val="en-US" w:eastAsia="zh-CN"/>
                    </w:rPr>
                  </w:pPr>
                  <w:r>
                    <w:rPr>
                      <w:rFonts w:hint="eastAsia"/>
                      <w:color w:val="auto"/>
                      <w:lang w:val="en-US" w:eastAsia="zh-CN"/>
                    </w:rPr>
                    <w:t>熔融挤出工段</w:t>
                  </w:r>
                </w:p>
              </w:tc>
              <w:tc>
                <w:tcPr>
                  <w:tcW w:w="418" w:type="pct"/>
                  <w:vMerge w:val="restart"/>
                  <w:noWrap w:val="0"/>
                  <w:vAlign w:val="center"/>
                </w:tcPr>
                <w:p w14:paraId="06510F57">
                  <w:pPr>
                    <w:pStyle w:val="53"/>
                    <w:bidi w:val="0"/>
                    <w:rPr>
                      <w:rFonts w:hint="default"/>
                      <w:color w:val="auto"/>
                      <w:lang w:val="en-US" w:eastAsia="zh-CN"/>
                    </w:rPr>
                  </w:pPr>
                  <w:r>
                    <w:rPr>
                      <w:rFonts w:hint="eastAsia"/>
                      <w:color w:val="auto"/>
                      <w:lang w:val="en-US" w:eastAsia="zh-CN"/>
                    </w:rPr>
                    <w:t>DA001</w:t>
                  </w:r>
                </w:p>
              </w:tc>
              <w:tc>
                <w:tcPr>
                  <w:tcW w:w="414" w:type="pct"/>
                  <w:noWrap w:val="0"/>
                  <w:vAlign w:val="center"/>
                </w:tcPr>
                <w:p w14:paraId="0491CFB4">
                  <w:pPr>
                    <w:pStyle w:val="53"/>
                    <w:bidi w:val="0"/>
                    <w:rPr>
                      <w:rFonts w:hint="default"/>
                      <w:color w:val="auto"/>
                      <w:lang w:val="en-US" w:eastAsia="zh-CN"/>
                    </w:rPr>
                  </w:pPr>
                  <w:r>
                    <w:rPr>
                      <w:rFonts w:hint="eastAsia"/>
                      <w:color w:val="auto"/>
                      <w:lang w:val="en-US" w:eastAsia="zh-CN"/>
                    </w:rPr>
                    <w:t>非甲烷总烃</w:t>
                  </w:r>
                </w:p>
              </w:tc>
              <w:tc>
                <w:tcPr>
                  <w:tcW w:w="752" w:type="pct"/>
                  <w:noWrap w:val="0"/>
                  <w:vAlign w:val="center"/>
                </w:tcPr>
                <w:p w14:paraId="32033253">
                  <w:pPr>
                    <w:pStyle w:val="53"/>
                    <w:bidi w:val="0"/>
                    <w:rPr>
                      <w:rFonts w:hint="default"/>
                      <w:color w:val="auto"/>
                      <w:lang w:val="en-US" w:eastAsia="zh-CN"/>
                    </w:rPr>
                  </w:pPr>
                  <w:r>
                    <w:rPr>
                      <w:rFonts w:hint="eastAsia"/>
                      <w:color w:val="auto"/>
                      <w:lang w:val="en-US" w:eastAsia="zh-CN"/>
                    </w:rPr>
                    <w:t>26.25</w:t>
                  </w:r>
                </w:p>
              </w:tc>
              <w:tc>
                <w:tcPr>
                  <w:tcW w:w="636" w:type="pct"/>
                  <w:noWrap w:val="0"/>
                  <w:vAlign w:val="center"/>
                </w:tcPr>
                <w:p w14:paraId="48D90A9F">
                  <w:pPr>
                    <w:pStyle w:val="53"/>
                    <w:bidi w:val="0"/>
                    <w:rPr>
                      <w:rFonts w:hint="default"/>
                      <w:color w:val="auto"/>
                      <w:lang w:val="en-US" w:eastAsia="zh-CN"/>
                    </w:rPr>
                  </w:pPr>
                  <w:r>
                    <w:rPr>
                      <w:rFonts w:hint="eastAsia"/>
                      <w:color w:val="auto"/>
                      <w:lang w:val="en-US" w:eastAsia="zh-CN"/>
                    </w:rPr>
                    <w:t>0.2625</w:t>
                  </w:r>
                </w:p>
              </w:tc>
              <w:tc>
                <w:tcPr>
                  <w:tcW w:w="532" w:type="pct"/>
                  <w:noWrap w:val="0"/>
                  <w:vAlign w:val="center"/>
                </w:tcPr>
                <w:p w14:paraId="7274FA78">
                  <w:pPr>
                    <w:pStyle w:val="53"/>
                    <w:bidi w:val="0"/>
                    <w:rPr>
                      <w:rFonts w:hint="default"/>
                      <w:color w:val="auto"/>
                      <w:lang w:val="en-US" w:eastAsia="zh-CN"/>
                    </w:rPr>
                  </w:pPr>
                  <w:r>
                    <w:rPr>
                      <w:rFonts w:hint="eastAsia"/>
                      <w:color w:val="auto"/>
                      <w:lang w:val="en-US" w:eastAsia="zh-CN"/>
                    </w:rPr>
                    <w:t>1.26</w:t>
                  </w:r>
                </w:p>
              </w:tc>
              <w:tc>
                <w:tcPr>
                  <w:tcW w:w="1224" w:type="pct"/>
                  <w:vMerge w:val="restart"/>
                  <w:noWrap w:val="0"/>
                  <w:vAlign w:val="center"/>
                </w:tcPr>
                <w:p w14:paraId="38F31B11">
                  <w:pPr>
                    <w:pStyle w:val="53"/>
                    <w:bidi w:val="0"/>
                    <w:rPr>
                      <w:color w:val="auto"/>
                      <w:lang w:val="en-US" w:eastAsia="zh-CN"/>
                    </w:rPr>
                  </w:pPr>
                  <w:r>
                    <w:rPr>
                      <w:color w:val="auto"/>
                      <w:lang w:val="en-US" w:eastAsia="zh-CN"/>
                    </w:rPr>
                    <w:t>《大气污染物综合排放标准》（GB16297-1996）表2</w:t>
                  </w:r>
                  <w:r>
                    <w:rPr>
                      <w:rFonts w:hint="eastAsia"/>
                      <w:color w:val="auto"/>
                      <w:lang w:val="en-US" w:eastAsia="zh-CN"/>
                    </w:rPr>
                    <w:t>标准</w:t>
                  </w:r>
                </w:p>
              </w:tc>
              <w:tc>
                <w:tcPr>
                  <w:tcW w:w="752" w:type="pct"/>
                  <w:noWrap w:val="0"/>
                  <w:vAlign w:val="center"/>
                </w:tcPr>
                <w:p w14:paraId="198FF424">
                  <w:pPr>
                    <w:pStyle w:val="53"/>
                    <w:bidi w:val="0"/>
                    <w:rPr>
                      <w:rFonts w:hint="default"/>
                      <w:color w:val="auto"/>
                      <w:lang w:val="en-US" w:eastAsia="zh-CN"/>
                    </w:rPr>
                  </w:pPr>
                  <w:r>
                    <w:rPr>
                      <w:rFonts w:hint="eastAsia"/>
                      <w:color w:val="auto"/>
                      <w:lang w:val="en-US" w:eastAsia="zh-CN"/>
                    </w:rPr>
                    <w:t>120</w:t>
                  </w:r>
                </w:p>
              </w:tc>
            </w:tr>
            <w:tr w14:paraId="0B96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vMerge w:val="continue"/>
                  <w:noWrap w:val="0"/>
                  <w:vAlign w:val="center"/>
                </w:tcPr>
                <w:p w14:paraId="04D4E92C">
                  <w:pPr>
                    <w:pStyle w:val="53"/>
                    <w:bidi w:val="0"/>
                    <w:rPr>
                      <w:rFonts w:hint="eastAsia"/>
                      <w:color w:val="auto"/>
                      <w:lang w:val="en-US" w:eastAsia="zh-CN"/>
                    </w:rPr>
                  </w:pPr>
                </w:p>
              </w:tc>
              <w:tc>
                <w:tcPr>
                  <w:tcW w:w="418" w:type="pct"/>
                  <w:vMerge w:val="continue"/>
                  <w:noWrap w:val="0"/>
                  <w:vAlign w:val="center"/>
                </w:tcPr>
                <w:p w14:paraId="096B4CF8">
                  <w:pPr>
                    <w:pStyle w:val="53"/>
                    <w:bidi w:val="0"/>
                    <w:rPr>
                      <w:rFonts w:hint="eastAsia"/>
                      <w:color w:val="auto"/>
                      <w:lang w:val="en-US" w:eastAsia="zh-CN"/>
                    </w:rPr>
                  </w:pPr>
                </w:p>
              </w:tc>
              <w:tc>
                <w:tcPr>
                  <w:tcW w:w="414" w:type="pct"/>
                  <w:noWrap w:val="0"/>
                  <w:vAlign w:val="center"/>
                </w:tcPr>
                <w:p w14:paraId="467E931B">
                  <w:pPr>
                    <w:pStyle w:val="53"/>
                    <w:bidi w:val="0"/>
                    <w:rPr>
                      <w:rFonts w:hint="eastAsia"/>
                      <w:color w:val="auto"/>
                      <w:lang w:val="en-US" w:eastAsia="zh-CN"/>
                    </w:rPr>
                  </w:pPr>
                  <w:r>
                    <w:rPr>
                      <w:rFonts w:hint="eastAsia"/>
                      <w:color w:val="auto"/>
                      <w:lang w:val="en-US" w:eastAsia="zh-CN"/>
                    </w:rPr>
                    <w:t>颗粒物</w:t>
                  </w:r>
                </w:p>
              </w:tc>
              <w:tc>
                <w:tcPr>
                  <w:tcW w:w="752" w:type="pct"/>
                  <w:noWrap w:val="0"/>
                  <w:vAlign w:val="center"/>
                </w:tcPr>
                <w:p w14:paraId="6783BDFA">
                  <w:pPr>
                    <w:pStyle w:val="53"/>
                    <w:bidi w:val="0"/>
                    <w:rPr>
                      <w:rFonts w:hint="default"/>
                      <w:color w:val="auto"/>
                      <w:lang w:val="en-US" w:eastAsia="zh-CN"/>
                    </w:rPr>
                  </w:pPr>
                  <w:r>
                    <w:rPr>
                      <w:rFonts w:hint="eastAsia"/>
                      <w:color w:val="auto"/>
                      <w:lang w:val="en-US" w:eastAsia="zh-CN"/>
                    </w:rPr>
                    <w:t>25</w:t>
                  </w:r>
                </w:p>
              </w:tc>
              <w:tc>
                <w:tcPr>
                  <w:tcW w:w="636" w:type="pct"/>
                  <w:noWrap w:val="0"/>
                  <w:vAlign w:val="center"/>
                </w:tcPr>
                <w:p w14:paraId="4FDA9577">
                  <w:pPr>
                    <w:pStyle w:val="53"/>
                    <w:bidi w:val="0"/>
                    <w:rPr>
                      <w:rFonts w:hint="default"/>
                      <w:color w:val="auto"/>
                      <w:lang w:val="en-US" w:eastAsia="zh-CN"/>
                    </w:rPr>
                  </w:pPr>
                  <w:r>
                    <w:rPr>
                      <w:rFonts w:hint="eastAsia"/>
                      <w:color w:val="auto"/>
                      <w:lang w:val="en-US" w:eastAsia="zh-CN"/>
                    </w:rPr>
                    <w:t>0.25</w:t>
                  </w:r>
                </w:p>
              </w:tc>
              <w:tc>
                <w:tcPr>
                  <w:tcW w:w="532" w:type="pct"/>
                  <w:noWrap w:val="0"/>
                  <w:vAlign w:val="center"/>
                </w:tcPr>
                <w:p w14:paraId="7581EFBA">
                  <w:pPr>
                    <w:pStyle w:val="53"/>
                    <w:bidi w:val="0"/>
                    <w:rPr>
                      <w:rFonts w:hint="default"/>
                      <w:color w:val="auto"/>
                      <w:lang w:val="en-US" w:eastAsia="zh-CN"/>
                    </w:rPr>
                  </w:pPr>
                  <w:r>
                    <w:rPr>
                      <w:rFonts w:hint="eastAsia"/>
                      <w:color w:val="auto"/>
                      <w:lang w:val="en-US" w:eastAsia="zh-CN"/>
                    </w:rPr>
                    <w:t>1.2</w:t>
                  </w:r>
                </w:p>
              </w:tc>
              <w:tc>
                <w:tcPr>
                  <w:tcW w:w="1224" w:type="pct"/>
                  <w:vMerge w:val="continue"/>
                  <w:noWrap w:val="0"/>
                  <w:vAlign w:val="center"/>
                </w:tcPr>
                <w:p w14:paraId="3C8B3F2A">
                  <w:pPr>
                    <w:pStyle w:val="53"/>
                    <w:bidi w:val="0"/>
                    <w:rPr>
                      <w:rFonts w:hint="eastAsia"/>
                      <w:color w:val="auto"/>
                      <w:lang w:val="en-US" w:eastAsia="zh-CN"/>
                    </w:rPr>
                  </w:pPr>
                </w:p>
              </w:tc>
              <w:tc>
                <w:tcPr>
                  <w:tcW w:w="752" w:type="pct"/>
                  <w:noWrap w:val="0"/>
                  <w:vAlign w:val="center"/>
                </w:tcPr>
                <w:p w14:paraId="104D9BDE">
                  <w:pPr>
                    <w:pStyle w:val="53"/>
                    <w:bidi w:val="0"/>
                    <w:rPr>
                      <w:rFonts w:hint="default"/>
                      <w:color w:val="auto"/>
                      <w:lang w:val="en-US" w:eastAsia="zh-CN"/>
                    </w:rPr>
                  </w:pPr>
                  <w:r>
                    <w:rPr>
                      <w:rFonts w:hint="eastAsia"/>
                      <w:color w:val="auto"/>
                      <w:lang w:val="en-US" w:eastAsia="zh-CN"/>
                    </w:rPr>
                    <w:t>120</w:t>
                  </w:r>
                </w:p>
              </w:tc>
            </w:tr>
          </w:tbl>
          <w:p w14:paraId="1F381898">
            <w:pPr>
              <w:pStyle w:val="52"/>
              <w:bidi w:val="0"/>
              <w:rPr>
                <w:rFonts w:hint="default"/>
                <w:color w:val="auto"/>
                <w:lang w:val="en-US" w:eastAsia="zh-CN"/>
              </w:rPr>
            </w:pPr>
            <w:r>
              <w:rPr>
                <w:rFonts w:hint="default"/>
                <w:color w:val="auto"/>
                <w:lang w:val="en-US" w:eastAsia="zh-CN"/>
              </w:rPr>
              <w:t>表</w:t>
            </w:r>
            <w:r>
              <w:rPr>
                <w:rFonts w:hint="eastAsia"/>
                <w:color w:val="auto"/>
                <w:lang w:val="en-US" w:eastAsia="zh-CN"/>
              </w:rPr>
              <w:t>4-3</w:t>
            </w:r>
            <w:r>
              <w:rPr>
                <w:rFonts w:hint="default"/>
                <w:color w:val="auto"/>
                <w:lang w:val="en-US" w:eastAsia="zh-CN"/>
              </w:rPr>
              <w:t xml:space="preserve">  </w:t>
            </w:r>
            <w:r>
              <w:rPr>
                <w:rFonts w:hint="eastAsia"/>
                <w:color w:val="auto"/>
                <w:lang w:val="en-US" w:eastAsia="zh-CN"/>
              </w:rPr>
              <w:t xml:space="preserve">   项目排气筒基本</w:t>
            </w:r>
            <w:r>
              <w:rPr>
                <w:rFonts w:hint="default"/>
                <w:color w:val="auto"/>
                <w:lang w:val="en-US" w:eastAsia="zh-CN"/>
              </w:rPr>
              <w:t>情况一览表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643"/>
              <w:gridCol w:w="713"/>
              <w:gridCol w:w="787"/>
              <w:gridCol w:w="724"/>
              <w:gridCol w:w="1750"/>
              <w:gridCol w:w="2542"/>
            </w:tblGrid>
            <w:tr w14:paraId="6468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restart"/>
                  <w:noWrap w:val="0"/>
                  <w:vAlign w:val="center"/>
                </w:tcPr>
                <w:p w14:paraId="44ECC16D">
                  <w:pPr>
                    <w:pStyle w:val="53"/>
                    <w:bidi w:val="0"/>
                    <w:rPr>
                      <w:rFonts w:hint="default"/>
                      <w:color w:val="auto"/>
                      <w:lang w:val="en-US" w:eastAsia="zh-CN"/>
                    </w:rPr>
                  </w:pPr>
                  <w:r>
                    <w:rPr>
                      <w:rFonts w:hint="eastAsia"/>
                      <w:color w:val="auto"/>
                      <w:lang w:val="en-US" w:eastAsia="zh-CN"/>
                    </w:rPr>
                    <w:t>排放口编号</w:t>
                  </w:r>
                </w:p>
              </w:tc>
              <w:tc>
                <w:tcPr>
                  <w:tcW w:w="405" w:type="pct"/>
                  <w:vMerge w:val="restart"/>
                  <w:noWrap w:val="0"/>
                  <w:vAlign w:val="center"/>
                </w:tcPr>
                <w:p w14:paraId="28F4AB22">
                  <w:pPr>
                    <w:pStyle w:val="53"/>
                    <w:bidi w:val="0"/>
                    <w:rPr>
                      <w:rFonts w:hint="default"/>
                      <w:color w:val="auto"/>
                      <w:lang w:val="en-US" w:eastAsia="zh-CN"/>
                    </w:rPr>
                  </w:pPr>
                  <w:r>
                    <w:rPr>
                      <w:rFonts w:hint="eastAsia"/>
                      <w:color w:val="auto"/>
                      <w:lang w:val="en-US" w:eastAsia="zh-CN"/>
                    </w:rPr>
                    <w:t>高度（m）</w:t>
                  </w:r>
                </w:p>
              </w:tc>
              <w:tc>
                <w:tcPr>
                  <w:tcW w:w="2504" w:type="pct"/>
                  <w:gridSpan w:val="4"/>
                  <w:noWrap w:val="0"/>
                  <w:vAlign w:val="center"/>
                </w:tcPr>
                <w:p w14:paraId="64413FC5">
                  <w:pPr>
                    <w:pStyle w:val="53"/>
                    <w:bidi w:val="0"/>
                    <w:rPr>
                      <w:rFonts w:hint="default"/>
                      <w:color w:val="auto"/>
                      <w:lang w:val="en-US" w:eastAsia="zh-CN"/>
                    </w:rPr>
                  </w:pPr>
                  <w:r>
                    <w:rPr>
                      <w:rFonts w:hint="eastAsia"/>
                      <w:color w:val="auto"/>
                    </w:rPr>
                    <w:t>排放口基本情况</w:t>
                  </w:r>
                </w:p>
              </w:tc>
              <w:tc>
                <w:tcPr>
                  <w:tcW w:w="1602" w:type="pct"/>
                  <w:vMerge w:val="restart"/>
                  <w:noWrap w:val="0"/>
                  <w:vAlign w:val="center"/>
                </w:tcPr>
                <w:p w14:paraId="79DC6AE3">
                  <w:pPr>
                    <w:pStyle w:val="53"/>
                    <w:bidi w:val="0"/>
                    <w:rPr>
                      <w:rFonts w:hint="default"/>
                      <w:color w:val="auto"/>
                      <w:lang w:val="en-US" w:eastAsia="zh-CN"/>
                    </w:rPr>
                  </w:pPr>
                  <w:r>
                    <w:rPr>
                      <w:rFonts w:hint="eastAsia"/>
                      <w:color w:val="auto"/>
                      <w:lang w:val="en-US" w:eastAsia="zh-CN"/>
                    </w:rPr>
                    <w:t>排放标准</w:t>
                  </w:r>
                </w:p>
              </w:tc>
            </w:tr>
            <w:tr w14:paraId="57F4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vMerge w:val="continue"/>
                  <w:noWrap w:val="0"/>
                  <w:vAlign w:val="center"/>
                </w:tcPr>
                <w:p w14:paraId="19FAD7DC">
                  <w:pPr>
                    <w:pStyle w:val="53"/>
                    <w:bidi w:val="0"/>
                    <w:rPr>
                      <w:rFonts w:hint="eastAsia"/>
                      <w:color w:val="auto"/>
                      <w:lang w:val="en-US" w:eastAsia="zh-CN"/>
                    </w:rPr>
                  </w:pPr>
                </w:p>
              </w:tc>
              <w:tc>
                <w:tcPr>
                  <w:tcW w:w="405" w:type="pct"/>
                  <w:vMerge w:val="continue"/>
                  <w:noWrap w:val="0"/>
                  <w:vAlign w:val="center"/>
                </w:tcPr>
                <w:p w14:paraId="54B236C1">
                  <w:pPr>
                    <w:pStyle w:val="53"/>
                    <w:bidi w:val="0"/>
                    <w:rPr>
                      <w:rFonts w:hint="eastAsia"/>
                      <w:color w:val="auto"/>
                      <w:lang w:val="en-US" w:eastAsia="zh-CN"/>
                    </w:rPr>
                  </w:pPr>
                </w:p>
              </w:tc>
              <w:tc>
                <w:tcPr>
                  <w:tcW w:w="449" w:type="pct"/>
                  <w:noWrap w:val="0"/>
                  <w:vAlign w:val="center"/>
                </w:tcPr>
                <w:p w14:paraId="6CF58BE3">
                  <w:pPr>
                    <w:pStyle w:val="53"/>
                    <w:bidi w:val="0"/>
                    <w:rPr>
                      <w:rFonts w:hint="default"/>
                      <w:color w:val="auto"/>
                      <w:lang w:val="en-US" w:eastAsia="zh-CN"/>
                    </w:rPr>
                  </w:pPr>
                  <w:r>
                    <w:rPr>
                      <w:rFonts w:hint="eastAsia"/>
                      <w:color w:val="auto"/>
                    </w:rPr>
                    <w:t>内径</w:t>
                  </w:r>
                  <w:r>
                    <w:rPr>
                      <w:rFonts w:hint="eastAsia"/>
                      <w:color w:val="auto"/>
                      <w:lang w:eastAsia="zh-CN"/>
                    </w:rPr>
                    <w:t>（</w:t>
                  </w:r>
                  <w:r>
                    <w:rPr>
                      <w:rFonts w:hint="eastAsia"/>
                      <w:color w:val="auto"/>
                    </w:rPr>
                    <w:t>m</w:t>
                  </w:r>
                  <w:r>
                    <w:rPr>
                      <w:rFonts w:hint="eastAsia"/>
                      <w:color w:val="auto"/>
                      <w:lang w:eastAsia="zh-CN"/>
                    </w:rPr>
                    <w:t>）</w:t>
                  </w:r>
                  <w:r>
                    <w:rPr>
                      <w:rFonts w:hint="eastAsia"/>
                      <w:color w:val="auto"/>
                    </w:rPr>
                    <w:t xml:space="preserve"> </w:t>
                  </w:r>
                </w:p>
              </w:tc>
              <w:tc>
                <w:tcPr>
                  <w:tcW w:w="496" w:type="pct"/>
                  <w:noWrap w:val="0"/>
                  <w:vAlign w:val="center"/>
                </w:tcPr>
                <w:p w14:paraId="34D7C160">
                  <w:pPr>
                    <w:pStyle w:val="53"/>
                    <w:bidi w:val="0"/>
                    <w:rPr>
                      <w:rFonts w:hint="eastAsia"/>
                      <w:color w:val="auto"/>
                      <w:lang w:val="en-US" w:eastAsia="zh-CN"/>
                    </w:rPr>
                  </w:pPr>
                  <w:r>
                    <w:rPr>
                      <w:rFonts w:hint="eastAsia"/>
                      <w:color w:val="auto"/>
                    </w:rPr>
                    <w:t>温度</w:t>
                  </w:r>
                  <w:r>
                    <w:rPr>
                      <w:rFonts w:hint="eastAsia"/>
                      <w:color w:val="auto"/>
                      <w:lang w:eastAsia="zh-CN"/>
                    </w:rPr>
                    <w:t>（</w:t>
                  </w:r>
                  <w:r>
                    <w:rPr>
                      <w:rFonts w:hint="eastAsia"/>
                      <w:color w:val="auto"/>
                      <w:lang w:val="en-US" w:eastAsia="zh-CN"/>
                    </w:rPr>
                    <w:t>℃</w:t>
                  </w:r>
                  <w:r>
                    <w:rPr>
                      <w:rFonts w:hint="eastAsia"/>
                      <w:color w:val="auto"/>
                      <w:lang w:eastAsia="zh-CN"/>
                    </w:rPr>
                    <w:t>）</w:t>
                  </w:r>
                </w:p>
              </w:tc>
              <w:tc>
                <w:tcPr>
                  <w:tcW w:w="456" w:type="pct"/>
                  <w:noWrap w:val="0"/>
                  <w:vAlign w:val="center"/>
                </w:tcPr>
                <w:p w14:paraId="37BA66EC">
                  <w:pPr>
                    <w:pStyle w:val="53"/>
                    <w:bidi w:val="0"/>
                    <w:rPr>
                      <w:rFonts w:hint="default"/>
                      <w:color w:val="auto"/>
                      <w:lang w:val="en-US" w:eastAsia="zh-CN"/>
                    </w:rPr>
                  </w:pPr>
                  <w:r>
                    <w:rPr>
                      <w:rFonts w:hint="eastAsia"/>
                      <w:color w:val="auto"/>
                    </w:rPr>
                    <w:t xml:space="preserve"> 类型</w:t>
                  </w:r>
                </w:p>
              </w:tc>
              <w:tc>
                <w:tcPr>
                  <w:tcW w:w="1101" w:type="pct"/>
                  <w:noWrap w:val="0"/>
                  <w:vAlign w:val="center"/>
                </w:tcPr>
                <w:p w14:paraId="3DC04766">
                  <w:pPr>
                    <w:pStyle w:val="53"/>
                    <w:bidi w:val="0"/>
                    <w:rPr>
                      <w:rFonts w:hint="default"/>
                      <w:color w:val="auto"/>
                      <w:lang w:val="en-US" w:eastAsia="zh-CN"/>
                    </w:rPr>
                  </w:pPr>
                  <w:r>
                    <w:rPr>
                      <w:rFonts w:hint="eastAsia"/>
                      <w:color w:val="auto"/>
                    </w:rPr>
                    <w:t>地理坐标</w:t>
                  </w:r>
                </w:p>
              </w:tc>
              <w:tc>
                <w:tcPr>
                  <w:tcW w:w="1602" w:type="pct"/>
                  <w:vMerge w:val="continue"/>
                  <w:noWrap w:val="0"/>
                  <w:vAlign w:val="center"/>
                </w:tcPr>
                <w:p w14:paraId="074BC4C9">
                  <w:pPr>
                    <w:pStyle w:val="53"/>
                    <w:bidi w:val="0"/>
                    <w:rPr>
                      <w:rFonts w:hint="default"/>
                      <w:color w:val="auto"/>
                      <w:lang w:val="en-US" w:eastAsia="zh-CN"/>
                    </w:rPr>
                  </w:pPr>
                </w:p>
              </w:tc>
            </w:tr>
            <w:tr w14:paraId="4D353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88" w:type="pct"/>
                  <w:noWrap w:val="0"/>
                  <w:vAlign w:val="center"/>
                </w:tcPr>
                <w:p w14:paraId="3852F3EB">
                  <w:pPr>
                    <w:pStyle w:val="53"/>
                    <w:bidi w:val="0"/>
                    <w:rPr>
                      <w:rFonts w:hint="default"/>
                      <w:color w:val="auto"/>
                      <w:lang w:val="en-US" w:eastAsia="zh-CN"/>
                    </w:rPr>
                  </w:pPr>
                  <w:r>
                    <w:rPr>
                      <w:rFonts w:hint="eastAsia"/>
                      <w:color w:val="auto"/>
                      <w:lang w:val="en-US" w:eastAsia="zh-CN"/>
                    </w:rPr>
                    <w:t>DA001</w:t>
                  </w:r>
                </w:p>
              </w:tc>
              <w:tc>
                <w:tcPr>
                  <w:tcW w:w="405" w:type="pct"/>
                  <w:noWrap w:val="0"/>
                  <w:vAlign w:val="center"/>
                </w:tcPr>
                <w:p w14:paraId="279BEA5E">
                  <w:pPr>
                    <w:pStyle w:val="53"/>
                    <w:bidi w:val="0"/>
                    <w:rPr>
                      <w:rFonts w:hint="default"/>
                      <w:color w:val="auto"/>
                      <w:lang w:val="en-US" w:eastAsia="zh-CN"/>
                    </w:rPr>
                  </w:pPr>
                  <w:r>
                    <w:rPr>
                      <w:rFonts w:hint="eastAsia"/>
                      <w:color w:val="auto"/>
                      <w:lang w:val="en-US" w:eastAsia="zh-CN"/>
                    </w:rPr>
                    <w:t>15</w:t>
                  </w:r>
                </w:p>
              </w:tc>
              <w:tc>
                <w:tcPr>
                  <w:tcW w:w="449" w:type="pct"/>
                  <w:noWrap w:val="0"/>
                  <w:vAlign w:val="center"/>
                </w:tcPr>
                <w:p w14:paraId="19868E42">
                  <w:pPr>
                    <w:pStyle w:val="53"/>
                    <w:bidi w:val="0"/>
                    <w:rPr>
                      <w:rFonts w:hint="default"/>
                      <w:color w:val="auto"/>
                      <w:lang w:val="en-US" w:eastAsia="zh-CN"/>
                    </w:rPr>
                  </w:pPr>
                  <w:r>
                    <w:rPr>
                      <w:rFonts w:hint="default"/>
                      <w:color w:val="auto"/>
                      <w:lang w:val="en-US" w:eastAsia="zh-CN"/>
                    </w:rPr>
                    <w:t>0.</w:t>
                  </w:r>
                  <w:r>
                    <w:rPr>
                      <w:rFonts w:hint="eastAsia"/>
                      <w:color w:val="auto"/>
                      <w:lang w:val="en-US" w:eastAsia="zh-CN"/>
                    </w:rPr>
                    <w:t>5</w:t>
                  </w:r>
                </w:p>
              </w:tc>
              <w:tc>
                <w:tcPr>
                  <w:tcW w:w="496" w:type="pct"/>
                  <w:noWrap w:val="0"/>
                  <w:vAlign w:val="center"/>
                </w:tcPr>
                <w:p w14:paraId="1D912F61">
                  <w:pPr>
                    <w:pStyle w:val="53"/>
                    <w:bidi w:val="0"/>
                    <w:rPr>
                      <w:rFonts w:hint="default"/>
                      <w:color w:val="auto"/>
                      <w:lang w:val="en-US" w:eastAsia="zh-CN"/>
                    </w:rPr>
                  </w:pPr>
                  <w:r>
                    <w:rPr>
                      <w:rFonts w:hint="eastAsia"/>
                      <w:color w:val="auto"/>
                      <w:lang w:val="en-US" w:eastAsia="zh-CN"/>
                    </w:rPr>
                    <w:t>25</w:t>
                  </w:r>
                </w:p>
              </w:tc>
              <w:tc>
                <w:tcPr>
                  <w:tcW w:w="456" w:type="pct"/>
                  <w:noWrap w:val="0"/>
                  <w:vAlign w:val="center"/>
                </w:tcPr>
                <w:p w14:paraId="59113C27">
                  <w:pPr>
                    <w:pStyle w:val="53"/>
                    <w:bidi w:val="0"/>
                    <w:rPr>
                      <w:rFonts w:hint="default"/>
                      <w:color w:val="auto"/>
                      <w:lang w:val="en-US" w:eastAsia="zh-CN"/>
                    </w:rPr>
                  </w:pPr>
                  <w:r>
                    <w:rPr>
                      <w:rFonts w:hint="eastAsia"/>
                      <w:color w:val="auto"/>
                      <w:lang w:val="en-US" w:eastAsia="zh-CN"/>
                    </w:rPr>
                    <w:t>一般排放口</w:t>
                  </w:r>
                </w:p>
              </w:tc>
              <w:tc>
                <w:tcPr>
                  <w:tcW w:w="1101" w:type="pct"/>
                  <w:noWrap w:val="0"/>
                  <w:vAlign w:val="center"/>
                </w:tcPr>
                <w:p w14:paraId="6EFF27DC">
                  <w:pPr>
                    <w:pStyle w:val="53"/>
                    <w:bidi w:val="0"/>
                    <w:rPr>
                      <w:rFonts w:hint="default"/>
                      <w:color w:val="auto"/>
                      <w:lang w:val="en-US" w:eastAsia="zh-CN"/>
                    </w:rPr>
                  </w:pPr>
                  <w:r>
                    <w:rPr>
                      <w:rFonts w:hint="eastAsia"/>
                      <w:color w:val="auto"/>
                      <w:lang w:val="en-US" w:eastAsia="zh-CN"/>
                    </w:rPr>
                    <w:t>E</w:t>
                  </w:r>
                  <w:r>
                    <w:rPr>
                      <w:rFonts w:hint="default"/>
                      <w:color w:val="auto"/>
                      <w:lang w:val="en-US" w:eastAsia="zh-CN"/>
                    </w:rPr>
                    <w:t>10</w:t>
                  </w:r>
                  <w:r>
                    <w:rPr>
                      <w:rFonts w:hint="eastAsia"/>
                      <w:color w:val="auto"/>
                      <w:lang w:val="en-US" w:eastAsia="zh-CN"/>
                    </w:rPr>
                    <w:t>3</w:t>
                  </w:r>
                  <w:r>
                    <w:rPr>
                      <w:rFonts w:hint="default"/>
                      <w:color w:val="auto"/>
                      <w:lang w:val="en-US" w:eastAsia="zh-CN"/>
                    </w:rPr>
                    <w:t>°</w:t>
                  </w:r>
                  <w:r>
                    <w:rPr>
                      <w:rFonts w:hint="eastAsia"/>
                      <w:color w:val="auto"/>
                      <w:lang w:val="en-US" w:eastAsia="zh-CN"/>
                    </w:rPr>
                    <w:t>51</w:t>
                  </w:r>
                  <w:r>
                    <w:rPr>
                      <w:rFonts w:hint="default"/>
                      <w:color w:val="auto"/>
                      <w:lang w:val="en-US" w:eastAsia="zh-CN"/>
                    </w:rPr>
                    <w:t>′</w:t>
                  </w:r>
                  <w:r>
                    <w:rPr>
                      <w:rFonts w:hint="eastAsia"/>
                      <w:color w:val="auto"/>
                      <w:lang w:val="en-US" w:eastAsia="zh-CN"/>
                    </w:rPr>
                    <w:t>0.414</w:t>
                  </w:r>
                  <w:r>
                    <w:rPr>
                      <w:rFonts w:hint="default"/>
                      <w:color w:val="auto"/>
                      <w:lang w:val="en-US" w:eastAsia="zh-CN"/>
                    </w:rPr>
                    <w:t>″</w:t>
                  </w:r>
                  <w:r>
                    <w:rPr>
                      <w:rFonts w:hint="eastAsia"/>
                      <w:color w:val="auto"/>
                      <w:lang w:val="en-US" w:eastAsia="zh-CN"/>
                    </w:rPr>
                    <w:t>,N</w:t>
                  </w:r>
                  <w:r>
                    <w:rPr>
                      <w:rFonts w:hint="default"/>
                      <w:color w:val="auto"/>
                      <w:lang w:val="en-US" w:eastAsia="zh-CN"/>
                    </w:rPr>
                    <w:t>2</w:t>
                  </w:r>
                  <w:r>
                    <w:rPr>
                      <w:rFonts w:hint="eastAsia"/>
                      <w:color w:val="auto"/>
                      <w:lang w:val="en-US" w:eastAsia="zh-CN"/>
                    </w:rPr>
                    <w:t>5</w:t>
                  </w:r>
                  <w:r>
                    <w:rPr>
                      <w:rFonts w:hint="default"/>
                      <w:color w:val="auto"/>
                      <w:lang w:val="en-US" w:eastAsia="zh-CN"/>
                    </w:rPr>
                    <w:t>°</w:t>
                  </w:r>
                  <w:r>
                    <w:rPr>
                      <w:rFonts w:hint="eastAsia"/>
                      <w:color w:val="auto"/>
                      <w:lang w:val="en-US" w:eastAsia="zh-CN"/>
                    </w:rPr>
                    <w:t>11</w:t>
                  </w:r>
                  <w:r>
                    <w:rPr>
                      <w:rFonts w:hint="default"/>
                      <w:color w:val="auto"/>
                      <w:lang w:val="en-US" w:eastAsia="zh-CN"/>
                    </w:rPr>
                    <w:t>′</w:t>
                  </w:r>
                  <w:r>
                    <w:rPr>
                      <w:rFonts w:hint="eastAsia"/>
                      <w:color w:val="auto"/>
                      <w:lang w:val="en-US" w:eastAsia="zh-CN"/>
                    </w:rPr>
                    <w:t>40.710</w:t>
                  </w:r>
                  <w:r>
                    <w:rPr>
                      <w:rFonts w:hint="default"/>
                      <w:color w:val="auto"/>
                      <w:lang w:val="en-US" w:eastAsia="zh-CN"/>
                    </w:rPr>
                    <w:t>″</w:t>
                  </w:r>
                </w:p>
              </w:tc>
              <w:tc>
                <w:tcPr>
                  <w:tcW w:w="1602" w:type="pct"/>
                  <w:noWrap w:val="0"/>
                  <w:vAlign w:val="center"/>
                </w:tcPr>
                <w:p w14:paraId="10CFC40B">
                  <w:pPr>
                    <w:pStyle w:val="53"/>
                    <w:bidi w:val="0"/>
                    <w:rPr>
                      <w:rFonts w:hint="default"/>
                      <w:color w:val="auto"/>
                      <w:lang w:val="en-US" w:eastAsia="zh-CN"/>
                    </w:rPr>
                  </w:pPr>
                  <w:r>
                    <w:rPr>
                      <w:rFonts w:hint="default"/>
                      <w:color w:val="auto"/>
                      <w:lang w:val="en-US" w:eastAsia="zh-CN"/>
                    </w:rPr>
                    <w:t>《大气污染物综合排放标准》（GB16297-1996）表2中的二级标准限值</w:t>
                  </w:r>
                </w:p>
              </w:tc>
            </w:tr>
          </w:tbl>
          <w:p w14:paraId="40C43E9D">
            <w:pPr>
              <w:pStyle w:val="51"/>
              <w:keepNext w:val="0"/>
              <w:keepLines w:val="0"/>
              <w:pageBreakBefore w:val="0"/>
              <w:widowControl w:val="0"/>
              <w:kinsoku/>
              <w:wordWrap/>
              <w:overflowPunct/>
              <w:topLinePunct w:val="0"/>
              <w:autoSpaceDE/>
              <w:autoSpaceDN/>
              <w:bidi w:val="0"/>
              <w:adjustRightInd w:val="0"/>
              <w:snapToGrid w:val="0"/>
              <w:ind w:left="0" w:leftChars="0" w:firstLine="482" w:firstLineChars="200"/>
              <w:textAlignment w:val="auto"/>
              <w:rPr>
                <w:rFonts w:hint="default" w:ascii="Times New Roman" w:hAnsi="Times New Roman" w:eastAsia="宋体" w:cs="Times New Roman"/>
                <w:b/>
                <w:bCs/>
                <w:color w:val="auto"/>
                <w:lang w:val="en-US" w:eastAsia="zh-CN"/>
              </w:rPr>
            </w:pPr>
            <w:r>
              <w:rPr>
                <w:rFonts w:hint="eastAsia"/>
                <w:b/>
                <w:bCs/>
                <w:color w:val="auto"/>
                <w:lang w:val="en-US" w:eastAsia="zh-CN"/>
              </w:rPr>
              <w:t>3、非正常</w:t>
            </w:r>
            <w:r>
              <w:rPr>
                <w:rFonts w:hint="eastAsia" w:ascii="Times New Roman" w:hAnsi="Times New Roman" w:eastAsia="宋体" w:cs="Times New Roman"/>
                <w:b/>
                <w:bCs/>
                <w:color w:val="auto"/>
                <w:lang w:val="en-US" w:eastAsia="zh-CN"/>
              </w:rPr>
              <w:t>排放情况</w:t>
            </w:r>
          </w:p>
          <w:p w14:paraId="4B716514">
            <w:pPr>
              <w:pStyle w:val="51"/>
              <w:bidi w:val="0"/>
              <w:rPr>
                <w:rFonts w:hint="eastAsia"/>
                <w:color w:val="auto"/>
                <w:sz w:val="24"/>
                <w:lang w:eastAsia="zh-CN"/>
              </w:rPr>
            </w:pPr>
            <w:r>
              <w:rPr>
                <w:rFonts w:hint="eastAsia" w:ascii="Times New Roman" w:hAnsi="Times New Roman" w:eastAsia="宋体" w:cs="Times New Roman"/>
                <w:color w:val="auto"/>
                <w:szCs w:val="21"/>
                <w:lang w:eastAsia="zh-CN"/>
              </w:rPr>
              <w:t>根据本项目特点，</w:t>
            </w:r>
            <w:r>
              <w:rPr>
                <w:rFonts w:hint="default" w:ascii="Times New Roman" w:hAnsi="Times New Roman" w:eastAsia="宋体" w:cs="Times New Roman"/>
                <w:color w:val="auto"/>
                <w:szCs w:val="21"/>
                <w:lang w:eastAsia="zh-CN"/>
              </w:rPr>
              <w:t>项目非正常排放</w:t>
            </w:r>
            <w:r>
              <w:rPr>
                <w:rFonts w:hint="eastAsia" w:ascii="Times New Roman" w:hAnsi="Times New Roman" w:eastAsia="宋体" w:cs="Times New Roman"/>
                <w:color w:val="auto"/>
                <w:szCs w:val="21"/>
                <w:lang w:eastAsia="zh-CN"/>
              </w:rPr>
              <w:t>主要为</w:t>
            </w:r>
            <w:r>
              <w:rPr>
                <w:rFonts w:hint="eastAsia" w:ascii="Times New Roman" w:hAnsi="Times New Roman" w:eastAsia="宋体" w:cs="Times New Roman"/>
                <w:color w:val="auto"/>
                <w:szCs w:val="21"/>
                <w:lang w:val="en-US" w:eastAsia="zh-CN"/>
              </w:rPr>
              <w:t>活性炭吸附装置</w:t>
            </w:r>
            <w:r>
              <w:rPr>
                <w:rFonts w:hint="eastAsia" w:ascii="Times New Roman" w:hAnsi="Times New Roman" w:eastAsia="宋体" w:cs="Times New Roman"/>
                <w:color w:val="auto"/>
                <w:szCs w:val="21"/>
                <w:lang w:eastAsia="zh-CN"/>
              </w:rPr>
              <w:t>、引风机等不能够正常运行、设施故障或去除效率降低等情况，按最不利情况进行预测（即集气罩可正常收集，</w:t>
            </w:r>
            <w:r>
              <w:rPr>
                <w:rFonts w:hint="eastAsia" w:ascii="Times New Roman" w:hAnsi="Times New Roman" w:eastAsia="宋体" w:cs="Times New Roman"/>
                <w:color w:val="auto"/>
                <w:szCs w:val="21"/>
                <w:lang w:val="en-US" w:eastAsia="zh-CN"/>
              </w:rPr>
              <w:t>活性炭吸附装置</w:t>
            </w:r>
            <w:r>
              <w:rPr>
                <w:rFonts w:hint="eastAsia"/>
                <w:color w:val="auto"/>
                <w:sz w:val="24"/>
                <w:lang w:eastAsia="zh-CN"/>
              </w:rPr>
              <w:t>完全失效</w:t>
            </w:r>
            <w:r>
              <w:rPr>
                <w:rFonts w:hint="eastAsia" w:ascii="Times New Roman" w:hAnsi="Times New Roman" w:eastAsia="宋体" w:cs="Times New Roman"/>
                <w:color w:val="auto"/>
                <w:szCs w:val="21"/>
                <w:lang w:eastAsia="zh-CN"/>
              </w:rPr>
              <w:t>），</w:t>
            </w:r>
            <w:r>
              <w:rPr>
                <w:rFonts w:hint="eastAsia"/>
                <w:color w:val="auto"/>
                <w:sz w:val="24"/>
                <w:lang w:eastAsia="zh-CN"/>
              </w:rPr>
              <w:t>有组织</w:t>
            </w:r>
            <w:r>
              <w:rPr>
                <w:rFonts w:hint="default"/>
                <w:color w:val="auto"/>
                <w:sz w:val="24"/>
              </w:rPr>
              <w:t>废气</w:t>
            </w:r>
            <w:r>
              <w:rPr>
                <w:rFonts w:hint="eastAsia"/>
                <w:color w:val="auto"/>
                <w:sz w:val="24"/>
                <w:lang w:val="en-US" w:eastAsia="zh-CN"/>
              </w:rPr>
              <w:t>未经处理</w:t>
            </w:r>
            <w:r>
              <w:rPr>
                <w:rFonts w:hint="eastAsia"/>
                <w:color w:val="auto"/>
                <w:sz w:val="24"/>
                <w:lang w:eastAsia="zh-CN"/>
              </w:rPr>
              <w:t>排放，项目非正常排放情形及相应污染源统计情况见下表。</w:t>
            </w:r>
          </w:p>
          <w:p w14:paraId="4C0D906C">
            <w:pPr>
              <w:pStyle w:val="52"/>
              <w:bidi w:val="0"/>
              <w:rPr>
                <w:rFonts w:hint="default"/>
                <w:color w:val="auto"/>
                <w:lang w:val="en-US" w:eastAsia="zh-CN"/>
              </w:rPr>
            </w:pPr>
            <w:r>
              <w:rPr>
                <w:rFonts w:hint="default"/>
                <w:color w:val="auto"/>
                <w:lang w:val="en-US" w:eastAsia="zh-CN"/>
              </w:rPr>
              <w:t>表</w:t>
            </w:r>
            <w:r>
              <w:rPr>
                <w:rFonts w:hint="eastAsia"/>
                <w:color w:val="auto"/>
                <w:lang w:val="en-US" w:eastAsia="zh-CN"/>
              </w:rPr>
              <w:t>4-4</w:t>
            </w:r>
            <w:r>
              <w:rPr>
                <w:rFonts w:hint="default"/>
                <w:color w:val="auto"/>
                <w:lang w:val="en-US" w:eastAsia="zh-CN"/>
              </w:rPr>
              <w:t xml:space="preserve">  </w:t>
            </w:r>
            <w:r>
              <w:rPr>
                <w:rFonts w:hint="eastAsia"/>
                <w:color w:val="auto"/>
                <w:lang w:val="en-US" w:eastAsia="zh-CN"/>
              </w:rPr>
              <w:t xml:space="preserve">   项目</w:t>
            </w:r>
            <w:r>
              <w:rPr>
                <w:rFonts w:hint="default"/>
                <w:color w:val="auto"/>
                <w:lang w:val="en-US" w:eastAsia="zh-CN"/>
              </w:rPr>
              <w:t>废气</w:t>
            </w:r>
            <w:r>
              <w:rPr>
                <w:rFonts w:hint="eastAsia"/>
                <w:color w:val="auto"/>
                <w:lang w:val="en-US" w:eastAsia="zh-CN"/>
              </w:rPr>
              <w:t>非正常</w:t>
            </w:r>
            <w:r>
              <w:rPr>
                <w:rFonts w:hint="default"/>
                <w:color w:val="auto"/>
                <w:lang w:val="en-US" w:eastAsia="zh-CN"/>
              </w:rPr>
              <w:t>排放</w:t>
            </w:r>
            <w:r>
              <w:rPr>
                <w:rFonts w:hint="eastAsia"/>
                <w:color w:val="auto"/>
                <w:lang w:val="en-US" w:eastAsia="zh-CN"/>
              </w:rPr>
              <w:t>源强</w:t>
            </w:r>
            <w:r>
              <w:rPr>
                <w:rFonts w:hint="default"/>
                <w:color w:val="auto"/>
                <w:lang w:val="en-US" w:eastAsia="zh-CN"/>
              </w:rPr>
              <w:t>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409"/>
              <w:gridCol w:w="1307"/>
              <w:gridCol w:w="1342"/>
              <w:gridCol w:w="1255"/>
              <w:gridCol w:w="1194"/>
            </w:tblGrid>
            <w:tr w14:paraId="3C2C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900" w:type="pct"/>
                  <w:tcBorders>
                    <w:tl2br w:val="nil"/>
                    <w:tr2bl w:val="nil"/>
                  </w:tcBorders>
                  <w:noWrap w:val="0"/>
                  <w:vAlign w:val="center"/>
                </w:tcPr>
                <w:p w14:paraId="0FF9778E">
                  <w:pPr>
                    <w:pStyle w:val="53"/>
                    <w:bidi w:val="0"/>
                    <w:rPr>
                      <w:rFonts w:hint="default"/>
                      <w:color w:val="auto"/>
                    </w:rPr>
                  </w:pPr>
                  <w:r>
                    <w:rPr>
                      <w:rFonts w:hint="default"/>
                      <w:color w:val="auto"/>
                    </w:rPr>
                    <w:t>排放源</w:t>
                  </w:r>
                </w:p>
              </w:tc>
              <w:tc>
                <w:tcPr>
                  <w:tcW w:w="887" w:type="pct"/>
                  <w:tcBorders>
                    <w:tl2br w:val="nil"/>
                    <w:tr2bl w:val="nil"/>
                  </w:tcBorders>
                  <w:noWrap w:val="0"/>
                  <w:vAlign w:val="center"/>
                </w:tcPr>
                <w:p w14:paraId="2CD1F9F4">
                  <w:pPr>
                    <w:pStyle w:val="53"/>
                    <w:bidi w:val="0"/>
                    <w:rPr>
                      <w:rFonts w:hint="default"/>
                      <w:color w:val="auto"/>
                    </w:rPr>
                  </w:pPr>
                  <w:r>
                    <w:rPr>
                      <w:rFonts w:hint="default"/>
                      <w:color w:val="auto"/>
                    </w:rPr>
                    <w:t>污染物</w:t>
                  </w:r>
                </w:p>
              </w:tc>
              <w:tc>
                <w:tcPr>
                  <w:tcW w:w="823" w:type="pct"/>
                  <w:tcBorders>
                    <w:tl2br w:val="nil"/>
                    <w:tr2bl w:val="nil"/>
                  </w:tcBorders>
                  <w:noWrap w:val="0"/>
                  <w:vAlign w:val="center"/>
                </w:tcPr>
                <w:p w14:paraId="5E9102C7">
                  <w:pPr>
                    <w:pStyle w:val="53"/>
                    <w:bidi w:val="0"/>
                    <w:rPr>
                      <w:rFonts w:hint="default"/>
                      <w:color w:val="auto"/>
                    </w:rPr>
                  </w:pPr>
                  <w:r>
                    <w:rPr>
                      <w:rFonts w:hint="default"/>
                      <w:color w:val="auto"/>
                    </w:rPr>
                    <w:t>排放</w:t>
                  </w:r>
                  <w:r>
                    <w:rPr>
                      <w:rFonts w:hint="eastAsia"/>
                      <w:color w:val="auto"/>
                      <w:lang w:eastAsia="zh-CN"/>
                    </w:rPr>
                    <w:t>速率（</w:t>
                  </w:r>
                  <w:r>
                    <w:rPr>
                      <w:rFonts w:hint="default"/>
                      <w:color w:val="auto"/>
                    </w:rPr>
                    <w:t>kg/h</w:t>
                  </w:r>
                  <w:r>
                    <w:rPr>
                      <w:rFonts w:hint="eastAsia"/>
                      <w:color w:val="auto"/>
                      <w:lang w:eastAsia="zh-CN"/>
                    </w:rPr>
                    <w:t>）</w:t>
                  </w:r>
                </w:p>
              </w:tc>
              <w:tc>
                <w:tcPr>
                  <w:tcW w:w="845" w:type="pct"/>
                  <w:tcBorders>
                    <w:tl2br w:val="nil"/>
                    <w:tr2bl w:val="nil"/>
                  </w:tcBorders>
                  <w:noWrap w:val="0"/>
                  <w:vAlign w:val="center"/>
                </w:tcPr>
                <w:p w14:paraId="1A85F2B2">
                  <w:pPr>
                    <w:pStyle w:val="53"/>
                    <w:bidi w:val="0"/>
                    <w:rPr>
                      <w:rFonts w:hint="default"/>
                      <w:color w:val="auto"/>
                    </w:rPr>
                  </w:pPr>
                  <w:r>
                    <w:rPr>
                      <w:rFonts w:hint="default"/>
                      <w:color w:val="auto"/>
                    </w:rPr>
                    <w:t>排放浓度</w:t>
                  </w:r>
                  <w:r>
                    <w:rPr>
                      <w:rFonts w:hint="eastAsia"/>
                      <w:color w:val="auto"/>
                      <w:lang w:eastAsia="zh-CN"/>
                    </w:rPr>
                    <w:t>（</w:t>
                  </w:r>
                  <w:r>
                    <w:rPr>
                      <w:rFonts w:hint="default"/>
                      <w:color w:val="auto"/>
                    </w:rPr>
                    <w:t>mg/m</w:t>
                  </w:r>
                  <w:r>
                    <w:rPr>
                      <w:rFonts w:hint="default"/>
                      <w:color w:val="auto"/>
                      <w:vertAlign w:val="superscript"/>
                    </w:rPr>
                    <w:t>3</w:t>
                  </w:r>
                  <w:r>
                    <w:rPr>
                      <w:rFonts w:hint="eastAsia"/>
                      <w:color w:val="auto"/>
                      <w:lang w:eastAsia="zh-CN"/>
                    </w:rPr>
                    <w:t>）</w:t>
                  </w:r>
                </w:p>
              </w:tc>
              <w:tc>
                <w:tcPr>
                  <w:tcW w:w="790" w:type="pct"/>
                  <w:tcBorders>
                    <w:tl2br w:val="nil"/>
                    <w:tr2bl w:val="nil"/>
                  </w:tcBorders>
                  <w:noWrap w:val="0"/>
                  <w:vAlign w:val="center"/>
                </w:tcPr>
                <w:p w14:paraId="54F77FF3">
                  <w:pPr>
                    <w:pStyle w:val="53"/>
                    <w:bidi w:val="0"/>
                    <w:rPr>
                      <w:rFonts w:hint="default"/>
                      <w:color w:val="auto"/>
                    </w:rPr>
                  </w:pPr>
                  <w:r>
                    <w:rPr>
                      <w:rFonts w:hint="default"/>
                      <w:color w:val="auto"/>
                    </w:rPr>
                    <w:t>单次持续时间</w:t>
                  </w:r>
                  <w:r>
                    <w:rPr>
                      <w:rFonts w:hint="eastAsia"/>
                      <w:color w:val="auto"/>
                      <w:lang w:eastAsia="zh-CN"/>
                    </w:rPr>
                    <w:t>（</w:t>
                  </w:r>
                  <w:r>
                    <w:rPr>
                      <w:rFonts w:hint="default"/>
                      <w:color w:val="auto"/>
                    </w:rPr>
                    <w:t>h</w:t>
                  </w:r>
                  <w:r>
                    <w:rPr>
                      <w:rFonts w:hint="eastAsia"/>
                      <w:color w:val="auto"/>
                      <w:lang w:eastAsia="zh-CN"/>
                    </w:rPr>
                    <w:t>）</w:t>
                  </w:r>
                </w:p>
              </w:tc>
              <w:tc>
                <w:tcPr>
                  <w:tcW w:w="752" w:type="pct"/>
                  <w:tcBorders>
                    <w:tl2br w:val="nil"/>
                    <w:tr2bl w:val="nil"/>
                  </w:tcBorders>
                  <w:noWrap w:val="0"/>
                  <w:vAlign w:val="center"/>
                </w:tcPr>
                <w:p w14:paraId="1128AA7B">
                  <w:pPr>
                    <w:pStyle w:val="53"/>
                    <w:bidi w:val="0"/>
                    <w:rPr>
                      <w:rFonts w:hint="default"/>
                      <w:color w:val="auto"/>
                    </w:rPr>
                  </w:pPr>
                  <w:r>
                    <w:rPr>
                      <w:rFonts w:hint="default"/>
                      <w:color w:val="auto"/>
                    </w:rPr>
                    <w:t>频次</w:t>
                  </w:r>
                </w:p>
              </w:tc>
            </w:tr>
            <w:tr w14:paraId="301F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0" w:type="pct"/>
                  <w:tcBorders>
                    <w:tl2br w:val="nil"/>
                    <w:tr2bl w:val="nil"/>
                  </w:tcBorders>
                  <w:noWrap w:val="0"/>
                  <w:vAlign w:val="center"/>
                </w:tcPr>
                <w:p w14:paraId="5DB0E11C">
                  <w:pPr>
                    <w:pStyle w:val="53"/>
                    <w:bidi w:val="0"/>
                    <w:rPr>
                      <w:rFonts w:hint="default"/>
                      <w:color w:val="auto"/>
                      <w:lang w:val="en-US" w:eastAsia="zh-CN"/>
                    </w:rPr>
                  </w:pPr>
                  <w:r>
                    <w:rPr>
                      <w:rFonts w:hint="eastAsia"/>
                      <w:color w:val="auto"/>
                      <w:lang w:val="en-US" w:eastAsia="zh-CN"/>
                    </w:rPr>
                    <w:t>熔融挤出</w:t>
                  </w:r>
                </w:p>
              </w:tc>
              <w:tc>
                <w:tcPr>
                  <w:tcW w:w="887" w:type="pct"/>
                  <w:tcBorders>
                    <w:tl2br w:val="nil"/>
                    <w:tr2bl w:val="nil"/>
                  </w:tcBorders>
                  <w:noWrap w:val="0"/>
                  <w:vAlign w:val="center"/>
                </w:tcPr>
                <w:p w14:paraId="557D1C6E">
                  <w:pPr>
                    <w:pStyle w:val="53"/>
                    <w:bidi w:val="0"/>
                    <w:rPr>
                      <w:rFonts w:hint="default"/>
                      <w:color w:val="auto"/>
                      <w:lang w:val="en-US" w:eastAsia="zh-CN"/>
                    </w:rPr>
                  </w:pPr>
                  <w:r>
                    <w:rPr>
                      <w:rFonts w:hint="eastAsia"/>
                      <w:color w:val="auto"/>
                      <w:lang w:val="en-US" w:eastAsia="zh-CN"/>
                    </w:rPr>
                    <w:t>非甲烷总烃</w:t>
                  </w:r>
                </w:p>
              </w:tc>
              <w:tc>
                <w:tcPr>
                  <w:tcW w:w="1307" w:type="dxa"/>
                  <w:tcBorders>
                    <w:tl2br w:val="nil"/>
                    <w:tr2bl w:val="nil"/>
                  </w:tcBorders>
                  <w:noWrap w:val="0"/>
                  <w:vAlign w:val="center"/>
                </w:tcPr>
                <w:p w14:paraId="5F4ACB94">
                  <w:pPr>
                    <w:pStyle w:val="53"/>
                    <w:bidi w:val="0"/>
                    <w:ind w:firstLine="0" w:firstLineChars="0"/>
                    <w:rPr>
                      <w:rFonts w:hint="eastAsia"/>
                      <w:color w:val="auto"/>
                      <w:lang w:val="en-US" w:eastAsia="zh-CN"/>
                    </w:rPr>
                  </w:pPr>
                  <w:r>
                    <w:rPr>
                      <w:rFonts w:hint="eastAsia"/>
                      <w:color w:val="auto"/>
                      <w:lang w:val="en-US" w:eastAsia="zh-CN"/>
                    </w:rPr>
                    <w:t>0.5833</w:t>
                  </w:r>
                </w:p>
              </w:tc>
              <w:tc>
                <w:tcPr>
                  <w:tcW w:w="1342" w:type="dxa"/>
                  <w:tcBorders>
                    <w:tl2br w:val="nil"/>
                    <w:tr2bl w:val="nil"/>
                  </w:tcBorders>
                  <w:noWrap w:val="0"/>
                  <w:vAlign w:val="center"/>
                </w:tcPr>
                <w:p w14:paraId="5AA3E390">
                  <w:pPr>
                    <w:pStyle w:val="53"/>
                    <w:bidi w:val="0"/>
                    <w:ind w:firstLine="0" w:firstLineChars="0"/>
                    <w:rPr>
                      <w:rFonts w:hint="eastAsia"/>
                      <w:color w:val="auto"/>
                      <w:lang w:val="en-US" w:eastAsia="zh-CN"/>
                    </w:rPr>
                  </w:pPr>
                  <w:r>
                    <w:rPr>
                      <w:rFonts w:hint="eastAsia"/>
                      <w:color w:val="auto"/>
                      <w:lang w:val="en-US" w:eastAsia="zh-CN"/>
                    </w:rPr>
                    <w:t>58.33</w:t>
                  </w:r>
                </w:p>
              </w:tc>
              <w:tc>
                <w:tcPr>
                  <w:tcW w:w="790" w:type="pct"/>
                  <w:tcBorders>
                    <w:tl2br w:val="nil"/>
                    <w:tr2bl w:val="nil"/>
                  </w:tcBorders>
                  <w:noWrap w:val="0"/>
                  <w:vAlign w:val="center"/>
                </w:tcPr>
                <w:p w14:paraId="36701B4F">
                  <w:pPr>
                    <w:pStyle w:val="53"/>
                    <w:bidi w:val="0"/>
                    <w:ind w:firstLine="0" w:firstLineChars="0"/>
                    <w:rPr>
                      <w:rFonts w:hint="eastAsia"/>
                      <w:color w:val="auto"/>
                      <w:lang w:val="en-US" w:eastAsia="zh-CN"/>
                    </w:rPr>
                  </w:pPr>
                  <w:r>
                    <w:rPr>
                      <w:rFonts w:hint="eastAsia"/>
                      <w:color w:val="auto"/>
                      <w:lang w:val="en-US" w:eastAsia="zh-CN"/>
                    </w:rPr>
                    <w:t>0.5</w:t>
                  </w:r>
                </w:p>
              </w:tc>
              <w:tc>
                <w:tcPr>
                  <w:tcW w:w="752" w:type="pct"/>
                  <w:tcBorders>
                    <w:tl2br w:val="nil"/>
                    <w:tr2bl w:val="nil"/>
                  </w:tcBorders>
                  <w:noWrap w:val="0"/>
                  <w:vAlign w:val="center"/>
                </w:tcPr>
                <w:p w14:paraId="02AE4899">
                  <w:pPr>
                    <w:pStyle w:val="53"/>
                    <w:bidi w:val="0"/>
                    <w:ind w:firstLine="0" w:firstLineChars="0"/>
                    <w:rPr>
                      <w:rFonts w:hint="default"/>
                      <w:color w:val="auto"/>
                    </w:rPr>
                  </w:pPr>
                  <w:r>
                    <w:rPr>
                      <w:rFonts w:hint="default"/>
                      <w:color w:val="auto"/>
                    </w:rPr>
                    <w:t>1次/年</w:t>
                  </w:r>
                </w:p>
              </w:tc>
            </w:tr>
          </w:tbl>
          <w:p w14:paraId="6F5562BA">
            <w:pPr>
              <w:pStyle w:val="51"/>
              <w:bidi w:val="0"/>
              <w:rPr>
                <w:rFonts w:hint="eastAsia"/>
                <w:color w:val="auto"/>
                <w:lang w:val="en-US" w:eastAsia="zh-CN"/>
              </w:rPr>
            </w:pPr>
            <w:r>
              <w:rPr>
                <w:rFonts w:hint="eastAsia"/>
                <w:color w:val="auto"/>
                <w:lang w:val="en-US" w:eastAsia="zh-CN"/>
              </w:rPr>
              <w:t>由上表可知，在非正常排放情况下，非甲烷总烃能达标排放。为尽量避免废气非正常情况排放，</w:t>
            </w:r>
            <w:r>
              <w:rPr>
                <w:rFonts w:hint="default"/>
                <w:color w:val="auto"/>
                <w:lang w:val="en-US" w:eastAsia="zh-CN"/>
              </w:rPr>
              <w:t>企业必须加强废气处理设施的</w:t>
            </w:r>
            <w:r>
              <w:rPr>
                <w:rFonts w:hint="eastAsia"/>
                <w:color w:val="auto"/>
                <w:lang w:val="en-US" w:eastAsia="zh-CN"/>
              </w:rPr>
              <w:t>日常</w:t>
            </w:r>
            <w:r>
              <w:rPr>
                <w:rFonts w:hint="default"/>
                <w:color w:val="auto"/>
                <w:lang w:val="en-US" w:eastAsia="zh-CN"/>
              </w:rPr>
              <w:t>管理，</w:t>
            </w:r>
            <w:r>
              <w:rPr>
                <w:rFonts w:hint="eastAsia"/>
                <w:color w:val="auto"/>
                <w:lang w:val="en-US" w:eastAsia="zh-CN"/>
              </w:rPr>
              <w:t>安排专人</w:t>
            </w:r>
            <w:r>
              <w:rPr>
                <w:rFonts w:hint="default"/>
                <w:color w:val="auto"/>
                <w:lang w:val="en-US" w:eastAsia="zh-CN"/>
              </w:rPr>
              <w:t>定期</w:t>
            </w:r>
            <w:r>
              <w:rPr>
                <w:rFonts w:hint="eastAsia"/>
                <w:color w:val="auto"/>
                <w:lang w:val="en-US" w:eastAsia="zh-CN"/>
              </w:rPr>
              <w:t>检查、</w:t>
            </w:r>
            <w:r>
              <w:rPr>
                <w:rFonts w:hint="default"/>
                <w:color w:val="auto"/>
                <w:lang w:val="en-US" w:eastAsia="zh-CN"/>
              </w:rPr>
              <w:t>维护</w:t>
            </w:r>
            <w:r>
              <w:rPr>
                <w:rFonts w:hint="eastAsia"/>
                <w:color w:val="auto"/>
                <w:lang w:val="en-US" w:eastAsia="zh-CN"/>
              </w:rPr>
              <w:t>活性炭吸附装置及连接管道等设备的运行情况，</w:t>
            </w:r>
            <w:r>
              <w:rPr>
                <w:rFonts w:hint="default"/>
                <w:color w:val="auto"/>
                <w:lang w:val="en-US" w:eastAsia="zh-CN"/>
              </w:rPr>
              <w:t>确保废气处理设施正常运行</w:t>
            </w:r>
            <w:r>
              <w:rPr>
                <w:rFonts w:hint="eastAsia"/>
                <w:color w:val="auto"/>
                <w:lang w:val="en-US" w:eastAsia="zh-CN"/>
              </w:rPr>
              <w:t>。若出现活性炭吸附装置故障等情况，应立即停止生产，待设备检修正常后方可继续生产，减少对周围环境的影响。</w:t>
            </w:r>
          </w:p>
          <w:p w14:paraId="5911B829">
            <w:pPr>
              <w:pStyle w:val="51"/>
              <w:ind w:firstLine="482"/>
              <w:rPr>
                <w:rFonts w:hint="default"/>
                <w:b/>
                <w:bCs/>
                <w:color w:val="auto"/>
                <w:lang w:val="en-US" w:eastAsia="zh-CN"/>
              </w:rPr>
            </w:pPr>
            <w:r>
              <w:rPr>
                <w:rFonts w:hint="eastAsia"/>
                <w:b/>
                <w:bCs/>
                <w:color w:val="auto"/>
                <w:lang w:val="en-US" w:eastAsia="zh-CN"/>
              </w:rPr>
              <w:t>4、排气筒设置合理性分析</w:t>
            </w:r>
          </w:p>
          <w:p w14:paraId="3666016D">
            <w:pPr>
              <w:pStyle w:val="51"/>
              <w:ind w:firstLine="482"/>
              <w:rPr>
                <w:rFonts w:hint="default"/>
                <w:color w:val="auto"/>
                <w:lang w:val="en-US" w:eastAsia="zh-CN"/>
              </w:rPr>
            </w:pPr>
            <w:r>
              <w:rPr>
                <w:rFonts w:hint="default" w:ascii="Times New Roman" w:hAnsi="Times New Roman" w:cs="Times New Roman"/>
                <w:color w:val="auto"/>
                <w:sz w:val="24"/>
                <w:szCs w:val="24"/>
                <w:lang w:val="en-US" w:eastAsia="zh-CN"/>
              </w:rPr>
              <w:t>根据《大气污染物综合排放标准》（GB16297-1996）7其他规定7.1排气筒高度除须遵守表列排放速率标准值外，还应高出周围200m半径范围的建筑5m以上，不能达到该要求的排气筒，应按其高度对应的表列排放速率标准值严格50%执行。项目200m范围内</w:t>
            </w:r>
            <w:r>
              <w:rPr>
                <w:rFonts w:hint="eastAsia" w:cs="Times New Roman"/>
                <w:color w:val="auto"/>
                <w:sz w:val="24"/>
                <w:szCs w:val="24"/>
                <w:lang w:val="en-US" w:eastAsia="zh-CN"/>
              </w:rPr>
              <w:t>无</w:t>
            </w:r>
            <w:r>
              <w:rPr>
                <w:rFonts w:hint="default" w:ascii="Times New Roman" w:hAnsi="Times New Roman" w:cs="Times New Roman"/>
                <w:color w:val="auto"/>
                <w:sz w:val="24"/>
                <w:szCs w:val="24"/>
                <w:lang w:val="en-US" w:eastAsia="zh-CN"/>
              </w:rPr>
              <w:t>1</w:t>
            </w:r>
            <w:r>
              <w:rPr>
                <w:rFonts w:hint="eastAsia" w:cs="Times New Roman"/>
                <w:color w:val="auto"/>
                <w:sz w:val="24"/>
                <w:szCs w:val="24"/>
                <w:lang w:val="en-US" w:eastAsia="zh-CN"/>
              </w:rPr>
              <w:t>0</w:t>
            </w:r>
            <w:r>
              <w:rPr>
                <w:rFonts w:hint="default" w:ascii="Times New Roman" w:hAnsi="Times New Roman" w:cs="Times New Roman"/>
                <w:color w:val="auto"/>
                <w:sz w:val="24"/>
                <w:szCs w:val="24"/>
                <w:lang w:val="en-US" w:eastAsia="zh-CN"/>
              </w:rPr>
              <w:t>m</w:t>
            </w:r>
            <w:r>
              <w:rPr>
                <w:rFonts w:hint="eastAsia" w:cs="Times New Roman"/>
                <w:color w:val="auto"/>
                <w:sz w:val="24"/>
                <w:szCs w:val="24"/>
                <w:lang w:val="en-US" w:eastAsia="zh-CN"/>
              </w:rPr>
              <w:t>及以上高</w:t>
            </w:r>
            <w:r>
              <w:rPr>
                <w:rFonts w:hint="default" w:ascii="Times New Roman" w:hAnsi="Times New Roman" w:cs="Times New Roman"/>
                <w:color w:val="auto"/>
                <w:sz w:val="24"/>
                <w:szCs w:val="24"/>
                <w:lang w:val="en-US" w:eastAsia="zh-CN"/>
              </w:rPr>
              <w:t>的建筑</w:t>
            </w:r>
            <w:r>
              <w:rPr>
                <w:rFonts w:hint="eastAsia" w:cs="Times New Roman"/>
                <w:color w:val="auto"/>
                <w:sz w:val="24"/>
                <w:szCs w:val="24"/>
                <w:lang w:val="en-US" w:eastAsia="zh-CN"/>
              </w:rPr>
              <w:t>（附近最高建筑物为三层居民楼、办公楼，最高约9m）</w:t>
            </w:r>
            <w:r>
              <w:rPr>
                <w:rFonts w:hint="default" w:ascii="Times New Roman" w:hAnsi="Times New Roman" w:cs="Times New Roman"/>
                <w:color w:val="auto"/>
                <w:sz w:val="24"/>
                <w:szCs w:val="24"/>
                <w:lang w:val="en-US" w:eastAsia="zh-CN"/>
              </w:rPr>
              <w:t>，排气筒高度为15m，能满足《大气污染物综合排放标准》（GB16297-1996）7其他规定7.1</w:t>
            </w:r>
            <w:r>
              <w:rPr>
                <w:rFonts w:hint="eastAsia" w:cs="Times New Roman"/>
                <w:color w:val="auto"/>
                <w:sz w:val="24"/>
                <w:szCs w:val="24"/>
                <w:lang w:val="en-US" w:eastAsia="zh-CN"/>
              </w:rPr>
              <w:t>，因此项目排气筒设置合理。</w:t>
            </w:r>
          </w:p>
          <w:p w14:paraId="2BF5D8F7">
            <w:pPr>
              <w:pStyle w:val="51"/>
              <w:ind w:firstLine="482"/>
              <w:rPr>
                <w:rFonts w:hint="default" w:ascii="Times New Roman" w:hAnsi="Times New Roman" w:cs="Times New Roman"/>
                <w:b/>
                <w:color w:val="auto"/>
              </w:rPr>
            </w:pPr>
            <w:r>
              <w:rPr>
                <w:rFonts w:hint="eastAsia"/>
                <w:color w:val="auto"/>
                <w:lang w:val="en-US" w:eastAsia="zh-CN"/>
              </w:rPr>
              <w:t>（二）</w:t>
            </w:r>
            <w:r>
              <w:rPr>
                <w:rFonts w:hint="eastAsia"/>
                <w:b/>
                <w:bCs/>
                <w:color w:val="auto"/>
                <w:lang w:val="en-US" w:eastAsia="zh-CN"/>
              </w:rPr>
              <w:t>措施可行性分析和达标可行性分析</w:t>
            </w:r>
          </w:p>
          <w:p w14:paraId="530D5E70">
            <w:pPr>
              <w:pStyle w:val="51"/>
              <w:ind w:firstLine="48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kern w:val="2"/>
                <w:sz w:val="24"/>
                <w:szCs w:val="24"/>
                <w:highlight w:val="none"/>
                <w:lang w:val="en-US" w:eastAsia="zh-CN"/>
              </w:rPr>
              <w:t>根据</w:t>
            </w:r>
            <w:r>
              <w:rPr>
                <w:rFonts w:hint="default" w:ascii="Times New Roman" w:hAnsi="Times New Roman" w:eastAsia="宋体" w:cs="Times New Roman"/>
                <w:color w:val="auto"/>
                <w:kern w:val="2"/>
                <w:sz w:val="24"/>
                <w:szCs w:val="24"/>
                <w:highlight w:val="none"/>
                <w:lang w:val="en-US" w:eastAsia="zh-CN"/>
              </w:rPr>
              <w:t>《排污许可证申请与核发技术规范 废弃资源加工工业》（HJ 1034—2019）</w:t>
            </w:r>
            <w:r>
              <w:rPr>
                <w:rFonts w:hint="eastAsia" w:ascii="Times New Roman" w:hAnsi="Times New Roman" w:eastAsia="宋体" w:cs="Times New Roman"/>
                <w:color w:val="auto"/>
                <w:kern w:val="2"/>
                <w:sz w:val="24"/>
                <w:szCs w:val="24"/>
                <w:highlight w:val="none"/>
                <w:lang w:val="en-US" w:eastAsia="zh-CN"/>
              </w:rPr>
              <w:t>，废气污染防治可行技术参照表。</w:t>
            </w:r>
          </w:p>
          <w:p w14:paraId="1FFE705C">
            <w:pPr>
              <w:pStyle w:val="52"/>
              <w:bidi w:val="0"/>
              <w:rPr>
                <w:rFonts w:hint="eastAsia"/>
                <w:color w:val="auto"/>
                <w:lang w:eastAsia="zh-CN"/>
              </w:rPr>
            </w:pPr>
            <w:r>
              <w:rPr>
                <w:rFonts w:hint="default"/>
                <w:color w:val="auto"/>
                <w:lang w:val="en-US" w:eastAsia="zh-CN"/>
              </w:rPr>
              <w:t>表4</w:t>
            </w:r>
            <w:r>
              <w:rPr>
                <w:rFonts w:hint="eastAsia"/>
                <w:color w:val="auto"/>
                <w:lang w:val="en-US" w:eastAsia="zh-CN"/>
              </w:rPr>
              <w:t>-5     废气污染防治可行技术参照表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6"/>
              <w:gridCol w:w="576"/>
              <w:gridCol w:w="936"/>
              <w:gridCol w:w="647"/>
              <w:gridCol w:w="1744"/>
              <w:gridCol w:w="2911"/>
              <w:gridCol w:w="540"/>
            </w:tblGrid>
            <w:tr w14:paraId="285D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3" w:type="pct"/>
                  <w:noWrap w:val="0"/>
                  <w:tcMar>
                    <w:top w:w="10" w:type="dxa"/>
                    <w:left w:w="10" w:type="dxa"/>
                    <w:right w:w="10" w:type="dxa"/>
                  </w:tcMar>
                  <w:vAlign w:val="center"/>
                </w:tcPr>
                <w:p w14:paraId="39C2F31F">
                  <w:pPr>
                    <w:pStyle w:val="53"/>
                    <w:bidi w:val="0"/>
                    <w:rPr>
                      <w:rFonts w:hint="default"/>
                      <w:color w:val="auto"/>
                      <w:lang w:val="en-US" w:eastAsia="zh-CN"/>
                    </w:rPr>
                  </w:pPr>
                  <w:r>
                    <w:rPr>
                      <w:rFonts w:hint="default"/>
                      <w:color w:val="auto"/>
                      <w:lang w:val="en-US" w:eastAsia="zh-CN"/>
                    </w:rPr>
                    <w:t>行业类别</w:t>
                  </w:r>
                </w:p>
              </w:tc>
              <w:tc>
                <w:tcPr>
                  <w:tcW w:w="363" w:type="pct"/>
                  <w:noWrap w:val="0"/>
                  <w:tcMar>
                    <w:top w:w="10" w:type="dxa"/>
                    <w:left w:w="10" w:type="dxa"/>
                    <w:right w:w="10" w:type="dxa"/>
                  </w:tcMar>
                  <w:vAlign w:val="center"/>
                </w:tcPr>
                <w:p w14:paraId="22685EBD">
                  <w:pPr>
                    <w:pStyle w:val="53"/>
                    <w:bidi w:val="0"/>
                    <w:rPr>
                      <w:rFonts w:hint="default"/>
                      <w:color w:val="auto"/>
                      <w:lang w:val="en-US" w:eastAsia="zh-CN"/>
                    </w:rPr>
                  </w:pPr>
                  <w:r>
                    <w:rPr>
                      <w:rFonts w:hint="default"/>
                      <w:color w:val="auto"/>
                      <w:lang w:val="en-US" w:eastAsia="zh-CN"/>
                    </w:rPr>
                    <w:t>产排污环节</w:t>
                  </w:r>
                </w:p>
              </w:tc>
              <w:tc>
                <w:tcPr>
                  <w:tcW w:w="590" w:type="pct"/>
                  <w:noWrap w:val="0"/>
                  <w:tcMar>
                    <w:top w:w="10" w:type="dxa"/>
                    <w:left w:w="10" w:type="dxa"/>
                    <w:right w:w="10" w:type="dxa"/>
                  </w:tcMar>
                  <w:vAlign w:val="center"/>
                </w:tcPr>
                <w:p w14:paraId="52E6924B">
                  <w:pPr>
                    <w:pStyle w:val="53"/>
                    <w:bidi w:val="0"/>
                    <w:rPr>
                      <w:rFonts w:hint="default"/>
                      <w:color w:val="auto"/>
                      <w:lang w:val="en-US" w:eastAsia="zh-CN"/>
                    </w:rPr>
                  </w:pPr>
                  <w:r>
                    <w:rPr>
                      <w:rFonts w:hint="default"/>
                      <w:color w:val="auto"/>
                      <w:lang w:val="en-US" w:eastAsia="zh-CN"/>
                    </w:rPr>
                    <w:t>污染物种类</w:t>
                  </w:r>
                </w:p>
              </w:tc>
              <w:tc>
                <w:tcPr>
                  <w:tcW w:w="407" w:type="pct"/>
                  <w:noWrap w:val="0"/>
                  <w:tcMar>
                    <w:top w:w="10" w:type="dxa"/>
                    <w:left w:w="10" w:type="dxa"/>
                    <w:right w:w="10" w:type="dxa"/>
                  </w:tcMar>
                  <w:vAlign w:val="center"/>
                </w:tcPr>
                <w:p w14:paraId="08335F1A">
                  <w:pPr>
                    <w:pStyle w:val="53"/>
                    <w:bidi w:val="0"/>
                    <w:rPr>
                      <w:rFonts w:hint="default"/>
                      <w:color w:val="auto"/>
                      <w:lang w:val="en-US" w:eastAsia="zh-CN"/>
                    </w:rPr>
                  </w:pPr>
                  <w:r>
                    <w:rPr>
                      <w:rFonts w:hint="default"/>
                      <w:color w:val="auto"/>
                      <w:lang w:val="en-US" w:eastAsia="zh-CN"/>
                    </w:rPr>
                    <w:t>排放形式</w:t>
                  </w:r>
                </w:p>
              </w:tc>
              <w:tc>
                <w:tcPr>
                  <w:tcW w:w="1099" w:type="pct"/>
                  <w:noWrap w:val="0"/>
                  <w:tcMar>
                    <w:top w:w="10" w:type="dxa"/>
                    <w:left w:w="10" w:type="dxa"/>
                    <w:right w:w="10" w:type="dxa"/>
                  </w:tcMar>
                  <w:vAlign w:val="center"/>
                </w:tcPr>
                <w:p w14:paraId="756C610D">
                  <w:pPr>
                    <w:pStyle w:val="53"/>
                    <w:bidi w:val="0"/>
                    <w:rPr>
                      <w:rFonts w:hint="default"/>
                      <w:color w:val="auto"/>
                      <w:lang w:val="en-US" w:eastAsia="zh-CN"/>
                    </w:rPr>
                  </w:pPr>
                  <w:r>
                    <w:rPr>
                      <w:rFonts w:hint="default"/>
                      <w:color w:val="auto"/>
                      <w:lang w:val="en-US" w:eastAsia="zh-CN"/>
                    </w:rPr>
                    <w:t>推荐可行技术</w:t>
                  </w:r>
                </w:p>
              </w:tc>
              <w:tc>
                <w:tcPr>
                  <w:tcW w:w="1835" w:type="pct"/>
                  <w:noWrap w:val="0"/>
                  <w:tcMar>
                    <w:top w:w="10" w:type="dxa"/>
                    <w:left w:w="10" w:type="dxa"/>
                    <w:right w:w="10" w:type="dxa"/>
                  </w:tcMar>
                  <w:vAlign w:val="center"/>
                </w:tcPr>
                <w:p w14:paraId="6FB956B4">
                  <w:pPr>
                    <w:pStyle w:val="53"/>
                    <w:bidi w:val="0"/>
                    <w:rPr>
                      <w:rFonts w:hint="default"/>
                      <w:color w:val="auto"/>
                      <w:lang w:val="en-US" w:eastAsia="zh-CN"/>
                    </w:rPr>
                  </w:pPr>
                  <w:r>
                    <w:rPr>
                      <w:rFonts w:hint="default"/>
                      <w:color w:val="auto"/>
                      <w:lang w:val="en-US" w:eastAsia="zh-CN"/>
                    </w:rPr>
                    <w:t>本项目情况</w:t>
                  </w:r>
                </w:p>
              </w:tc>
              <w:tc>
                <w:tcPr>
                  <w:tcW w:w="340" w:type="pct"/>
                  <w:noWrap w:val="0"/>
                  <w:tcMar>
                    <w:top w:w="10" w:type="dxa"/>
                    <w:left w:w="10" w:type="dxa"/>
                    <w:right w:w="10" w:type="dxa"/>
                  </w:tcMar>
                  <w:vAlign w:val="center"/>
                </w:tcPr>
                <w:p w14:paraId="76C8DE39">
                  <w:pPr>
                    <w:pStyle w:val="53"/>
                    <w:bidi w:val="0"/>
                    <w:rPr>
                      <w:rFonts w:hint="default"/>
                      <w:color w:val="auto"/>
                      <w:lang w:val="en-US" w:eastAsia="zh-CN"/>
                    </w:rPr>
                  </w:pPr>
                  <w:r>
                    <w:rPr>
                      <w:rFonts w:hint="default"/>
                      <w:color w:val="auto"/>
                      <w:lang w:val="en-US" w:eastAsia="zh-CN"/>
                    </w:rPr>
                    <w:t>是否可行</w:t>
                  </w:r>
                </w:p>
              </w:tc>
            </w:tr>
            <w:tr w14:paraId="2CB1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363" w:type="pct"/>
                  <w:noWrap w:val="0"/>
                  <w:tcMar>
                    <w:top w:w="10" w:type="dxa"/>
                    <w:left w:w="10" w:type="dxa"/>
                    <w:right w:w="10" w:type="dxa"/>
                  </w:tcMar>
                  <w:vAlign w:val="center"/>
                </w:tcPr>
                <w:p w14:paraId="024B2C37">
                  <w:pPr>
                    <w:pStyle w:val="53"/>
                    <w:bidi w:val="0"/>
                    <w:rPr>
                      <w:rFonts w:hint="default"/>
                      <w:color w:val="auto"/>
                      <w:lang w:val="en-US" w:eastAsia="zh-CN"/>
                    </w:rPr>
                  </w:pPr>
                  <w:r>
                    <w:rPr>
                      <w:rFonts w:hint="default"/>
                      <w:color w:val="auto"/>
                      <w:lang w:val="en-US" w:eastAsia="zh-CN"/>
                    </w:rPr>
                    <w:t>废弃资源加工工业</w:t>
                  </w:r>
                </w:p>
              </w:tc>
              <w:tc>
                <w:tcPr>
                  <w:tcW w:w="363" w:type="pct"/>
                  <w:noWrap w:val="0"/>
                  <w:tcMar>
                    <w:top w:w="10" w:type="dxa"/>
                    <w:left w:w="10" w:type="dxa"/>
                    <w:right w:w="10" w:type="dxa"/>
                  </w:tcMar>
                  <w:vAlign w:val="center"/>
                </w:tcPr>
                <w:p w14:paraId="1FABDDDE">
                  <w:pPr>
                    <w:pStyle w:val="53"/>
                    <w:bidi w:val="0"/>
                    <w:rPr>
                      <w:rFonts w:hint="default"/>
                      <w:color w:val="auto"/>
                      <w:lang w:val="en-US" w:eastAsia="zh-CN"/>
                    </w:rPr>
                  </w:pPr>
                  <w:r>
                    <w:rPr>
                      <w:rFonts w:hint="default"/>
                      <w:color w:val="auto"/>
                      <w:lang w:val="en-US" w:eastAsia="zh-CN"/>
                    </w:rPr>
                    <w:t>挤出机、切粒机</w:t>
                  </w:r>
                </w:p>
              </w:tc>
              <w:tc>
                <w:tcPr>
                  <w:tcW w:w="590" w:type="pct"/>
                  <w:noWrap w:val="0"/>
                  <w:tcMar>
                    <w:top w:w="10" w:type="dxa"/>
                    <w:left w:w="10" w:type="dxa"/>
                    <w:right w:w="10" w:type="dxa"/>
                  </w:tcMar>
                  <w:vAlign w:val="center"/>
                </w:tcPr>
                <w:p w14:paraId="36675190">
                  <w:pPr>
                    <w:pStyle w:val="53"/>
                    <w:bidi w:val="0"/>
                    <w:rPr>
                      <w:rFonts w:hint="default"/>
                      <w:color w:val="auto"/>
                      <w:lang w:val="en-US" w:eastAsia="zh-CN"/>
                    </w:rPr>
                  </w:pPr>
                  <w:r>
                    <w:rPr>
                      <w:rFonts w:hint="default"/>
                      <w:color w:val="auto"/>
                      <w:lang w:val="en-US" w:eastAsia="zh-CN"/>
                    </w:rPr>
                    <w:t>非甲烷总烃、颗粒物、氯化氢、二甲苯</w:t>
                  </w:r>
                </w:p>
              </w:tc>
              <w:tc>
                <w:tcPr>
                  <w:tcW w:w="407" w:type="pct"/>
                  <w:noWrap w:val="0"/>
                  <w:tcMar>
                    <w:top w:w="10" w:type="dxa"/>
                    <w:left w:w="10" w:type="dxa"/>
                    <w:right w:w="10" w:type="dxa"/>
                  </w:tcMar>
                  <w:vAlign w:val="center"/>
                </w:tcPr>
                <w:p w14:paraId="11A79B43">
                  <w:pPr>
                    <w:pStyle w:val="53"/>
                    <w:bidi w:val="0"/>
                    <w:rPr>
                      <w:rFonts w:hint="default"/>
                      <w:color w:val="auto"/>
                      <w:lang w:val="en-US" w:eastAsia="zh-CN"/>
                    </w:rPr>
                  </w:pPr>
                  <w:r>
                    <w:rPr>
                      <w:rFonts w:hint="default"/>
                      <w:color w:val="auto"/>
                      <w:lang w:val="en-US" w:eastAsia="zh-CN"/>
                    </w:rPr>
                    <w:t>尾气处理设施排气筒</w:t>
                  </w:r>
                </w:p>
              </w:tc>
              <w:tc>
                <w:tcPr>
                  <w:tcW w:w="1099" w:type="pct"/>
                  <w:noWrap w:val="0"/>
                  <w:tcMar>
                    <w:top w:w="10" w:type="dxa"/>
                    <w:left w:w="10" w:type="dxa"/>
                    <w:right w:w="10" w:type="dxa"/>
                  </w:tcMar>
                  <w:vAlign w:val="center"/>
                </w:tcPr>
                <w:p w14:paraId="089E4EBE">
                  <w:pPr>
                    <w:pStyle w:val="53"/>
                    <w:bidi w:val="0"/>
                    <w:rPr>
                      <w:rFonts w:hint="default"/>
                      <w:color w:val="auto"/>
                      <w:lang w:val="en-US" w:eastAsia="zh-CN"/>
                    </w:rPr>
                  </w:pPr>
                  <w:r>
                    <w:rPr>
                      <w:rFonts w:hint="default"/>
                      <w:color w:val="auto"/>
                      <w:lang w:val="en-US" w:eastAsia="zh-CN"/>
                    </w:rPr>
                    <w:t>布袋除尘+高温焚烧/催化燃烧/活性炭吸附其他</w:t>
                  </w:r>
                </w:p>
              </w:tc>
              <w:tc>
                <w:tcPr>
                  <w:tcW w:w="1835" w:type="pct"/>
                  <w:noWrap w:val="0"/>
                  <w:tcMar>
                    <w:top w:w="10" w:type="dxa"/>
                    <w:left w:w="10" w:type="dxa"/>
                    <w:right w:w="10" w:type="dxa"/>
                  </w:tcMar>
                  <w:vAlign w:val="center"/>
                </w:tcPr>
                <w:p w14:paraId="6F56858F">
                  <w:pPr>
                    <w:pStyle w:val="53"/>
                    <w:bidi w:val="0"/>
                    <w:rPr>
                      <w:rFonts w:hint="default"/>
                      <w:color w:val="auto"/>
                      <w:lang w:val="en-US" w:eastAsia="zh-CN"/>
                    </w:rPr>
                  </w:pPr>
                  <w:r>
                    <w:rPr>
                      <w:rFonts w:hint="default"/>
                      <w:color w:val="auto"/>
                      <w:lang w:val="en-US" w:eastAsia="zh-CN"/>
                    </w:rPr>
                    <w:t>项目生产</w:t>
                  </w:r>
                  <w:r>
                    <w:rPr>
                      <w:rFonts w:hint="eastAsia"/>
                      <w:color w:val="auto"/>
                      <w:lang w:val="en-US" w:eastAsia="zh-CN"/>
                    </w:rPr>
                    <w:t>过程</w:t>
                  </w:r>
                  <w:r>
                    <w:rPr>
                      <w:rFonts w:hint="default"/>
                      <w:color w:val="auto"/>
                      <w:lang w:val="en-US" w:eastAsia="zh-CN"/>
                    </w:rPr>
                    <w:t>中不产生二甲苯</w:t>
                  </w:r>
                  <w:r>
                    <w:rPr>
                      <w:rFonts w:hint="eastAsia"/>
                      <w:color w:val="auto"/>
                      <w:lang w:val="en-US" w:eastAsia="zh-CN"/>
                    </w:rPr>
                    <w:t>、</w:t>
                  </w:r>
                  <w:r>
                    <w:rPr>
                      <w:rFonts w:hint="default"/>
                      <w:color w:val="auto"/>
                      <w:lang w:val="en-US" w:eastAsia="zh-CN"/>
                    </w:rPr>
                    <w:t>氯化氢，产生的</w:t>
                  </w:r>
                  <w:r>
                    <w:rPr>
                      <w:rFonts w:hint="eastAsia"/>
                      <w:color w:val="auto"/>
                      <w:lang w:val="en-US" w:eastAsia="zh-CN"/>
                    </w:rPr>
                    <w:t>污染物为颗粒物、</w:t>
                  </w:r>
                  <w:r>
                    <w:rPr>
                      <w:rFonts w:hint="default"/>
                      <w:color w:val="auto"/>
                      <w:lang w:val="en-US" w:eastAsia="zh-CN"/>
                    </w:rPr>
                    <w:t>非甲烷</w:t>
                  </w:r>
                  <w:r>
                    <w:rPr>
                      <w:rFonts w:hint="eastAsia"/>
                      <w:color w:val="auto"/>
                      <w:lang w:val="en-US" w:eastAsia="zh-CN"/>
                    </w:rPr>
                    <w:t>总烃，</w:t>
                  </w:r>
                  <w:r>
                    <w:rPr>
                      <w:rFonts w:hint="default"/>
                      <w:color w:val="auto"/>
                      <w:lang w:val="en-US" w:eastAsia="zh-CN"/>
                    </w:rPr>
                    <w:t>经集气罩收集后</w:t>
                  </w:r>
                  <w:r>
                    <w:rPr>
                      <w:rFonts w:hint="eastAsia"/>
                      <w:color w:val="auto"/>
                      <w:lang w:val="en-US" w:eastAsia="zh-CN"/>
                    </w:rPr>
                    <w:t>进入三级活性炭</w:t>
                  </w:r>
                  <w:r>
                    <w:rPr>
                      <w:rFonts w:hint="default"/>
                      <w:color w:val="auto"/>
                      <w:lang w:val="en-US" w:eastAsia="zh-CN"/>
                    </w:rPr>
                    <w:t>吸附</w:t>
                  </w:r>
                  <w:r>
                    <w:rPr>
                      <w:rFonts w:hint="eastAsia"/>
                      <w:color w:val="auto"/>
                      <w:lang w:val="en-US" w:eastAsia="zh-CN"/>
                    </w:rPr>
                    <w:t>装置</w:t>
                  </w:r>
                  <w:r>
                    <w:rPr>
                      <w:rFonts w:hint="default"/>
                      <w:color w:val="auto"/>
                      <w:lang w:val="en-US" w:eastAsia="zh-CN"/>
                    </w:rPr>
                    <w:t>处理</w:t>
                  </w:r>
                  <w:r>
                    <w:rPr>
                      <w:rFonts w:hint="eastAsia"/>
                      <w:color w:val="auto"/>
                      <w:lang w:val="en-US" w:eastAsia="zh-CN"/>
                    </w:rPr>
                    <w:t>后</w:t>
                  </w:r>
                  <w:r>
                    <w:rPr>
                      <w:rFonts w:hint="default"/>
                      <w:color w:val="auto"/>
                      <w:lang w:val="en-US" w:eastAsia="zh-CN"/>
                    </w:rPr>
                    <w:t>，</w:t>
                  </w:r>
                  <w:r>
                    <w:rPr>
                      <w:rFonts w:hint="eastAsia"/>
                      <w:color w:val="auto"/>
                      <w:lang w:val="en-US" w:eastAsia="zh-CN"/>
                    </w:rPr>
                    <w:t>由</w:t>
                  </w:r>
                  <w:r>
                    <w:rPr>
                      <w:rFonts w:hint="default"/>
                      <w:color w:val="auto"/>
                      <w:lang w:val="en-US" w:eastAsia="zh-CN"/>
                    </w:rPr>
                    <w:t>一根15m高DA001排气筒排放</w:t>
                  </w:r>
                </w:p>
              </w:tc>
              <w:tc>
                <w:tcPr>
                  <w:tcW w:w="340" w:type="pct"/>
                  <w:noWrap w:val="0"/>
                  <w:tcMar>
                    <w:top w:w="10" w:type="dxa"/>
                    <w:left w:w="10" w:type="dxa"/>
                    <w:right w:w="10" w:type="dxa"/>
                  </w:tcMar>
                  <w:vAlign w:val="center"/>
                </w:tcPr>
                <w:p w14:paraId="16E112E0">
                  <w:pPr>
                    <w:pStyle w:val="53"/>
                    <w:bidi w:val="0"/>
                    <w:rPr>
                      <w:rFonts w:hint="default"/>
                      <w:color w:val="auto"/>
                      <w:lang w:val="en-US" w:eastAsia="zh-CN"/>
                    </w:rPr>
                  </w:pPr>
                  <w:r>
                    <w:rPr>
                      <w:rFonts w:hint="default"/>
                      <w:color w:val="auto"/>
                      <w:lang w:val="en-US" w:eastAsia="zh-CN"/>
                    </w:rPr>
                    <w:t>可行</w:t>
                  </w:r>
                </w:p>
              </w:tc>
            </w:tr>
          </w:tbl>
          <w:p w14:paraId="28BF7186">
            <w:pPr>
              <w:widowControl w:val="0"/>
              <w:wordWrap w:val="0"/>
              <w:topLinePunct/>
              <w:bidi w:val="0"/>
              <w:adjustRightInd w:val="0"/>
              <w:spacing w:line="360" w:lineRule="auto"/>
              <w:ind w:firstLine="488"/>
              <w:jc w:val="left"/>
              <w:textAlignment w:val="baseline"/>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rPr>
              <w:t>根据上表，项目生产</w:t>
            </w:r>
            <w:r>
              <w:rPr>
                <w:rFonts w:hint="eastAsia" w:eastAsia="宋体" w:cs="Times New Roman"/>
                <w:color w:val="auto"/>
                <w:kern w:val="2"/>
                <w:sz w:val="24"/>
                <w:szCs w:val="24"/>
                <w:highlight w:val="none"/>
                <w:lang w:val="en-US" w:eastAsia="zh-CN"/>
              </w:rPr>
              <w:t>过程</w:t>
            </w:r>
            <w:r>
              <w:rPr>
                <w:rFonts w:hint="default" w:ascii="Times New Roman" w:hAnsi="Times New Roman" w:eastAsia="宋体" w:cs="Times New Roman"/>
                <w:color w:val="auto"/>
                <w:kern w:val="2"/>
                <w:sz w:val="24"/>
                <w:szCs w:val="24"/>
                <w:highlight w:val="none"/>
                <w:lang w:val="en-US" w:eastAsia="zh-CN"/>
              </w:rPr>
              <w:t>中不产生二甲苯</w:t>
            </w:r>
            <w:r>
              <w:rPr>
                <w:rFonts w:hint="eastAsia" w:ascii="Times New Roman" w:hAnsi="Times New Roman" w:eastAsia="宋体"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氯化氢，生产车间</w:t>
            </w:r>
            <w:r>
              <w:rPr>
                <w:rFonts w:hint="eastAsia" w:cs="Times New Roman"/>
                <w:color w:val="auto"/>
                <w:kern w:val="2"/>
                <w:sz w:val="24"/>
                <w:szCs w:val="24"/>
                <w:highlight w:val="none"/>
                <w:lang w:val="en-US" w:eastAsia="zh-CN"/>
              </w:rPr>
              <w:t>密闭</w:t>
            </w:r>
            <w:r>
              <w:rPr>
                <w:rFonts w:hint="default" w:ascii="Times New Roman" w:hAnsi="Times New Roman" w:eastAsia="宋体" w:cs="Times New Roman"/>
                <w:color w:val="auto"/>
                <w:kern w:val="2"/>
                <w:sz w:val="24"/>
                <w:szCs w:val="24"/>
                <w:highlight w:val="none"/>
                <w:lang w:val="en-US" w:eastAsia="zh-CN"/>
              </w:rPr>
              <w:t>，挥发性有机物（以非甲烷总烃计）采用</w:t>
            </w:r>
            <w:r>
              <w:rPr>
                <w:rFonts w:hint="eastAsia" w:cs="Times New Roman"/>
                <w:color w:val="auto"/>
                <w:kern w:val="2"/>
                <w:sz w:val="24"/>
                <w:szCs w:val="24"/>
                <w:highlight w:val="none"/>
                <w:lang w:val="en-US" w:eastAsia="zh-CN"/>
              </w:rPr>
              <w:t>三级活性炭</w:t>
            </w:r>
            <w:r>
              <w:rPr>
                <w:rFonts w:hint="default" w:ascii="Times New Roman" w:hAnsi="Times New Roman" w:eastAsia="宋体" w:cs="Times New Roman"/>
                <w:color w:val="auto"/>
                <w:kern w:val="2"/>
                <w:sz w:val="24"/>
                <w:szCs w:val="24"/>
                <w:highlight w:val="none"/>
                <w:lang w:val="en-US" w:eastAsia="zh-CN"/>
              </w:rPr>
              <w:t>吸附，为《排污许可证申请与核发技术规范 废弃资源加工工业》（HJ 1034—2019）中推荐的可行技术。</w:t>
            </w:r>
          </w:p>
          <w:p w14:paraId="3D29F285">
            <w:pPr>
              <w:pStyle w:val="51"/>
              <w:bidi w:val="0"/>
              <w:rPr>
                <w:rFonts w:hint="eastAsia"/>
                <w:color w:val="auto"/>
                <w:lang w:val="en-US" w:eastAsia="zh-CN"/>
              </w:rPr>
            </w:pPr>
            <w:r>
              <w:rPr>
                <w:rFonts w:hint="eastAsia" w:ascii="Times New Roman" w:hAnsi="Times New Roman" w:cs="Times New Roman"/>
                <w:color w:val="auto"/>
                <w:sz w:val="24"/>
                <w:szCs w:val="24"/>
                <w:lang w:val="en-US" w:eastAsia="zh-CN"/>
              </w:rPr>
              <w:t>挤出机</w:t>
            </w:r>
            <w:r>
              <w:rPr>
                <w:rFonts w:hint="default" w:ascii="Times New Roman" w:hAnsi="Times New Roman" w:cs="Times New Roman"/>
                <w:color w:val="auto"/>
                <w:sz w:val="24"/>
                <w:szCs w:val="24"/>
                <w:lang w:val="en-US" w:eastAsia="zh-CN"/>
              </w:rPr>
              <w:t>上方</w:t>
            </w:r>
            <w:r>
              <w:rPr>
                <w:rFonts w:hint="default" w:ascii="Times New Roman" w:hAnsi="Times New Roman" w:cs="Times New Roman"/>
                <w:color w:val="auto"/>
                <w:sz w:val="24"/>
                <w:szCs w:val="24"/>
                <w:lang w:eastAsia="zh-CN"/>
              </w:rPr>
              <w:t>安装集气罩收集产生的颗粒物和非甲烷总烃，</w:t>
            </w:r>
            <w:r>
              <w:rPr>
                <w:rFonts w:hint="default" w:ascii="Times New Roman" w:hAnsi="Times New Roman" w:cs="Times New Roman"/>
                <w:color w:val="auto"/>
                <w:sz w:val="24"/>
                <w:szCs w:val="24"/>
                <w:lang w:val="en-US" w:eastAsia="zh-CN"/>
              </w:rPr>
              <w:t>要求集气罩面积要大于</w:t>
            </w:r>
            <w:r>
              <w:rPr>
                <w:rFonts w:hint="eastAsia" w:cs="Times New Roman"/>
                <w:color w:val="auto"/>
                <w:sz w:val="24"/>
                <w:szCs w:val="24"/>
                <w:lang w:val="en-US" w:eastAsia="zh-CN"/>
              </w:rPr>
              <w:t>造粒机</w:t>
            </w:r>
            <w:r>
              <w:rPr>
                <w:rFonts w:hint="default" w:ascii="Times New Roman" w:hAnsi="Times New Roman" w:cs="Times New Roman"/>
                <w:color w:val="auto"/>
                <w:sz w:val="24"/>
                <w:szCs w:val="24"/>
                <w:lang w:val="en-US" w:eastAsia="zh-CN"/>
              </w:rPr>
              <w:t>出料口投影面积，</w:t>
            </w:r>
            <w:r>
              <w:rPr>
                <w:rFonts w:hint="default" w:ascii="Times New Roman" w:hAnsi="Times New Roman" w:cs="Times New Roman"/>
                <w:color w:val="auto"/>
                <w:sz w:val="24"/>
                <w:szCs w:val="24"/>
                <w:lang w:eastAsia="zh-CN"/>
              </w:rPr>
              <w:t>经</w:t>
            </w:r>
            <w:r>
              <w:rPr>
                <w:rFonts w:hint="eastAsia" w:ascii="Times New Roman" w:hAnsi="Times New Roman" w:cs="Times New Roman"/>
                <w:color w:val="auto"/>
                <w:sz w:val="24"/>
                <w:szCs w:val="24"/>
                <w:lang w:val="en-US" w:eastAsia="zh-CN"/>
              </w:rPr>
              <w:t>三</w:t>
            </w:r>
            <w:r>
              <w:rPr>
                <w:rFonts w:hint="default" w:ascii="Times New Roman" w:hAnsi="Times New Roman" w:cs="Times New Roman"/>
                <w:color w:val="auto"/>
                <w:sz w:val="24"/>
                <w:szCs w:val="24"/>
                <w:lang w:eastAsia="zh-CN"/>
              </w:rPr>
              <w:t>级活性炭处理设施处理后</w:t>
            </w:r>
            <w:r>
              <w:rPr>
                <w:rFonts w:hint="eastAsia" w:ascii="Times New Roman" w:hAnsi="Times New Roman" w:cs="Times New Roman"/>
                <w:color w:val="auto"/>
                <w:sz w:val="24"/>
                <w:szCs w:val="24"/>
                <w:lang w:val="en-US" w:eastAsia="zh-CN"/>
              </w:rPr>
              <w:t>由</w:t>
            </w:r>
            <w:r>
              <w:rPr>
                <w:rFonts w:hint="eastAsia" w:cs="Times New Roman"/>
                <w:color w:val="auto"/>
                <w:sz w:val="24"/>
                <w:szCs w:val="24"/>
                <w:lang w:val="en-US" w:eastAsia="zh-CN"/>
              </w:rPr>
              <w:t>直径0.5m的</w:t>
            </w:r>
            <w:r>
              <w:rPr>
                <w:rFonts w:hint="default" w:ascii="Times New Roman" w:hAnsi="Times New Roman" w:cs="Times New Roman"/>
                <w:color w:val="auto"/>
                <w:sz w:val="24"/>
                <w:szCs w:val="24"/>
                <w:lang w:val="en-US" w:eastAsia="zh-CN"/>
              </w:rPr>
              <w:t>15m高的排气筒排放，</w:t>
            </w:r>
            <w:r>
              <w:rPr>
                <w:rFonts w:hint="default"/>
                <w:color w:val="auto"/>
                <w:lang w:val="en-US" w:eastAsia="zh-CN"/>
              </w:rPr>
              <w:t>活性炭的选取和安装应符合《吸附法工业有机废气治理工程技术规范》（HJ 2026-2013）、《重点行业挥发性有机物综合治理方案》（环大气〔2019〕53号）、《挥发性有机物治理实用手册》等相关文件的要求</w:t>
            </w:r>
            <w:r>
              <w:rPr>
                <w:rFonts w:hint="eastAsia"/>
                <w:color w:val="auto"/>
                <w:lang w:val="en-US" w:eastAsia="zh-CN"/>
              </w:rPr>
              <w:t>。</w:t>
            </w:r>
          </w:p>
          <w:p w14:paraId="5B1F19E6">
            <w:pPr>
              <w:pStyle w:val="73"/>
              <w:rPr>
                <w:rFonts w:hint="eastAsia" w:ascii="Times New Roman" w:hAnsi="Times New Roman" w:eastAsia="宋体" w:cs="Times New Roman"/>
                <w:color w:val="auto"/>
                <w:lang w:val="en-US" w:eastAsia="zh-CN"/>
              </w:rPr>
            </w:pPr>
            <w:r>
              <w:rPr>
                <w:rFonts w:hint="eastAsia"/>
                <w:color w:val="auto"/>
                <w:highlight w:val="none"/>
                <w:lang w:val="en-US" w:eastAsia="zh-CN"/>
              </w:rPr>
              <w:t>根据表4-1，项目DA001</w:t>
            </w:r>
            <w:r>
              <w:rPr>
                <w:rFonts w:hint="eastAsia"/>
                <w:color w:val="auto"/>
                <w:lang w:val="en-US" w:eastAsia="zh-CN"/>
              </w:rPr>
              <w:t>排放的颗粒物排放浓度25</w:t>
            </w:r>
            <w:r>
              <w:rPr>
                <w:rFonts w:hint="eastAsia" w:ascii="Times New Roman" w:hAnsi="Times New Roman" w:eastAsia="宋体" w:cs="Times New Roman"/>
                <w:color w:val="auto"/>
                <w:lang w:val="en-US" w:eastAsia="zh-CN"/>
              </w:rPr>
              <w:t>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排放速率0.25kg/h，满足《大气污染物综合排放标准》</w:t>
            </w:r>
            <w:r>
              <w:rPr>
                <w:rFonts w:hint="eastAsia" w:ascii="Times New Roman" w:hAnsi="Times New Roman" w:eastAsia="宋体" w:cs="Times New Roman"/>
                <w:color w:val="auto"/>
                <w:lang w:val="en-US" w:eastAsia="zh-CN"/>
              </w:rPr>
              <w:t>（GB16297-1996）表2中二级标准（颗粒物排放浓度120mg/m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排放速率3.5kg/h</w:t>
            </w:r>
            <w:r>
              <w:rPr>
                <w:rFonts w:hint="eastAsia" w:ascii="Times New Roman" w:hAnsi="Times New Roman" w:eastAsia="宋体" w:cs="Times New Roman"/>
                <w:color w:val="auto"/>
                <w:lang w:val="en-US" w:eastAsia="zh-CN"/>
              </w:rPr>
              <w:t>）</w:t>
            </w:r>
            <w:r>
              <w:rPr>
                <w:rFonts w:hint="eastAsia" w:cs="Times New Roman"/>
                <w:color w:val="auto"/>
                <w:lang w:val="en-US" w:eastAsia="zh-CN"/>
              </w:rPr>
              <w:t>；</w:t>
            </w:r>
            <w:r>
              <w:rPr>
                <w:rFonts w:hint="eastAsia" w:ascii="Times New Roman" w:hAnsi="Times New Roman" w:eastAsia="宋体" w:cs="Times New Roman"/>
                <w:color w:val="auto"/>
                <w:lang w:val="en-US" w:eastAsia="zh-CN"/>
              </w:rPr>
              <w:t>非甲烷总烃</w:t>
            </w:r>
            <w:r>
              <w:rPr>
                <w:rFonts w:hint="eastAsia"/>
                <w:color w:val="auto"/>
                <w:lang w:val="en-US" w:eastAsia="zh-CN"/>
              </w:rPr>
              <w:t>排放浓度26.25</w:t>
            </w:r>
            <w:r>
              <w:rPr>
                <w:rFonts w:hint="eastAsia" w:ascii="Times New Roman" w:hAnsi="Times New Roman" w:eastAsia="宋体" w:cs="Times New Roman"/>
                <w:color w:val="auto"/>
                <w:lang w:val="en-US" w:eastAsia="zh-CN"/>
              </w:rPr>
              <w:t>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排放速率0.2625kg/h，</w:t>
            </w:r>
            <w:r>
              <w:rPr>
                <w:rFonts w:hint="eastAsia" w:ascii="Times New Roman" w:hAnsi="Times New Roman" w:eastAsia="宋体" w:cs="Times New Roman"/>
                <w:color w:val="auto"/>
                <w:lang w:val="en-US" w:eastAsia="zh-CN"/>
              </w:rPr>
              <w:t>达</w:t>
            </w:r>
            <w:r>
              <w:rPr>
                <w:rFonts w:hint="eastAsia"/>
                <w:color w:val="auto"/>
                <w:lang w:val="en-US" w:eastAsia="zh-CN"/>
              </w:rPr>
              <w:t>《大气污染物综合排放标准》</w:t>
            </w:r>
            <w:r>
              <w:rPr>
                <w:rFonts w:hint="eastAsia" w:ascii="Times New Roman" w:hAnsi="Times New Roman" w:eastAsia="宋体" w:cs="Times New Roman"/>
                <w:color w:val="auto"/>
                <w:lang w:val="en-US" w:eastAsia="zh-CN"/>
              </w:rPr>
              <w:t>（GB16297-1996）表2中二级标准（</w:t>
            </w:r>
            <w:r>
              <w:rPr>
                <w:rFonts w:hint="eastAsia"/>
                <w:color w:val="auto"/>
                <w:lang w:val="en-US" w:eastAsia="zh-CN"/>
              </w:rPr>
              <w:t>非甲烷总烃</w:t>
            </w:r>
            <w:r>
              <w:rPr>
                <w:rFonts w:hint="eastAsia" w:ascii="Times New Roman" w:hAnsi="Times New Roman" w:eastAsia="宋体" w:cs="Times New Roman"/>
                <w:color w:val="auto"/>
                <w:lang w:val="en-US" w:eastAsia="zh-CN"/>
              </w:rPr>
              <w:t>排放浓度120mg/m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r>
              <w:rPr>
                <w:rFonts w:hint="eastAsia"/>
                <w:color w:val="auto"/>
                <w:lang w:val="en-US" w:eastAsia="zh-CN"/>
              </w:rPr>
              <w:t>排放速率10kg/h</w:t>
            </w:r>
            <w:r>
              <w:rPr>
                <w:rFonts w:hint="eastAsia" w:ascii="Times New Roman" w:hAnsi="Times New Roman" w:eastAsia="宋体" w:cs="Times New Roman"/>
                <w:color w:val="auto"/>
                <w:lang w:val="en-US" w:eastAsia="zh-CN"/>
              </w:rPr>
              <w:t>）；处理措施可行。</w:t>
            </w:r>
          </w:p>
          <w:p w14:paraId="4DAD0E16">
            <w:pPr>
              <w:pStyle w:val="51"/>
              <w:ind w:firstLine="480"/>
              <w:rPr>
                <w:rFonts w:hint="default" w:ascii="Times New Roman" w:hAnsi="Times New Roman" w:cs="Times New Roman"/>
                <w:color w:val="auto"/>
              </w:rPr>
            </w:pPr>
            <w:r>
              <w:rPr>
                <w:rFonts w:hint="eastAsia"/>
                <w:color w:val="auto"/>
                <w:lang w:val="en-US" w:eastAsia="zh-CN"/>
              </w:rPr>
              <w:t>通过</w:t>
            </w:r>
            <w:r>
              <w:rPr>
                <w:rFonts w:hint="eastAsia"/>
                <w:color w:val="auto"/>
              </w:rPr>
              <w:t>采取以上</w:t>
            </w:r>
            <w:r>
              <w:rPr>
                <w:rFonts w:hint="eastAsia"/>
                <w:color w:val="auto"/>
                <w:lang w:eastAsia="zh-CN"/>
              </w:rPr>
              <w:t>废气治理</w:t>
            </w:r>
            <w:r>
              <w:rPr>
                <w:rFonts w:hint="eastAsia"/>
                <w:color w:val="auto"/>
              </w:rPr>
              <w:t>措施，废气污染物</w:t>
            </w:r>
            <w:r>
              <w:rPr>
                <w:rFonts w:hint="eastAsia"/>
                <w:color w:val="auto"/>
                <w:lang w:eastAsia="zh-CN"/>
              </w:rPr>
              <w:t>均可做到</w:t>
            </w:r>
            <w:r>
              <w:rPr>
                <w:rFonts w:hint="eastAsia"/>
                <w:color w:val="auto"/>
              </w:rPr>
              <w:t>达标排放，</w:t>
            </w:r>
            <w:r>
              <w:rPr>
                <w:rFonts w:hint="eastAsia"/>
                <w:color w:val="auto"/>
                <w:lang w:val="en-US" w:eastAsia="zh-CN"/>
              </w:rPr>
              <w:t>采取的治理</w:t>
            </w:r>
            <w:r>
              <w:rPr>
                <w:rFonts w:hint="eastAsia"/>
                <w:color w:val="auto"/>
              </w:rPr>
              <w:t>措施可行</w:t>
            </w:r>
            <w:r>
              <w:rPr>
                <w:rFonts w:hint="eastAsia"/>
                <w:color w:val="auto"/>
                <w:lang w:eastAsia="zh-CN"/>
              </w:rPr>
              <w:t>，</w:t>
            </w:r>
            <w:r>
              <w:rPr>
                <w:rFonts w:hint="default" w:ascii="Times New Roman" w:hAnsi="Times New Roman" w:cs="Times New Roman"/>
                <w:color w:val="auto"/>
              </w:rPr>
              <w:t>项目排放的废气对区域大气环境影响较小。</w:t>
            </w:r>
          </w:p>
          <w:p w14:paraId="6695B483">
            <w:pPr>
              <w:pStyle w:val="51"/>
              <w:bidi w:val="0"/>
              <w:rPr>
                <w:rFonts w:hint="default" w:eastAsia="宋体"/>
                <w:b/>
                <w:bCs/>
                <w:color w:val="auto"/>
                <w:lang w:val="en-US" w:eastAsia="zh-CN"/>
              </w:rPr>
            </w:pPr>
            <w:r>
              <w:rPr>
                <w:rFonts w:hint="eastAsia"/>
                <w:b/>
                <w:bCs/>
                <w:color w:val="auto"/>
                <w:lang w:val="en-US" w:eastAsia="zh-CN"/>
              </w:rPr>
              <w:t>三、监测计划</w:t>
            </w:r>
          </w:p>
          <w:p w14:paraId="0A4E92C3">
            <w:pPr>
              <w:pStyle w:val="51"/>
              <w:bidi w:val="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val="0"/>
                <w:bCs/>
                <w:color w:val="auto"/>
                <w:lang w:val="en-US" w:eastAsia="zh-CN"/>
              </w:rPr>
              <w:t>根据</w:t>
            </w:r>
            <w:r>
              <w:rPr>
                <w:rFonts w:hint="default" w:ascii="Times New Roman" w:hAnsi="Times New Roman" w:eastAsia="宋体" w:cs="Times New Roman"/>
                <w:b w:val="0"/>
                <w:bCs/>
                <w:color w:val="auto"/>
                <w:lang w:val="en-US" w:eastAsia="zh-CN"/>
              </w:rPr>
              <w:t>《排污单位自行监测技术指南 总则》（HJ819-2017）</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kern w:val="2"/>
                <w:sz w:val="24"/>
                <w:szCs w:val="24"/>
                <w:highlight w:val="none"/>
                <w:lang w:val="en-US" w:eastAsia="zh-CN"/>
              </w:rPr>
              <w:t>《排污许可证申请与核发技术规范 废弃资源加工工业》（HJ 1034—2019）</w:t>
            </w:r>
            <w:r>
              <w:rPr>
                <w:rFonts w:hint="eastAsia" w:ascii="Times New Roman" w:hAnsi="Times New Roman" w:eastAsia="宋体" w:cs="Times New Roman"/>
                <w:color w:val="auto"/>
                <w:sz w:val="24"/>
                <w:lang w:val="en-US" w:eastAsia="zh-CN"/>
              </w:rPr>
              <w:t>，本项目废气</w:t>
            </w:r>
            <w:r>
              <w:rPr>
                <w:rFonts w:hint="default" w:ascii="Times New Roman" w:hAnsi="Times New Roman" w:eastAsia="宋体" w:cs="Times New Roman"/>
                <w:b w:val="0"/>
                <w:bCs/>
                <w:color w:val="auto"/>
                <w:lang w:eastAsia="zh-CN"/>
              </w:rPr>
              <w:t>监测计划见下表。</w:t>
            </w:r>
          </w:p>
          <w:p w14:paraId="02E1AC20">
            <w:pPr>
              <w:pStyle w:val="52"/>
              <w:bidi w:val="0"/>
              <w:rPr>
                <w:rFonts w:hint="default"/>
                <w:color w:val="auto"/>
                <w:lang w:val="en-US" w:eastAsia="zh-CN"/>
              </w:rPr>
            </w:pPr>
            <w:r>
              <w:rPr>
                <w:rFonts w:hint="default"/>
                <w:color w:val="auto"/>
                <w:lang w:val="en-US" w:eastAsia="zh-CN"/>
              </w:rPr>
              <w:t>表4-</w:t>
            </w:r>
            <w:r>
              <w:rPr>
                <w:rFonts w:hint="eastAsia"/>
                <w:color w:val="auto"/>
                <w:lang w:val="en-US" w:eastAsia="zh-CN"/>
              </w:rPr>
              <w:t>6</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项目监测计划一览表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08"/>
              <w:gridCol w:w="1187"/>
              <w:gridCol w:w="1592"/>
              <w:gridCol w:w="1800"/>
              <w:gridCol w:w="1449"/>
            </w:tblGrid>
            <w:tr w14:paraId="455E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2ABE1BD6">
                  <w:pPr>
                    <w:pStyle w:val="53"/>
                    <w:bidi w:val="0"/>
                    <w:rPr>
                      <w:rFonts w:hint="default"/>
                      <w:color w:val="auto"/>
                      <w:lang w:val="en-US" w:eastAsia="zh-CN"/>
                    </w:rPr>
                  </w:pPr>
                  <w:r>
                    <w:rPr>
                      <w:rFonts w:hint="default"/>
                      <w:color w:val="auto"/>
                      <w:lang w:val="en-US" w:eastAsia="zh-CN"/>
                    </w:rPr>
                    <w:t>有组织排放（一般排放口）</w:t>
                  </w:r>
                </w:p>
              </w:tc>
            </w:tr>
            <w:tr w14:paraId="4C1A3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noWrap w:val="0"/>
                  <w:vAlign w:val="center"/>
                </w:tcPr>
                <w:p w14:paraId="64BFC85F">
                  <w:pPr>
                    <w:pStyle w:val="53"/>
                    <w:bidi w:val="0"/>
                    <w:rPr>
                      <w:rFonts w:hint="default"/>
                      <w:color w:val="auto"/>
                      <w:lang w:val="en-US" w:eastAsia="zh-CN"/>
                    </w:rPr>
                  </w:pPr>
                  <w:r>
                    <w:rPr>
                      <w:rFonts w:hint="default"/>
                      <w:color w:val="auto"/>
                      <w:lang w:val="en-US" w:eastAsia="zh-CN"/>
                    </w:rPr>
                    <w:t>行业类别</w:t>
                  </w:r>
                </w:p>
              </w:tc>
              <w:tc>
                <w:tcPr>
                  <w:tcW w:w="748" w:type="pct"/>
                  <w:noWrap w:val="0"/>
                  <w:vAlign w:val="center"/>
                </w:tcPr>
                <w:p w14:paraId="0551D240">
                  <w:pPr>
                    <w:pStyle w:val="53"/>
                    <w:bidi w:val="0"/>
                    <w:rPr>
                      <w:rFonts w:hint="default"/>
                      <w:color w:val="auto"/>
                      <w:lang w:val="en-US" w:eastAsia="zh-CN"/>
                    </w:rPr>
                  </w:pPr>
                  <w:r>
                    <w:rPr>
                      <w:rFonts w:hint="default"/>
                      <w:color w:val="auto"/>
                      <w:lang w:val="en-US" w:eastAsia="zh-CN"/>
                    </w:rPr>
                    <w:t>废气来源</w:t>
                  </w:r>
                </w:p>
              </w:tc>
              <w:tc>
                <w:tcPr>
                  <w:tcW w:w="1003" w:type="pct"/>
                  <w:noWrap w:val="0"/>
                  <w:vAlign w:val="center"/>
                </w:tcPr>
                <w:p w14:paraId="7A745196">
                  <w:pPr>
                    <w:pStyle w:val="53"/>
                    <w:bidi w:val="0"/>
                    <w:rPr>
                      <w:rFonts w:hint="default"/>
                      <w:color w:val="auto"/>
                      <w:lang w:val="en-US" w:eastAsia="zh-CN"/>
                    </w:rPr>
                  </w:pPr>
                  <w:r>
                    <w:rPr>
                      <w:rFonts w:hint="default"/>
                      <w:color w:val="auto"/>
                      <w:lang w:val="en-US" w:eastAsia="zh-CN"/>
                    </w:rPr>
                    <w:t>监测点位</w:t>
                  </w:r>
                </w:p>
              </w:tc>
              <w:tc>
                <w:tcPr>
                  <w:tcW w:w="1134" w:type="pct"/>
                  <w:noWrap w:val="0"/>
                  <w:vAlign w:val="center"/>
                </w:tcPr>
                <w:p w14:paraId="4760554F">
                  <w:pPr>
                    <w:pStyle w:val="53"/>
                    <w:bidi w:val="0"/>
                    <w:rPr>
                      <w:rFonts w:hint="default"/>
                      <w:color w:val="auto"/>
                      <w:lang w:val="en-US" w:eastAsia="zh-CN"/>
                    </w:rPr>
                  </w:pPr>
                  <w:r>
                    <w:rPr>
                      <w:rFonts w:hint="default"/>
                      <w:color w:val="auto"/>
                      <w:lang w:val="en-US" w:eastAsia="zh-CN"/>
                    </w:rPr>
                    <w:t>监测指标</w:t>
                  </w:r>
                </w:p>
              </w:tc>
              <w:tc>
                <w:tcPr>
                  <w:tcW w:w="911" w:type="pct"/>
                  <w:noWrap w:val="0"/>
                  <w:vAlign w:val="center"/>
                </w:tcPr>
                <w:p w14:paraId="5C83AA3A">
                  <w:pPr>
                    <w:pStyle w:val="53"/>
                    <w:bidi w:val="0"/>
                    <w:rPr>
                      <w:rFonts w:hint="default"/>
                      <w:color w:val="auto"/>
                      <w:lang w:val="en-US" w:eastAsia="zh-CN"/>
                    </w:rPr>
                  </w:pPr>
                  <w:r>
                    <w:rPr>
                      <w:rFonts w:hint="default"/>
                      <w:color w:val="auto"/>
                      <w:lang w:val="en-US" w:eastAsia="zh-CN"/>
                    </w:rPr>
                    <w:t>最低监测频次</w:t>
                  </w:r>
                </w:p>
              </w:tc>
            </w:tr>
            <w:tr w14:paraId="2DE1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noWrap w:val="0"/>
                  <w:vAlign w:val="center"/>
                </w:tcPr>
                <w:p w14:paraId="155BE909">
                  <w:pPr>
                    <w:pStyle w:val="53"/>
                    <w:bidi w:val="0"/>
                    <w:rPr>
                      <w:rFonts w:hint="default"/>
                      <w:color w:val="auto"/>
                      <w:lang w:val="en-US" w:eastAsia="zh-CN"/>
                    </w:rPr>
                  </w:pPr>
                  <w:r>
                    <w:rPr>
                      <w:rFonts w:hint="default"/>
                      <w:color w:val="auto"/>
                      <w:lang w:val="en-US" w:eastAsia="zh-CN"/>
                    </w:rPr>
                    <w:t>废弃资源加工工业</w:t>
                  </w:r>
                </w:p>
              </w:tc>
              <w:tc>
                <w:tcPr>
                  <w:tcW w:w="748" w:type="pct"/>
                  <w:noWrap w:val="0"/>
                  <w:vAlign w:val="center"/>
                </w:tcPr>
                <w:p w14:paraId="33CCDA22">
                  <w:pPr>
                    <w:pStyle w:val="53"/>
                    <w:bidi w:val="0"/>
                    <w:rPr>
                      <w:rFonts w:hint="default"/>
                      <w:color w:val="auto"/>
                      <w:lang w:val="en-US" w:eastAsia="zh-CN"/>
                    </w:rPr>
                  </w:pPr>
                  <w:r>
                    <w:rPr>
                      <w:rFonts w:hint="default"/>
                      <w:color w:val="auto"/>
                      <w:lang w:val="en-US" w:eastAsia="zh-CN"/>
                    </w:rPr>
                    <w:t>熔融挤出</w:t>
                  </w:r>
                </w:p>
              </w:tc>
              <w:tc>
                <w:tcPr>
                  <w:tcW w:w="1003" w:type="pct"/>
                  <w:noWrap w:val="0"/>
                  <w:vAlign w:val="center"/>
                </w:tcPr>
                <w:p w14:paraId="78ED8775">
                  <w:pPr>
                    <w:pStyle w:val="53"/>
                    <w:bidi w:val="0"/>
                    <w:rPr>
                      <w:rFonts w:hint="default"/>
                      <w:color w:val="auto"/>
                      <w:lang w:val="en-US" w:eastAsia="zh-CN"/>
                    </w:rPr>
                  </w:pPr>
                  <w:r>
                    <w:rPr>
                      <w:rFonts w:hint="default"/>
                      <w:color w:val="auto"/>
                      <w:lang w:val="en-US" w:eastAsia="zh-CN"/>
                    </w:rPr>
                    <w:t>DA001排气筒</w:t>
                  </w:r>
                </w:p>
              </w:tc>
              <w:tc>
                <w:tcPr>
                  <w:tcW w:w="1134" w:type="pct"/>
                  <w:noWrap w:val="0"/>
                  <w:vAlign w:val="center"/>
                </w:tcPr>
                <w:p w14:paraId="3AD5E1E7">
                  <w:pPr>
                    <w:pStyle w:val="53"/>
                    <w:bidi w:val="0"/>
                    <w:rPr>
                      <w:rFonts w:hint="default"/>
                      <w:color w:val="auto"/>
                      <w:lang w:val="en-US" w:eastAsia="zh-CN"/>
                    </w:rPr>
                  </w:pPr>
                  <w:r>
                    <w:rPr>
                      <w:rFonts w:hint="default"/>
                      <w:color w:val="auto"/>
                      <w:lang w:val="en-US" w:eastAsia="zh-CN"/>
                    </w:rPr>
                    <w:t>非甲烷总烃、</w:t>
                  </w:r>
                  <w:r>
                    <w:rPr>
                      <w:rFonts w:hint="eastAsia"/>
                      <w:color w:val="auto"/>
                      <w:lang w:val="en-US" w:eastAsia="zh-CN"/>
                    </w:rPr>
                    <w:t>颗粒物</w:t>
                  </w:r>
                </w:p>
              </w:tc>
              <w:tc>
                <w:tcPr>
                  <w:tcW w:w="911" w:type="pct"/>
                  <w:noWrap w:val="0"/>
                  <w:vAlign w:val="center"/>
                </w:tcPr>
                <w:p w14:paraId="56306A10">
                  <w:pPr>
                    <w:pStyle w:val="53"/>
                    <w:bidi w:val="0"/>
                    <w:rPr>
                      <w:rFonts w:hint="default"/>
                      <w:color w:val="auto"/>
                      <w:lang w:val="en-US" w:eastAsia="zh-CN"/>
                    </w:rPr>
                  </w:pPr>
                  <w:r>
                    <w:rPr>
                      <w:rFonts w:hint="default"/>
                      <w:color w:val="auto"/>
                      <w:lang w:val="en-US" w:eastAsia="zh-CN"/>
                    </w:rPr>
                    <w:t>1次/半年</w:t>
                  </w:r>
                </w:p>
              </w:tc>
            </w:tr>
            <w:tr w14:paraId="6F50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000" w:type="pct"/>
                  <w:gridSpan w:val="5"/>
                  <w:noWrap w:val="0"/>
                  <w:vAlign w:val="center"/>
                </w:tcPr>
                <w:p w14:paraId="77B70BED">
                  <w:pPr>
                    <w:pStyle w:val="53"/>
                    <w:bidi w:val="0"/>
                    <w:rPr>
                      <w:rFonts w:hint="default"/>
                      <w:color w:val="auto"/>
                      <w:lang w:val="en-US" w:eastAsia="zh-CN"/>
                    </w:rPr>
                  </w:pPr>
                  <w:r>
                    <w:rPr>
                      <w:rFonts w:hint="default"/>
                      <w:color w:val="auto"/>
                      <w:lang w:val="en-US" w:eastAsia="zh-CN"/>
                    </w:rPr>
                    <w:t>无组织排放</w:t>
                  </w:r>
                </w:p>
              </w:tc>
            </w:tr>
            <w:tr w14:paraId="6DAF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noWrap w:val="0"/>
                  <w:vAlign w:val="center"/>
                </w:tcPr>
                <w:p w14:paraId="5DB9D5D6">
                  <w:pPr>
                    <w:pStyle w:val="53"/>
                    <w:bidi w:val="0"/>
                    <w:rPr>
                      <w:rFonts w:hint="default"/>
                      <w:color w:val="auto"/>
                      <w:lang w:val="en-US" w:eastAsia="zh-CN"/>
                    </w:rPr>
                  </w:pPr>
                  <w:r>
                    <w:rPr>
                      <w:rFonts w:hint="default"/>
                      <w:color w:val="auto"/>
                      <w:lang w:val="en-US" w:eastAsia="zh-CN"/>
                    </w:rPr>
                    <w:t>行业类别</w:t>
                  </w:r>
                </w:p>
              </w:tc>
              <w:tc>
                <w:tcPr>
                  <w:tcW w:w="748" w:type="pct"/>
                  <w:noWrap w:val="0"/>
                  <w:vAlign w:val="center"/>
                </w:tcPr>
                <w:p w14:paraId="7A4D9A3B">
                  <w:pPr>
                    <w:pStyle w:val="53"/>
                    <w:bidi w:val="0"/>
                    <w:rPr>
                      <w:rFonts w:hint="default"/>
                      <w:color w:val="auto"/>
                      <w:lang w:val="en-US" w:eastAsia="zh-CN"/>
                    </w:rPr>
                  </w:pPr>
                  <w:r>
                    <w:rPr>
                      <w:rFonts w:hint="default"/>
                      <w:color w:val="auto"/>
                      <w:lang w:val="en-US" w:eastAsia="zh-CN"/>
                    </w:rPr>
                    <w:t>监测点位</w:t>
                  </w:r>
                </w:p>
              </w:tc>
              <w:tc>
                <w:tcPr>
                  <w:tcW w:w="2137" w:type="pct"/>
                  <w:gridSpan w:val="2"/>
                  <w:noWrap w:val="0"/>
                  <w:vAlign w:val="center"/>
                </w:tcPr>
                <w:p w14:paraId="7B070BDE">
                  <w:pPr>
                    <w:pStyle w:val="53"/>
                    <w:bidi w:val="0"/>
                    <w:rPr>
                      <w:rFonts w:hint="default"/>
                      <w:color w:val="auto"/>
                      <w:lang w:val="en-US" w:eastAsia="zh-CN"/>
                    </w:rPr>
                  </w:pPr>
                  <w:r>
                    <w:rPr>
                      <w:rFonts w:hint="default"/>
                      <w:color w:val="auto"/>
                      <w:lang w:val="en-US" w:eastAsia="zh-CN"/>
                    </w:rPr>
                    <w:t>监测指标</w:t>
                  </w:r>
                </w:p>
              </w:tc>
              <w:tc>
                <w:tcPr>
                  <w:tcW w:w="911" w:type="pct"/>
                  <w:noWrap w:val="0"/>
                  <w:vAlign w:val="center"/>
                </w:tcPr>
                <w:p w14:paraId="0D1DA292">
                  <w:pPr>
                    <w:pStyle w:val="53"/>
                    <w:bidi w:val="0"/>
                    <w:rPr>
                      <w:rFonts w:hint="default"/>
                      <w:color w:val="auto"/>
                      <w:lang w:val="en-US" w:eastAsia="zh-CN"/>
                    </w:rPr>
                  </w:pPr>
                  <w:r>
                    <w:rPr>
                      <w:rFonts w:hint="default"/>
                      <w:color w:val="auto"/>
                      <w:lang w:val="en-US" w:eastAsia="zh-CN"/>
                    </w:rPr>
                    <w:t>最低监测频次</w:t>
                  </w:r>
                </w:p>
              </w:tc>
            </w:tr>
            <w:tr w14:paraId="19491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vMerge w:val="restart"/>
                  <w:noWrap w:val="0"/>
                  <w:vAlign w:val="center"/>
                </w:tcPr>
                <w:p w14:paraId="32D6A0E1">
                  <w:pPr>
                    <w:pStyle w:val="53"/>
                    <w:bidi w:val="0"/>
                    <w:rPr>
                      <w:rFonts w:hint="default"/>
                      <w:color w:val="auto"/>
                      <w:lang w:val="en-US" w:eastAsia="zh-CN"/>
                    </w:rPr>
                  </w:pPr>
                  <w:r>
                    <w:rPr>
                      <w:rFonts w:hint="default"/>
                      <w:color w:val="auto"/>
                      <w:lang w:val="en-US" w:eastAsia="zh-CN"/>
                    </w:rPr>
                    <w:t>废弃资源加工工业</w:t>
                  </w:r>
                </w:p>
              </w:tc>
              <w:tc>
                <w:tcPr>
                  <w:tcW w:w="748" w:type="pct"/>
                  <w:noWrap w:val="0"/>
                  <w:vAlign w:val="center"/>
                </w:tcPr>
                <w:p w14:paraId="02AD5DB1">
                  <w:pPr>
                    <w:pStyle w:val="53"/>
                    <w:bidi w:val="0"/>
                    <w:rPr>
                      <w:rFonts w:hint="default"/>
                      <w:color w:val="auto"/>
                      <w:lang w:val="en-US" w:eastAsia="zh-CN"/>
                    </w:rPr>
                  </w:pPr>
                  <w:r>
                    <w:rPr>
                      <w:rFonts w:hint="eastAsia"/>
                      <w:color w:val="auto"/>
                      <w:lang w:val="en-US" w:eastAsia="zh-CN"/>
                    </w:rPr>
                    <w:t>企业边界</w:t>
                  </w:r>
                </w:p>
              </w:tc>
              <w:tc>
                <w:tcPr>
                  <w:tcW w:w="2137" w:type="pct"/>
                  <w:gridSpan w:val="2"/>
                  <w:noWrap w:val="0"/>
                  <w:vAlign w:val="center"/>
                </w:tcPr>
                <w:p w14:paraId="49DB5A3B">
                  <w:pPr>
                    <w:pStyle w:val="53"/>
                    <w:bidi w:val="0"/>
                    <w:rPr>
                      <w:rFonts w:hint="default"/>
                      <w:color w:val="auto"/>
                      <w:lang w:val="en-US" w:eastAsia="zh-CN"/>
                    </w:rPr>
                  </w:pPr>
                  <w:r>
                    <w:rPr>
                      <w:rFonts w:hint="default"/>
                      <w:color w:val="auto"/>
                      <w:lang w:val="en-US" w:eastAsia="zh-CN"/>
                    </w:rPr>
                    <w:t>非甲烷总烃、颗粒物</w:t>
                  </w:r>
                </w:p>
              </w:tc>
              <w:tc>
                <w:tcPr>
                  <w:tcW w:w="911" w:type="pct"/>
                  <w:noWrap w:val="0"/>
                  <w:vAlign w:val="center"/>
                </w:tcPr>
                <w:p w14:paraId="760D2786">
                  <w:pPr>
                    <w:pStyle w:val="53"/>
                    <w:bidi w:val="0"/>
                    <w:rPr>
                      <w:rFonts w:hint="default"/>
                      <w:color w:val="auto"/>
                      <w:lang w:val="en-US" w:eastAsia="zh-CN"/>
                    </w:rPr>
                  </w:pPr>
                  <w:r>
                    <w:rPr>
                      <w:rFonts w:hint="default"/>
                      <w:color w:val="auto"/>
                      <w:lang w:val="en-US" w:eastAsia="zh-CN"/>
                    </w:rPr>
                    <w:t>1次/年</w:t>
                  </w:r>
                </w:p>
              </w:tc>
            </w:tr>
            <w:tr w14:paraId="2937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02" w:type="pct"/>
                  <w:vMerge w:val="continue"/>
                  <w:noWrap w:val="0"/>
                  <w:vAlign w:val="center"/>
                </w:tcPr>
                <w:p w14:paraId="0B24ACA8">
                  <w:pPr>
                    <w:pStyle w:val="53"/>
                    <w:bidi w:val="0"/>
                    <w:rPr>
                      <w:rFonts w:hint="default"/>
                      <w:color w:val="auto"/>
                      <w:lang w:val="en-US" w:eastAsia="zh-CN"/>
                    </w:rPr>
                  </w:pPr>
                </w:p>
              </w:tc>
              <w:tc>
                <w:tcPr>
                  <w:tcW w:w="748" w:type="pct"/>
                  <w:noWrap w:val="0"/>
                  <w:vAlign w:val="center"/>
                </w:tcPr>
                <w:p w14:paraId="48589E93">
                  <w:pPr>
                    <w:pStyle w:val="53"/>
                    <w:bidi w:val="0"/>
                    <w:rPr>
                      <w:rFonts w:hint="default"/>
                      <w:color w:val="auto"/>
                      <w:lang w:val="en-US" w:eastAsia="zh-CN"/>
                    </w:rPr>
                  </w:pPr>
                  <w:r>
                    <w:rPr>
                      <w:rFonts w:hint="default"/>
                      <w:color w:val="auto"/>
                      <w:lang w:val="en-US" w:eastAsia="zh-CN"/>
                    </w:rPr>
                    <w:t>厂区内</w:t>
                  </w:r>
                </w:p>
              </w:tc>
              <w:tc>
                <w:tcPr>
                  <w:tcW w:w="2137" w:type="pct"/>
                  <w:gridSpan w:val="2"/>
                  <w:noWrap w:val="0"/>
                  <w:vAlign w:val="center"/>
                </w:tcPr>
                <w:p w14:paraId="3804CC95">
                  <w:pPr>
                    <w:pStyle w:val="53"/>
                    <w:bidi w:val="0"/>
                    <w:rPr>
                      <w:rFonts w:hint="default"/>
                      <w:color w:val="auto"/>
                      <w:lang w:val="en-US" w:eastAsia="zh-CN"/>
                    </w:rPr>
                  </w:pPr>
                  <w:r>
                    <w:rPr>
                      <w:rFonts w:hint="default"/>
                      <w:color w:val="auto"/>
                      <w:lang w:val="en-US" w:eastAsia="zh-CN"/>
                    </w:rPr>
                    <w:t>非甲烷总烃</w:t>
                  </w:r>
                </w:p>
              </w:tc>
              <w:tc>
                <w:tcPr>
                  <w:tcW w:w="911" w:type="pct"/>
                  <w:noWrap w:val="0"/>
                  <w:vAlign w:val="center"/>
                </w:tcPr>
                <w:p w14:paraId="3999557B">
                  <w:pPr>
                    <w:pStyle w:val="53"/>
                    <w:bidi w:val="0"/>
                    <w:rPr>
                      <w:rFonts w:hint="default"/>
                      <w:color w:val="auto"/>
                      <w:lang w:val="en-US" w:eastAsia="zh-CN"/>
                    </w:rPr>
                  </w:pPr>
                  <w:r>
                    <w:rPr>
                      <w:rFonts w:hint="default"/>
                      <w:color w:val="auto"/>
                      <w:lang w:val="en-US" w:eastAsia="zh-CN"/>
                    </w:rPr>
                    <w:t>1次/年</w:t>
                  </w:r>
                </w:p>
              </w:tc>
            </w:tr>
          </w:tbl>
          <w:p w14:paraId="5FE24995">
            <w:pPr>
              <w:pStyle w:val="51"/>
              <w:ind w:firstLine="482"/>
              <w:rPr>
                <w:rFonts w:hint="default" w:ascii="Times New Roman" w:hAnsi="Times New Roman" w:cs="Times New Roman"/>
                <w:b/>
                <w:color w:val="auto"/>
              </w:rPr>
            </w:pPr>
            <w:r>
              <w:rPr>
                <w:rFonts w:hint="default" w:ascii="Times New Roman" w:hAnsi="Times New Roman" w:cs="Times New Roman"/>
                <w:b/>
                <w:color w:val="auto"/>
              </w:rPr>
              <w:t>二、废水影响分析</w:t>
            </w:r>
          </w:p>
          <w:p w14:paraId="1BA6BBC1">
            <w:pPr>
              <w:pStyle w:val="51"/>
              <w:ind w:firstLine="482"/>
              <w:rPr>
                <w:rFonts w:hint="default" w:ascii="Times New Roman" w:hAnsi="Times New Roman" w:cs="Times New Roman"/>
                <w:b/>
                <w:color w:val="auto"/>
              </w:rPr>
            </w:pPr>
            <w:r>
              <w:rPr>
                <w:rFonts w:hint="default" w:ascii="Times New Roman" w:hAnsi="Times New Roman" w:cs="Times New Roman"/>
                <w:b/>
                <w:color w:val="auto"/>
              </w:rPr>
              <w:t>1、废水产排情况分析</w:t>
            </w:r>
          </w:p>
          <w:p w14:paraId="15F5A7F9">
            <w:pPr>
              <w:pStyle w:val="51"/>
              <w:ind w:firstLine="482"/>
              <w:rPr>
                <w:rFonts w:hint="default" w:ascii="Times New Roman" w:hAnsi="Times New Roman" w:eastAsia="宋体" w:cs="Times New Roman"/>
                <w:color w:val="auto"/>
                <w:kern w:val="2"/>
                <w:sz w:val="24"/>
                <w:szCs w:val="24"/>
                <w:highlight w:val="none"/>
                <w:lang w:val="en-US" w:eastAsia="zh-CN"/>
              </w:rPr>
            </w:pPr>
            <w:bookmarkStart w:id="4" w:name="_Toc24600"/>
            <w:bookmarkStart w:id="5" w:name="_Toc22821"/>
            <w:r>
              <w:rPr>
                <w:rFonts w:hint="default" w:ascii="Times New Roman" w:hAnsi="Times New Roman" w:eastAsia="宋体" w:cs="Times New Roman"/>
                <w:color w:val="auto"/>
                <w:kern w:val="2"/>
                <w:sz w:val="24"/>
                <w:szCs w:val="24"/>
                <w:highlight w:val="none"/>
                <w:lang w:val="en-US" w:eastAsia="zh-CN"/>
              </w:rPr>
              <w:t>项目</w:t>
            </w:r>
            <w:bookmarkEnd w:id="4"/>
            <w:bookmarkEnd w:id="5"/>
            <w:r>
              <w:rPr>
                <w:rFonts w:hint="default" w:ascii="Times New Roman" w:hAnsi="Times New Roman" w:eastAsia="宋体" w:cs="Times New Roman"/>
                <w:color w:val="auto"/>
                <w:kern w:val="2"/>
                <w:sz w:val="24"/>
                <w:szCs w:val="24"/>
                <w:highlight w:val="none"/>
                <w:lang w:val="en-US" w:eastAsia="zh-CN"/>
              </w:rPr>
              <w:t>冷却用水循环使用不外排</w:t>
            </w:r>
            <w:r>
              <w:rPr>
                <w:rFonts w:hint="eastAsia" w:cs="Times New Roman"/>
                <w:color w:val="auto"/>
                <w:kern w:val="2"/>
                <w:sz w:val="24"/>
                <w:szCs w:val="24"/>
                <w:highlight w:val="none"/>
                <w:lang w:val="en-US" w:eastAsia="zh-CN"/>
              </w:rPr>
              <w:t>；</w:t>
            </w:r>
            <w:r>
              <w:rPr>
                <w:rFonts w:hint="default" w:ascii="Times New Roman" w:hAnsi="Times New Roman" w:eastAsia="宋体" w:cs="Times New Roman"/>
                <w:color w:val="auto"/>
                <w:kern w:val="2"/>
                <w:sz w:val="24"/>
                <w:szCs w:val="24"/>
                <w:highlight w:val="none"/>
                <w:lang w:val="en-US" w:eastAsia="zh-CN"/>
              </w:rPr>
              <w:t>项目不设食宿，根据工程分析项目</w:t>
            </w:r>
            <w:r>
              <w:rPr>
                <w:rFonts w:hint="eastAsia" w:cs="Times New Roman"/>
                <w:color w:val="auto"/>
                <w:sz w:val="24"/>
                <w:highlight w:val="none"/>
                <w:lang w:val="en-US" w:eastAsia="zh-CN"/>
              </w:rPr>
              <w:t>生活污水</w:t>
            </w:r>
            <w:r>
              <w:rPr>
                <w:rFonts w:hint="default" w:ascii="Times New Roman" w:hAnsi="Times New Roman" w:cs="Times New Roman"/>
                <w:color w:val="auto"/>
                <w:sz w:val="24"/>
                <w:highlight w:val="none"/>
                <w:lang w:val="en-US" w:eastAsia="zh-CN"/>
              </w:rPr>
              <w:t>产生量为0.</w:t>
            </w:r>
            <w:r>
              <w:rPr>
                <w:rFonts w:hint="eastAsia" w:cs="Times New Roman"/>
                <w:color w:val="auto"/>
                <w:sz w:val="24"/>
                <w:highlight w:val="none"/>
                <w:lang w:val="en-US" w:eastAsia="zh-CN"/>
              </w:rPr>
              <w:t>0996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29.88</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a，</w:t>
            </w:r>
            <w:r>
              <w:rPr>
                <w:rFonts w:hint="default" w:ascii="Times New Roman" w:hAnsi="Times New Roman" w:eastAsia="宋体" w:cs="Times New Roman"/>
                <w:color w:val="auto"/>
                <w:kern w:val="2"/>
                <w:sz w:val="24"/>
                <w:szCs w:val="24"/>
                <w:highlight w:val="none"/>
                <w:lang w:val="en-US" w:eastAsia="zh-CN"/>
              </w:rPr>
              <w:t>产生的</w:t>
            </w:r>
            <w:r>
              <w:rPr>
                <w:rFonts w:hint="eastAsia" w:cs="Times New Roman"/>
                <w:color w:val="auto"/>
                <w:kern w:val="2"/>
                <w:sz w:val="24"/>
                <w:szCs w:val="24"/>
                <w:highlight w:val="none"/>
                <w:lang w:val="en-US" w:eastAsia="zh-CN"/>
              </w:rPr>
              <w:t>生活污水</w:t>
            </w:r>
            <w:r>
              <w:rPr>
                <w:rFonts w:hint="eastAsia" w:eastAsia="宋体" w:cs="Times New Roman"/>
                <w:color w:val="auto"/>
                <w:kern w:val="2"/>
                <w:sz w:val="24"/>
                <w:szCs w:val="24"/>
                <w:highlight w:val="none"/>
                <w:lang w:val="en-US" w:eastAsia="zh-CN"/>
              </w:rPr>
              <w:t>进入</w:t>
            </w:r>
            <w:r>
              <w:rPr>
                <w:rFonts w:hint="default" w:ascii="Times New Roman" w:hAnsi="Times New Roman" w:eastAsia="宋体" w:cs="Times New Roman"/>
                <w:color w:val="auto"/>
                <w:kern w:val="2"/>
                <w:sz w:val="24"/>
                <w:szCs w:val="24"/>
                <w:highlight w:val="none"/>
                <w:lang w:val="en-US" w:eastAsia="zh-CN"/>
              </w:rPr>
              <w:t>化粪池处理</w:t>
            </w:r>
            <w:r>
              <w:rPr>
                <w:rFonts w:hint="eastAsia" w:eastAsia="宋体" w:cs="Times New Roman"/>
                <w:color w:val="auto"/>
                <w:kern w:val="2"/>
                <w:sz w:val="24"/>
                <w:szCs w:val="24"/>
                <w:highlight w:val="none"/>
                <w:lang w:val="en-US" w:eastAsia="zh-CN"/>
              </w:rPr>
              <w:t>，经化粪池处理后定期清掏后用作农肥，不外排</w:t>
            </w:r>
            <w:r>
              <w:rPr>
                <w:rFonts w:hint="eastAsia" w:cs="Times New Roman"/>
                <w:color w:val="auto"/>
                <w:sz w:val="24"/>
                <w:highlight w:val="none"/>
                <w:lang w:val="en-US" w:eastAsia="zh-CN"/>
              </w:rPr>
              <w:t>。</w:t>
            </w:r>
          </w:p>
          <w:p w14:paraId="2514E414">
            <w:pPr>
              <w:pStyle w:val="51"/>
              <w:bidi w:val="0"/>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sz w:val="24"/>
                <w:highlight w:val="none"/>
              </w:rPr>
              <w:t>生产中用到的冷却水经循环冷却水池循环后使用，定期补充蒸发损失，项目循环水量</w:t>
            </w:r>
            <w:r>
              <w:rPr>
                <w:rFonts w:hint="eastAsia"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/h。根据公式计算项目补水量为</w:t>
            </w:r>
            <w:r>
              <w:rPr>
                <w:rFonts w:hint="eastAsia" w:cs="Times New Roman"/>
                <w:color w:val="auto"/>
                <w:sz w:val="24"/>
                <w:highlight w:val="none"/>
                <w:lang w:val="en-US" w:eastAsia="zh-CN"/>
              </w:rPr>
              <w:t>0.675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cs="Times New Roman"/>
                <w:color w:val="auto"/>
                <w:sz w:val="24"/>
                <w:highlight w:val="none"/>
                <w:lang w:val="en-US" w:eastAsia="zh-CN"/>
              </w:rPr>
              <w:t>10.8</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w:t>
            </w:r>
            <w:r>
              <w:rPr>
                <w:rFonts w:hint="eastAsia" w:cs="Times New Roman"/>
                <w:color w:val="auto"/>
                <w:sz w:val="24"/>
                <w:highlight w:val="none"/>
                <w:lang w:val="en-US" w:eastAsia="zh-CN"/>
              </w:rPr>
              <w:t>产生</w:t>
            </w:r>
            <w:r>
              <w:rPr>
                <w:rFonts w:hint="default" w:ascii="Times New Roman" w:hAnsi="Times New Roman" w:cs="Times New Roman"/>
                <w:color w:val="auto"/>
                <w:sz w:val="24"/>
                <w:highlight w:val="none"/>
              </w:rPr>
              <w:t>污水</w:t>
            </w:r>
            <w:r>
              <w:rPr>
                <w:rFonts w:hint="eastAsia" w:cs="Times New Roman"/>
                <w:color w:val="auto"/>
                <w:sz w:val="24"/>
                <w:highlight w:val="none"/>
                <w:lang w:val="en-US" w:eastAsia="zh-CN"/>
              </w:rPr>
              <w:t>量4</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/d，主要污染物为SS，</w:t>
            </w:r>
            <w:r>
              <w:rPr>
                <w:rFonts w:hint="eastAsia" w:cs="Times New Roman"/>
                <w:color w:val="auto"/>
                <w:sz w:val="24"/>
                <w:highlight w:val="none"/>
                <w:lang w:val="en-US" w:eastAsia="zh-CN"/>
              </w:rPr>
              <w:t>由于每天都有新鲜水补充，因此该部分污水量经循环水收集箱</w:t>
            </w:r>
            <w:r>
              <w:rPr>
                <w:rFonts w:hint="default" w:ascii="Times New Roman" w:hAnsi="Times New Roman" w:cs="Times New Roman"/>
                <w:color w:val="auto"/>
                <w:sz w:val="24"/>
                <w:highlight w:val="none"/>
              </w:rPr>
              <w:t>沉淀后</w:t>
            </w:r>
            <w:r>
              <w:rPr>
                <w:rFonts w:hint="eastAsia" w:cs="Times New Roman"/>
                <w:color w:val="auto"/>
                <w:sz w:val="24"/>
                <w:highlight w:val="none"/>
                <w:lang w:val="en-US" w:eastAsia="zh-CN"/>
              </w:rPr>
              <w:t>可</w:t>
            </w:r>
            <w:r>
              <w:rPr>
                <w:rFonts w:hint="default" w:ascii="Times New Roman" w:hAnsi="Times New Roman" w:cs="Times New Roman"/>
                <w:color w:val="auto"/>
                <w:sz w:val="24"/>
                <w:highlight w:val="none"/>
              </w:rPr>
              <w:t>循环</w:t>
            </w:r>
            <w:r>
              <w:rPr>
                <w:rFonts w:hint="eastAsia" w:cs="Times New Roman"/>
                <w:color w:val="auto"/>
                <w:sz w:val="24"/>
                <w:highlight w:val="none"/>
                <w:lang w:val="en-US" w:eastAsia="zh-CN"/>
              </w:rPr>
              <w:t>使用</w:t>
            </w:r>
            <w:r>
              <w:rPr>
                <w:rFonts w:hint="default" w:ascii="Times New Roman" w:hAnsi="Times New Roman" w:cs="Times New Roman"/>
                <w:color w:val="auto"/>
                <w:sz w:val="24"/>
                <w:highlight w:val="none"/>
              </w:rPr>
              <w:t>。</w:t>
            </w:r>
          </w:p>
          <w:p w14:paraId="49155C98">
            <w:pPr>
              <w:pStyle w:val="51"/>
              <w:bidi w:val="0"/>
              <w:rPr>
                <w:rFonts w:hint="default" w:ascii="Times New Roman" w:hAnsi="Times New Roman" w:eastAsia="宋体" w:cs="Times New Roman"/>
                <w:color w:val="auto"/>
                <w:kern w:val="2"/>
                <w:sz w:val="24"/>
                <w:szCs w:val="24"/>
                <w:highlight w:val="none"/>
                <w:lang w:val="en-US" w:eastAsia="zh-CN"/>
              </w:rPr>
            </w:pPr>
            <w:r>
              <w:rPr>
                <w:rFonts w:hint="eastAsia" w:eastAsia="宋体" w:cs="Times New Roman"/>
                <w:b/>
                <w:bCs/>
                <w:color w:val="auto"/>
                <w:kern w:val="2"/>
                <w:sz w:val="24"/>
                <w:szCs w:val="24"/>
                <w:highlight w:val="none"/>
                <w:lang w:val="en-US" w:eastAsia="zh-CN"/>
              </w:rPr>
              <w:t>2、废水治理设施设置情况</w:t>
            </w:r>
          </w:p>
          <w:p w14:paraId="0F15934C">
            <w:pPr>
              <w:pStyle w:val="51"/>
              <w:bidi w:val="0"/>
              <w:rPr>
                <w:rFonts w:hint="default"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（1）化粪池</w:t>
            </w:r>
          </w:p>
          <w:p w14:paraId="3F4C0454">
            <w:pPr>
              <w:pStyle w:val="51"/>
              <w:bidi w:val="0"/>
              <w:rPr>
                <w:rFonts w:hint="default" w:ascii="Times New Roman" w:hAnsi="Times New Roman" w:eastAsia="宋体" w:cs="Times New Roman"/>
                <w:color w:val="auto"/>
                <w:kern w:val="2"/>
                <w:sz w:val="24"/>
                <w:szCs w:val="24"/>
                <w:highlight w:val="none"/>
                <w:vertAlign w:val="baseline"/>
                <w:lang w:val="en-US" w:eastAsia="zh-CN"/>
              </w:rPr>
            </w:pPr>
            <w:r>
              <w:rPr>
                <w:rFonts w:hint="eastAsia" w:eastAsia="宋体" w:cs="Times New Roman"/>
                <w:color w:val="auto"/>
                <w:kern w:val="2"/>
                <w:sz w:val="24"/>
                <w:szCs w:val="24"/>
                <w:highlight w:val="none"/>
                <w:lang w:val="en-US" w:eastAsia="zh-CN"/>
              </w:rPr>
              <w:t>项目</w:t>
            </w:r>
            <w:r>
              <w:rPr>
                <w:rFonts w:hint="default" w:ascii="Times New Roman" w:hAnsi="Times New Roman" w:eastAsia="宋体" w:cs="Times New Roman"/>
                <w:color w:val="auto"/>
                <w:kern w:val="2"/>
                <w:sz w:val="24"/>
                <w:szCs w:val="24"/>
                <w:highlight w:val="none"/>
                <w:lang w:val="en-US" w:eastAsia="zh-CN"/>
              </w:rPr>
              <w:t>产生的</w:t>
            </w:r>
            <w:r>
              <w:rPr>
                <w:rFonts w:hint="eastAsia" w:cs="Times New Roman"/>
                <w:color w:val="auto"/>
                <w:kern w:val="2"/>
                <w:sz w:val="24"/>
                <w:szCs w:val="24"/>
                <w:highlight w:val="none"/>
                <w:lang w:val="en-US" w:eastAsia="zh-CN"/>
              </w:rPr>
              <w:t>生活污水</w:t>
            </w:r>
            <w:r>
              <w:rPr>
                <w:rFonts w:hint="eastAsia" w:eastAsia="宋体" w:cs="Times New Roman"/>
                <w:color w:val="auto"/>
                <w:kern w:val="2"/>
                <w:sz w:val="24"/>
                <w:szCs w:val="24"/>
                <w:highlight w:val="none"/>
                <w:lang w:val="en-US" w:eastAsia="zh-CN"/>
              </w:rPr>
              <w:t>进入</w:t>
            </w:r>
            <w:r>
              <w:rPr>
                <w:rFonts w:hint="default" w:ascii="Times New Roman" w:hAnsi="Times New Roman" w:eastAsia="宋体" w:cs="Times New Roman"/>
                <w:color w:val="auto"/>
                <w:kern w:val="2"/>
                <w:sz w:val="24"/>
                <w:szCs w:val="24"/>
                <w:highlight w:val="none"/>
                <w:lang w:val="en-US" w:eastAsia="zh-CN"/>
              </w:rPr>
              <w:t>化粪池处理，根据《建筑给水排水设计规范》（GB50015-2009）4.8.6中，化粪池停留时间考虑24h，安全系数取1.5，则项目所需化粪池容积不低于</w:t>
            </w:r>
            <w:r>
              <w:rPr>
                <w:rFonts w:hint="eastAsia" w:eastAsia="宋体" w:cs="Times New Roman"/>
                <w:color w:val="auto"/>
                <w:kern w:val="2"/>
                <w:sz w:val="24"/>
                <w:szCs w:val="24"/>
                <w:highlight w:val="none"/>
                <w:lang w:val="en-US" w:eastAsia="zh-CN"/>
              </w:rPr>
              <w:t>0.1494</w:t>
            </w:r>
            <w:r>
              <w:rPr>
                <w:rFonts w:hint="default" w:ascii="Times New Roman" w:hAnsi="Times New Roman" w:eastAsia="宋体" w:cs="Times New Roman"/>
                <w:color w:val="auto"/>
                <w:kern w:val="2"/>
                <w:sz w:val="24"/>
                <w:szCs w:val="24"/>
                <w:highlight w:val="none"/>
                <w:lang w:val="en-US" w:eastAsia="zh-CN"/>
              </w:rPr>
              <w:t>m</w:t>
            </w:r>
            <w:r>
              <w:rPr>
                <w:rFonts w:hint="default" w:ascii="Times New Roman" w:hAnsi="Times New Roman" w:eastAsia="宋体" w:cs="Times New Roman"/>
                <w:color w:val="auto"/>
                <w:kern w:val="2"/>
                <w:sz w:val="24"/>
                <w:szCs w:val="24"/>
                <w:highlight w:val="none"/>
                <w:vertAlign w:val="superscript"/>
                <w:lang w:val="en-US" w:eastAsia="zh-CN"/>
              </w:rPr>
              <w:t>3</w:t>
            </w:r>
            <w:r>
              <w:rPr>
                <w:rFonts w:hint="default" w:ascii="Times New Roman" w:hAnsi="Times New Roman" w:eastAsia="宋体" w:cs="Times New Roman"/>
                <w:color w:val="auto"/>
                <w:kern w:val="2"/>
                <w:sz w:val="24"/>
                <w:szCs w:val="24"/>
                <w:highlight w:val="none"/>
                <w:vertAlign w:val="baseline"/>
                <w:lang w:val="en-US" w:eastAsia="zh-CN"/>
              </w:rPr>
              <w:t>，项目</w:t>
            </w:r>
            <w:r>
              <w:rPr>
                <w:rFonts w:hint="eastAsia" w:eastAsia="宋体" w:cs="Times New Roman"/>
                <w:color w:val="auto"/>
                <w:kern w:val="2"/>
                <w:sz w:val="24"/>
                <w:szCs w:val="24"/>
                <w:highlight w:val="none"/>
                <w:vertAlign w:val="baseline"/>
                <w:lang w:val="en-US" w:eastAsia="zh-CN"/>
              </w:rPr>
              <w:t>依托使用现有项目已建的化粪池，根据</w:t>
            </w:r>
            <w:r>
              <w:rPr>
                <w:rFonts w:hint="eastAsia" w:cs="Times New Roman"/>
                <w:color w:val="auto"/>
                <w:lang w:eastAsia="zh-CN"/>
              </w:rPr>
              <w:t>《</w:t>
            </w:r>
            <w:r>
              <w:rPr>
                <w:rFonts w:hint="default" w:ascii="Times New Roman" w:hAnsi="Times New Roman" w:cs="Times New Roman"/>
                <w:color w:val="auto"/>
              </w:rPr>
              <w:t>曲靖银栖废旧物资回收利用有限公司10万吨/年废旧包装物回收利用项目</w:t>
            </w:r>
            <w:r>
              <w:rPr>
                <w:rFonts w:hint="eastAsia" w:cs="Times New Roman"/>
                <w:color w:val="auto"/>
                <w:lang w:eastAsia="zh-CN"/>
              </w:rPr>
              <w:t>（</w:t>
            </w:r>
            <w:r>
              <w:rPr>
                <w:rFonts w:hint="default" w:ascii="Times New Roman" w:hAnsi="Times New Roman" w:cs="Times New Roman"/>
                <w:color w:val="auto"/>
              </w:rPr>
              <w:t>一期建设</w:t>
            </w:r>
            <w:r>
              <w:rPr>
                <w:rFonts w:hint="eastAsia" w:cs="Times New Roman"/>
                <w:color w:val="auto"/>
                <w:lang w:eastAsia="zh-CN"/>
              </w:rPr>
              <w:t>）</w:t>
            </w:r>
            <w:r>
              <w:rPr>
                <w:rFonts w:hint="eastAsia" w:ascii="Times New Roman" w:hAnsi="Times New Roman" w:cs="Times New Roman"/>
                <w:color w:val="auto"/>
                <w:lang w:val="en-US" w:eastAsia="zh-CN"/>
              </w:rPr>
              <w:t>竣工环境保护验收监测报告表</w:t>
            </w:r>
            <w:r>
              <w:rPr>
                <w:rFonts w:hint="eastAsia" w:cs="Times New Roman"/>
                <w:color w:val="auto"/>
                <w:lang w:eastAsia="zh-CN"/>
              </w:rPr>
              <w:t>》：</w:t>
            </w:r>
            <w:r>
              <w:rPr>
                <w:rFonts w:hint="eastAsia" w:cs="Times New Roman"/>
                <w:color w:val="auto"/>
                <w:lang w:val="en-US" w:eastAsia="zh-CN"/>
              </w:rPr>
              <w:t>现有项目生活污水产生量为1.292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eastAsia" w:cs="Times New Roman"/>
                <w:color w:val="auto"/>
                <w:sz w:val="24"/>
                <w:highlight w:val="none"/>
                <w:lang w:val="en-US" w:eastAsia="zh-CN"/>
              </w:rPr>
              <w:t>387</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a，设置3个化粪池，单个容积7.5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，总容积22.5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进入化粪池总污水量为</w:t>
            </w:r>
            <w:r>
              <w:rPr>
                <w:rFonts w:hint="eastAsia" w:cs="Times New Roman"/>
                <w:color w:val="auto"/>
                <w:sz w:val="24"/>
                <w:highlight w:val="none"/>
                <w:lang w:val="en-US" w:eastAsia="zh-CN"/>
              </w:rPr>
              <w:t>1.3916</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default" w:ascii="Times New Roman" w:hAnsi="Times New Roman" w:cs="Times New Roman"/>
                <w:color w:val="auto"/>
                <w:sz w:val="24"/>
                <w:highlight w:val="none"/>
                <w:lang w:val="en-US" w:eastAsia="zh-CN"/>
              </w:rPr>
              <w:t>/d，</w:t>
            </w:r>
            <w:r>
              <w:rPr>
                <w:rFonts w:hint="default" w:ascii="Times New Roman" w:hAnsi="Times New Roman" w:eastAsia="宋体" w:cs="Times New Roman"/>
                <w:color w:val="auto"/>
                <w:kern w:val="2"/>
                <w:sz w:val="24"/>
                <w:szCs w:val="24"/>
                <w:highlight w:val="none"/>
                <w:lang w:val="en-US" w:eastAsia="zh-CN"/>
              </w:rPr>
              <w:t>安全系数取1.5</w:t>
            </w:r>
            <w:r>
              <w:rPr>
                <w:rFonts w:hint="eastAsia" w:cs="Times New Roman"/>
                <w:color w:val="auto"/>
                <w:kern w:val="2"/>
                <w:sz w:val="24"/>
                <w:szCs w:val="24"/>
                <w:highlight w:val="none"/>
                <w:lang w:val="en-US" w:eastAsia="zh-CN"/>
              </w:rPr>
              <w:t>，则需设置不低于2</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的化粪池；设置</w:t>
            </w:r>
            <w:r>
              <w:rPr>
                <w:rFonts w:hint="eastAsia" w:ascii="Times New Roman" w:hAnsi="Times New Roman" w:cs="Times New Roman"/>
                <w:color w:val="auto"/>
                <w:sz w:val="24"/>
                <w:highlight w:val="none"/>
                <w:lang w:val="en-US" w:eastAsia="zh-CN"/>
              </w:rPr>
              <w:t>22.5</w:t>
            </w:r>
            <w:r>
              <w:rPr>
                <w:rFonts w:hint="default" w:ascii="Times New Roman" w:hAnsi="Times New Roman" w:cs="Times New Roman"/>
                <w:color w:val="auto"/>
                <w:sz w:val="24"/>
                <w:highlight w:val="none"/>
                <w:lang w:val="en-US" w:eastAsia="zh-CN"/>
              </w:rPr>
              <w:t>m</w:t>
            </w:r>
            <w:r>
              <w:rPr>
                <w:rFonts w:hint="default" w:ascii="Times New Roman" w:hAnsi="Times New Roman" w:cs="Times New Roman"/>
                <w:color w:val="auto"/>
                <w:sz w:val="24"/>
                <w:highlight w:val="none"/>
                <w:vertAlign w:val="superscript"/>
                <w:lang w:val="en-US" w:eastAsia="zh-CN"/>
              </w:rPr>
              <w:t>3</w:t>
            </w:r>
            <w:r>
              <w:rPr>
                <w:rFonts w:hint="eastAsia" w:cs="Times New Roman"/>
                <w:color w:val="auto"/>
                <w:sz w:val="24"/>
                <w:highlight w:val="none"/>
                <w:vertAlign w:val="baseline"/>
                <w:lang w:val="en-US" w:eastAsia="zh-CN"/>
              </w:rPr>
              <w:t>化粪池</w:t>
            </w:r>
            <w:r>
              <w:rPr>
                <w:rFonts w:hint="eastAsia"/>
                <w:color w:val="auto"/>
                <w:sz w:val="24"/>
                <w:szCs w:val="24"/>
                <w:lang w:eastAsia="zh-CN"/>
              </w:rPr>
              <w:t>满足</w:t>
            </w:r>
            <w:r>
              <w:rPr>
                <w:rFonts w:hint="eastAsia"/>
                <w:color w:val="auto"/>
                <w:sz w:val="24"/>
                <w:szCs w:val="32"/>
                <w:lang w:val="en-US" w:eastAsia="zh-CN"/>
              </w:rPr>
              <w:t>15天生活污水处理需求</w:t>
            </w:r>
            <w:r>
              <w:rPr>
                <w:rFonts w:hint="default" w:ascii="Times New Roman" w:hAnsi="Times New Roman" w:eastAsia="宋体" w:cs="Times New Roman"/>
                <w:color w:val="auto"/>
                <w:kern w:val="2"/>
                <w:sz w:val="24"/>
                <w:szCs w:val="24"/>
                <w:highlight w:val="none"/>
                <w:vertAlign w:val="baseline"/>
                <w:lang w:val="en-US" w:eastAsia="zh-CN"/>
              </w:rPr>
              <w:t>且化粪池为地埋式，具有良好的密封系统，雨水不会进入，设置化粪池满足要求</w:t>
            </w:r>
            <w:r>
              <w:rPr>
                <w:rFonts w:hint="eastAsia" w:eastAsia="宋体" w:cs="Times New Roman"/>
                <w:color w:val="auto"/>
                <w:kern w:val="2"/>
                <w:sz w:val="24"/>
                <w:szCs w:val="24"/>
                <w:highlight w:val="none"/>
                <w:vertAlign w:val="baseline"/>
                <w:lang w:val="en-US" w:eastAsia="zh-CN"/>
              </w:rPr>
              <w:t>。</w:t>
            </w:r>
          </w:p>
          <w:p w14:paraId="491468E0">
            <w:pPr>
              <w:pStyle w:val="51"/>
              <w:ind w:firstLine="480"/>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cs="Times New Roman"/>
                <w:color w:val="auto"/>
                <w:lang w:val="en-US" w:eastAsia="zh-CN"/>
              </w:rPr>
              <w:t>循环水收集箱</w:t>
            </w:r>
          </w:p>
          <w:p w14:paraId="31A9736A">
            <w:pPr>
              <w:widowControl w:val="0"/>
              <w:wordWrap w:val="0"/>
              <w:topLinePunct/>
              <w:adjustRightInd w:val="0"/>
              <w:spacing w:line="360" w:lineRule="auto"/>
              <w:ind w:firstLine="480" w:firstLineChars="200"/>
              <w:jc w:val="left"/>
              <w:textAlignment w:val="baseline"/>
              <w:rPr>
                <w:rFonts w:hint="default" w:ascii="Times New Roman" w:hAnsi="Times New Roman" w:eastAsia="宋体" w:cs="Times New Roman"/>
                <w:color w:val="auto"/>
                <w:kern w:val="2"/>
                <w:sz w:val="24"/>
                <w:szCs w:val="24"/>
                <w:highlight w:val="none"/>
                <w:vertAlign w:val="baseline"/>
                <w:lang w:val="en-US" w:eastAsia="zh-CN"/>
              </w:rPr>
            </w:pPr>
            <w:r>
              <w:rPr>
                <w:rFonts w:hint="eastAsia" w:ascii="Times New Roman" w:hAnsi="Times New Roman" w:eastAsia="宋体" w:cs="Times New Roman"/>
                <w:color w:val="auto"/>
                <w:kern w:val="2"/>
                <w:sz w:val="24"/>
                <w:szCs w:val="24"/>
                <w:highlight w:val="none"/>
                <w:vertAlign w:val="baseline"/>
                <w:lang w:val="en-US" w:eastAsia="zh-CN"/>
              </w:rPr>
              <w:t>项目</w:t>
            </w:r>
            <w:r>
              <w:rPr>
                <w:rFonts w:hint="default" w:ascii="Times New Roman" w:hAnsi="Times New Roman" w:eastAsia="宋体" w:cs="Times New Roman"/>
                <w:color w:val="auto"/>
                <w:kern w:val="2"/>
                <w:sz w:val="24"/>
                <w:szCs w:val="24"/>
                <w:highlight w:val="none"/>
                <w:vertAlign w:val="baseline"/>
                <w:lang w:val="en-US" w:eastAsia="zh-CN"/>
              </w:rPr>
              <w:t>冷却水</w:t>
            </w:r>
            <w:r>
              <w:rPr>
                <w:rFonts w:hint="eastAsia" w:ascii="Times New Roman" w:hAnsi="Times New Roman" w:eastAsia="宋体" w:cs="Times New Roman"/>
                <w:color w:val="auto"/>
                <w:kern w:val="2"/>
                <w:sz w:val="24"/>
                <w:szCs w:val="24"/>
                <w:highlight w:val="none"/>
                <w:vertAlign w:val="baseline"/>
                <w:lang w:val="en-US" w:eastAsia="zh-CN"/>
              </w:rPr>
              <w:t>经</w:t>
            </w:r>
            <w:r>
              <w:rPr>
                <w:rFonts w:hint="default" w:ascii="Times New Roman" w:hAnsi="Times New Roman" w:eastAsia="宋体" w:cs="Times New Roman"/>
                <w:color w:val="auto"/>
                <w:kern w:val="2"/>
                <w:sz w:val="24"/>
                <w:szCs w:val="24"/>
                <w:highlight w:val="none"/>
                <w:vertAlign w:val="baseline"/>
                <w:lang w:val="en-US" w:eastAsia="zh-CN"/>
              </w:rPr>
              <w:t>循环</w:t>
            </w:r>
            <w:r>
              <w:rPr>
                <w:rFonts w:hint="eastAsia" w:eastAsia="宋体" w:cs="Times New Roman"/>
                <w:color w:val="auto"/>
                <w:kern w:val="2"/>
                <w:sz w:val="24"/>
                <w:szCs w:val="24"/>
                <w:highlight w:val="none"/>
                <w:vertAlign w:val="baseline"/>
                <w:lang w:val="en-US" w:eastAsia="zh-CN"/>
              </w:rPr>
              <w:t>水</w:t>
            </w:r>
            <w:r>
              <w:rPr>
                <w:rFonts w:hint="eastAsia" w:cs="Times New Roman"/>
                <w:color w:val="auto"/>
                <w:kern w:val="2"/>
                <w:sz w:val="24"/>
                <w:szCs w:val="24"/>
                <w:highlight w:val="none"/>
                <w:vertAlign w:val="baseline"/>
                <w:lang w:val="en-US" w:eastAsia="zh-CN"/>
              </w:rPr>
              <w:t>收集</w:t>
            </w:r>
            <w:r>
              <w:rPr>
                <w:rFonts w:hint="eastAsia" w:eastAsia="宋体" w:cs="Times New Roman"/>
                <w:color w:val="auto"/>
                <w:kern w:val="2"/>
                <w:sz w:val="24"/>
                <w:szCs w:val="24"/>
                <w:highlight w:val="none"/>
                <w:vertAlign w:val="baseline"/>
                <w:lang w:val="en-US" w:eastAsia="zh-CN"/>
              </w:rPr>
              <w:t>箱</w:t>
            </w:r>
            <w:r>
              <w:rPr>
                <w:rFonts w:hint="eastAsia" w:ascii="Times New Roman" w:hAnsi="Times New Roman" w:eastAsia="宋体" w:cs="Times New Roman"/>
                <w:color w:val="auto"/>
                <w:kern w:val="2"/>
                <w:sz w:val="24"/>
                <w:szCs w:val="24"/>
                <w:highlight w:val="none"/>
                <w:vertAlign w:val="baseline"/>
                <w:lang w:val="en-US" w:eastAsia="zh-CN"/>
              </w:rPr>
              <w:t>处理后全</w:t>
            </w:r>
            <w:r>
              <w:rPr>
                <w:rFonts w:hint="eastAsia" w:cs="Times New Roman"/>
                <w:color w:val="auto"/>
                <w:kern w:val="2"/>
                <w:sz w:val="24"/>
                <w:szCs w:val="24"/>
                <w:highlight w:val="none"/>
                <w:vertAlign w:val="baseline"/>
                <w:lang w:val="en-US" w:eastAsia="zh-CN"/>
              </w:rPr>
              <w:t>部</w:t>
            </w:r>
            <w:r>
              <w:rPr>
                <w:rFonts w:hint="eastAsia" w:ascii="Times New Roman" w:hAnsi="Times New Roman" w:eastAsia="宋体" w:cs="Times New Roman"/>
                <w:color w:val="auto"/>
                <w:kern w:val="2"/>
                <w:sz w:val="24"/>
                <w:szCs w:val="24"/>
                <w:highlight w:val="none"/>
                <w:vertAlign w:val="baseline"/>
                <w:lang w:val="en-US" w:eastAsia="zh-CN"/>
              </w:rPr>
              <w:t>循环</w:t>
            </w:r>
            <w:r>
              <w:rPr>
                <w:rFonts w:hint="default" w:ascii="Times New Roman" w:hAnsi="Times New Roman" w:eastAsia="宋体" w:cs="Times New Roman"/>
                <w:color w:val="auto"/>
                <w:kern w:val="2"/>
                <w:sz w:val="24"/>
                <w:szCs w:val="24"/>
                <w:highlight w:val="none"/>
                <w:vertAlign w:val="baseline"/>
                <w:lang w:val="en-US" w:eastAsia="zh-CN"/>
              </w:rPr>
              <w:t>使用</w:t>
            </w:r>
            <w:r>
              <w:rPr>
                <w:rFonts w:hint="eastAsia" w:cs="Times New Roman"/>
                <w:color w:val="auto"/>
                <w:kern w:val="2"/>
                <w:sz w:val="24"/>
                <w:szCs w:val="24"/>
                <w:highlight w:val="none"/>
                <w:vertAlign w:val="baseline"/>
                <w:lang w:val="en-US" w:eastAsia="zh-CN"/>
              </w:rPr>
              <w:t>，</w:t>
            </w:r>
            <w:r>
              <w:rPr>
                <w:color w:val="auto"/>
                <w:sz w:val="24"/>
              </w:rPr>
              <w:t>定期补充蒸发损失，项目循环水量</w:t>
            </w:r>
            <w:r>
              <w:rPr>
                <w:rFonts w:hint="eastAsia"/>
                <w:color w:val="auto"/>
                <w:sz w:val="24"/>
                <w:lang w:val="en-US" w:eastAsia="zh-CN"/>
              </w:rPr>
              <w:t>25</w:t>
            </w:r>
            <w:r>
              <w:rPr>
                <w:color w:val="auto"/>
                <w:sz w:val="24"/>
              </w:rPr>
              <w:t>m</w:t>
            </w:r>
            <w:r>
              <w:rPr>
                <w:color w:val="auto"/>
                <w:sz w:val="24"/>
                <w:vertAlign w:val="superscript"/>
              </w:rPr>
              <w:t>3</w:t>
            </w:r>
            <w:r>
              <w:rPr>
                <w:color w:val="auto"/>
                <w:sz w:val="24"/>
              </w:rPr>
              <w:t>/h。根据计算项目补水量为</w:t>
            </w:r>
            <w:r>
              <w:rPr>
                <w:rFonts w:hint="eastAsia"/>
                <w:color w:val="auto"/>
                <w:sz w:val="24"/>
                <w:lang w:val="en-US" w:eastAsia="zh-CN"/>
              </w:rPr>
              <w:t>0.675</w:t>
            </w:r>
            <w:r>
              <w:rPr>
                <w:color w:val="auto"/>
                <w:sz w:val="24"/>
              </w:rPr>
              <w:t>m</w:t>
            </w:r>
            <w:r>
              <w:rPr>
                <w:color w:val="auto"/>
                <w:sz w:val="24"/>
                <w:vertAlign w:val="superscript"/>
              </w:rPr>
              <w:t>3</w:t>
            </w:r>
            <w:r>
              <w:rPr>
                <w:color w:val="auto"/>
                <w:sz w:val="24"/>
              </w:rPr>
              <w:t>/h，</w:t>
            </w:r>
            <w:r>
              <w:rPr>
                <w:rFonts w:hint="eastAsia"/>
                <w:color w:val="auto"/>
                <w:sz w:val="24"/>
                <w:lang w:val="en-US" w:eastAsia="zh-CN"/>
              </w:rPr>
              <w:t>10.8</w:t>
            </w:r>
            <w:r>
              <w:rPr>
                <w:color w:val="auto"/>
                <w:sz w:val="24"/>
              </w:rPr>
              <w:t>m</w:t>
            </w:r>
            <w:r>
              <w:rPr>
                <w:color w:val="auto"/>
                <w:sz w:val="24"/>
                <w:vertAlign w:val="superscript"/>
              </w:rPr>
              <w:t>3</w:t>
            </w:r>
            <w:r>
              <w:rPr>
                <w:color w:val="auto"/>
                <w:sz w:val="24"/>
              </w:rPr>
              <w:t>/d，</w:t>
            </w:r>
            <w:r>
              <w:rPr>
                <w:rFonts w:hint="eastAsia"/>
                <w:color w:val="auto"/>
                <w:sz w:val="24"/>
              </w:rPr>
              <w:t>产生</w:t>
            </w:r>
            <w:r>
              <w:rPr>
                <w:color w:val="auto"/>
                <w:sz w:val="24"/>
              </w:rPr>
              <w:t>污水</w:t>
            </w:r>
            <w:r>
              <w:rPr>
                <w:rFonts w:hint="eastAsia"/>
                <w:color w:val="auto"/>
                <w:sz w:val="24"/>
              </w:rPr>
              <w:t>量</w:t>
            </w:r>
            <w:r>
              <w:rPr>
                <w:rFonts w:hint="eastAsia"/>
                <w:color w:val="auto"/>
                <w:sz w:val="24"/>
                <w:lang w:val="en-US" w:eastAsia="zh-CN"/>
              </w:rPr>
              <w:t>4</w:t>
            </w:r>
            <w:r>
              <w:rPr>
                <w:color w:val="auto"/>
                <w:sz w:val="24"/>
              </w:rPr>
              <w:t>m</w:t>
            </w:r>
            <w:r>
              <w:rPr>
                <w:color w:val="auto"/>
                <w:sz w:val="24"/>
                <w:vertAlign w:val="superscript"/>
              </w:rPr>
              <w:t>3</w:t>
            </w:r>
            <w:r>
              <w:rPr>
                <w:color w:val="auto"/>
                <w:sz w:val="24"/>
              </w:rPr>
              <w:t>/d</w:t>
            </w:r>
            <w:r>
              <w:rPr>
                <w:rFonts w:hint="eastAsia"/>
                <w:color w:val="auto"/>
                <w:sz w:val="24"/>
                <w:lang w:eastAsia="zh-CN"/>
              </w:rPr>
              <w:t>、</w:t>
            </w:r>
            <w:r>
              <w:rPr>
                <w:rFonts w:hint="default" w:ascii="Times New Roman" w:hAnsi="Times New Roman" w:cs="Times New Roman"/>
                <w:color w:val="auto"/>
                <w:sz w:val="24"/>
                <w:highlight w:val="none"/>
              </w:rPr>
              <w:t>0.</w:t>
            </w:r>
            <w:r>
              <w:rPr>
                <w:rFonts w:hint="eastAsia"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color w:val="auto"/>
                <w:sz w:val="24"/>
              </w:rPr>
              <w:t>，主要污染物为SS，</w:t>
            </w:r>
            <w:r>
              <w:rPr>
                <w:rFonts w:hint="eastAsia"/>
                <w:color w:val="auto"/>
                <w:sz w:val="24"/>
              </w:rPr>
              <w:t>该部分污水量经循环</w:t>
            </w:r>
            <w:r>
              <w:rPr>
                <w:rFonts w:hint="eastAsia"/>
                <w:color w:val="auto"/>
                <w:sz w:val="24"/>
                <w:lang w:val="en-US" w:eastAsia="zh-CN"/>
              </w:rPr>
              <w:t>水收集箱</w:t>
            </w:r>
            <w:r>
              <w:rPr>
                <w:color w:val="auto"/>
                <w:sz w:val="24"/>
              </w:rPr>
              <w:t>沉淀后循环</w:t>
            </w:r>
            <w:r>
              <w:rPr>
                <w:rFonts w:hint="eastAsia"/>
                <w:color w:val="auto"/>
                <w:sz w:val="24"/>
              </w:rPr>
              <w:t>使用</w:t>
            </w:r>
            <w:r>
              <w:rPr>
                <w:rFonts w:hint="eastAsia"/>
                <w:color w:val="auto"/>
                <w:sz w:val="24"/>
                <w:lang w:eastAsia="zh-CN"/>
              </w:rPr>
              <w:t>；</w:t>
            </w:r>
            <w:r>
              <w:rPr>
                <w:rFonts w:hint="eastAsia"/>
                <w:color w:val="auto"/>
                <w:sz w:val="24"/>
                <w:lang w:val="en-US" w:eastAsia="zh-CN"/>
              </w:rPr>
              <w:t>项目设置5m</w:t>
            </w:r>
            <w:r>
              <w:rPr>
                <w:rFonts w:hint="eastAsia"/>
                <w:color w:val="auto"/>
                <w:sz w:val="24"/>
                <w:vertAlign w:val="superscript"/>
                <w:lang w:val="en-US" w:eastAsia="zh-CN"/>
              </w:rPr>
              <w:t>3</w:t>
            </w:r>
            <w:r>
              <w:rPr>
                <w:rFonts w:hint="eastAsia"/>
                <w:color w:val="auto"/>
                <w:sz w:val="24"/>
                <w:lang w:val="en-US" w:eastAsia="zh-CN"/>
              </w:rPr>
              <w:t>的循环水收集箱能满足循环水使用。</w:t>
            </w:r>
          </w:p>
          <w:p w14:paraId="3C658EB1">
            <w:pPr>
              <w:pStyle w:val="51"/>
              <w:ind w:firstLine="482"/>
              <w:rPr>
                <w:rFonts w:hint="default" w:ascii="Times New Roman" w:hAnsi="Times New Roman" w:eastAsia="宋体" w:cs="Times New Roman"/>
                <w:b/>
                <w:color w:val="auto"/>
                <w:lang w:val="en-US" w:eastAsia="zh-CN"/>
              </w:rPr>
            </w:pPr>
            <w:r>
              <w:rPr>
                <w:rFonts w:hint="default" w:ascii="Times New Roman" w:hAnsi="Times New Roman" w:cs="Times New Roman"/>
                <w:b/>
                <w:color w:val="auto"/>
              </w:rPr>
              <w:t>3、</w:t>
            </w:r>
            <w:r>
              <w:rPr>
                <w:rFonts w:hint="eastAsia" w:cs="Times New Roman"/>
                <w:b/>
                <w:color w:val="auto"/>
                <w:lang w:val="en-US" w:eastAsia="zh-CN"/>
              </w:rPr>
              <w:t>废水影响分析</w:t>
            </w:r>
          </w:p>
          <w:p w14:paraId="5AF58207">
            <w:pPr>
              <w:widowControl w:val="0"/>
              <w:wordWrap w:val="0"/>
              <w:topLinePunct/>
              <w:adjustRightInd w:val="0"/>
              <w:spacing w:line="360" w:lineRule="auto"/>
              <w:ind w:firstLine="480" w:firstLineChars="200"/>
              <w:jc w:val="left"/>
              <w:textAlignment w:val="baseline"/>
              <w:rPr>
                <w:rFonts w:hint="default" w:ascii="Times New Roman" w:hAnsi="Times New Roman" w:eastAsia="宋体" w:cs="Times New Roman"/>
                <w:color w:val="auto"/>
                <w:kern w:val="2"/>
                <w:sz w:val="24"/>
                <w:szCs w:val="24"/>
                <w:highlight w:val="none"/>
                <w:lang w:val="en-US" w:eastAsia="zh-CN"/>
              </w:rPr>
            </w:pPr>
            <w:r>
              <w:rPr>
                <w:rFonts w:hint="eastAsia" w:eastAsia="宋体" w:cs="Times New Roman"/>
                <w:color w:val="auto"/>
                <w:kern w:val="2"/>
                <w:sz w:val="24"/>
                <w:szCs w:val="24"/>
                <w:highlight w:val="none"/>
                <w:lang w:val="en-US" w:eastAsia="zh-CN"/>
              </w:rPr>
              <w:t>综上所述，项目</w:t>
            </w:r>
            <w:r>
              <w:rPr>
                <w:rFonts w:hint="default" w:ascii="Times New Roman" w:hAnsi="Times New Roman" w:eastAsia="宋体" w:cs="Times New Roman"/>
                <w:color w:val="auto"/>
                <w:kern w:val="2"/>
                <w:sz w:val="24"/>
                <w:szCs w:val="24"/>
                <w:highlight w:val="none"/>
                <w:lang w:val="en-US" w:eastAsia="zh-CN"/>
              </w:rPr>
              <w:t>产生的</w:t>
            </w:r>
            <w:r>
              <w:rPr>
                <w:rFonts w:hint="eastAsia" w:cs="Times New Roman"/>
                <w:color w:val="auto"/>
                <w:kern w:val="2"/>
                <w:sz w:val="24"/>
                <w:szCs w:val="24"/>
                <w:highlight w:val="none"/>
                <w:lang w:val="en-US" w:eastAsia="zh-CN"/>
              </w:rPr>
              <w:t>生活污水</w:t>
            </w:r>
            <w:r>
              <w:rPr>
                <w:rFonts w:hint="eastAsia" w:eastAsia="宋体" w:cs="Times New Roman"/>
                <w:color w:val="auto"/>
                <w:kern w:val="2"/>
                <w:sz w:val="24"/>
                <w:szCs w:val="24"/>
                <w:highlight w:val="none"/>
                <w:lang w:val="en-US" w:eastAsia="zh-CN"/>
              </w:rPr>
              <w:t>进入</w:t>
            </w:r>
            <w:r>
              <w:rPr>
                <w:rFonts w:hint="default" w:ascii="Times New Roman" w:hAnsi="Times New Roman" w:eastAsia="宋体" w:cs="Times New Roman"/>
                <w:color w:val="auto"/>
                <w:kern w:val="2"/>
                <w:sz w:val="24"/>
                <w:szCs w:val="24"/>
                <w:highlight w:val="none"/>
                <w:lang w:val="en-US" w:eastAsia="zh-CN"/>
              </w:rPr>
              <w:t>化粪池处理</w:t>
            </w:r>
            <w:r>
              <w:rPr>
                <w:rFonts w:hint="eastAsia" w:eastAsia="宋体" w:cs="Times New Roman"/>
                <w:color w:val="auto"/>
                <w:kern w:val="2"/>
                <w:sz w:val="24"/>
                <w:szCs w:val="24"/>
                <w:highlight w:val="none"/>
                <w:lang w:val="en-US" w:eastAsia="zh-CN"/>
              </w:rPr>
              <w:t>，经化粪池处理后定期清掏后用作农肥，不外排；</w:t>
            </w:r>
            <w:r>
              <w:rPr>
                <w:rFonts w:hint="default" w:ascii="Times New Roman" w:hAnsi="Times New Roman" w:cs="Times New Roman"/>
                <w:color w:val="auto"/>
                <w:sz w:val="24"/>
                <w:highlight w:val="none"/>
              </w:rPr>
              <w:t>生产中用到的冷却水经循环水</w:t>
            </w:r>
            <w:r>
              <w:rPr>
                <w:rFonts w:hint="eastAsia" w:cs="Times New Roman"/>
                <w:color w:val="auto"/>
                <w:sz w:val="24"/>
                <w:highlight w:val="none"/>
                <w:lang w:val="en-US" w:eastAsia="zh-CN"/>
              </w:rPr>
              <w:t>收集箱</w:t>
            </w:r>
            <w:r>
              <w:rPr>
                <w:rFonts w:hint="default" w:ascii="Times New Roman" w:hAnsi="Times New Roman" w:cs="Times New Roman"/>
                <w:color w:val="auto"/>
                <w:sz w:val="24"/>
                <w:highlight w:val="none"/>
              </w:rPr>
              <w:t>循环后使用</w:t>
            </w: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不外排；对周边环境影响小。</w:t>
            </w:r>
          </w:p>
          <w:p w14:paraId="0A11E2E6">
            <w:pPr>
              <w:pStyle w:val="51"/>
              <w:ind w:firstLine="482"/>
              <w:rPr>
                <w:rFonts w:hint="default" w:ascii="Times New Roman" w:hAnsi="Times New Roman" w:cs="Times New Roman"/>
                <w:b/>
                <w:color w:val="auto"/>
              </w:rPr>
            </w:pPr>
            <w:r>
              <w:rPr>
                <w:rFonts w:hint="default" w:ascii="Times New Roman" w:hAnsi="Times New Roman" w:cs="Times New Roman"/>
                <w:b/>
                <w:color w:val="auto"/>
              </w:rPr>
              <w:t>三、噪声影响分析</w:t>
            </w:r>
          </w:p>
          <w:p w14:paraId="5C8596D5">
            <w:pPr>
              <w:pStyle w:val="51"/>
              <w:ind w:firstLine="482"/>
              <w:rPr>
                <w:rFonts w:hint="default" w:ascii="Times New Roman" w:hAnsi="Times New Roman" w:cs="Times New Roman"/>
                <w:b/>
                <w:color w:val="auto"/>
              </w:rPr>
            </w:pPr>
            <w:r>
              <w:rPr>
                <w:rFonts w:hint="default" w:ascii="Times New Roman" w:hAnsi="Times New Roman" w:cs="Times New Roman"/>
                <w:b/>
                <w:color w:val="auto"/>
              </w:rPr>
              <w:t>1、噪声源强分析</w:t>
            </w:r>
          </w:p>
          <w:p w14:paraId="0DE1E767">
            <w:pPr>
              <w:pStyle w:val="51"/>
              <w:ind w:firstLine="480"/>
              <w:rPr>
                <w:rFonts w:hint="default" w:ascii="Times New Roman" w:hAnsi="Times New Roman" w:cs="Times New Roman"/>
                <w:color w:val="auto"/>
              </w:rPr>
            </w:pPr>
            <w:r>
              <w:rPr>
                <w:rFonts w:hint="default" w:ascii="Times New Roman" w:hAnsi="Times New Roman" w:cs="Times New Roman"/>
                <w:bCs/>
                <w:color w:val="auto"/>
              </w:rPr>
              <w:t>项目的噪声主要来自机械设备运行时产生的噪声等，噪声源强约为75~90dB(A)，</w:t>
            </w:r>
            <w:r>
              <w:rPr>
                <w:rFonts w:hint="default" w:ascii="Times New Roman" w:hAnsi="Times New Roman" w:cs="Times New Roman"/>
                <w:color w:val="auto"/>
              </w:rPr>
              <w:t>根据</w:t>
            </w:r>
            <w:r>
              <w:rPr>
                <w:rFonts w:hint="eastAsia" w:cs="Times New Roman"/>
                <w:b w:val="0"/>
                <w:bCs w:val="0"/>
                <w:color w:val="auto"/>
                <w:kern w:val="2"/>
                <w:sz w:val="24"/>
                <w:szCs w:val="24"/>
                <w:highlight w:val="none"/>
                <w:lang w:val="en-US" w:eastAsia="zh-CN"/>
              </w:rPr>
              <w:t>类比同类项目</w:t>
            </w:r>
            <w:r>
              <w:rPr>
                <w:rFonts w:hint="eastAsia" w:ascii="Times New Roman" w:hAnsi="Times New Roman" w:eastAsia="宋体" w:cs="Times New Roman"/>
                <w:b w:val="0"/>
                <w:bCs w:val="0"/>
                <w:color w:val="auto"/>
                <w:kern w:val="2"/>
                <w:sz w:val="24"/>
                <w:szCs w:val="24"/>
                <w:highlight w:val="none"/>
                <w:lang w:val="en-US" w:eastAsia="zh-CN"/>
              </w:rPr>
              <w:t>常见工业设备噪声范围以及各设备技术参数，生产设备在运行过程中产生的设备噪声，声级值范围为65~80dB之间</w:t>
            </w:r>
            <w:r>
              <w:rPr>
                <w:rFonts w:hint="default" w:ascii="Times New Roman" w:hAnsi="Times New Roman" w:eastAsia="宋体" w:cs="Times New Roman"/>
                <w:b w:val="0"/>
                <w:bCs w:val="0"/>
                <w:color w:val="auto"/>
                <w:kern w:val="2"/>
                <w:sz w:val="24"/>
                <w:szCs w:val="24"/>
                <w:highlight w:val="none"/>
                <w:lang w:val="en-US" w:eastAsia="zh-CN"/>
              </w:rPr>
              <w:t>。项目运营期设备位于封闭厂房内，噪声经建筑隔声、采取基础减震等措施后，噪声可降低5-15dB(A)，本次评价取10dB(A)</w:t>
            </w:r>
            <w:r>
              <w:rPr>
                <w:rFonts w:hint="eastAsia" w:eastAsia="宋体" w:cs="Times New Roman"/>
                <w:b w:val="0"/>
                <w:bCs w:val="0"/>
                <w:color w:val="auto"/>
                <w:kern w:val="2"/>
                <w:sz w:val="24"/>
                <w:szCs w:val="24"/>
                <w:highlight w:val="none"/>
                <w:lang w:val="en-US" w:eastAsia="zh-CN"/>
              </w:rPr>
              <w:t>，项目</w:t>
            </w:r>
            <w:r>
              <w:rPr>
                <w:rFonts w:hint="default" w:ascii="Times New Roman" w:hAnsi="Times New Roman" w:eastAsia="宋体" w:cs="Times New Roman"/>
                <w:b w:val="0"/>
                <w:bCs w:val="0"/>
                <w:color w:val="auto"/>
                <w:kern w:val="2"/>
                <w:sz w:val="24"/>
                <w:szCs w:val="24"/>
                <w:highlight w:val="none"/>
                <w:lang w:val="en-US" w:eastAsia="zh-CN"/>
              </w:rPr>
              <w:t>主要噪声源调查见表4-</w:t>
            </w:r>
            <w:r>
              <w:rPr>
                <w:rFonts w:hint="default" w:ascii="Times New Roman" w:hAnsi="Times New Roman" w:cs="Times New Roman"/>
                <w:color w:val="auto"/>
              </w:rPr>
              <w:t>7。</w:t>
            </w:r>
          </w:p>
          <w:p w14:paraId="38E73A49">
            <w:pPr>
              <w:pStyle w:val="52"/>
              <w:rPr>
                <w:rFonts w:hint="default" w:ascii="Times New Roman" w:hAnsi="Times New Roman" w:cs="Times New Roman"/>
                <w:color w:val="auto"/>
              </w:rPr>
            </w:pPr>
            <w:r>
              <w:rPr>
                <w:rFonts w:hint="default" w:ascii="Times New Roman" w:hAnsi="Times New Roman" w:cs="Times New Roman"/>
                <w:color w:val="auto"/>
              </w:rPr>
              <w:t>表4-7    项目噪声源一览表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5"/>
              <w:gridCol w:w="798"/>
              <w:gridCol w:w="386"/>
              <w:gridCol w:w="648"/>
              <w:gridCol w:w="652"/>
              <w:gridCol w:w="648"/>
              <w:gridCol w:w="648"/>
              <w:gridCol w:w="660"/>
              <w:gridCol w:w="652"/>
              <w:gridCol w:w="551"/>
              <w:gridCol w:w="402"/>
              <w:gridCol w:w="402"/>
              <w:gridCol w:w="536"/>
              <w:gridCol w:w="578"/>
            </w:tblGrid>
            <w:tr w14:paraId="2529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3" w:hRule="atLeast"/>
              </w:trPr>
              <w:tc>
                <w:tcPr>
                  <w:tcW w:w="236" w:type="pct"/>
                  <w:vMerge w:val="restart"/>
                  <w:tcBorders>
                    <w:top w:val="single" w:color="auto" w:sz="4" w:space="0"/>
                    <w:left w:val="single" w:color="auto" w:sz="4" w:space="0"/>
                    <w:bottom w:val="single" w:color="auto" w:sz="4" w:space="0"/>
                    <w:right w:val="single" w:color="auto" w:sz="4" w:space="0"/>
                  </w:tcBorders>
                  <w:vAlign w:val="center"/>
                </w:tcPr>
                <w:p w14:paraId="67984208">
                  <w:pPr>
                    <w:pStyle w:val="53"/>
                    <w:bidi w:val="0"/>
                    <w:rPr>
                      <w:rFonts w:hint="default"/>
                      <w:color w:val="auto"/>
                    </w:rPr>
                  </w:pPr>
                  <w:r>
                    <w:rPr>
                      <w:rFonts w:hint="default"/>
                      <w:color w:val="auto"/>
                    </w:rPr>
                    <w:t>序号</w:t>
                  </w:r>
                </w:p>
              </w:tc>
              <w:tc>
                <w:tcPr>
                  <w:tcW w:w="502" w:type="pct"/>
                  <w:vMerge w:val="restart"/>
                  <w:tcBorders>
                    <w:top w:val="single" w:color="auto" w:sz="4" w:space="0"/>
                    <w:left w:val="single" w:color="auto" w:sz="4" w:space="0"/>
                    <w:bottom w:val="single" w:color="auto" w:sz="4" w:space="0"/>
                    <w:right w:val="single" w:color="auto" w:sz="4" w:space="0"/>
                  </w:tcBorders>
                  <w:vAlign w:val="center"/>
                </w:tcPr>
                <w:p w14:paraId="182ED53F">
                  <w:pPr>
                    <w:pStyle w:val="53"/>
                    <w:bidi w:val="0"/>
                    <w:rPr>
                      <w:rFonts w:hint="default"/>
                      <w:color w:val="auto"/>
                    </w:rPr>
                  </w:pPr>
                  <w:r>
                    <w:rPr>
                      <w:rFonts w:hint="default"/>
                      <w:color w:val="auto"/>
                    </w:rPr>
                    <w:t>声源名称</w:t>
                  </w:r>
                </w:p>
              </w:tc>
              <w:tc>
                <w:tcPr>
                  <w:tcW w:w="243" w:type="pct"/>
                  <w:vMerge w:val="restart"/>
                  <w:tcBorders>
                    <w:top w:val="single" w:color="auto" w:sz="4" w:space="0"/>
                    <w:left w:val="single" w:color="auto" w:sz="4" w:space="0"/>
                    <w:bottom w:val="single" w:color="auto" w:sz="4" w:space="0"/>
                    <w:right w:val="single" w:color="auto" w:sz="4" w:space="0"/>
                  </w:tcBorders>
                  <w:vAlign w:val="center"/>
                </w:tcPr>
                <w:p w14:paraId="430EA31E">
                  <w:pPr>
                    <w:pStyle w:val="53"/>
                    <w:bidi w:val="0"/>
                    <w:rPr>
                      <w:rFonts w:hint="default"/>
                      <w:color w:val="auto"/>
                    </w:rPr>
                  </w:pPr>
                  <w:r>
                    <w:rPr>
                      <w:rFonts w:hint="default"/>
                      <w:color w:val="auto"/>
                    </w:rPr>
                    <w:t>数量</w:t>
                  </w:r>
                </w:p>
              </w:tc>
              <w:tc>
                <w:tcPr>
                  <w:tcW w:w="408" w:type="pct"/>
                  <w:vMerge w:val="restart"/>
                  <w:tcBorders>
                    <w:top w:val="single" w:color="auto" w:sz="4" w:space="0"/>
                    <w:left w:val="single" w:color="auto" w:sz="4" w:space="0"/>
                    <w:bottom w:val="single" w:color="auto" w:sz="4" w:space="0"/>
                    <w:right w:val="single" w:color="auto" w:sz="4" w:space="0"/>
                  </w:tcBorders>
                  <w:vAlign w:val="center"/>
                </w:tcPr>
                <w:p w14:paraId="3EF1D3E9">
                  <w:pPr>
                    <w:pStyle w:val="53"/>
                    <w:bidi w:val="0"/>
                    <w:rPr>
                      <w:rFonts w:hint="default"/>
                      <w:color w:val="auto"/>
                    </w:rPr>
                  </w:pPr>
                  <w:r>
                    <w:rPr>
                      <w:rFonts w:hint="default"/>
                      <w:color w:val="auto"/>
                    </w:rPr>
                    <w:t>声源源强声功率级</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14:paraId="5CF86074">
                  <w:pPr>
                    <w:pStyle w:val="53"/>
                    <w:bidi w:val="0"/>
                    <w:rPr>
                      <w:rFonts w:hint="default"/>
                      <w:color w:val="auto"/>
                    </w:rPr>
                  </w:pPr>
                  <w:r>
                    <w:rPr>
                      <w:rFonts w:hint="default"/>
                      <w:color w:val="auto"/>
                    </w:rPr>
                    <w:t>声源控制措施</w:t>
                  </w:r>
                </w:p>
              </w:tc>
              <w:tc>
                <w:tcPr>
                  <w:tcW w:w="1231" w:type="pct"/>
                  <w:gridSpan w:val="3"/>
                  <w:tcBorders>
                    <w:top w:val="single" w:color="auto" w:sz="4" w:space="0"/>
                    <w:left w:val="single" w:color="auto" w:sz="4" w:space="0"/>
                    <w:bottom w:val="single" w:color="auto" w:sz="4" w:space="0"/>
                    <w:right w:val="single" w:color="auto" w:sz="4" w:space="0"/>
                  </w:tcBorders>
                  <w:vAlign w:val="center"/>
                </w:tcPr>
                <w:p w14:paraId="5A000197">
                  <w:pPr>
                    <w:pStyle w:val="53"/>
                    <w:bidi w:val="0"/>
                    <w:rPr>
                      <w:rFonts w:hint="default"/>
                      <w:color w:val="auto"/>
                    </w:rPr>
                  </w:pPr>
                  <w:r>
                    <w:rPr>
                      <w:rFonts w:hint="default"/>
                      <w:color w:val="auto"/>
                    </w:rPr>
                    <w:t>空间相对位置</w:t>
                  </w:r>
                </w:p>
              </w:tc>
              <w:tc>
                <w:tcPr>
                  <w:tcW w:w="410" w:type="pct"/>
                  <w:vMerge w:val="restart"/>
                  <w:tcBorders>
                    <w:top w:val="single" w:color="auto" w:sz="4" w:space="0"/>
                    <w:left w:val="single" w:color="auto" w:sz="4" w:space="0"/>
                    <w:bottom w:val="single" w:color="auto" w:sz="4" w:space="0"/>
                    <w:right w:val="single" w:color="auto" w:sz="4" w:space="0"/>
                  </w:tcBorders>
                  <w:vAlign w:val="center"/>
                </w:tcPr>
                <w:p w14:paraId="0DC97F43">
                  <w:pPr>
                    <w:pStyle w:val="53"/>
                    <w:bidi w:val="0"/>
                    <w:rPr>
                      <w:rFonts w:hint="default"/>
                      <w:color w:val="auto"/>
                    </w:rPr>
                  </w:pPr>
                  <w:r>
                    <w:rPr>
                      <w:rFonts w:hint="default"/>
                      <w:color w:val="auto"/>
                    </w:rPr>
                    <w:t>距室内边界距离m</w:t>
                  </w:r>
                </w:p>
              </w:tc>
              <w:tc>
                <w:tcPr>
                  <w:tcW w:w="347" w:type="pct"/>
                  <w:vMerge w:val="restart"/>
                  <w:tcBorders>
                    <w:top w:val="single" w:color="auto" w:sz="4" w:space="0"/>
                    <w:left w:val="single" w:color="auto" w:sz="4" w:space="0"/>
                    <w:bottom w:val="single" w:color="auto" w:sz="4" w:space="0"/>
                    <w:right w:val="single" w:color="auto" w:sz="4" w:space="0"/>
                  </w:tcBorders>
                  <w:vAlign w:val="center"/>
                </w:tcPr>
                <w:p w14:paraId="263BAC79">
                  <w:pPr>
                    <w:pStyle w:val="53"/>
                    <w:bidi w:val="0"/>
                    <w:rPr>
                      <w:rFonts w:hint="default"/>
                      <w:color w:val="auto"/>
                    </w:rPr>
                  </w:pPr>
                  <w:r>
                    <w:rPr>
                      <w:rFonts w:hint="default"/>
                      <w:color w:val="auto"/>
                    </w:rPr>
                    <w:t>室内边界声级</w:t>
                  </w:r>
                </w:p>
              </w:tc>
              <w:tc>
                <w:tcPr>
                  <w:tcW w:w="253" w:type="pct"/>
                  <w:vMerge w:val="restart"/>
                  <w:tcBorders>
                    <w:top w:val="single" w:color="auto" w:sz="4" w:space="0"/>
                    <w:left w:val="single" w:color="auto" w:sz="4" w:space="0"/>
                    <w:bottom w:val="single" w:color="auto" w:sz="4" w:space="0"/>
                    <w:right w:val="single" w:color="auto" w:sz="4" w:space="0"/>
                  </w:tcBorders>
                  <w:vAlign w:val="center"/>
                </w:tcPr>
                <w:p w14:paraId="25912C4B">
                  <w:pPr>
                    <w:pStyle w:val="53"/>
                    <w:bidi w:val="0"/>
                    <w:rPr>
                      <w:rFonts w:hint="default"/>
                      <w:color w:val="auto"/>
                    </w:rPr>
                  </w:pPr>
                  <w:r>
                    <w:rPr>
                      <w:rFonts w:hint="default"/>
                      <w:color w:val="auto"/>
                    </w:rPr>
                    <w:t>运行时段</w:t>
                  </w:r>
                </w:p>
              </w:tc>
              <w:tc>
                <w:tcPr>
                  <w:tcW w:w="253" w:type="pct"/>
                  <w:vMerge w:val="restart"/>
                  <w:tcBorders>
                    <w:top w:val="single" w:color="auto" w:sz="4" w:space="0"/>
                    <w:left w:val="single" w:color="auto" w:sz="4" w:space="0"/>
                    <w:bottom w:val="single" w:color="auto" w:sz="4" w:space="0"/>
                    <w:right w:val="single" w:color="auto" w:sz="4" w:space="0"/>
                  </w:tcBorders>
                  <w:vAlign w:val="center"/>
                </w:tcPr>
                <w:p w14:paraId="5B3B1F23">
                  <w:pPr>
                    <w:pStyle w:val="53"/>
                    <w:bidi w:val="0"/>
                    <w:rPr>
                      <w:rFonts w:hint="default"/>
                      <w:color w:val="auto"/>
                    </w:rPr>
                  </w:pPr>
                  <w:r>
                    <w:rPr>
                      <w:rFonts w:hint="default"/>
                      <w:color w:val="auto"/>
                    </w:rPr>
                    <w:t>建筑物插入损失</w:t>
                  </w:r>
                </w:p>
              </w:tc>
              <w:tc>
                <w:tcPr>
                  <w:tcW w:w="701" w:type="pct"/>
                  <w:gridSpan w:val="2"/>
                  <w:tcBorders>
                    <w:top w:val="single" w:color="auto" w:sz="4" w:space="0"/>
                    <w:left w:val="single" w:color="auto" w:sz="4" w:space="0"/>
                    <w:bottom w:val="nil"/>
                    <w:right w:val="single" w:color="auto" w:sz="4" w:space="0"/>
                  </w:tcBorders>
                  <w:vAlign w:val="center"/>
                </w:tcPr>
                <w:p w14:paraId="7296FBA8">
                  <w:pPr>
                    <w:pStyle w:val="53"/>
                    <w:bidi w:val="0"/>
                    <w:rPr>
                      <w:rFonts w:hint="default"/>
                      <w:color w:val="auto"/>
                    </w:rPr>
                  </w:pPr>
                  <w:r>
                    <w:rPr>
                      <w:rFonts w:hint="default"/>
                      <w:color w:val="auto"/>
                    </w:rPr>
                    <w:t>建筑物外噪声</w:t>
                  </w:r>
                </w:p>
              </w:tc>
            </w:tr>
            <w:tr w14:paraId="21AA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4" w:hRule="atLeast"/>
              </w:trPr>
              <w:tc>
                <w:tcPr>
                  <w:tcW w:w="236" w:type="pct"/>
                  <w:vMerge w:val="continue"/>
                  <w:tcBorders>
                    <w:top w:val="single" w:color="auto" w:sz="4" w:space="0"/>
                    <w:left w:val="single" w:color="auto" w:sz="4" w:space="0"/>
                    <w:bottom w:val="single" w:color="auto" w:sz="4" w:space="0"/>
                    <w:right w:val="single" w:color="auto" w:sz="4" w:space="0"/>
                  </w:tcBorders>
                  <w:vAlign w:val="center"/>
                </w:tcPr>
                <w:p w14:paraId="317AA987">
                  <w:pPr>
                    <w:pStyle w:val="53"/>
                    <w:bidi w:val="0"/>
                    <w:rPr>
                      <w:rFonts w:hint="default"/>
                      <w:color w:val="auto"/>
                    </w:rPr>
                  </w:pPr>
                </w:p>
              </w:tc>
              <w:tc>
                <w:tcPr>
                  <w:tcW w:w="502" w:type="pct"/>
                  <w:vMerge w:val="continue"/>
                  <w:tcBorders>
                    <w:top w:val="single" w:color="auto" w:sz="4" w:space="0"/>
                    <w:left w:val="single" w:color="auto" w:sz="4" w:space="0"/>
                    <w:bottom w:val="single" w:color="auto" w:sz="4" w:space="0"/>
                    <w:right w:val="single" w:color="auto" w:sz="4" w:space="0"/>
                  </w:tcBorders>
                  <w:vAlign w:val="center"/>
                </w:tcPr>
                <w:p w14:paraId="5F762BBC">
                  <w:pPr>
                    <w:pStyle w:val="53"/>
                    <w:bidi w:val="0"/>
                    <w:rPr>
                      <w:rFonts w:hint="default"/>
                      <w:color w:val="auto"/>
                    </w:rPr>
                  </w:pPr>
                </w:p>
              </w:tc>
              <w:tc>
                <w:tcPr>
                  <w:tcW w:w="243" w:type="pct"/>
                  <w:vMerge w:val="continue"/>
                  <w:tcBorders>
                    <w:top w:val="single" w:color="auto" w:sz="4" w:space="0"/>
                    <w:left w:val="single" w:color="auto" w:sz="4" w:space="0"/>
                    <w:bottom w:val="single" w:color="auto" w:sz="4" w:space="0"/>
                    <w:right w:val="single" w:color="auto" w:sz="4" w:space="0"/>
                  </w:tcBorders>
                  <w:vAlign w:val="center"/>
                </w:tcPr>
                <w:p w14:paraId="12F4C0CA">
                  <w:pPr>
                    <w:pStyle w:val="53"/>
                    <w:bidi w:val="0"/>
                    <w:rPr>
                      <w:rFonts w:hint="default"/>
                      <w:color w:val="auto"/>
                    </w:rPr>
                  </w:pPr>
                </w:p>
              </w:tc>
              <w:tc>
                <w:tcPr>
                  <w:tcW w:w="408" w:type="pct"/>
                  <w:vMerge w:val="continue"/>
                  <w:tcBorders>
                    <w:top w:val="single" w:color="auto" w:sz="4" w:space="0"/>
                    <w:left w:val="single" w:color="auto" w:sz="4" w:space="0"/>
                    <w:bottom w:val="single" w:color="auto" w:sz="4" w:space="0"/>
                    <w:right w:val="single" w:color="auto" w:sz="4" w:space="0"/>
                  </w:tcBorders>
                  <w:vAlign w:val="center"/>
                </w:tcPr>
                <w:p w14:paraId="2F76D2B2">
                  <w:pPr>
                    <w:pStyle w:val="53"/>
                    <w:bidi w:val="0"/>
                    <w:rPr>
                      <w:rFonts w:hint="default"/>
                      <w:color w:val="auto"/>
                    </w:rPr>
                  </w:pP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00F5F8A7">
                  <w:pPr>
                    <w:pStyle w:val="53"/>
                    <w:bidi w:val="0"/>
                    <w:rPr>
                      <w:rFonts w:hint="default"/>
                      <w:color w:val="auto"/>
                    </w:rPr>
                  </w:pPr>
                </w:p>
              </w:tc>
              <w:tc>
                <w:tcPr>
                  <w:tcW w:w="408" w:type="pct"/>
                  <w:tcBorders>
                    <w:top w:val="single" w:color="auto" w:sz="4" w:space="0"/>
                    <w:left w:val="single" w:color="auto" w:sz="4" w:space="0"/>
                    <w:bottom w:val="single" w:color="auto" w:sz="4" w:space="0"/>
                    <w:right w:val="single" w:color="auto" w:sz="4" w:space="0"/>
                  </w:tcBorders>
                  <w:vAlign w:val="center"/>
                </w:tcPr>
                <w:p w14:paraId="7193F854">
                  <w:pPr>
                    <w:pStyle w:val="53"/>
                    <w:bidi w:val="0"/>
                    <w:rPr>
                      <w:rFonts w:hint="default"/>
                      <w:color w:val="auto"/>
                    </w:rPr>
                  </w:pPr>
                  <w:r>
                    <w:rPr>
                      <w:rFonts w:hint="default"/>
                      <w:color w:val="auto"/>
                    </w:rPr>
                    <w:t>X</w:t>
                  </w:r>
                </w:p>
              </w:tc>
              <w:tc>
                <w:tcPr>
                  <w:tcW w:w="408" w:type="pct"/>
                  <w:tcBorders>
                    <w:top w:val="single" w:color="auto" w:sz="4" w:space="0"/>
                    <w:left w:val="single" w:color="auto" w:sz="4" w:space="0"/>
                    <w:bottom w:val="single" w:color="auto" w:sz="4" w:space="0"/>
                    <w:right w:val="single" w:color="auto" w:sz="4" w:space="0"/>
                  </w:tcBorders>
                  <w:vAlign w:val="center"/>
                </w:tcPr>
                <w:p w14:paraId="05DE0FCB">
                  <w:pPr>
                    <w:pStyle w:val="53"/>
                    <w:bidi w:val="0"/>
                    <w:rPr>
                      <w:rFonts w:hint="default"/>
                      <w:color w:val="auto"/>
                    </w:rPr>
                  </w:pPr>
                  <w:r>
                    <w:rPr>
                      <w:rFonts w:hint="default"/>
                      <w:color w:val="auto"/>
                    </w:rPr>
                    <w:t>Y</w:t>
                  </w:r>
                </w:p>
              </w:tc>
              <w:tc>
                <w:tcPr>
                  <w:tcW w:w="413" w:type="pct"/>
                  <w:tcBorders>
                    <w:top w:val="single" w:color="auto" w:sz="4" w:space="0"/>
                    <w:left w:val="single" w:color="auto" w:sz="4" w:space="0"/>
                    <w:bottom w:val="single" w:color="auto" w:sz="4" w:space="0"/>
                    <w:right w:val="single" w:color="auto" w:sz="4" w:space="0"/>
                  </w:tcBorders>
                  <w:vAlign w:val="center"/>
                </w:tcPr>
                <w:p w14:paraId="61AE20BF">
                  <w:pPr>
                    <w:pStyle w:val="53"/>
                    <w:bidi w:val="0"/>
                    <w:rPr>
                      <w:rFonts w:hint="default"/>
                      <w:color w:val="auto"/>
                    </w:rPr>
                  </w:pPr>
                  <w:r>
                    <w:rPr>
                      <w:rFonts w:hint="default"/>
                      <w:color w:val="auto"/>
                    </w:rPr>
                    <w:t>Z</w:t>
                  </w:r>
                </w:p>
              </w:tc>
              <w:tc>
                <w:tcPr>
                  <w:tcW w:w="410" w:type="pct"/>
                  <w:vMerge w:val="continue"/>
                  <w:tcBorders>
                    <w:top w:val="single" w:color="auto" w:sz="4" w:space="0"/>
                    <w:left w:val="single" w:color="auto" w:sz="4" w:space="0"/>
                    <w:bottom w:val="single" w:color="auto" w:sz="4" w:space="0"/>
                    <w:right w:val="single" w:color="auto" w:sz="4" w:space="0"/>
                  </w:tcBorders>
                  <w:vAlign w:val="center"/>
                </w:tcPr>
                <w:p w14:paraId="1934B95D">
                  <w:pPr>
                    <w:pStyle w:val="53"/>
                    <w:bidi w:val="0"/>
                    <w:rPr>
                      <w:rFonts w:hint="default"/>
                      <w:color w:val="auto"/>
                    </w:rPr>
                  </w:pPr>
                </w:p>
              </w:tc>
              <w:tc>
                <w:tcPr>
                  <w:tcW w:w="347" w:type="pct"/>
                  <w:vMerge w:val="continue"/>
                  <w:tcBorders>
                    <w:top w:val="single" w:color="auto" w:sz="4" w:space="0"/>
                    <w:left w:val="single" w:color="auto" w:sz="4" w:space="0"/>
                    <w:bottom w:val="single" w:color="auto" w:sz="4" w:space="0"/>
                    <w:right w:val="single" w:color="auto" w:sz="4" w:space="0"/>
                  </w:tcBorders>
                  <w:vAlign w:val="center"/>
                </w:tcPr>
                <w:p w14:paraId="72BEEDFE">
                  <w:pPr>
                    <w:pStyle w:val="53"/>
                    <w:bidi w:val="0"/>
                    <w:rPr>
                      <w:rFonts w:hint="default"/>
                      <w:color w:val="auto"/>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245185B0">
                  <w:pPr>
                    <w:pStyle w:val="53"/>
                    <w:bidi w:val="0"/>
                    <w:rPr>
                      <w:rFonts w:hint="default"/>
                      <w:color w:val="auto"/>
                    </w:rPr>
                  </w:pPr>
                </w:p>
              </w:tc>
              <w:tc>
                <w:tcPr>
                  <w:tcW w:w="253" w:type="pct"/>
                  <w:vMerge w:val="continue"/>
                  <w:tcBorders>
                    <w:top w:val="single" w:color="auto" w:sz="4" w:space="0"/>
                    <w:left w:val="single" w:color="auto" w:sz="4" w:space="0"/>
                    <w:bottom w:val="single" w:color="auto" w:sz="4" w:space="0"/>
                    <w:right w:val="single" w:color="auto" w:sz="4" w:space="0"/>
                  </w:tcBorders>
                  <w:vAlign w:val="center"/>
                </w:tcPr>
                <w:p w14:paraId="7D7CBD81">
                  <w:pPr>
                    <w:pStyle w:val="53"/>
                    <w:bidi w:val="0"/>
                    <w:rPr>
                      <w:rFonts w:hint="default"/>
                      <w:color w:val="auto"/>
                    </w:rPr>
                  </w:pPr>
                </w:p>
              </w:tc>
              <w:tc>
                <w:tcPr>
                  <w:tcW w:w="337" w:type="pct"/>
                  <w:tcBorders>
                    <w:top w:val="single" w:color="auto" w:sz="4" w:space="0"/>
                    <w:left w:val="single" w:color="auto" w:sz="4" w:space="0"/>
                    <w:bottom w:val="single" w:color="auto" w:sz="4" w:space="0"/>
                    <w:right w:val="single" w:color="auto" w:sz="4" w:space="0"/>
                  </w:tcBorders>
                  <w:vAlign w:val="center"/>
                </w:tcPr>
                <w:p w14:paraId="2EBBC998">
                  <w:pPr>
                    <w:pStyle w:val="53"/>
                    <w:bidi w:val="0"/>
                    <w:rPr>
                      <w:rFonts w:hint="default"/>
                      <w:color w:val="auto"/>
                    </w:rPr>
                  </w:pPr>
                  <w:r>
                    <w:rPr>
                      <w:rFonts w:hint="default"/>
                      <w:color w:val="auto"/>
                    </w:rPr>
                    <w:t>声压级</w:t>
                  </w:r>
                </w:p>
              </w:tc>
              <w:tc>
                <w:tcPr>
                  <w:tcW w:w="364" w:type="pct"/>
                  <w:tcBorders>
                    <w:top w:val="single" w:color="auto" w:sz="4" w:space="0"/>
                    <w:left w:val="single" w:color="auto" w:sz="4" w:space="0"/>
                    <w:bottom w:val="single" w:color="auto" w:sz="4" w:space="0"/>
                    <w:right w:val="single" w:color="auto" w:sz="4" w:space="0"/>
                  </w:tcBorders>
                  <w:vAlign w:val="center"/>
                </w:tcPr>
                <w:p w14:paraId="24075591">
                  <w:pPr>
                    <w:pStyle w:val="53"/>
                    <w:bidi w:val="0"/>
                    <w:rPr>
                      <w:rFonts w:hint="default"/>
                      <w:color w:val="auto"/>
                    </w:rPr>
                  </w:pPr>
                  <w:r>
                    <w:rPr>
                      <w:rFonts w:hint="default"/>
                      <w:color w:val="auto"/>
                    </w:rPr>
                    <w:t>建筑物外距离m</w:t>
                  </w:r>
                </w:p>
              </w:tc>
            </w:tr>
            <w:tr w14:paraId="6FFCB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41BFD30E">
                  <w:pPr>
                    <w:pStyle w:val="53"/>
                    <w:bidi w:val="0"/>
                    <w:rPr>
                      <w:rFonts w:hint="default"/>
                      <w:color w:val="auto"/>
                    </w:rPr>
                  </w:pPr>
                  <w:r>
                    <w:rPr>
                      <w:rFonts w:hint="default"/>
                      <w:color w:val="auto"/>
                    </w:rPr>
                    <w:t>1</w:t>
                  </w:r>
                </w:p>
              </w:tc>
              <w:tc>
                <w:tcPr>
                  <w:tcW w:w="502" w:type="pct"/>
                  <w:tcBorders>
                    <w:top w:val="single" w:color="auto" w:sz="4" w:space="0"/>
                    <w:left w:val="single" w:color="auto" w:sz="4" w:space="0"/>
                    <w:bottom w:val="single" w:color="auto" w:sz="4" w:space="0"/>
                    <w:right w:val="single" w:color="auto" w:sz="4" w:space="0"/>
                  </w:tcBorders>
                  <w:vAlign w:val="center"/>
                </w:tcPr>
                <w:p w14:paraId="5C469A64">
                  <w:pPr>
                    <w:pStyle w:val="53"/>
                    <w:bidi w:val="0"/>
                    <w:rPr>
                      <w:rFonts w:hint="default"/>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53090BFD">
                  <w:pPr>
                    <w:pStyle w:val="53"/>
                    <w:bidi w:val="0"/>
                    <w:rPr>
                      <w:rFonts w:hint="default"/>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2EB3CE4B">
                  <w:pPr>
                    <w:pStyle w:val="53"/>
                    <w:bidi w:val="0"/>
                    <w:rPr>
                      <w:rFonts w:hint="default"/>
                      <w:color w:val="auto"/>
                      <w:lang w:val="en-US" w:eastAsia="zh-CN"/>
                    </w:rPr>
                  </w:pPr>
                  <w:r>
                    <w:rPr>
                      <w:rFonts w:hint="eastAsia"/>
                      <w:color w:val="auto"/>
                      <w:lang w:val="en-US" w:eastAsia="zh-CN"/>
                    </w:rPr>
                    <w:t>75</w:t>
                  </w:r>
                </w:p>
              </w:tc>
              <w:tc>
                <w:tcPr>
                  <w:tcW w:w="410" w:type="pct"/>
                  <w:vMerge w:val="restart"/>
                  <w:tcBorders>
                    <w:top w:val="nil"/>
                    <w:left w:val="single" w:color="auto" w:sz="4" w:space="0"/>
                    <w:right w:val="single" w:color="auto" w:sz="4" w:space="0"/>
                  </w:tcBorders>
                  <w:vAlign w:val="center"/>
                </w:tcPr>
                <w:p w14:paraId="3CF0AF93">
                  <w:pPr>
                    <w:pStyle w:val="53"/>
                    <w:bidi w:val="0"/>
                    <w:rPr>
                      <w:rFonts w:hint="default"/>
                      <w:color w:val="auto"/>
                    </w:rPr>
                  </w:pPr>
                  <w:r>
                    <w:rPr>
                      <w:rFonts w:hint="default"/>
                      <w:color w:val="auto"/>
                      <w:lang w:val="en-US" w:eastAsia="zh-CN"/>
                    </w:rPr>
                    <w:t>设备减震、隔声</w:t>
                  </w:r>
                  <w:r>
                    <w:rPr>
                      <w:rFonts w:hint="eastAsia"/>
                      <w:color w:val="auto"/>
                      <w:lang w:val="en-US" w:eastAsia="zh-CN"/>
                    </w:rPr>
                    <w:t>；</w:t>
                  </w:r>
                  <w:r>
                    <w:rPr>
                      <w:rFonts w:hint="default"/>
                      <w:color w:val="auto"/>
                    </w:rPr>
                    <w:t>采用低噪声风机</w:t>
                  </w:r>
                </w:p>
              </w:tc>
              <w:tc>
                <w:tcPr>
                  <w:tcW w:w="408" w:type="pct"/>
                  <w:tcBorders>
                    <w:top w:val="single" w:color="auto" w:sz="4" w:space="0"/>
                    <w:left w:val="single" w:color="auto" w:sz="4" w:space="0"/>
                    <w:bottom w:val="single" w:color="auto" w:sz="4" w:space="0"/>
                    <w:right w:val="single" w:color="auto" w:sz="4" w:space="0"/>
                  </w:tcBorders>
                  <w:vAlign w:val="center"/>
                </w:tcPr>
                <w:p w14:paraId="14FBF5ED">
                  <w:pPr>
                    <w:pStyle w:val="53"/>
                    <w:bidi w:val="0"/>
                    <w:rPr>
                      <w:rFonts w:hint="default"/>
                      <w:color w:val="auto"/>
                      <w:lang w:val="en-US" w:eastAsia="zh-CN"/>
                    </w:rPr>
                  </w:pPr>
                  <w:r>
                    <w:rPr>
                      <w:rFonts w:hint="eastAsia"/>
                      <w:color w:val="auto"/>
                      <w:lang w:val="en-US" w:eastAsia="zh-CN"/>
                    </w:rPr>
                    <w:t>-12.78</w:t>
                  </w:r>
                </w:p>
              </w:tc>
              <w:tc>
                <w:tcPr>
                  <w:tcW w:w="408" w:type="pct"/>
                  <w:tcBorders>
                    <w:top w:val="single" w:color="auto" w:sz="4" w:space="0"/>
                    <w:left w:val="single" w:color="auto" w:sz="4" w:space="0"/>
                    <w:bottom w:val="single" w:color="auto" w:sz="4" w:space="0"/>
                    <w:right w:val="single" w:color="auto" w:sz="4" w:space="0"/>
                  </w:tcBorders>
                  <w:vAlign w:val="center"/>
                </w:tcPr>
                <w:p w14:paraId="7B568517">
                  <w:pPr>
                    <w:pStyle w:val="53"/>
                    <w:bidi w:val="0"/>
                    <w:rPr>
                      <w:rFonts w:hint="default"/>
                      <w:color w:val="auto"/>
                      <w:lang w:val="en-US" w:eastAsia="zh-CN"/>
                    </w:rPr>
                  </w:pPr>
                  <w:r>
                    <w:rPr>
                      <w:rFonts w:hint="eastAsia"/>
                      <w:color w:val="auto"/>
                      <w:lang w:val="en-US" w:eastAsia="zh-CN"/>
                    </w:rPr>
                    <w:t>2.23</w:t>
                  </w:r>
                </w:p>
              </w:tc>
              <w:tc>
                <w:tcPr>
                  <w:tcW w:w="413" w:type="pct"/>
                  <w:tcBorders>
                    <w:top w:val="single" w:color="auto" w:sz="4" w:space="0"/>
                    <w:left w:val="single" w:color="auto" w:sz="4" w:space="0"/>
                    <w:bottom w:val="single" w:color="auto" w:sz="4" w:space="0"/>
                    <w:right w:val="single" w:color="auto" w:sz="4" w:space="0"/>
                  </w:tcBorders>
                  <w:vAlign w:val="center"/>
                </w:tcPr>
                <w:p w14:paraId="2B9A23D0">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9C04C4E">
                  <w:pPr>
                    <w:pStyle w:val="53"/>
                    <w:bidi w:val="0"/>
                    <w:rPr>
                      <w:rFonts w:hint="default"/>
                      <w:color w:val="auto"/>
                      <w:lang w:val="en-US" w:eastAsia="zh-CN"/>
                    </w:rPr>
                  </w:pPr>
                  <w:r>
                    <w:rPr>
                      <w:rFonts w:hint="eastAsia"/>
                      <w:color w:val="auto"/>
                      <w:lang w:val="en-US" w:eastAsia="zh-CN"/>
                    </w:rPr>
                    <w:t>0.83</w:t>
                  </w:r>
                </w:p>
              </w:tc>
              <w:tc>
                <w:tcPr>
                  <w:tcW w:w="347" w:type="pct"/>
                  <w:tcBorders>
                    <w:top w:val="single" w:color="auto" w:sz="4" w:space="0"/>
                    <w:left w:val="single" w:color="auto" w:sz="4" w:space="0"/>
                    <w:bottom w:val="single" w:color="auto" w:sz="4" w:space="0"/>
                    <w:right w:val="single" w:color="auto" w:sz="4" w:space="0"/>
                  </w:tcBorders>
                  <w:vAlign w:val="center"/>
                </w:tcPr>
                <w:p w14:paraId="73116E60">
                  <w:pPr>
                    <w:pStyle w:val="53"/>
                    <w:bidi w:val="0"/>
                    <w:rPr>
                      <w:rFonts w:hint="default"/>
                      <w:color w:val="auto"/>
                      <w:lang w:val="en-US" w:eastAsia="zh-CN"/>
                    </w:rPr>
                  </w:pPr>
                  <w:r>
                    <w:rPr>
                      <w:rFonts w:hint="eastAsia"/>
                      <w:color w:val="auto"/>
                      <w:lang w:val="en-US" w:eastAsia="zh-CN"/>
                    </w:rPr>
                    <w:t>59.64</w:t>
                  </w:r>
                </w:p>
              </w:tc>
              <w:tc>
                <w:tcPr>
                  <w:tcW w:w="253" w:type="pct"/>
                  <w:vMerge w:val="restart"/>
                  <w:tcBorders>
                    <w:top w:val="nil"/>
                    <w:left w:val="single" w:color="auto" w:sz="4" w:space="0"/>
                    <w:right w:val="single" w:color="auto" w:sz="4" w:space="0"/>
                  </w:tcBorders>
                  <w:vAlign w:val="center"/>
                </w:tcPr>
                <w:p w14:paraId="6DA09B69">
                  <w:pPr>
                    <w:pStyle w:val="53"/>
                    <w:bidi w:val="0"/>
                    <w:rPr>
                      <w:rFonts w:hint="eastAsia"/>
                      <w:color w:val="auto"/>
                      <w:lang w:eastAsia="zh-CN"/>
                    </w:rPr>
                  </w:pPr>
                  <w:r>
                    <w:rPr>
                      <w:rFonts w:hint="eastAsia"/>
                      <w:color w:val="auto"/>
                      <w:lang w:val="en-US" w:eastAsia="zh-CN"/>
                    </w:rPr>
                    <w:t>昼间</w:t>
                  </w:r>
                </w:p>
              </w:tc>
              <w:tc>
                <w:tcPr>
                  <w:tcW w:w="253" w:type="pct"/>
                  <w:tcBorders>
                    <w:top w:val="single" w:color="auto" w:sz="4" w:space="0"/>
                    <w:left w:val="single" w:color="auto" w:sz="4" w:space="0"/>
                    <w:bottom w:val="single" w:color="auto" w:sz="4" w:space="0"/>
                    <w:right w:val="single" w:color="auto" w:sz="4" w:space="0"/>
                  </w:tcBorders>
                  <w:vAlign w:val="center"/>
                </w:tcPr>
                <w:p w14:paraId="349E584A">
                  <w:pPr>
                    <w:pStyle w:val="53"/>
                    <w:bidi w:val="0"/>
                    <w:rPr>
                      <w:rFonts w:hint="default"/>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9B98022">
                  <w:pPr>
                    <w:pStyle w:val="53"/>
                    <w:bidi w:val="0"/>
                    <w:rPr>
                      <w:rFonts w:hint="default"/>
                      <w:color w:val="auto"/>
                      <w:lang w:val="en-US" w:eastAsia="zh-CN"/>
                    </w:rPr>
                  </w:pPr>
                  <w:r>
                    <w:rPr>
                      <w:rFonts w:hint="eastAsia"/>
                      <w:color w:val="auto"/>
                      <w:lang w:val="en-US" w:eastAsia="zh-CN"/>
                    </w:rPr>
                    <w:t>49.64</w:t>
                  </w:r>
                </w:p>
              </w:tc>
              <w:tc>
                <w:tcPr>
                  <w:tcW w:w="364" w:type="pct"/>
                  <w:tcBorders>
                    <w:top w:val="single" w:color="auto" w:sz="4" w:space="0"/>
                    <w:left w:val="single" w:color="auto" w:sz="4" w:space="0"/>
                    <w:bottom w:val="single" w:color="auto" w:sz="4" w:space="0"/>
                    <w:right w:val="single" w:color="auto" w:sz="4" w:space="0"/>
                  </w:tcBorders>
                  <w:vAlign w:val="center"/>
                </w:tcPr>
                <w:p w14:paraId="0B3FE3F1">
                  <w:pPr>
                    <w:pStyle w:val="53"/>
                    <w:bidi w:val="0"/>
                    <w:rPr>
                      <w:rFonts w:hint="default"/>
                      <w:color w:val="auto"/>
                      <w:lang w:val="en-US" w:eastAsia="zh-CN"/>
                    </w:rPr>
                  </w:pPr>
                  <w:r>
                    <w:rPr>
                      <w:rFonts w:hint="eastAsia"/>
                      <w:color w:val="auto"/>
                      <w:lang w:val="en-US" w:eastAsia="zh-CN"/>
                    </w:rPr>
                    <w:t>1</w:t>
                  </w:r>
                </w:p>
              </w:tc>
            </w:tr>
            <w:tr w14:paraId="2F1E3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25477B5">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654D2C5">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260E08EC">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3D9DD311">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1EFF8F13">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79C02908">
                  <w:pPr>
                    <w:pStyle w:val="53"/>
                    <w:bidi w:val="0"/>
                    <w:rPr>
                      <w:rFonts w:hint="default"/>
                      <w:color w:val="auto"/>
                      <w:lang w:val="en-US" w:eastAsia="zh-CN"/>
                    </w:rPr>
                  </w:pPr>
                  <w:r>
                    <w:rPr>
                      <w:rFonts w:hint="eastAsia"/>
                      <w:color w:val="auto"/>
                      <w:lang w:val="en-US" w:eastAsia="zh-CN"/>
                    </w:rPr>
                    <w:t>-12.78</w:t>
                  </w:r>
                </w:p>
              </w:tc>
              <w:tc>
                <w:tcPr>
                  <w:tcW w:w="408" w:type="pct"/>
                  <w:tcBorders>
                    <w:top w:val="single" w:color="auto" w:sz="4" w:space="0"/>
                    <w:left w:val="single" w:color="auto" w:sz="4" w:space="0"/>
                    <w:bottom w:val="single" w:color="auto" w:sz="4" w:space="0"/>
                    <w:right w:val="single" w:color="auto" w:sz="4" w:space="0"/>
                  </w:tcBorders>
                  <w:vAlign w:val="center"/>
                </w:tcPr>
                <w:p w14:paraId="78140D4E">
                  <w:pPr>
                    <w:pStyle w:val="53"/>
                    <w:bidi w:val="0"/>
                    <w:ind w:firstLine="0" w:firstLineChars="0"/>
                    <w:rPr>
                      <w:rFonts w:hint="eastAsia"/>
                      <w:color w:val="auto"/>
                      <w:lang w:val="en-US" w:eastAsia="zh-CN"/>
                    </w:rPr>
                  </w:pPr>
                  <w:r>
                    <w:rPr>
                      <w:rFonts w:hint="eastAsia"/>
                      <w:color w:val="auto"/>
                      <w:lang w:val="en-US" w:eastAsia="zh-CN"/>
                    </w:rPr>
                    <w:t>2.23</w:t>
                  </w:r>
                </w:p>
              </w:tc>
              <w:tc>
                <w:tcPr>
                  <w:tcW w:w="413" w:type="pct"/>
                  <w:tcBorders>
                    <w:top w:val="single" w:color="auto" w:sz="4" w:space="0"/>
                    <w:left w:val="single" w:color="auto" w:sz="4" w:space="0"/>
                    <w:bottom w:val="single" w:color="auto" w:sz="4" w:space="0"/>
                    <w:right w:val="single" w:color="auto" w:sz="4" w:space="0"/>
                  </w:tcBorders>
                  <w:vAlign w:val="center"/>
                </w:tcPr>
                <w:p w14:paraId="3BC310C2">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C71A00B">
                  <w:pPr>
                    <w:pStyle w:val="53"/>
                    <w:bidi w:val="0"/>
                    <w:rPr>
                      <w:rFonts w:hint="default"/>
                      <w:color w:val="auto"/>
                      <w:lang w:val="en-US" w:eastAsia="zh-CN"/>
                    </w:rPr>
                  </w:pPr>
                  <w:r>
                    <w:rPr>
                      <w:rFonts w:hint="eastAsia"/>
                      <w:color w:val="auto"/>
                      <w:lang w:val="en-US" w:eastAsia="zh-CN"/>
                    </w:rPr>
                    <w:t>15.45</w:t>
                  </w:r>
                </w:p>
              </w:tc>
              <w:tc>
                <w:tcPr>
                  <w:tcW w:w="347" w:type="pct"/>
                  <w:tcBorders>
                    <w:top w:val="single" w:color="auto" w:sz="4" w:space="0"/>
                    <w:left w:val="single" w:color="auto" w:sz="4" w:space="0"/>
                    <w:bottom w:val="single" w:color="auto" w:sz="4" w:space="0"/>
                    <w:right w:val="single" w:color="auto" w:sz="4" w:space="0"/>
                  </w:tcBorders>
                  <w:vAlign w:val="center"/>
                </w:tcPr>
                <w:p w14:paraId="26617EFB">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35E53157">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07FFA089">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735E48E">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03DC6B4E">
                  <w:pPr>
                    <w:pStyle w:val="53"/>
                    <w:bidi w:val="0"/>
                    <w:rPr>
                      <w:rFonts w:hint="eastAsia"/>
                      <w:color w:val="auto"/>
                      <w:lang w:val="en-US" w:eastAsia="zh-CN"/>
                    </w:rPr>
                  </w:pPr>
                  <w:r>
                    <w:rPr>
                      <w:rFonts w:hint="eastAsia"/>
                      <w:color w:val="auto"/>
                      <w:lang w:val="en-US" w:eastAsia="zh-CN"/>
                    </w:rPr>
                    <w:t>1</w:t>
                  </w:r>
                </w:p>
              </w:tc>
            </w:tr>
            <w:tr w14:paraId="51F9F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D5BF131">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0833CF9">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11DB2331">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0477D9CB">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F047570">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642AF30F">
                  <w:pPr>
                    <w:pStyle w:val="53"/>
                    <w:bidi w:val="0"/>
                    <w:ind w:firstLine="0" w:firstLineChars="0"/>
                    <w:rPr>
                      <w:rFonts w:hint="eastAsia"/>
                      <w:color w:val="auto"/>
                      <w:lang w:val="en-US" w:eastAsia="zh-CN"/>
                    </w:rPr>
                  </w:pPr>
                  <w:r>
                    <w:rPr>
                      <w:rFonts w:hint="eastAsia"/>
                      <w:color w:val="auto"/>
                      <w:lang w:val="en-US" w:eastAsia="zh-CN"/>
                    </w:rPr>
                    <w:t>-12.78</w:t>
                  </w:r>
                </w:p>
              </w:tc>
              <w:tc>
                <w:tcPr>
                  <w:tcW w:w="408" w:type="pct"/>
                  <w:tcBorders>
                    <w:top w:val="single" w:color="auto" w:sz="4" w:space="0"/>
                    <w:left w:val="single" w:color="auto" w:sz="4" w:space="0"/>
                    <w:bottom w:val="single" w:color="auto" w:sz="4" w:space="0"/>
                    <w:right w:val="single" w:color="auto" w:sz="4" w:space="0"/>
                  </w:tcBorders>
                  <w:vAlign w:val="center"/>
                </w:tcPr>
                <w:p w14:paraId="12DB1CE3">
                  <w:pPr>
                    <w:pStyle w:val="53"/>
                    <w:bidi w:val="0"/>
                    <w:ind w:firstLine="0" w:firstLineChars="0"/>
                    <w:rPr>
                      <w:rFonts w:hint="eastAsia"/>
                      <w:color w:val="auto"/>
                      <w:lang w:val="en-US" w:eastAsia="zh-CN"/>
                    </w:rPr>
                  </w:pPr>
                  <w:r>
                    <w:rPr>
                      <w:rFonts w:hint="eastAsia"/>
                      <w:color w:val="auto"/>
                      <w:lang w:val="en-US" w:eastAsia="zh-CN"/>
                    </w:rPr>
                    <w:t>2.23</w:t>
                  </w:r>
                </w:p>
              </w:tc>
              <w:tc>
                <w:tcPr>
                  <w:tcW w:w="413" w:type="pct"/>
                  <w:tcBorders>
                    <w:top w:val="single" w:color="auto" w:sz="4" w:space="0"/>
                    <w:left w:val="single" w:color="auto" w:sz="4" w:space="0"/>
                    <w:bottom w:val="single" w:color="auto" w:sz="4" w:space="0"/>
                    <w:right w:val="single" w:color="auto" w:sz="4" w:space="0"/>
                  </w:tcBorders>
                  <w:vAlign w:val="center"/>
                </w:tcPr>
                <w:p w14:paraId="2DEC309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6F6522CD">
                  <w:pPr>
                    <w:pStyle w:val="53"/>
                    <w:bidi w:val="0"/>
                    <w:rPr>
                      <w:rFonts w:hint="default"/>
                      <w:color w:val="auto"/>
                      <w:lang w:val="en-US" w:eastAsia="zh-CN"/>
                    </w:rPr>
                  </w:pPr>
                  <w:r>
                    <w:rPr>
                      <w:rFonts w:hint="eastAsia"/>
                      <w:color w:val="auto"/>
                      <w:lang w:val="en-US" w:eastAsia="zh-CN"/>
                    </w:rPr>
                    <w:t>25.07</w:t>
                  </w:r>
                </w:p>
              </w:tc>
              <w:tc>
                <w:tcPr>
                  <w:tcW w:w="347" w:type="pct"/>
                  <w:tcBorders>
                    <w:top w:val="single" w:color="auto" w:sz="4" w:space="0"/>
                    <w:left w:val="single" w:color="auto" w:sz="4" w:space="0"/>
                    <w:bottom w:val="single" w:color="auto" w:sz="4" w:space="0"/>
                    <w:right w:val="single" w:color="auto" w:sz="4" w:space="0"/>
                  </w:tcBorders>
                  <w:vAlign w:val="center"/>
                </w:tcPr>
                <w:p w14:paraId="09A11608">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78919CAE">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79BCDC27">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3D74072">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23426915">
                  <w:pPr>
                    <w:pStyle w:val="53"/>
                    <w:bidi w:val="0"/>
                    <w:rPr>
                      <w:rFonts w:hint="eastAsia"/>
                      <w:color w:val="auto"/>
                      <w:lang w:val="en-US" w:eastAsia="zh-CN"/>
                    </w:rPr>
                  </w:pPr>
                  <w:r>
                    <w:rPr>
                      <w:rFonts w:hint="eastAsia"/>
                      <w:color w:val="auto"/>
                      <w:lang w:val="en-US" w:eastAsia="zh-CN"/>
                    </w:rPr>
                    <w:t>1</w:t>
                  </w:r>
                </w:p>
              </w:tc>
            </w:tr>
            <w:tr w14:paraId="18D8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2A07A88F">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D7FA010">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379BA7B5">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2A3D1D52">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2F667B17">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255FE4CF">
                  <w:pPr>
                    <w:pStyle w:val="53"/>
                    <w:bidi w:val="0"/>
                    <w:ind w:firstLine="0" w:firstLineChars="0"/>
                    <w:rPr>
                      <w:rFonts w:hint="eastAsia"/>
                      <w:color w:val="auto"/>
                      <w:lang w:val="en-US" w:eastAsia="zh-CN"/>
                    </w:rPr>
                  </w:pPr>
                  <w:r>
                    <w:rPr>
                      <w:rFonts w:hint="eastAsia"/>
                      <w:color w:val="auto"/>
                      <w:lang w:val="en-US" w:eastAsia="zh-CN"/>
                    </w:rPr>
                    <w:t>-12.78</w:t>
                  </w:r>
                </w:p>
              </w:tc>
              <w:tc>
                <w:tcPr>
                  <w:tcW w:w="408" w:type="pct"/>
                  <w:tcBorders>
                    <w:top w:val="single" w:color="auto" w:sz="4" w:space="0"/>
                    <w:left w:val="single" w:color="auto" w:sz="4" w:space="0"/>
                    <w:bottom w:val="single" w:color="auto" w:sz="4" w:space="0"/>
                    <w:right w:val="single" w:color="auto" w:sz="4" w:space="0"/>
                  </w:tcBorders>
                  <w:vAlign w:val="center"/>
                </w:tcPr>
                <w:p w14:paraId="59920C82">
                  <w:pPr>
                    <w:pStyle w:val="53"/>
                    <w:bidi w:val="0"/>
                    <w:ind w:firstLine="0" w:firstLineChars="0"/>
                    <w:rPr>
                      <w:rFonts w:hint="eastAsia"/>
                      <w:color w:val="auto"/>
                      <w:lang w:val="en-US" w:eastAsia="zh-CN"/>
                    </w:rPr>
                  </w:pPr>
                  <w:r>
                    <w:rPr>
                      <w:rFonts w:hint="eastAsia"/>
                      <w:color w:val="auto"/>
                      <w:lang w:val="en-US" w:eastAsia="zh-CN"/>
                    </w:rPr>
                    <w:t>2.23</w:t>
                  </w:r>
                </w:p>
              </w:tc>
              <w:tc>
                <w:tcPr>
                  <w:tcW w:w="413" w:type="pct"/>
                  <w:tcBorders>
                    <w:top w:val="single" w:color="auto" w:sz="4" w:space="0"/>
                    <w:left w:val="single" w:color="auto" w:sz="4" w:space="0"/>
                    <w:bottom w:val="single" w:color="auto" w:sz="4" w:space="0"/>
                    <w:right w:val="single" w:color="auto" w:sz="4" w:space="0"/>
                  </w:tcBorders>
                  <w:vAlign w:val="center"/>
                </w:tcPr>
                <w:p w14:paraId="040F9B15">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55D7B98">
                  <w:pPr>
                    <w:pStyle w:val="53"/>
                    <w:bidi w:val="0"/>
                    <w:rPr>
                      <w:rFonts w:hint="default"/>
                      <w:color w:val="auto"/>
                      <w:lang w:val="en-US" w:eastAsia="zh-CN"/>
                    </w:rPr>
                  </w:pPr>
                  <w:r>
                    <w:rPr>
                      <w:rFonts w:hint="eastAsia"/>
                      <w:color w:val="auto"/>
                      <w:lang w:val="en-US" w:eastAsia="zh-CN"/>
                    </w:rPr>
                    <w:t>6.70</w:t>
                  </w:r>
                </w:p>
              </w:tc>
              <w:tc>
                <w:tcPr>
                  <w:tcW w:w="347" w:type="pct"/>
                  <w:tcBorders>
                    <w:top w:val="single" w:color="auto" w:sz="4" w:space="0"/>
                    <w:left w:val="single" w:color="auto" w:sz="4" w:space="0"/>
                    <w:bottom w:val="single" w:color="auto" w:sz="4" w:space="0"/>
                    <w:right w:val="single" w:color="auto" w:sz="4" w:space="0"/>
                  </w:tcBorders>
                  <w:vAlign w:val="center"/>
                </w:tcPr>
                <w:p w14:paraId="2E9B60CA">
                  <w:pPr>
                    <w:pStyle w:val="53"/>
                    <w:bidi w:val="0"/>
                    <w:rPr>
                      <w:rFonts w:hint="default"/>
                      <w:color w:val="auto"/>
                      <w:lang w:val="en-US" w:eastAsia="zh-CN"/>
                    </w:rPr>
                  </w:pPr>
                  <w:r>
                    <w:rPr>
                      <w:rFonts w:hint="eastAsia"/>
                      <w:color w:val="auto"/>
                      <w:lang w:val="en-US" w:eastAsia="zh-CN"/>
                    </w:rPr>
                    <w:t>57.49</w:t>
                  </w:r>
                </w:p>
              </w:tc>
              <w:tc>
                <w:tcPr>
                  <w:tcW w:w="253" w:type="pct"/>
                  <w:vMerge w:val="continue"/>
                  <w:tcBorders>
                    <w:left w:val="single" w:color="auto" w:sz="4" w:space="0"/>
                    <w:right w:val="single" w:color="auto" w:sz="4" w:space="0"/>
                  </w:tcBorders>
                  <w:vAlign w:val="center"/>
                </w:tcPr>
                <w:p w14:paraId="4378D01A">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4B931E29">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E235A31">
                  <w:pPr>
                    <w:pStyle w:val="53"/>
                    <w:bidi w:val="0"/>
                    <w:rPr>
                      <w:rFonts w:hint="default"/>
                      <w:color w:val="auto"/>
                      <w:lang w:val="en-US" w:eastAsia="zh-CN"/>
                    </w:rPr>
                  </w:pPr>
                  <w:r>
                    <w:rPr>
                      <w:rFonts w:hint="eastAsia"/>
                      <w:color w:val="auto"/>
                      <w:lang w:val="en-US" w:eastAsia="zh-CN"/>
                    </w:rPr>
                    <w:t>47.49</w:t>
                  </w:r>
                </w:p>
              </w:tc>
              <w:tc>
                <w:tcPr>
                  <w:tcW w:w="364" w:type="pct"/>
                  <w:tcBorders>
                    <w:top w:val="single" w:color="auto" w:sz="4" w:space="0"/>
                    <w:left w:val="single" w:color="auto" w:sz="4" w:space="0"/>
                    <w:bottom w:val="single" w:color="auto" w:sz="4" w:space="0"/>
                    <w:right w:val="single" w:color="auto" w:sz="4" w:space="0"/>
                  </w:tcBorders>
                  <w:vAlign w:val="center"/>
                </w:tcPr>
                <w:p w14:paraId="24F8116B">
                  <w:pPr>
                    <w:pStyle w:val="53"/>
                    <w:bidi w:val="0"/>
                    <w:rPr>
                      <w:rFonts w:hint="eastAsia"/>
                      <w:color w:val="auto"/>
                      <w:lang w:val="en-US" w:eastAsia="zh-CN"/>
                    </w:rPr>
                  </w:pPr>
                  <w:r>
                    <w:rPr>
                      <w:rFonts w:hint="eastAsia"/>
                      <w:color w:val="auto"/>
                      <w:lang w:val="en-US" w:eastAsia="zh-CN"/>
                    </w:rPr>
                    <w:t>1</w:t>
                  </w:r>
                </w:p>
              </w:tc>
            </w:tr>
            <w:tr w14:paraId="5581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3FE7DA2E">
                  <w:pPr>
                    <w:pStyle w:val="53"/>
                    <w:bidi w:val="0"/>
                    <w:rPr>
                      <w:rFonts w:hint="eastAsia"/>
                      <w:color w:val="auto"/>
                      <w:lang w:val="en-US" w:eastAsia="zh-CN"/>
                    </w:rPr>
                  </w:pPr>
                  <w:r>
                    <w:rPr>
                      <w:rFonts w:hint="eastAsia"/>
                      <w:color w:val="auto"/>
                      <w:lang w:val="en-US" w:eastAsia="zh-CN"/>
                    </w:rPr>
                    <w:t>2</w:t>
                  </w:r>
                </w:p>
              </w:tc>
              <w:tc>
                <w:tcPr>
                  <w:tcW w:w="502" w:type="pct"/>
                  <w:tcBorders>
                    <w:top w:val="single" w:color="auto" w:sz="4" w:space="0"/>
                    <w:left w:val="single" w:color="auto" w:sz="4" w:space="0"/>
                    <w:bottom w:val="single" w:color="auto" w:sz="4" w:space="0"/>
                    <w:right w:val="single" w:color="auto" w:sz="4" w:space="0"/>
                  </w:tcBorders>
                  <w:vAlign w:val="center"/>
                </w:tcPr>
                <w:p w14:paraId="59F8A96E">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3CB36E3C">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6CFC9F7C">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62515688">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205613FF">
                  <w:pPr>
                    <w:pStyle w:val="53"/>
                    <w:bidi w:val="0"/>
                    <w:rPr>
                      <w:rFonts w:hint="default"/>
                      <w:color w:val="auto"/>
                      <w:lang w:val="en-US" w:eastAsia="zh-CN"/>
                    </w:rPr>
                  </w:pPr>
                  <w:r>
                    <w:rPr>
                      <w:rFonts w:hint="eastAsia"/>
                      <w:color w:val="auto"/>
                      <w:lang w:val="en-US" w:eastAsia="zh-CN"/>
                    </w:rPr>
                    <w:t>-8.7</w:t>
                  </w:r>
                </w:p>
              </w:tc>
              <w:tc>
                <w:tcPr>
                  <w:tcW w:w="408" w:type="pct"/>
                  <w:tcBorders>
                    <w:top w:val="single" w:color="auto" w:sz="4" w:space="0"/>
                    <w:left w:val="single" w:color="auto" w:sz="4" w:space="0"/>
                    <w:bottom w:val="single" w:color="auto" w:sz="4" w:space="0"/>
                    <w:right w:val="single" w:color="auto" w:sz="4" w:space="0"/>
                  </w:tcBorders>
                  <w:vAlign w:val="center"/>
                </w:tcPr>
                <w:p w14:paraId="1A95E1F4">
                  <w:pPr>
                    <w:pStyle w:val="53"/>
                    <w:bidi w:val="0"/>
                    <w:rPr>
                      <w:rFonts w:hint="default"/>
                      <w:color w:val="auto"/>
                      <w:lang w:val="en-US" w:eastAsia="zh-CN"/>
                    </w:rPr>
                  </w:pPr>
                  <w:r>
                    <w:rPr>
                      <w:rFonts w:hint="eastAsia"/>
                      <w:color w:val="auto"/>
                      <w:lang w:val="en-US" w:eastAsia="zh-CN"/>
                    </w:rPr>
                    <w:t>6.58</w:t>
                  </w:r>
                </w:p>
              </w:tc>
              <w:tc>
                <w:tcPr>
                  <w:tcW w:w="413" w:type="pct"/>
                  <w:tcBorders>
                    <w:top w:val="single" w:color="auto" w:sz="4" w:space="0"/>
                    <w:left w:val="single" w:color="auto" w:sz="4" w:space="0"/>
                    <w:bottom w:val="single" w:color="auto" w:sz="4" w:space="0"/>
                    <w:right w:val="single" w:color="auto" w:sz="4" w:space="0"/>
                  </w:tcBorders>
                  <w:vAlign w:val="center"/>
                </w:tcPr>
                <w:p w14:paraId="5FF6CB0B">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637F2CC4">
                  <w:pPr>
                    <w:pStyle w:val="53"/>
                    <w:bidi w:val="0"/>
                    <w:rPr>
                      <w:rFonts w:hint="default"/>
                      <w:color w:val="auto"/>
                      <w:lang w:val="en-US" w:eastAsia="zh-CN"/>
                    </w:rPr>
                  </w:pPr>
                  <w:r>
                    <w:rPr>
                      <w:rFonts w:hint="eastAsia"/>
                      <w:color w:val="auto"/>
                      <w:lang w:val="en-US" w:eastAsia="zh-CN"/>
                    </w:rPr>
                    <w:t>1.09</w:t>
                  </w:r>
                </w:p>
              </w:tc>
              <w:tc>
                <w:tcPr>
                  <w:tcW w:w="347" w:type="pct"/>
                  <w:tcBorders>
                    <w:top w:val="single" w:color="auto" w:sz="4" w:space="0"/>
                    <w:left w:val="single" w:color="auto" w:sz="4" w:space="0"/>
                    <w:bottom w:val="single" w:color="auto" w:sz="4" w:space="0"/>
                    <w:right w:val="single" w:color="auto" w:sz="4" w:space="0"/>
                  </w:tcBorders>
                  <w:vAlign w:val="center"/>
                </w:tcPr>
                <w:p w14:paraId="2048C87A">
                  <w:pPr>
                    <w:pStyle w:val="53"/>
                    <w:bidi w:val="0"/>
                    <w:rPr>
                      <w:rFonts w:hint="default"/>
                      <w:color w:val="auto"/>
                      <w:lang w:val="en-US" w:eastAsia="zh-CN"/>
                    </w:rPr>
                  </w:pPr>
                  <w:r>
                    <w:rPr>
                      <w:rFonts w:hint="eastAsia"/>
                      <w:color w:val="auto"/>
                      <w:lang w:val="en-US" w:eastAsia="zh-CN"/>
                    </w:rPr>
                    <w:t>58.85</w:t>
                  </w:r>
                </w:p>
              </w:tc>
              <w:tc>
                <w:tcPr>
                  <w:tcW w:w="253" w:type="pct"/>
                  <w:vMerge w:val="continue"/>
                  <w:tcBorders>
                    <w:left w:val="single" w:color="auto" w:sz="4" w:space="0"/>
                    <w:right w:val="single" w:color="auto" w:sz="4" w:space="0"/>
                  </w:tcBorders>
                  <w:vAlign w:val="center"/>
                </w:tcPr>
                <w:p w14:paraId="0C0FEFC7">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24FEEA3E">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627EC37">
                  <w:pPr>
                    <w:pStyle w:val="53"/>
                    <w:bidi w:val="0"/>
                    <w:rPr>
                      <w:rFonts w:hint="default"/>
                      <w:color w:val="auto"/>
                      <w:lang w:val="en-US" w:eastAsia="zh-CN"/>
                    </w:rPr>
                  </w:pPr>
                  <w:r>
                    <w:rPr>
                      <w:rFonts w:hint="eastAsia"/>
                      <w:color w:val="auto"/>
                      <w:lang w:val="en-US" w:eastAsia="zh-CN"/>
                    </w:rPr>
                    <w:t>48.85</w:t>
                  </w:r>
                </w:p>
              </w:tc>
              <w:tc>
                <w:tcPr>
                  <w:tcW w:w="364" w:type="pct"/>
                  <w:tcBorders>
                    <w:top w:val="single" w:color="auto" w:sz="4" w:space="0"/>
                    <w:left w:val="single" w:color="auto" w:sz="4" w:space="0"/>
                    <w:bottom w:val="single" w:color="auto" w:sz="4" w:space="0"/>
                    <w:right w:val="single" w:color="auto" w:sz="4" w:space="0"/>
                  </w:tcBorders>
                  <w:vAlign w:val="center"/>
                </w:tcPr>
                <w:p w14:paraId="1F0B4B13">
                  <w:pPr>
                    <w:pStyle w:val="53"/>
                    <w:bidi w:val="0"/>
                    <w:rPr>
                      <w:rFonts w:hint="eastAsia"/>
                      <w:color w:val="auto"/>
                      <w:lang w:val="en-US" w:eastAsia="zh-CN"/>
                    </w:rPr>
                  </w:pPr>
                  <w:r>
                    <w:rPr>
                      <w:rFonts w:hint="eastAsia"/>
                      <w:color w:val="auto"/>
                      <w:lang w:val="en-US" w:eastAsia="zh-CN"/>
                    </w:rPr>
                    <w:t>1</w:t>
                  </w:r>
                </w:p>
              </w:tc>
            </w:tr>
            <w:tr w14:paraId="21ADA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B032B02">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5E567FBB">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7E75EA23">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747800C3">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2D04078A">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28C44E4D">
                  <w:pPr>
                    <w:pStyle w:val="53"/>
                    <w:bidi w:val="0"/>
                    <w:ind w:firstLine="0" w:firstLineChars="0"/>
                    <w:rPr>
                      <w:rFonts w:hint="eastAsia"/>
                      <w:color w:val="auto"/>
                      <w:lang w:val="en-US" w:eastAsia="zh-CN"/>
                    </w:rPr>
                  </w:pPr>
                  <w:r>
                    <w:rPr>
                      <w:rFonts w:hint="eastAsia"/>
                      <w:color w:val="auto"/>
                      <w:lang w:val="en-US" w:eastAsia="zh-CN"/>
                    </w:rPr>
                    <w:t>-8.7</w:t>
                  </w:r>
                </w:p>
              </w:tc>
              <w:tc>
                <w:tcPr>
                  <w:tcW w:w="408" w:type="pct"/>
                  <w:tcBorders>
                    <w:top w:val="single" w:color="auto" w:sz="4" w:space="0"/>
                    <w:left w:val="single" w:color="auto" w:sz="4" w:space="0"/>
                    <w:bottom w:val="single" w:color="auto" w:sz="4" w:space="0"/>
                    <w:right w:val="single" w:color="auto" w:sz="4" w:space="0"/>
                  </w:tcBorders>
                  <w:vAlign w:val="center"/>
                </w:tcPr>
                <w:p w14:paraId="48F56A9D">
                  <w:pPr>
                    <w:pStyle w:val="53"/>
                    <w:bidi w:val="0"/>
                    <w:ind w:firstLine="0" w:firstLineChars="0"/>
                    <w:rPr>
                      <w:rFonts w:hint="eastAsia"/>
                      <w:color w:val="auto"/>
                      <w:lang w:val="en-US" w:eastAsia="zh-CN"/>
                    </w:rPr>
                  </w:pPr>
                  <w:r>
                    <w:rPr>
                      <w:rFonts w:hint="eastAsia"/>
                      <w:color w:val="auto"/>
                      <w:lang w:val="en-US" w:eastAsia="zh-CN"/>
                    </w:rPr>
                    <w:t>6.58</w:t>
                  </w:r>
                </w:p>
              </w:tc>
              <w:tc>
                <w:tcPr>
                  <w:tcW w:w="413" w:type="pct"/>
                  <w:tcBorders>
                    <w:top w:val="single" w:color="auto" w:sz="4" w:space="0"/>
                    <w:left w:val="single" w:color="auto" w:sz="4" w:space="0"/>
                    <w:bottom w:val="single" w:color="auto" w:sz="4" w:space="0"/>
                    <w:right w:val="single" w:color="auto" w:sz="4" w:space="0"/>
                  </w:tcBorders>
                  <w:vAlign w:val="center"/>
                </w:tcPr>
                <w:p w14:paraId="488869CB">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C1B81C3">
                  <w:pPr>
                    <w:pStyle w:val="53"/>
                    <w:bidi w:val="0"/>
                    <w:rPr>
                      <w:rFonts w:hint="default"/>
                      <w:color w:val="auto"/>
                      <w:lang w:val="en-US" w:eastAsia="zh-CN"/>
                    </w:rPr>
                  </w:pPr>
                  <w:r>
                    <w:rPr>
                      <w:rFonts w:hint="eastAsia"/>
                      <w:color w:val="auto"/>
                      <w:lang w:val="en-US" w:eastAsia="zh-CN"/>
                    </w:rPr>
                    <w:t>9.54</w:t>
                  </w:r>
                </w:p>
              </w:tc>
              <w:tc>
                <w:tcPr>
                  <w:tcW w:w="347" w:type="pct"/>
                  <w:tcBorders>
                    <w:top w:val="single" w:color="auto" w:sz="4" w:space="0"/>
                    <w:left w:val="single" w:color="auto" w:sz="4" w:space="0"/>
                    <w:bottom w:val="single" w:color="auto" w:sz="4" w:space="0"/>
                    <w:right w:val="single" w:color="auto" w:sz="4" w:space="0"/>
                  </w:tcBorders>
                  <w:vAlign w:val="center"/>
                </w:tcPr>
                <w:p w14:paraId="25624DC7">
                  <w:pPr>
                    <w:pStyle w:val="53"/>
                    <w:bidi w:val="0"/>
                    <w:rPr>
                      <w:rFonts w:hint="default"/>
                      <w:color w:val="auto"/>
                      <w:lang w:val="en-US" w:eastAsia="zh-CN"/>
                    </w:rPr>
                  </w:pPr>
                  <w:r>
                    <w:rPr>
                      <w:rFonts w:hint="eastAsia"/>
                      <w:color w:val="auto"/>
                      <w:lang w:val="en-US" w:eastAsia="zh-CN"/>
                    </w:rPr>
                    <w:t>57.47</w:t>
                  </w:r>
                </w:p>
              </w:tc>
              <w:tc>
                <w:tcPr>
                  <w:tcW w:w="253" w:type="pct"/>
                  <w:vMerge w:val="continue"/>
                  <w:tcBorders>
                    <w:left w:val="single" w:color="auto" w:sz="4" w:space="0"/>
                    <w:right w:val="single" w:color="auto" w:sz="4" w:space="0"/>
                  </w:tcBorders>
                  <w:vAlign w:val="center"/>
                </w:tcPr>
                <w:p w14:paraId="1A5DB980">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7B2A370D">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1B4CC5D">
                  <w:pPr>
                    <w:pStyle w:val="53"/>
                    <w:bidi w:val="0"/>
                    <w:rPr>
                      <w:rFonts w:hint="default"/>
                      <w:color w:val="auto"/>
                      <w:lang w:val="en-US" w:eastAsia="zh-CN"/>
                    </w:rPr>
                  </w:pPr>
                  <w:r>
                    <w:rPr>
                      <w:rFonts w:hint="eastAsia"/>
                      <w:color w:val="auto"/>
                      <w:lang w:val="en-US" w:eastAsia="zh-CN"/>
                    </w:rPr>
                    <w:t>47.47</w:t>
                  </w:r>
                </w:p>
              </w:tc>
              <w:tc>
                <w:tcPr>
                  <w:tcW w:w="364" w:type="pct"/>
                  <w:tcBorders>
                    <w:top w:val="single" w:color="auto" w:sz="4" w:space="0"/>
                    <w:left w:val="single" w:color="auto" w:sz="4" w:space="0"/>
                    <w:bottom w:val="single" w:color="auto" w:sz="4" w:space="0"/>
                    <w:right w:val="single" w:color="auto" w:sz="4" w:space="0"/>
                  </w:tcBorders>
                  <w:vAlign w:val="center"/>
                </w:tcPr>
                <w:p w14:paraId="420DDACB">
                  <w:pPr>
                    <w:pStyle w:val="53"/>
                    <w:bidi w:val="0"/>
                    <w:rPr>
                      <w:rFonts w:hint="eastAsia"/>
                      <w:color w:val="auto"/>
                      <w:lang w:val="en-US" w:eastAsia="zh-CN"/>
                    </w:rPr>
                  </w:pPr>
                  <w:r>
                    <w:rPr>
                      <w:rFonts w:hint="eastAsia"/>
                      <w:color w:val="auto"/>
                      <w:lang w:val="en-US" w:eastAsia="zh-CN"/>
                    </w:rPr>
                    <w:t>1</w:t>
                  </w:r>
                </w:p>
              </w:tc>
            </w:tr>
            <w:tr w14:paraId="49A0F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4FE8299">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683CC3C">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46DE856F">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3B348F06">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32B55543">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1237D2A1">
                  <w:pPr>
                    <w:pStyle w:val="53"/>
                    <w:bidi w:val="0"/>
                    <w:ind w:firstLine="0" w:firstLineChars="0"/>
                    <w:rPr>
                      <w:rFonts w:hint="eastAsia"/>
                      <w:color w:val="auto"/>
                      <w:lang w:val="en-US" w:eastAsia="zh-CN"/>
                    </w:rPr>
                  </w:pPr>
                  <w:r>
                    <w:rPr>
                      <w:rFonts w:hint="eastAsia"/>
                      <w:color w:val="auto"/>
                      <w:lang w:val="en-US" w:eastAsia="zh-CN"/>
                    </w:rPr>
                    <w:t>-8.7</w:t>
                  </w:r>
                </w:p>
              </w:tc>
              <w:tc>
                <w:tcPr>
                  <w:tcW w:w="408" w:type="pct"/>
                  <w:tcBorders>
                    <w:top w:val="single" w:color="auto" w:sz="4" w:space="0"/>
                    <w:left w:val="single" w:color="auto" w:sz="4" w:space="0"/>
                    <w:bottom w:val="single" w:color="auto" w:sz="4" w:space="0"/>
                    <w:right w:val="single" w:color="auto" w:sz="4" w:space="0"/>
                  </w:tcBorders>
                  <w:vAlign w:val="center"/>
                </w:tcPr>
                <w:p w14:paraId="555AA854">
                  <w:pPr>
                    <w:pStyle w:val="53"/>
                    <w:bidi w:val="0"/>
                    <w:ind w:firstLine="0" w:firstLineChars="0"/>
                    <w:rPr>
                      <w:rFonts w:hint="eastAsia"/>
                      <w:color w:val="auto"/>
                      <w:lang w:val="en-US" w:eastAsia="zh-CN"/>
                    </w:rPr>
                  </w:pPr>
                  <w:r>
                    <w:rPr>
                      <w:rFonts w:hint="eastAsia"/>
                      <w:color w:val="auto"/>
                      <w:lang w:val="en-US" w:eastAsia="zh-CN"/>
                    </w:rPr>
                    <w:t>6.58</w:t>
                  </w:r>
                </w:p>
              </w:tc>
              <w:tc>
                <w:tcPr>
                  <w:tcW w:w="413" w:type="pct"/>
                  <w:tcBorders>
                    <w:top w:val="single" w:color="auto" w:sz="4" w:space="0"/>
                    <w:left w:val="single" w:color="auto" w:sz="4" w:space="0"/>
                    <w:bottom w:val="single" w:color="auto" w:sz="4" w:space="0"/>
                    <w:right w:val="single" w:color="auto" w:sz="4" w:space="0"/>
                  </w:tcBorders>
                  <w:vAlign w:val="center"/>
                </w:tcPr>
                <w:p w14:paraId="6FF095B3">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D9372B3">
                  <w:pPr>
                    <w:pStyle w:val="53"/>
                    <w:bidi w:val="0"/>
                    <w:rPr>
                      <w:rFonts w:hint="default"/>
                      <w:color w:val="auto"/>
                      <w:lang w:val="en-US" w:eastAsia="zh-CN"/>
                    </w:rPr>
                  </w:pPr>
                  <w:r>
                    <w:rPr>
                      <w:rFonts w:hint="eastAsia"/>
                      <w:color w:val="auto"/>
                      <w:lang w:val="en-US" w:eastAsia="zh-CN"/>
                    </w:rPr>
                    <w:t>24.32</w:t>
                  </w:r>
                </w:p>
              </w:tc>
              <w:tc>
                <w:tcPr>
                  <w:tcW w:w="347" w:type="pct"/>
                  <w:tcBorders>
                    <w:top w:val="single" w:color="auto" w:sz="4" w:space="0"/>
                    <w:left w:val="single" w:color="auto" w:sz="4" w:space="0"/>
                    <w:bottom w:val="single" w:color="auto" w:sz="4" w:space="0"/>
                    <w:right w:val="single" w:color="auto" w:sz="4" w:space="0"/>
                  </w:tcBorders>
                  <w:vAlign w:val="center"/>
                </w:tcPr>
                <w:p w14:paraId="5D4C7870">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283F50BA">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49DE4EA3">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BA191F5">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3A6030C6">
                  <w:pPr>
                    <w:pStyle w:val="53"/>
                    <w:bidi w:val="0"/>
                    <w:rPr>
                      <w:rFonts w:hint="eastAsia"/>
                      <w:color w:val="auto"/>
                      <w:lang w:val="en-US" w:eastAsia="zh-CN"/>
                    </w:rPr>
                  </w:pPr>
                  <w:r>
                    <w:rPr>
                      <w:rFonts w:hint="eastAsia"/>
                      <w:color w:val="auto"/>
                      <w:lang w:val="en-US" w:eastAsia="zh-CN"/>
                    </w:rPr>
                    <w:t>1</w:t>
                  </w:r>
                </w:p>
              </w:tc>
            </w:tr>
            <w:tr w14:paraId="7426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2AECEB35">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38CE5FB">
                  <w:pPr>
                    <w:pStyle w:val="53"/>
                    <w:bidi w:val="0"/>
                    <w:rPr>
                      <w:rFonts w:hint="eastAsia"/>
                      <w:color w:val="auto"/>
                      <w:lang w:val="en-US" w:eastAsia="zh-CN"/>
                    </w:rPr>
                  </w:pPr>
                  <w:r>
                    <w:rPr>
                      <w:rFonts w:hint="eastAsia"/>
                      <w:color w:val="auto"/>
                      <w:lang w:val="en-US" w:eastAsia="zh-CN"/>
                    </w:rPr>
                    <w:t>干燥机</w:t>
                  </w:r>
                </w:p>
              </w:tc>
              <w:tc>
                <w:tcPr>
                  <w:tcW w:w="243" w:type="pct"/>
                  <w:tcBorders>
                    <w:top w:val="single" w:color="auto" w:sz="4" w:space="0"/>
                    <w:left w:val="single" w:color="auto" w:sz="4" w:space="0"/>
                    <w:bottom w:val="single" w:color="auto" w:sz="4" w:space="0"/>
                    <w:right w:val="single" w:color="auto" w:sz="4" w:space="0"/>
                  </w:tcBorders>
                  <w:vAlign w:val="center"/>
                </w:tcPr>
                <w:p w14:paraId="3FC8B1E8">
                  <w:pPr>
                    <w:pStyle w:val="53"/>
                    <w:bidi w:val="0"/>
                    <w:rPr>
                      <w:rFonts w:hint="eastAsia"/>
                      <w:color w:val="auto"/>
                      <w:lang w:val="en-US" w:eastAsia="zh-CN"/>
                    </w:rPr>
                  </w:pPr>
                  <w:r>
                    <w:rPr>
                      <w:rFonts w:hint="eastAsia"/>
                      <w:color w:val="auto"/>
                      <w:lang w:val="en-US" w:eastAsia="zh-CN"/>
                    </w:rPr>
                    <w:t>2</w:t>
                  </w:r>
                </w:p>
              </w:tc>
              <w:tc>
                <w:tcPr>
                  <w:tcW w:w="408" w:type="pct"/>
                  <w:tcBorders>
                    <w:top w:val="single" w:color="auto" w:sz="4" w:space="0"/>
                    <w:left w:val="single" w:color="auto" w:sz="4" w:space="0"/>
                    <w:bottom w:val="single" w:color="auto" w:sz="4" w:space="0"/>
                    <w:right w:val="single" w:color="auto" w:sz="4" w:space="0"/>
                  </w:tcBorders>
                  <w:vAlign w:val="center"/>
                </w:tcPr>
                <w:p w14:paraId="11B9DC82">
                  <w:pPr>
                    <w:pStyle w:val="53"/>
                    <w:bidi w:val="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49230054">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43C84D9C">
                  <w:pPr>
                    <w:pStyle w:val="53"/>
                    <w:bidi w:val="0"/>
                    <w:ind w:firstLine="0" w:firstLineChars="0"/>
                    <w:rPr>
                      <w:rFonts w:hint="eastAsia"/>
                      <w:color w:val="auto"/>
                      <w:lang w:val="en-US" w:eastAsia="zh-CN"/>
                    </w:rPr>
                  </w:pPr>
                  <w:r>
                    <w:rPr>
                      <w:rFonts w:hint="eastAsia"/>
                      <w:color w:val="auto"/>
                      <w:lang w:val="en-US" w:eastAsia="zh-CN"/>
                    </w:rPr>
                    <w:t>-8.7</w:t>
                  </w:r>
                </w:p>
              </w:tc>
              <w:tc>
                <w:tcPr>
                  <w:tcW w:w="408" w:type="pct"/>
                  <w:tcBorders>
                    <w:top w:val="single" w:color="auto" w:sz="4" w:space="0"/>
                    <w:left w:val="single" w:color="auto" w:sz="4" w:space="0"/>
                    <w:bottom w:val="single" w:color="auto" w:sz="4" w:space="0"/>
                    <w:right w:val="single" w:color="auto" w:sz="4" w:space="0"/>
                  </w:tcBorders>
                  <w:vAlign w:val="center"/>
                </w:tcPr>
                <w:p w14:paraId="6DE0E5B2">
                  <w:pPr>
                    <w:pStyle w:val="53"/>
                    <w:bidi w:val="0"/>
                    <w:ind w:firstLine="0" w:firstLineChars="0"/>
                    <w:rPr>
                      <w:rFonts w:hint="eastAsia"/>
                      <w:color w:val="auto"/>
                      <w:lang w:val="en-US" w:eastAsia="zh-CN"/>
                    </w:rPr>
                  </w:pPr>
                  <w:r>
                    <w:rPr>
                      <w:rFonts w:hint="eastAsia"/>
                      <w:color w:val="auto"/>
                      <w:lang w:val="en-US" w:eastAsia="zh-CN"/>
                    </w:rPr>
                    <w:t>6.58</w:t>
                  </w:r>
                </w:p>
              </w:tc>
              <w:tc>
                <w:tcPr>
                  <w:tcW w:w="413" w:type="pct"/>
                  <w:tcBorders>
                    <w:top w:val="single" w:color="auto" w:sz="4" w:space="0"/>
                    <w:left w:val="single" w:color="auto" w:sz="4" w:space="0"/>
                    <w:bottom w:val="single" w:color="auto" w:sz="4" w:space="0"/>
                    <w:right w:val="single" w:color="auto" w:sz="4" w:space="0"/>
                  </w:tcBorders>
                  <w:vAlign w:val="center"/>
                </w:tcPr>
                <w:p w14:paraId="2A695BD8">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AB32CF8">
                  <w:pPr>
                    <w:pStyle w:val="53"/>
                    <w:bidi w:val="0"/>
                    <w:rPr>
                      <w:rFonts w:hint="default"/>
                      <w:color w:val="auto"/>
                      <w:lang w:val="en-US" w:eastAsia="zh-CN"/>
                    </w:rPr>
                  </w:pPr>
                  <w:r>
                    <w:rPr>
                      <w:rFonts w:hint="eastAsia"/>
                      <w:color w:val="auto"/>
                      <w:lang w:val="en-US" w:eastAsia="zh-CN"/>
                    </w:rPr>
                    <w:t>24.32</w:t>
                  </w:r>
                </w:p>
              </w:tc>
              <w:tc>
                <w:tcPr>
                  <w:tcW w:w="347" w:type="pct"/>
                  <w:tcBorders>
                    <w:top w:val="single" w:color="auto" w:sz="4" w:space="0"/>
                    <w:left w:val="single" w:color="auto" w:sz="4" w:space="0"/>
                    <w:bottom w:val="single" w:color="auto" w:sz="4" w:space="0"/>
                    <w:right w:val="single" w:color="auto" w:sz="4" w:space="0"/>
                  </w:tcBorders>
                  <w:vAlign w:val="center"/>
                </w:tcPr>
                <w:p w14:paraId="3F48135D">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528D9DD2">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225330C9">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47FAF1A4">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18C1D612">
                  <w:pPr>
                    <w:pStyle w:val="53"/>
                    <w:bidi w:val="0"/>
                    <w:rPr>
                      <w:rFonts w:hint="eastAsia"/>
                      <w:color w:val="auto"/>
                      <w:lang w:val="en-US" w:eastAsia="zh-CN"/>
                    </w:rPr>
                  </w:pPr>
                  <w:r>
                    <w:rPr>
                      <w:rFonts w:hint="eastAsia"/>
                      <w:color w:val="auto"/>
                      <w:lang w:val="en-US" w:eastAsia="zh-CN"/>
                    </w:rPr>
                    <w:t>1</w:t>
                  </w:r>
                </w:p>
              </w:tc>
            </w:tr>
            <w:tr w14:paraId="3C38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0F58DDE0">
                  <w:pPr>
                    <w:pStyle w:val="53"/>
                    <w:bidi w:val="0"/>
                    <w:rPr>
                      <w:rFonts w:hint="eastAsia" w:eastAsia="宋体"/>
                      <w:color w:val="auto"/>
                      <w:lang w:val="en-US" w:eastAsia="zh-CN"/>
                    </w:rPr>
                  </w:pPr>
                  <w:r>
                    <w:rPr>
                      <w:rFonts w:hint="eastAsia"/>
                      <w:color w:val="auto"/>
                      <w:lang w:val="en-US" w:eastAsia="zh-CN"/>
                    </w:rPr>
                    <w:t>3</w:t>
                  </w:r>
                </w:p>
              </w:tc>
              <w:tc>
                <w:tcPr>
                  <w:tcW w:w="502" w:type="pct"/>
                  <w:tcBorders>
                    <w:top w:val="single" w:color="auto" w:sz="4" w:space="0"/>
                    <w:left w:val="single" w:color="auto" w:sz="4" w:space="0"/>
                    <w:bottom w:val="single" w:color="auto" w:sz="4" w:space="0"/>
                    <w:right w:val="single" w:color="auto" w:sz="4" w:space="0"/>
                  </w:tcBorders>
                  <w:vAlign w:val="center"/>
                </w:tcPr>
                <w:p w14:paraId="1F7CE2CB">
                  <w:pPr>
                    <w:pStyle w:val="53"/>
                    <w:bidi w:val="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07BA8515">
                  <w:pPr>
                    <w:pStyle w:val="53"/>
                    <w:bidi w:val="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65E1C66F">
                  <w:pPr>
                    <w:pStyle w:val="53"/>
                    <w:bidi w:val="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3F827BA2">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5C868838">
                  <w:pPr>
                    <w:pStyle w:val="53"/>
                    <w:bidi w:val="0"/>
                    <w:rPr>
                      <w:rFonts w:hint="default"/>
                      <w:color w:val="auto"/>
                      <w:lang w:val="en-US" w:eastAsia="zh-CN"/>
                    </w:rPr>
                  </w:pPr>
                  <w:r>
                    <w:rPr>
                      <w:rFonts w:hint="eastAsia"/>
                      <w:color w:val="auto"/>
                      <w:lang w:val="en-US" w:eastAsia="zh-CN"/>
                    </w:rPr>
                    <w:t>-11.15</w:t>
                  </w:r>
                </w:p>
              </w:tc>
              <w:tc>
                <w:tcPr>
                  <w:tcW w:w="408" w:type="pct"/>
                  <w:tcBorders>
                    <w:top w:val="single" w:color="auto" w:sz="4" w:space="0"/>
                    <w:left w:val="single" w:color="auto" w:sz="4" w:space="0"/>
                    <w:bottom w:val="single" w:color="auto" w:sz="4" w:space="0"/>
                    <w:right w:val="single" w:color="auto" w:sz="4" w:space="0"/>
                  </w:tcBorders>
                  <w:vAlign w:val="center"/>
                </w:tcPr>
                <w:p w14:paraId="0F394075">
                  <w:pPr>
                    <w:pStyle w:val="53"/>
                    <w:bidi w:val="0"/>
                    <w:rPr>
                      <w:rFonts w:hint="default"/>
                      <w:color w:val="auto"/>
                      <w:lang w:val="en-US" w:eastAsia="zh-CN"/>
                    </w:rPr>
                  </w:pPr>
                  <w:r>
                    <w:rPr>
                      <w:rFonts w:hint="eastAsia"/>
                      <w:color w:val="auto"/>
                      <w:lang w:val="en-US" w:eastAsia="zh-CN"/>
                    </w:rPr>
                    <w:t>0.33</w:t>
                  </w:r>
                </w:p>
              </w:tc>
              <w:tc>
                <w:tcPr>
                  <w:tcW w:w="413" w:type="pct"/>
                  <w:tcBorders>
                    <w:top w:val="single" w:color="auto" w:sz="4" w:space="0"/>
                    <w:left w:val="single" w:color="auto" w:sz="4" w:space="0"/>
                    <w:bottom w:val="single" w:color="auto" w:sz="4" w:space="0"/>
                    <w:right w:val="single" w:color="auto" w:sz="4" w:space="0"/>
                  </w:tcBorders>
                  <w:vAlign w:val="center"/>
                </w:tcPr>
                <w:p w14:paraId="4F6A6A5C">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59C249CF">
                  <w:pPr>
                    <w:pStyle w:val="53"/>
                    <w:bidi w:val="0"/>
                    <w:rPr>
                      <w:rFonts w:hint="default"/>
                      <w:color w:val="auto"/>
                      <w:lang w:val="en-US" w:eastAsia="zh-CN"/>
                    </w:rPr>
                  </w:pPr>
                  <w:r>
                    <w:rPr>
                      <w:rFonts w:hint="eastAsia"/>
                      <w:color w:val="auto"/>
                      <w:lang w:val="en-US" w:eastAsia="zh-CN"/>
                    </w:rPr>
                    <w:t>16.05</w:t>
                  </w:r>
                </w:p>
              </w:tc>
              <w:tc>
                <w:tcPr>
                  <w:tcW w:w="347" w:type="pct"/>
                  <w:tcBorders>
                    <w:top w:val="single" w:color="auto" w:sz="4" w:space="0"/>
                    <w:left w:val="single" w:color="auto" w:sz="4" w:space="0"/>
                    <w:bottom w:val="single" w:color="auto" w:sz="4" w:space="0"/>
                    <w:right w:val="single" w:color="auto" w:sz="4" w:space="0"/>
                  </w:tcBorders>
                  <w:vAlign w:val="center"/>
                </w:tcPr>
                <w:p w14:paraId="05893C3D">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4B81FE7E">
                  <w:pPr>
                    <w:pStyle w:val="53"/>
                    <w:bidi w:val="0"/>
                    <w:rPr>
                      <w:rFonts w:hint="eastAsia"/>
                      <w:color w:val="auto"/>
                      <w:lang w:val="en-US" w:eastAsia="zh-CN"/>
                    </w:rPr>
                  </w:pPr>
                </w:p>
              </w:tc>
              <w:tc>
                <w:tcPr>
                  <w:tcW w:w="253" w:type="pct"/>
                  <w:tcBorders>
                    <w:top w:val="single" w:color="auto" w:sz="4" w:space="0"/>
                    <w:left w:val="single" w:color="auto" w:sz="4" w:space="0"/>
                    <w:bottom w:val="single" w:color="auto" w:sz="4" w:space="0"/>
                    <w:right w:val="single" w:color="auto" w:sz="4" w:space="0"/>
                  </w:tcBorders>
                  <w:vAlign w:val="center"/>
                </w:tcPr>
                <w:p w14:paraId="03DE432C">
                  <w:pPr>
                    <w:pStyle w:val="53"/>
                    <w:bidi w:val="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36A6422">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1AB9631E">
                  <w:pPr>
                    <w:pStyle w:val="53"/>
                    <w:bidi w:val="0"/>
                    <w:rPr>
                      <w:rFonts w:hint="eastAsia"/>
                      <w:color w:val="auto"/>
                      <w:lang w:val="en-US" w:eastAsia="zh-CN"/>
                    </w:rPr>
                  </w:pPr>
                  <w:r>
                    <w:rPr>
                      <w:rFonts w:hint="eastAsia"/>
                      <w:color w:val="auto"/>
                      <w:lang w:val="en-US" w:eastAsia="zh-CN"/>
                    </w:rPr>
                    <w:t>1</w:t>
                  </w:r>
                </w:p>
              </w:tc>
            </w:tr>
            <w:tr w14:paraId="2300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5C91A2E">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3575389">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4CE4C53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BB6640B">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4060CBB7">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565C6C58">
                  <w:pPr>
                    <w:pStyle w:val="53"/>
                    <w:bidi w:val="0"/>
                    <w:ind w:firstLine="0" w:firstLineChars="0"/>
                    <w:rPr>
                      <w:rFonts w:hint="eastAsia"/>
                      <w:color w:val="auto"/>
                      <w:lang w:val="en-US" w:eastAsia="zh-CN"/>
                    </w:rPr>
                  </w:pPr>
                  <w:r>
                    <w:rPr>
                      <w:rFonts w:hint="eastAsia"/>
                      <w:color w:val="auto"/>
                      <w:lang w:val="en-US" w:eastAsia="zh-CN"/>
                    </w:rPr>
                    <w:t>-11.15</w:t>
                  </w:r>
                </w:p>
              </w:tc>
              <w:tc>
                <w:tcPr>
                  <w:tcW w:w="649" w:type="dxa"/>
                  <w:tcBorders>
                    <w:top w:val="single" w:color="auto" w:sz="4" w:space="0"/>
                    <w:left w:val="single" w:color="auto" w:sz="4" w:space="0"/>
                    <w:bottom w:val="single" w:color="auto" w:sz="4" w:space="0"/>
                    <w:right w:val="single" w:color="auto" w:sz="4" w:space="0"/>
                  </w:tcBorders>
                  <w:vAlign w:val="center"/>
                </w:tcPr>
                <w:p w14:paraId="50758E5F">
                  <w:pPr>
                    <w:pStyle w:val="53"/>
                    <w:bidi w:val="0"/>
                    <w:ind w:firstLine="0" w:firstLineChars="0"/>
                    <w:rPr>
                      <w:rFonts w:hint="eastAsia"/>
                      <w:color w:val="auto"/>
                      <w:lang w:val="en-US" w:eastAsia="zh-CN"/>
                    </w:rPr>
                  </w:pPr>
                  <w:r>
                    <w:rPr>
                      <w:rFonts w:hint="eastAsia"/>
                      <w:color w:val="auto"/>
                      <w:lang w:val="en-US" w:eastAsia="zh-CN"/>
                    </w:rPr>
                    <w:t>0.33</w:t>
                  </w:r>
                </w:p>
              </w:tc>
              <w:tc>
                <w:tcPr>
                  <w:tcW w:w="656" w:type="dxa"/>
                  <w:tcBorders>
                    <w:top w:val="single" w:color="auto" w:sz="4" w:space="0"/>
                    <w:left w:val="single" w:color="auto" w:sz="4" w:space="0"/>
                    <w:bottom w:val="single" w:color="auto" w:sz="4" w:space="0"/>
                    <w:right w:val="single" w:color="auto" w:sz="4" w:space="0"/>
                  </w:tcBorders>
                  <w:vAlign w:val="center"/>
                </w:tcPr>
                <w:p w14:paraId="4A5396E3">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E76CBFC">
                  <w:pPr>
                    <w:pStyle w:val="53"/>
                    <w:bidi w:val="0"/>
                    <w:rPr>
                      <w:rFonts w:hint="default"/>
                      <w:color w:val="auto"/>
                      <w:lang w:val="en-US" w:eastAsia="zh-CN"/>
                    </w:rPr>
                  </w:pPr>
                  <w:r>
                    <w:rPr>
                      <w:rFonts w:hint="eastAsia"/>
                      <w:color w:val="auto"/>
                      <w:lang w:val="en-US" w:eastAsia="zh-CN"/>
                    </w:rPr>
                    <w:t>22.63</w:t>
                  </w:r>
                </w:p>
              </w:tc>
              <w:tc>
                <w:tcPr>
                  <w:tcW w:w="347" w:type="pct"/>
                  <w:tcBorders>
                    <w:top w:val="single" w:color="auto" w:sz="4" w:space="0"/>
                    <w:left w:val="single" w:color="auto" w:sz="4" w:space="0"/>
                    <w:bottom w:val="single" w:color="auto" w:sz="4" w:space="0"/>
                    <w:right w:val="single" w:color="auto" w:sz="4" w:space="0"/>
                  </w:tcBorders>
                  <w:vAlign w:val="center"/>
                </w:tcPr>
                <w:p w14:paraId="67618049">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0595F615">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E65C99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2CC8D95">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4F3224A8">
                  <w:pPr>
                    <w:pStyle w:val="53"/>
                    <w:bidi w:val="0"/>
                    <w:rPr>
                      <w:rFonts w:hint="eastAsia"/>
                      <w:color w:val="auto"/>
                      <w:lang w:val="en-US" w:eastAsia="zh-CN"/>
                    </w:rPr>
                  </w:pPr>
                  <w:r>
                    <w:rPr>
                      <w:rFonts w:hint="eastAsia"/>
                      <w:color w:val="auto"/>
                      <w:lang w:val="en-US" w:eastAsia="zh-CN"/>
                    </w:rPr>
                    <w:t>1</w:t>
                  </w:r>
                </w:p>
              </w:tc>
            </w:tr>
            <w:tr w14:paraId="162E8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6E3B4A8A">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6DE00F9A">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3F802525">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1BD498EB">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4BCE89B8">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E22934D">
                  <w:pPr>
                    <w:pStyle w:val="53"/>
                    <w:bidi w:val="0"/>
                    <w:ind w:firstLine="0" w:firstLineChars="0"/>
                    <w:rPr>
                      <w:rFonts w:hint="eastAsia"/>
                      <w:color w:val="auto"/>
                      <w:lang w:val="en-US" w:eastAsia="zh-CN"/>
                    </w:rPr>
                  </w:pPr>
                  <w:r>
                    <w:rPr>
                      <w:rFonts w:hint="eastAsia"/>
                      <w:color w:val="auto"/>
                      <w:lang w:val="en-US" w:eastAsia="zh-CN"/>
                    </w:rPr>
                    <w:t>-11.15</w:t>
                  </w:r>
                </w:p>
              </w:tc>
              <w:tc>
                <w:tcPr>
                  <w:tcW w:w="649" w:type="dxa"/>
                  <w:tcBorders>
                    <w:top w:val="single" w:color="auto" w:sz="4" w:space="0"/>
                    <w:left w:val="single" w:color="auto" w:sz="4" w:space="0"/>
                    <w:bottom w:val="single" w:color="auto" w:sz="4" w:space="0"/>
                    <w:right w:val="single" w:color="auto" w:sz="4" w:space="0"/>
                  </w:tcBorders>
                  <w:vAlign w:val="center"/>
                </w:tcPr>
                <w:p w14:paraId="54D098A7">
                  <w:pPr>
                    <w:pStyle w:val="53"/>
                    <w:bidi w:val="0"/>
                    <w:ind w:firstLine="0" w:firstLineChars="0"/>
                    <w:rPr>
                      <w:rFonts w:hint="eastAsia"/>
                      <w:color w:val="auto"/>
                      <w:lang w:val="en-US" w:eastAsia="zh-CN"/>
                    </w:rPr>
                  </w:pPr>
                  <w:r>
                    <w:rPr>
                      <w:rFonts w:hint="eastAsia"/>
                      <w:color w:val="auto"/>
                      <w:lang w:val="en-US" w:eastAsia="zh-CN"/>
                    </w:rPr>
                    <w:t>0.33</w:t>
                  </w:r>
                </w:p>
              </w:tc>
              <w:tc>
                <w:tcPr>
                  <w:tcW w:w="656" w:type="dxa"/>
                  <w:tcBorders>
                    <w:top w:val="single" w:color="auto" w:sz="4" w:space="0"/>
                    <w:left w:val="single" w:color="auto" w:sz="4" w:space="0"/>
                    <w:bottom w:val="single" w:color="auto" w:sz="4" w:space="0"/>
                    <w:right w:val="single" w:color="auto" w:sz="4" w:space="0"/>
                  </w:tcBorders>
                  <w:vAlign w:val="center"/>
                </w:tcPr>
                <w:p w14:paraId="4ACA5594">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24643CB">
                  <w:pPr>
                    <w:pStyle w:val="53"/>
                    <w:bidi w:val="0"/>
                    <w:rPr>
                      <w:rFonts w:hint="default"/>
                      <w:color w:val="auto"/>
                      <w:lang w:val="en-US" w:eastAsia="zh-CN"/>
                    </w:rPr>
                  </w:pPr>
                  <w:r>
                    <w:rPr>
                      <w:rFonts w:hint="eastAsia"/>
                      <w:color w:val="auto"/>
                      <w:lang w:val="en-US" w:eastAsia="zh-CN"/>
                    </w:rPr>
                    <w:t>5.94</w:t>
                  </w:r>
                </w:p>
              </w:tc>
              <w:tc>
                <w:tcPr>
                  <w:tcW w:w="347" w:type="pct"/>
                  <w:tcBorders>
                    <w:top w:val="single" w:color="auto" w:sz="4" w:space="0"/>
                    <w:left w:val="single" w:color="auto" w:sz="4" w:space="0"/>
                    <w:bottom w:val="single" w:color="auto" w:sz="4" w:space="0"/>
                    <w:right w:val="single" w:color="auto" w:sz="4" w:space="0"/>
                  </w:tcBorders>
                  <w:vAlign w:val="center"/>
                </w:tcPr>
                <w:p w14:paraId="4484B328">
                  <w:pPr>
                    <w:pStyle w:val="53"/>
                    <w:bidi w:val="0"/>
                    <w:rPr>
                      <w:rFonts w:hint="default"/>
                      <w:color w:val="auto"/>
                      <w:lang w:val="en-US" w:eastAsia="zh-CN"/>
                    </w:rPr>
                  </w:pPr>
                  <w:r>
                    <w:rPr>
                      <w:rFonts w:hint="eastAsia"/>
                      <w:color w:val="auto"/>
                      <w:lang w:val="en-US" w:eastAsia="zh-CN"/>
                    </w:rPr>
                    <w:t>47.50</w:t>
                  </w:r>
                </w:p>
              </w:tc>
              <w:tc>
                <w:tcPr>
                  <w:tcW w:w="253" w:type="pct"/>
                  <w:vMerge w:val="continue"/>
                  <w:tcBorders>
                    <w:left w:val="single" w:color="auto" w:sz="4" w:space="0"/>
                    <w:right w:val="single" w:color="auto" w:sz="4" w:space="0"/>
                  </w:tcBorders>
                  <w:vAlign w:val="center"/>
                </w:tcPr>
                <w:p w14:paraId="77C922C1">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4115B87">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CF927B3">
                  <w:pPr>
                    <w:pStyle w:val="53"/>
                    <w:bidi w:val="0"/>
                    <w:rPr>
                      <w:rFonts w:hint="default"/>
                      <w:color w:val="auto"/>
                      <w:lang w:val="en-US" w:eastAsia="zh-CN"/>
                    </w:rPr>
                  </w:pPr>
                  <w:r>
                    <w:rPr>
                      <w:rFonts w:hint="eastAsia"/>
                      <w:color w:val="auto"/>
                      <w:lang w:val="en-US" w:eastAsia="zh-CN"/>
                    </w:rPr>
                    <w:t>37.50</w:t>
                  </w:r>
                </w:p>
              </w:tc>
              <w:tc>
                <w:tcPr>
                  <w:tcW w:w="364" w:type="pct"/>
                  <w:tcBorders>
                    <w:top w:val="single" w:color="auto" w:sz="4" w:space="0"/>
                    <w:left w:val="single" w:color="auto" w:sz="4" w:space="0"/>
                    <w:bottom w:val="single" w:color="auto" w:sz="4" w:space="0"/>
                    <w:right w:val="single" w:color="auto" w:sz="4" w:space="0"/>
                  </w:tcBorders>
                  <w:vAlign w:val="center"/>
                </w:tcPr>
                <w:p w14:paraId="36737964">
                  <w:pPr>
                    <w:pStyle w:val="53"/>
                    <w:bidi w:val="0"/>
                    <w:rPr>
                      <w:rFonts w:hint="eastAsia"/>
                      <w:color w:val="auto"/>
                      <w:lang w:val="en-US" w:eastAsia="zh-CN"/>
                    </w:rPr>
                  </w:pPr>
                  <w:r>
                    <w:rPr>
                      <w:rFonts w:hint="eastAsia"/>
                      <w:color w:val="auto"/>
                      <w:lang w:val="en-US" w:eastAsia="zh-CN"/>
                    </w:rPr>
                    <w:t>1</w:t>
                  </w:r>
                </w:p>
              </w:tc>
            </w:tr>
            <w:tr w14:paraId="2979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125F62DC">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9B2BF59">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340308E7">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0E7E8B00">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0AB13BA9">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1E684656">
                  <w:pPr>
                    <w:pStyle w:val="53"/>
                    <w:bidi w:val="0"/>
                    <w:ind w:firstLine="0" w:firstLineChars="0"/>
                    <w:rPr>
                      <w:rFonts w:hint="eastAsia"/>
                      <w:color w:val="auto"/>
                      <w:lang w:val="en-US" w:eastAsia="zh-CN"/>
                    </w:rPr>
                  </w:pPr>
                  <w:r>
                    <w:rPr>
                      <w:rFonts w:hint="eastAsia"/>
                      <w:color w:val="auto"/>
                      <w:lang w:val="en-US" w:eastAsia="zh-CN"/>
                    </w:rPr>
                    <w:t>-11.15</w:t>
                  </w:r>
                </w:p>
              </w:tc>
              <w:tc>
                <w:tcPr>
                  <w:tcW w:w="649" w:type="dxa"/>
                  <w:tcBorders>
                    <w:top w:val="single" w:color="auto" w:sz="4" w:space="0"/>
                    <w:left w:val="single" w:color="auto" w:sz="4" w:space="0"/>
                    <w:bottom w:val="single" w:color="auto" w:sz="4" w:space="0"/>
                    <w:right w:val="single" w:color="auto" w:sz="4" w:space="0"/>
                  </w:tcBorders>
                  <w:vAlign w:val="center"/>
                </w:tcPr>
                <w:p w14:paraId="525D73D2">
                  <w:pPr>
                    <w:pStyle w:val="53"/>
                    <w:bidi w:val="0"/>
                    <w:ind w:firstLine="0" w:firstLineChars="0"/>
                    <w:rPr>
                      <w:rFonts w:hint="eastAsia"/>
                      <w:color w:val="auto"/>
                      <w:lang w:val="en-US" w:eastAsia="zh-CN"/>
                    </w:rPr>
                  </w:pPr>
                  <w:r>
                    <w:rPr>
                      <w:rFonts w:hint="eastAsia"/>
                      <w:color w:val="auto"/>
                      <w:lang w:val="en-US" w:eastAsia="zh-CN"/>
                    </w:rPr>
                    <w:t>0.33</w:t>
                  </w:r>
                </w:p>
              </w:tc>
              <w:tc>
                <w:tcPr>
                  <w:tcW w:w="656" w:type="dxa"/>
                  <w:tcBorders>
                    <w:top w:val="single" w:color="auto" w:sz="4" w:space="0"/>
                    <w:left w:val="single" w:color="auto" w:sz="4" w:space="0"/>
                    <w:bottom w:val="single" w:color="auto" w:sz="4" w:space="0"/>
                    <w:right w:val="single" w:color="auto" w:sz="4" w:space="0"/>
                  </w:tcBorders>
                  <w:vAlign w:val="center"/>
                </w:tcPr>
                <w:p w14:paraId="6D36A184">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D93AA79">
                  <w:pPr>
                    <w:pStyle w:val="53"/>
                    <w:bidi w:val="0"/>
                    <w:rPr>
                      <w:rFonts w:hint="default"/>
                      <w:color w:val="auto"/>
                      <w:lang w:val="en-US" w:eastAsia="zh-CN"/>
                    </w:rPr>
                  </w:pPr>
                  <w:r>
                    <w:rPr>
                      <w:rFonts w:hint="eastAsia"/>
                      <w:color w:val="auto"/>
                      <w:lang w:val="en-US" w:eastAsia="zh-CN"/>
                    </w:rPr>
                    <w:t>1.88</w:t>
                  </w:r>
                </w:p>
              </w:tc>
              <w:tc>
                <w:tcPr>
                  <w:tcW w:w="347" w:type="pct"/>
                  <w:tcBorders>
                    <w:top w:val="single" w:color="auto" w:sz="4" w:space="0"/>
                    <w:left w:val="single" w:color="auto" w:sz="4" w:space="0"/>
                    <w:bottom w:val="single" w:color="auto" w:sz="4" w:space="0"/>
                    <w:right w:val="single" w:color="auto" w:sz="4" w:space="0"/>
                  </w:tcBorders>
                  <w:vAlign w:val="center"/>
                </w:tcPr>
                <w:p w14:paraId="48C7BCE4">
                  <w:pPr>
                    <w:pStyle w:val="53"/>
                    <w:bidi w:val="0"/>
                    <w:rPr>
                      <w:rFonts w:hint="default"/>
                      <w:color w:val="auto"/>
                      <w:lang w:val="en-US" w:eastAsia="zh-CN"/>
                    </w:rPr>
                  </w:pPr>
                  <w:r>
                    <w:rPr>
                      <w:rFonts w:hint="eastAsia"/>
                      <w:color w:val="auto"/>
                      <w:lang w:val="en-US" w:eastAsia="zh-CN"/>
                    </w:rPr>
                    <w:t>47.97</w:t>
                  </w:r>
                </w:p>
              </w:tc>
              <w:tc>
                <w:tcPr>
                  <w:tcW w:w="253" w:type="pct"/>
                  <w:vMerge w:val="continue"/>
                  <w:tcBorders>
                    <w:left w:val="single" w:color="auto" w:sz="4" w:space="0"/>
                    <w:right w:val="single" w:color="auto" w:sz="4" w:space="0"/>
                  </w:tcBorders>
                  <w:vAlign w:val="center"/>
                </w:tcPr>
                <w:p w14:paraId="0D9D16A1">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BC58EEF">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0927B8BC">
                  <w:pPr>
                    <w:pStyle w:val="53"/>
                    <w:bidi w:val="0"/>
                    <w:rPr>
                      <w:rFonts w:hint="default"/>
                      <w:color w:val="auto"/>
                      <w:lang w:val="en-US" w:eastAsia="zh-CN"/>
                    </w:rPr>
                  </w:pPr>
                  <w:r>
                    <w:rPr>
                      <w:rFonts w:hint="eastAsia"/>
                      <w:color w:val="auto"/>
                      <w:lang w:val="en-US" w:eastAsia="zh-CN"/>
                    </w:rPr>
                    <w:t>37.97</w:t>
                  </w:r>
                </w:p>
              </w:tc>
              <w:tc>
                <w:tcPr>
                  <w:tcW w:w="364" w:type="pct"/>
                  <w:tcBorders>
                    <w:top w:val="single" w:color="auto" w:sz="4" w:space="0"/>
                    <w:left w:val="single" w:color="auto" w:sz="4" w:space="0"/>
                    <w:bottom w:val="single" w:color="auto" w:sz="4" w:space="0"/>
                    <w:right w:val="single" w:color="auto" w:sz="4" w:space="0"/>
                  </w:tcBorders>
                  <w:vAlign w:val="center"/>
                </w:tcPr>
                <w:p w14:paraId="0D4077F8">
                  <w:pPr>
                    <w:pStyle w:val="53"/>
                    <w:bidi w:val="0"/>
                    <w:rPr>
                      <w:rFonts w:hint="eastAsia"/>
                      <w:color w:val="auto"/>
                      <w:lang w:val="en-US" w:eastAsia="zh-CN"/>
                    </w:rPr>
                  </w:pPr>
                  <w:r>
                    <w:rPr>
                      <w:rFonts w:hint="eastAsia"/>
                      <w:color w:val="auto"/>
                      <w:lang w:val="en-US" w:eastAsia="zh-CN"/>
                    </w:rPr>
                    <w:t>1</w:t>
                  </w:r>
                </w:p>
              </w:tc>
            </w:tr>
            <w:tr w14:paraId="6047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6ADD515A">
                  <w:pPr>
                    <w:pStyle w:val="53"/>
                    <w:bidi w:val="0"/>
                    <w:rPr>
                      <w:rFonts w:hint="eastAsia" w:eastAsia="宋体"/>
                      <w:color w:val="auto"/>
                      <w:lang w:val="en-US" w:eastAsia="zh-CN"/>
                    </w:rPr>
                  </w:pPr>
                  <w:r>
                    <w:rPr>
                      <w:rFonts w:hint="eastAsia"/>
                      <w:color w:val="auto"/>
                      <w:lang w:val="en-US" w:eastAsia="zh-CN"/>
                    </w:rPr>
                    <w:t>4</w:t>
                  </w:r>
                </w:p>
              </w:tc>
              <w:tc>
                <w:tcPr>
                  <w:tcW w:w="502" w:type="pct"/>
                  <w:tcBorders>
                    <w:top w:val="single" w:color="auto" w:sz="4" w:space="0"/>
                    <w:left w:val="single" w:color="auto" w:sz="4" w:space="0"/>
                    <w:bottom w:val="single" w:color="auto" w:sz="4" w:space="0"/>
                    <w:right w:val="single" w:color="auto" w:sz="4" w:space="0"/>
                  </w:tcBorders>
                  <w:vAlign w:val="center"/>
                </w:tcPr>
                <w:p w14:paraId="167976FF">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60126454">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F138659">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3E535150">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48BE4FB9">
                  <w:pPr>
                    <w:pStyle w:val="53"/>
                    <w:bidi w:val="0"/>
                    <w:rPr>
                      <w:rFonts w:hint="default"/>
                      <w:color w:val="auto"/>
                      <w:lang w:val="en-US" w:eastAsia="zh-CN"/>
                    </w:rPr>
                  </w:pPr>
                  <w:r>
                    <w:rPr>
                      <w:rFonts w:hint="eastAsia"/>
                      <w:color w:val="auto"/>
                      <w:lang w:val="en-US" w:eastAsia="zh-CN"/>
                    </w:rPr>
                    <w:t>-7.48</w:t>
                  </w:r>
                </w:p>
              </w:tc>
              <w:tc>
                <w:tcPr>
                  <w:tcW w:w="408" w:type="pct"/>
                  <w:tcBorders>
                    <w:top w:val="single" w:color="auto" w:sz="4" w:space="0"/>
                    <w:left w:val="single" w:color="auto" w:sz="4" w:space="0"/>
                    <w:bottom w:val="single" w:color="auto" w:sz="4" w:space="0"/>
                    <w:right w:val="single" w:color="auto" w:sz="4" w:space="0"/>
                  </w:tcBorders>
                  <w:vAlign w:val="center"/>
                </w:tcPr>
                <w:p w14:paraId="278B0533">
                  <w:pPr>
                    <w:pStyle w:val="53"/>
                    <w:bidi w:val="0"/>
                    <w:rPr>
                      <w:rFonts w:hint="default"/>
                      <w:color w:val="auto"/>
                      <w:lang w:val="en-US" w:eastAsia="zh-CN"/>
                    </w:rPr>
                  </w:pPr>
                  <w:r>
                    <w:rPr>
                      <w:rFonts w:hint="eastAsia"/>
                      <w:color w:val="auto"/>
                      <w:lang w:val="en-US" w:eastAsia="zh-CN"/>
                    </w:rPr>
                    <w:t>4</w:t>
                  </w:r>
                </w:p>
              </w:tc>
              <w:tc>
                <w:tcPr>
                  <w:tcW w:w="413" w:type="pct"/>
                  <w:tcBorders>
                    <w:top w:val="single" w:color="auto" w:sz="4" w:space="0"/>
                    <w:left w:val="single" w:color="auto" w:sz="4" w:space="0"/>
                    <w:bottom w:val="single" w:color="auto" w:sz="4" w:space="0"/>
                    <w:right w:val="single" w:color="auto" w:sz="4" w:space="0"/>
                  </w:tcBorders>
                  <w:vAlign w:val="center"/>
                </w:tcPr>
                <w:p w14:paraId="38E8F6B0">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C72C484">
                  <w:pPr>
                    <w:pStyle w:val="53"/>
                    <w:bidi w:val="0"/>
                    <w:rPr>
                      <w:rFonts w:hint="default"/>
                      <w:color w:val="auto"/>
                      <w:lang w:val="en-US" w:eastAsia="zh-CN"/>
                    </w:rPr>
                  </w:pPr>
                  <w:r>
                    <w:rPr>
                      <w:rFonts w:hint="eastAsia"/>
                      <w:color w:val="auto"/>
                      <w:lang w:val="en-US" w:eastAsia="zh-CN"/>
                    </w:rPr>
                    <w:t>3.70</w:t>
                  </w:r>
                </w:p>
              </w:tc>
              <w:tc>
                <w:tcPr>
                  <w:tcW w:w="347" w:type="pct"/>
                  <w:tcBorders>
                    <w:top w:val="single" w:color="auto" w:sz="4" w:space="0"/>
                    <w:left w:val="single" w:color="auto" w:sz="4" w:space="0"/>
                    <w:bottom w:val="single" w:color="auto" w:sz="4" w:space="0"/>
                    <w:right w:val="single" w:color="auto" w:sz="4" w:space="0"/>
                  </w:tcBorders>
                  <w:vAlign w:val="center"/>
                </w:tcPr>
                <w:p w14:paraId="44892033">
                  <w:pPr>
                    <w:pStyle w:val="53"/>
                    <w:bidi w:val="0"/>
                    <w:rPr>
                      <w:rFonts w:hint="default"/>
                      <w:color w:val="auto"/>
                      <w:lang w:val="en-US" w:eastAsia="zh-CN"/>
                    </w:rPr>
                  </w:pPr>
                  <w:r>
                    <w:rPr>
                      <w:rFonts w:hint="eastAsia"/>
                      <w:color w:val="auto"/>
                      <w:lang w:val="en-US" w:eastAsia="zh-CN"/>
                    </w:rPr>
                    <w:t>47.59</w:t>
                  </w:r>
                </w:p>
              </w:tc>
              <w:tc>
                <w:tcPr>
                  <w:tcW w:w="253" w:type="pct"/>
                  <w:vMerge w:val="continue"/>
                  <w:tcBorders>
                    <w:left w:val="single" w:color="auto" w:sz="4" w:space="0"/>
                    <w:right w:val="single" w:color="auto" w:sz="4" w:space="0"/>
                  </w:tcBorders>
                  <w:vAlign w:val="center"/>
                </w:tcPr>
                <w:p w14:paraId="6EE5033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2F51F0E">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4916AA07">
                  <w:pPr>
                    <w:pStyle w:val="53"/>
                    <w:bidi w:val="0"/>
                    <w:rPr>
                      <w:rFonts w:hint="default"/>
                      <w:color w:val="auto"/>
                      <w:lang w:val="en-US" w:eastAsia="zh-CN"/>
                    </w:rPr>
                  </w:pPr>
                  <w:r>
                    <w:rPr>
                      <w:rFonts w:hint="eastAsia"/>
                      <w:color w:val="auto"/>
                      <w:lang w:val="en-US" w:eastAsia="zh-CN"/>
                    </w:rPr>
                    <w:t>37.59</w:t>
                  </w:r>
                </w:p>
              </w:tc>
              <w:tc>
                <w:tcPr>
                  <w:tcW w:w="364" w:type="pct"/>
                  <w:tcBorders>
                    <w:top w:val="single" w:color="auto" w:sz="4" w:space="0"/>
                    <w:left w:val="single" w:color="auto" w:sz="4" w:space="0"/>
                    <w:bottom w:val="single" w:color="auto" w:sz="4" w:space="0"/>
                    <w:right w:val="single" w:color="auto" w:sz="4" w:space="0"/>
                  </w:tcBorders>
                  <w:vAlign w:val="center"/>
                </w:tcPr>
                <w:p w14:paraId="02D7B74D">
                  <w:pPr>
                    <w:pStyle w:val="53"/>
                    <w:bidi w:val="0"/>
                    <w:rPr>
                      <w:rFonts w:hint="eastAsia"/>
                      <w:color w:val="auto"/>
                      <w:lang w:val="en-US" w:eastAsia="zh-CN"/>
                    </w:rPr>
                  </w:pPr>
                  <w:r>
                    <w:rPr>
                      <w:rFonts w:hint="eastAsia"/>
                      <w:color w:val="auto"/>
                      <w:lang w:val="en-US" w:eastAsia="zh-CN"/>
                    </w:rPr>
                    <w:t>1</w:t>
                  </w:r>
                </w:p>
              </w:tc>
            </w:tr>
            <w:tr w14:paraId="20B8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25F2DE20">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144EBCFC">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30FBF835">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6475803F">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1D7AF9CB">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C48D471">
                  <w:pPr>
                    <w:pStyle w:val="53"/>
                    <w:bidi w:val="0"/>
                    <w:ind w:firstLine="0" w:firstLineChars="0"/>
                    <w:rPr>
                      <w:rFonts w:hint="eastAsia"/>
                      <w:color w:val="auto"/>
                      <w:lang w:val="en-US" w:eastAsia="zh-CN"/>
                    </w:rPr>
                  </w:pPr>
                  <w:r>
                    <w:rPr>
                      <w:rFonts w:hint="eastAsia"/>
                      <w:color w:val="auto"/>
                      <w:lang w:val="en-US" w:eastAsia="zh-CN"/>
                    </w:rPr>
                    <w:t>-7.48</w:t>
                  </w:r>
                </w:p>
              </w:tc>
              <w:tc>
                <w:tcPr>
                  <w:tcW w:w="649" w:type="dxa"/>
                  <w:tcBorders>
                    <w:top w:val="single" w:color="auto" w:sz="4" w:space="0"/>
                    <w:left w:val="single" w:color="auto" w:sz="4" w:space="0"/>
                    <w:bottom w:val="single" w:color="auto" w:sz="4" w:space="0"/>
                    <w:right w:val="single" w:color="auto" w:sz="4" w:space="0"/>
                  </w:tcBorders>
                  <w:vAlign w:val="center"/>
                </w:tcPr>
                <w:p w14:paraId="61C07677">
                  <w:pPr>
                    <w:pStyle w:val="53"/>
                    <w:bidi w:val="0"/>
                    <w:ind w:firstLine="0" w:firstLineChars="0"/>
                    <w:rPr>
                      <w:rFonts w:hint="eastAsia"/>
                      <w:color w:val="auto"/>
                      <w:lang w:val="en-US" w:eastAsia="zh-CN"/>
                    </w:rPr>
                  </w:pPr>
                  <w:r>
                    <w:rPr>
                      <w:rFonts w:hint="eastAsia"/>
                      <w:color w:val="auto"/>
                      <w:lang w:val="en-US" w:eastAsia="zh-CN"/>
                    </w:rPr>
                    <w:t>4</w:t>
                  </w:r>
                </w:p>
              </w:tc>
              <w:tc>
                <w:tcPr>
                  <w:tcW w:w="656" w:type="dxa"/>
                  <w:tcBorders>
                    <w:top w:val="single" w:color="auto" w:sz="4" w:space="0"/>
                    <w:left w:val="single" w:color="auto" w:sz="4" w:space="0"/>
                    <w:bottom w:val="single" w:color="auto" w:sz="4" w:space="0"/>
                    <w:right w:val="single" w:color="auto" w:sz="4" w:space="0"/>
                  </w:tcBorders>
                  <w:vAlign w:val="center"/>
                </w:tcPr>
                <w:p w14:paraId="3058CD6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5F73BBAB">
                  <w:pPr>
                    <w:pStyle w:val="53"/>
                    <w:bidi w:val="0"/>
                    <w:rPr>
                      <w:rFonts w:hint="default"/>
                      <w:color w:val="auto"/>
                      <w:lang w:val="en-US" w:eastAsia="zh-CN"/>
                    </w:rPr>
                  </w:pPr>
                  <w:r>
                    <w:rPr>
                      <w:rFonts w:hint="eastAsia"/>
                      <w:color w:val="auto"/>
                      <w:lang w:val="en-US" w:eastAsia="zh-CN"/>
                    </w:rPr>
                    <w:t>10.93</w:t>
                  </w:r>
                </w:p>
              </w:tc>
              <w:tc>
                <w:tcPr>
                  <w:tcW w:w="347" w:type="pct"/>
                  <w:tcBorders>
                    <w:top w:val="single" w:color="auto" w:sz="4" w:space="0"/>
                    <w:left w:val="single" w:color="auto" w:sz="4" w:space="0"/>
                    <w:bottom w:val="single" w:color="auto" w:sz="4" w:space="0"/>
                    <w:right w:val="single" w:color="auto" w:sz="4" w:space="0"/>
                  </w:tcBorders>
                  <w:vAlign w:val="center"/>
                </w:tcPr>
                <w:p w14:paraId="4F6B2715">
                  <w:pPr>
                    <w:pStyle w:val="53"/>
                    <w:bidi w:val="0"/>
                    <w:rPr>
                      <w:rFonts w:hint="default"/>
                      <w:color w:val="auto"/>
                      <w:lang w:val="en-US" w:eastAsia="zh-CN"/>
                    </w:rPr>
                  </w:pPr>
                  <w:r>
                    <w:rPr>
                      <w:rFonts w:hint="eastAsia"/>
                      <w:color w:val="auto"/>
                      <w:lang w:val="en-US" w:eastAsia="zh-CN"/>
                    </w:rPr>
                    <w:t>47.46</w:t>
                  </w:r>
                </w:p>
              </w:tc>
              <w:tc>
                <w:tcPr>
                  <w:tcW w:w="253" w:type="pct"/>
                  <w:vMerge w:val="continue"/>
                  <w:tcBorders>
                    <w:left w:val="single" w:color="auto" w:sz="4" w:space="0"/>
                    <w:right w:val="single" w:color="auto" w:sz="4" w:space="0"/>
                  </w:tcBorders>
                  <w:vAlign w:val="center"/>
                </w:tcPr>
                <w:p w14:paraId="5ACADAED">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6FDDE02">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217A981">
                  <w:pPr>
                    <w:pStyle w:val="53"/>
                    <w:bidi w:val="0"/>
                    <w:rPr>
                      <w:rFonts w:hint="default"/>
                      <w:color w:val="auto"/>
                      <w:lang w:val="en-US" w:eastAsia="zh-CN"/>
                    </w:rPr>
                  </w:pPr>
                  <w:r>
                    <w:rPr>
                      <w:rFonts w:hint="eastAsia"/>
                      <w:color w:val="auto"/>
                      <w:lang w:val="en-US" w:eastAsia="zh-CN"/>
                    </w:rPr>
                    <w:t>37.46</w:t>
                  </w:r>
                </w:p>
              </w:tc>
              <w:tc>
                <w:tcPr>
                  <w:tcW w:w="364" w:type="pct"/>
                  <w:tcBorders>
                    <w:top w:val="single" w:color="auto" w:sz="4" w:space="0"/>
                    <w:left w:val="single" w:color="auto" w:sz="4" w:space="0"/>
                    <w:bottom w:val="single" w:color="auto" w:sz="4" w:space="0"/>
                    <w:right w:val="single" w:color="auto" w:sz="4" w:space="0"/>
                  </w:tcBorders>
                  <w:vAlign w:val="center"/>
                </w:tcPr>
                <w:p w14:paraId="3E91DA53">
                  <w:pPr>
                    <w:pStyle w:val="53"/>
                    <w:bidi w:val="0"/>
                    <w:rPr>
                      <w:rFonts w:hint="eastAsia"/>
                      <w:color w:val="auto"/>
                      <w:lang w:val="en-US" w:eastAsia="zh-CN"/>
                    </w:rPr>
                  </w:pPr>
                  <w:r>
                    <w:rPr>
                      <w:rFonts w:hint="eastAsia"/>
                      <w:color w:val="auto"/>
                      <w:lang w:val="en-US" w:eastAsia="zh-CN"/>
                    </w:rPr>
                    <w:t>1</w:t>
                  </w:r>
                </w:p>
              </w:tc>
            </w:tr>
            <w:tr w14:paraId="7FDB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5CB40111">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CF554AE">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4DD9561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36D5449">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3824319B">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323E21F">
                  <w:pPr>
                    <w:pStyle w:val="53"/>
                    <w:bidi w:val="0"/>
                    <w:ind w:firstLine="0" w:firstLineChars="0"/>
                    <w:rPr>
                      <w:rFonts w:hint="eastAsia"/>
                      <w:color w:val="auto"/>
                      <w:lang w:val="en-US" w:eastAsia="zh-CN"/>
                    </w:rPr>
                  </w:pPr>
                  <w:r>
                    <w:rPr>
                      <w:rFonts w:hint="eastAsia"/>
                      <w:color w:val="auto"/>
                      <w:lang w:val="en-US" w:eastAsia="zh-CN"/>
                    </w:rPr>
                    <w:t>-7.48</w:t>
                  </w:r>
                </w:p>
              </w:tc>
              <w:tc>
                <w:tcPr>
                  <w:tcW w:w="649" w:type="dxa"/>
                  <w:tcBorders>
                    <w:top w:val="single" w:color="auto" w:sz="4" w:space="0"/>
                    <w:left w:val="single" w:color="auto" w:sz="4" w:space="0"/>
                    <w:bottom w:val="single" w:color="auto" w:sz="4" w:space="0"/>
                    <w:right w:val="single" w:color="auto" w:sz="4" w:space="0"/>
                  </w:tcBorders>
                  <w:vAlign w:val="center"/>
                </w:tcPr>
                <w:p w14:paraId="64948503">
                  <w:pPr>
                    <w:pStyle w:val="53"/>
                    <w:bidi w:val="0"/>
                    <w:ind w:firstLine="0" w:firstLineChars="0"/>
                    <w:rPr>
                      <w:rFonts w:hint="eastAsia"/>
                      <w:color w:val="auto"/>
                      <w:lang w:val="en-US" w:eastAsia="zh-CN"/>
                    </w:rPr>
                  </w:pPr>
                  <w:r>
                    <w:rPr>
                      <w:rFonts w:hint="eastAsia"/>
                      <w:color w:val="auto"/>
                      <w:lang w:val="en-US" w:eastAsia="zh-CN"/>
                    </w:rPr>
                    <w:t>4</w:t>
                  </w:r>
                </w:p>
              </w:tc>
              <w:tc>
                <w:tcPr>
                  <w:tcW w:w="656" w:type="dxa"/>
                  <w:tcBorders>
                    <w:top w:val="single" w:color="auto" w:sz="4" w:space="0"/>
                    <w:left w:val="single" w:color="auto" w:sz="4" w:space="0"/>
                    <w:bottom w:val="single" w:color="auto" w:sz="4" w:space="0"/>
                    <w:right w:val="single" w:color="auto" w:sz="4" w:space="0"/>
                  </w:tcBorders>
                  <w:vAlign w:val="center"/>
                </w:tcPr>
                <w:p w14:paraId="3474DD89">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B696F6C">
                  <w:pPr>
                    <w:pStyle w:val="53"/>
                    <w:bidi w:val="0"/>
                    <w:rPr>
                      <w:rFonts w:hint="default"/>
                      <w:color w:val="auto"/>
                      <w:lang w:val="en-US" w:eastAsia="zh-CN"/>
                    </w:rPr>
                  </w:pPr>
                  <w:r>
                    <w:rPr>
                      <w:rFonts w:hint="eastAsia"/>
                      <w:color w:val="auto"/>
                      <w:lang w:val="en-US" w:eastAsia="zh-CN"/>
                    </w:rPr>
                    <w:t>21.81</w:t>
                  </w:r>
                </w:p>
              </w:tc>
              <w:tc>
                <w:tcPr>
                  <w:tcW w:w="347" w:type="pct"/>
                  <w:tcBorders>
                    <w:top w:val="single" w:color="auto" w:sz="4" w:space="0"/>
                    <w:left w:val="single" w:color="auto" w:sz="4" w:space="0"/>
                    <w:bottom w:val="single" w:color="auto" w:sz="4" w:space="0"/>
                    <w:right w:val="single" w:color="auto" w:sz="4" w:space="0"/>
                  </w:tcBorders>
                  <w:vAlign w:val="center"/>
                </w:tcPr>
                <w:p w14:paraId="48B67CAA">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222B6CFA">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D476A38">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DAEC25E">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60A64F6D">
                  <w:pPr>
                    <w:pStyle w:val="53"/>
                    <w:bidi w:val="0"/>
                    <w:rPr>
                      <w:rFonts w:hint="eastAsia"/>
                      <w:color w:val="auto"/>
                      <w:lang w:val="en-US" w:eastAsia="zh-CN"/>
                    </w:rPr>
                  </w:pPr>
                  <w:r>
                    <w:rPr>
                      <w:rFonts w:hint="eastAsia"/>
                      <w:color w:val="auto"/>
                      <w:lang w:val="en-US" w:eastAsia="zh-CN"/>
                    </w:rPr>
                    <w:t>1</w:t>
                  </w:r>
                </w:p>
              </w:tc>
            </w:tr>
            <w:tr w14:paraId="00DD1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32F250D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570DB51F">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0C1CDF74">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1D9AAB5F">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1C4EA596">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721A825">
                  <w:pPr>
                    <w:pStyle w:val="53"/>
                    <w:bidi w:val="0"/>
                    <w:ind w:firstLine="0" w:firstLineChars="0"/>
                    <w:rPr>
                      <w:rFonts w:hint="eastAsia"/>
                      <w:color w:val="auto"/>
                      <w:lang w:val="en-US" w:eastAsia="zh-CN"/>
                    </w:rPr>
                  </w:pPr>
                  <w:r>
                    <w:rPr>
                      <w:rFonts w:hint="eastAsia"/>
                      <w:color w:val="auto"/>
                      <w:lang w:val="en-US" w:eastAsia="zh-CN"/>
                    </w:rPr>
                    <w:t>-7.48</w:t>
                  </w:r>
                </w:p>
              </w:tc>
              <w:tc>
                <w:tcPr>
                  <w:tcW w:w="649" w:type="dxa"/>
                  <w:tcBorders>
                    <w:top w:val="single" w:color="auto" w:sz="4" w:space="0"/>
                    <w:left w:val="single" w:color="auto" w:sz="4" w:space="0"/>
                    <w:bottom w:val="single" w:color="auto" w:sz="4" w:space="0"/>
                    <w:right w:val="single" w:color="auto" w:sz="4" w:space="0"/>
                  </w:tcBorders>
                  <w:vAlign w:val="center"/>
                </w:tcPr>
                <w:p w14:paraId="09CC510C">
                  <w:pPr>
                    <w:pStyle w:val="53"/>
                    <w:bidi w:val="0"/>
                    <w:ind w:firstLine="0" w:firstLineChars="0"/>
                    <w:rPr>
                      <w:rFonts w:hint="eastAsia"/>
                      <w:color w:val="auto"/>
                      <w:lang w:val="en-US" w:eastAsia="zh-CN"/>
                    </w:rPr>
                  </w:pPr>
                  <w:r>
                    <w:rPr>
                      <w:rFonts w:hint="eastAsia"/>
                      <w:color w:val="auto"/>
                      <w:lang w:val="en-US" w:eastAsia="zh-CN"/>
                    </w:rPr>
                    <w:t>4</w:t>
                  </w:r>
                </w:p>
              </w:tc>
              <w:tc>
                <w:tcPr>
                  <w:tcW w:w="656" w:type="dxa"/>
                  <w:tcBorders>
                    <w:top w:val="single" w:color="auto" w:sz="4" w:space="0"/>
                    <w:left w:val="single" w:color="auto" w:sz="4" w:space="0"/>
                    <w:bottom w:val="single" w:color="auto" w:sz="4" w:space="0"/>
                    <w:right w:val="single" w:color="auto" w:sz="4" w:space="0"/>
                  </w:tcBorders>
                  <w:vAlign w:val="center"/>
                </w:tcPr>
                <w:p w14:paraId="1AC92711">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E0A0AD6">
                  <w:pPr>
                    <w:pStyle w:val="53"/>
                    <w:bidi w:val="0"/>
                    <w:rPr>
                      <w:rFonts w:hint="default"/>
                      <w:color w:val="auto"/>
                      <w:lang w:val="en-US" w:eastAsia="zh-CN"/>
                    </w:rPr>
                  </w:pPr>
                  <w:r>
                    <w:rPr>
                      <w:rFonts w:hint="eastAsia"/>
                      <w:color w:val="auto"/>
                      <w:lang w:val="en-US" w:eastAsia="zh-CN"/>
                    </w:rPr>
                    <w:t>10.99</w:t>
                  </w:r>
                </w:p>
              </w:tc>
              <w:tc>
                <w:tcPr>
                  <w:tcW w:w="347" w:type="pct"/>
                  <w:tcBorders>
                    <w:top w:val="single" w:color="auto" w:sz="4" w:space="0"/>
                    <w:left w:val="single" w:color="auto" w:sz="4" w:space="0"/>
                    <w:bottom w:val="single" w:color="auto" w:sz="4" w:space="0"/>
                    <w:right w:val="single" w:color="auto" w:sz="4" w:space="0"/>
                  </w:tcBorders>
                  <w:vAlign w:val="center"/>
                </w:tcPr>
                <w:p w14:paraId="22752244">
                  <w:pPr>
                    <w:pStyle w:val="53"/>
                    <w:bidi w:val="0"/>
                    <w:rPr>
                      <w:rFonts w:hint="default"/>
                      <w:color w:val="auto"/>
                      <w:lang w:val="en-US" w:eastAsia="zh-CN"/>
                    </w:rPr>
                  </w:pPr>
                  <w:r>
                    <w:rPr>
                      <w:rFonts w:hint="eastAsia"/>
                      <w:color w:val="auto"/>
                      <w:lang w:val="en-US" w:eastAsia="zh-CN"/>
                    </w:rPr>
                    <w:t>47.46</w:t>
                  </w:r>
                </w:p>
              </w:tc>
              <w:tc>
                <w:tcPr>
                  <w:tcW w:w="253" w:type="pct"/>
                  <w:vMerge w:val="continue"/>
                  <w:tcBorders>
                    <w:left w:val="single" w:color="auto" w:sz="4" w:space="0"/>
                    <w:right w:val="single" w:color="auto" w:sz="4" w:space="0"/>
                  </w:tcBorders>
                  <w:vAlign w:val="center"/>
                </w:tcPr>
                <w:p w14:paraId="2049BFD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49EC13A">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13499EB">
                  <w:pPr>
                    <w:pStyle w:val="53"/>
                    <w:bidi w:val="0"/>
                    <w:rPr>
                      <w:rFonts w:hint="default"/>
                      <w:color w:val="auto"/>
                      <w:lang w:val="en-US" w:eastAsia="zh-CN"/>
                    </w:rPr>
                  </w:pPr>
                  <w:r>
                    <w:rPr>
                      <w:rFonts w:hint="eastAsia"/>
                      <w:color w:val="auto"/>
                      <w:lang w:val="en-US" w:eastAsia="zh-CN"/>
                    </w:rPr>
                    <w:t>37.46</w:t>
                  </w:r>
                </w:p>
              </w:tc>
              <w:tc>
                <w:tcPr>
                  <w:tcW w:w="364" w:type="pct"/>
                  <w:tcBorders>
                    <w:top w:val="single" w:color="auto" w:sz="4" w:space="0"/>
                    <w:left w:val="single" w:color="auto" w:sz="4" w:space="0"/>
                    <w:bottom w:val="single" w:color="auto" w:sz="4" w:space="0"/>
                    <w:right w:val="single" w:color="auto" w:sz="4" w:space="0"/>
                  </w:tcBorders>
                  <w:vAlign w:val="center"/>
                </w:tcPr>
                <w:p w14:paraId="3DABB820">
                  <w:pPr>
                    <w:pStyle w:val="53"/>
                    <w:bidi w:val="0"/>
                    <w:rPr>
                      <w:rFonts w:hint="eastAsia"/>
                      <w:color w:val="auto"/>
                      <w:lang w:val="en-US" w:eastAsia="zh-CN"/>
                    </w:rPr>
                  </w:pPr>
                  <w:r>
                    <w:rPr>
                      <w:rFonts w:hint="eastAsia"/>
                      <w:color w:val="auto"/>
                      <w:lang w:val="en-US" w:eastAsia="zh-CN"/>
                    </w:rPr>
                    <w:t>1</w:t>
                  </w:r>
                </w:p>
              </w:tc>
            </w:tr>
            <w:tr w14:paraId="735E2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1EA9E42B">
                  <w:pPr>
                    <w:pStyle w:val="53"/>
                    <w:bidi w:val="0"/>
                    <w:rPr>
                      <w:rFonts w:hint="eastAsia" w:eastAsia="宋体"/>
                      <w:color w:val="auto"/>
                      <w:lang w:val="en-US" w:eastAsia="zh-CN"/>
                    </w:rPr>
                  </w:pPr>
                  <w:r>
                    <w:rPr>
                      <w:rFonts w:hint="eastAsia"/>
                      <w:color w:val="auto"/>
                      <w:lang w:val="en-US" w:eastAsia="zh-CN"/>
                    </w:rPr>
                    <w:t>5</w:t>
                  </w:r>
                </w:p>
              </w:tc>
              <w:tc>
                <w:tcPr>
                  <w:tcW w:w="502" w:type="pct"/>
                  <w:tcBorders>
                    <w:top w:val="single" w:color="auto" w:sz="4" w:space="0"/>
                    <w:left w:val="single" w:color="auto" w:sz="4" w:space="0"/>
                    <w:bottom w:val="single" w:color="auto" w:sz="4" w:space="0"/>
                    <w:right w:val="single" w:color="auto" w:sz="4" w:space="0"/>
                  </w:tcBorders>
                  <w:vAlign w:val="center"/>
                </w:tcPr>
                <w:p w14:paraId="38D459BC">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637F08F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9C4966D">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004B0AD4">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050F34D0">
                  <w:pPr>
                    <w:pStyle w:val="53"/>
                    <w:bidi w:val="0"/>
                    <w:rPr>
                      <w:rFonts w:hint="default"/>
                      <w:color w:val="auto"/>
                      <w:lang w:val="en-US" w:eastAsia="zh-CN"/>
                    </w:rPr>
                  </w:pPr>
                  <w:r>
                    <w:rPr>
                      <w:rFonts w:hint="eastAsia"/>
                      <w:color w:val="auto"/>
                      <w:lang w:val="en-US" w:eastAsia="zh-CN"/>
                    </w:rPr>
                    <w:t>-2.87</w:t>
                  </w:r>
                </w:p>
              </w:tc>
              <w:tc>
                <w:tcPr>
                  <w:tcW w:w="408" w:type="pct"/>
                  <w:tcBorders>
                    <w:top w:val="single" w:color="auto" w:sz="4" w:space="0"/>
                    <w:left w:val="single" w:color="auto" w:sz="4" w:space="0"/>
                    <w:bottom w:val="single" w:color="auto" w:sz="4" w:space="0"/>
                    <w:right w:val="single" w:color="auto" w:sz="4" w:space="0"/>
                  </w:tcBorders>
                  <w:vAlign w:val="center"/>
                </w:tcPr>
                <w:p w14:paraId="3642F745">
                  <w:pPr>
                    <w:pStyle w:val="53"/>
                    <w:bidi w:val="0"/>
                    <w:rPr>
                      <w:rFonts w:hint="default"/>
                      <w:color w:val="auto"/>
                      <w:lang w:val="en-US" w:eastAsia="zh-CN"/>
                    </w:rPr>
                  </w:pPr>
                  <w:r>
                    <w:rPr>
                      <w:rFonts w:hint="eastAsia"/>
                      <w:color w:val="auto"/>
                      <w:lang w:val="en-US" w:eastAsia="zh-CN"/>
                    </w:rPr>
                    <w:t>7.39</w:t>
                  </w:r>
                </w:p>
              </w:tc>
              <w:tc>
                <w:tcPr>
                  <w:tcW w:w="413" w:type="pct"/>
                  <w:tcBorders>
                    <w:top w:val="single" w:color="auto" w:sz="4" w:space="0"/>
                    <w:left w:val="single" w:color="auto" w:sz="4" w:space="0"/>
                    <w:bottom w:val="single" w:color="auto" w:sz="4" w:space="0"/>
                    <w:right w:val="single" w:color="auto" w:sz="4" w:space="0"/>
                  </w:tcBorders>
                  <w:vAlign w:val="center"/>
                </w:tcPr>
                <w:p w14:paraId="40D476E9">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040AE6C">
                  <w:pPr>
                    <w:pStyle w:val="53"/>
                    <w:bidi w:val="0"/>
                    <w:rPr>
                      <w:rFonts w:hint="default"/>
                      <w:color w:val="auto"/>
                      <w:lang w:val="en-US" w:eastAsia="zh-CN"/>
                    </w:rPr>
                  </w:pPr>
                  <w:r>
                    <w:rPr>
                      <w:rFonts w:hint="eastAsia"/>
                      <w:color w:val="auto"/>
                      <w:lang w:val="en-US" w:eastAsia="zh-CN"/>
                    </w:rPr>
                    <w:t>4.99</w:t>
                  </w:r>
                </w:p>
              </w:tc>
              <w:tc>
                <w:tcPr>
                  <w:tcW w:w="347" w:type="pct"/>
                  <w:tcBorders>
                    <w:top w:val="single" w:color="auto" w:sz="4" w:space="0"/>
                    <w:left w:val="single" w:color="auto" w:sz="4" w:space="0"/>
                    <w:bottom w:val="single" w:color="auto" w:sz="4" w:space="0"/>
                    <w:right w:val="single" w:color="auto" w:sz="4" w:space="0"/>
                  </w:tcBorders>
                  <w:vAlign w:val="center"/>
                </w:tcPr>
                <w:p w14:paraId="7C539EE8">
                  <w:pPr>
                    <w:pStyle w:val="53"/>
                    <w:bidi w:val="0"/>
                    <w:rPr>
                      <w:rFonts w:hint="default"/>
                      <w:color w:val="auto"/>
                      <w:lang w:val="en-US" w:eastAsia="zh-CN"/>
                    </w:rPr>
                  </w:pPr>
                  <w:r>
                    <w:rPr>
                      <w:rFonts w:hint="eastAsia"/>
                      <w:color w:val="auto"/>
                      <w:lang w:val="en-US" w:eastAsia="zh-CN"/>
                    </w:rPr>
                    <w:t>47.52</w:t>
                  </w:r>
                </w:p>
              </w:tc>
              <w:tc>
                <w:tcPr>
                  <w:tcW w:w="253" w:type="pct"/>
                  <w:vMerge w:val="continue"/>
                  <w:tcBorders>
                    <w:left w:val="single" w:color="auto" w:sz="4" w:space="0"/>
                    <w:right w:val="single" w:color="auto" w:sz="4" w:space="0"/>
                  </w:tcBorders>
                  <w:vAlign w:val="center"/>
                </w:tcPr>
                <w:p w14:paraId="64961609">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031A6B5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3486EA7">
                  <w:pPr>
                    <w:pStyle w:val="53"/>
                    <w:bidi w:val="0"/>
                    <w:rPr>
                      <w:rFonts w:hint="default"/>
                      <w:color w:val="auto"/>
                      <w:lang w:val="en-US" w:eastAsia="zh-CN"/>
                    </w:rPr>
                  </w:pPr>
                  <w:r>
                    <w:rPr>
                      <w:rFonts w:hint="eastAsia"/>
                      <w:color w:val="auto"/>
                      <w:lang w:val="en-US" w:eastAsia="zh-CN"/>
                    </w:rPr>
                    <w:t>37.52</w:t>
                  </w:r>
                </w:p>
              </w:tc>
              <w:tc>
                <w:tcPr>
                  <w:tcW w:w="364" w:type="pct"/>
                  <w:tcBorders>
                    <w:top w:val="single" w:color="auto" w:sz="4" w:space="0"/>
                    <w:left w:val="single" w:color="auto" w:sz="4" w:space="0"/>
                    <w:bottom w:val="single" w:color="auto" w:sz="4" w:space="0"/>
                    <w:right w:val="single" w:color="auto" w:sz="4" w:space="0"/>
                  </w:tcBorders>
                  <w:vAlign w:val="center"/>
                </w:tcPr>
                <w:p w14:paraId="08FFD6D5">
                  <w:pPr>
                    <w:pStyle w:val="53"/>
                    <w:bidi w:val="0"/>
                    <w:rPr>
                      <w:rFonts w:hint="eastAsia"/>
                      <w:color w:val="auto"/>
                      <w:lang w:val="en-US" w:eastAsia="zh-CN"/>
                    </w:rPr>
                  </w:pPr>
                  <w:r>
                    <w:rPr>
                      <w:rFonts w:hint="eastAsia"/>
                      <w:color w:val="auto"/>
                      <w:lang w:val="en-US" w:eastAsia="zh-CN"/>
                    </w:rPr>
                    <w:t>1</w:t>
                  </w:r>
                </w:p>
              </w:tc>
            </w:tr>
            <w:tr w14:paraId="4579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48B6C08">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3C0FCB3">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31115A9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3A5C5085">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0CE8953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2F5AB5C">
                  <w:pPr>
                    <w:pStyle w:val="53"/>
                    <w:bidi w:val="0"/>
                    <w:ind w:firstLine="0" w:firstLineChars="0"/>
                    <w:rPr>
                      <w:rFonts w:hint="eastAsia"/>
                      <w:color w:val="auto"/>
                      <w:lang w:val="en-US" w:eastAsia="zh-CN"/>
                    </w:rPr>
                  </w:pPr>
                  <w:r>
                    <w:rPr>
                      <w:rFonts w:hint="eastAsia"/>
                      <w:color w:val="auto"/>
                      <w:lang w:val="en-US" w:eastAsia="zh-CN"/>
                    </w:rPr>
                    <w:t>-2.87</w:t>
                  </w:r>
                </w:p>
              </w:tc>
              <w:tc>
                <w:tcPr>
                  <w:tcW w:w="649" w:type="dxa"/>
                  <w:tcBorders>
                    <w:top w:val="single" w:color="auto" w:sz="4" w:space="0"/>
                    <w:left w:val="single" w:color="auto" w:sz="4" w:space="0"/>
                    <w:bottom w:val="single" w:color="auto" w:sz="4" w:space="0"/>
                    <w:right w:val="single" w:color="auto" w:sz="4" w:space="0"/>
                  </w:tcBorders>
                  <w:vAlign w:val="center"/>
                </w:tcPr>
                <w:p w14:paraId="12A4B198">
                  <w:pPr>
                    <w:pStyle w:val="53"/>
                    <w:bidi w:val="0"/>
                    <w:ind w:firstLine="0" w:firstLineChars="0"/>
                    <w:rPr>
                      <w:rFonts w:hint="eastAsia"/>
                      <w:color w:val="auto"/>
                      <w:lang w:val="en-US" w:eastAsia="zh-CN"/>
                    </w:rPr>
                  </w:pPr>
                  <w:r>
                    <w:rPr>
                      <w:rFonts w:hint="eastAsia"/>
                      <w:color w:val="auto"/>
                      <w:lang w:val="en-US" w:eastAsia="zh-CN"/>
                    </w:rPr>
                    <w:t>7.39</w:t>
                  </w:r>
                </w:p>
              </w:tc>
              <w:tc>
                <w:tcPr>
                  <w:tcW w:w="656" w:type="dxa"/>
                  <w:tcBorders>
                    <w:top w:val="single" w:color="auto" w:sz="4" w:space="0"/>
                    <w:left w:val="single" w:color="auto" w:sz="4" w:space="0"/>
                    <w:bottom w:val="single" w:color="auto" w:sz="4" w:space="0"/>
                    <w:right w:val="single" w:color="auto" w:sz="4" w:space="0"/>
                  </w:tcBorders>
                  <w:vAlign w:val="center"/>
                </w:tcPr>
                <w:p w14:paraId="543438B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8B6BEE5">
                  <w:pPr>
                    <w:pStyle w:val="53"/>
                    <w:bidi w:val="0"/>
                    <w:rPr>
                      <w:rFonts w:hint="default"/>
                      <w:color w:val="auto"/>
                      <w:lang w:val="en-US" w:eastAsia="zh-CN"/>
                    </w:rPr>
                  </w:pPr>
                  <w:r>
                    <w:rPr>
                      <w:rFonts w:hint="eastAsia"/>
                      <w:color w:val="auto"/>
                      <w:lang w:val="en-US" w:eastAsia="zh-CN"/>
                    </w:rPr>
                    <w:t>5.49</w:t>
                  </w:r>
                </w:p>
              </w:tc>
              <w:tc>
                <w:tcPr>
                  <w:tcW w:w="347" w:type="pct"/>
                  <w:tcBorders>
                    <w:top w:val="single" w:color="auto" w:sz="4" w:space="0"/>
                    <w:left w:val="single" w:color="auto" w:sz="4" w:space="0"/>
                    <w:bottom w:val="single" w:color="auto" w:sz="4" w:space="0"/>
                    <w:right w:val="single" w:color="auto" w:sz="4" w:space="0"/>
                  </w:tcBorders>
                  <w:vAlign w:val="center"/>
                </w:tcPr>
                <w:p w14:paraId="1DE3846D">
                  <w:pPr>
                    <w:pStyle w:val="53"/>
                    <w:bidi w:val="0"/>
                    <w:rPr>
                      <w:rFonts w:hint="default"/>
                      <w:color w:val="auto"/>
                      <w:lang w:val="en-US" w:eastAsia="zh-CN"/>
                    </w:rPr>
                  </w:pPr>
                  <w:r>
                    <w:rPr>
                      <w:rFonts w:hint="eastAsia"/>
                      <w:color w:val="auto"/>
                      <w:lang w:val="en-US" w:eastAsia="zh-CN"/>
                    </w:rPr>
                    <w:t>47.51</w:t>
                  </w:r>
                </w:p>
              </w:tc>
              <w:tc>
                <w:tcPr>
                  <w:tcW w:w="253" w:type="pct"/>
                  <w:vMerge w:val="continue"/>
                  <w:tcBorders>
                    <w:left w:val="single" w:color="auto" w:sz="4" w:space="0"/>
                    <w:right w:val="single" w:color="auto" w:sz="4" w:space="0"/>
                  </w:tcBorders>
                  <w:vAlign w:val="center"/>
                </w:tcPr>
                <w:p w14:paraId="4C8AA6F6">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F6F50C5">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CB60E42">
                  <w:pPr>
                    <w:pStyle w:val="53"/>
                    <w:bidi w:val="0"/>
                    <w:rPr>
                      <w:rFonts w:hint="default"/>
                      <w:color w:val="auto"/>
                      <w:lang w:val="en-US" w:eastAsia="zh-CN"/>
                    </w:rPr>
                  </w:pPr>
                  <w:r>
                    <w:rPr>
                      <w:rFonts w:hint="eastAsia"/>
                      <w:color w:val="auto"/>
                      <w:lang w:val="en-US" w:eastAsia="zh-CN"/>
                    </w:rPr>
                    <w:t>37.51</w:t>
                  </w:r>
                </w:p>
              </w:tc>
              <w:tc>
                <w:tcPr>
                  <w:tcW w:w="364" w:type="pct"/>
                  <w:tcBorders>
                    <w:top w:val="single" w:color="auto" w:sz="4" w:space="0"/>
                    <w:left w:val="single" w:color="auto" w:sz="4" w:space="0"/>
                    <w:bottom w:val="single" w:color="auto" w:sz="4" w:space="0"/>
                    <w:right w:val="single" w:color="auto" w:sz="4" w:space="0"/>
                  </w:tcBorders>
                  <w:vAlign w:val="center"/>
                </w:tcPr>
                <w:p w14:paraId="024A2380">
                  <w:pPr>
                    <w:pStyle w:val="53"/>
                    <w:bidi w:val="0"/>
                    <w:rPr>
                      <w:rFonts w:hint="eastAsia"/>
                      <w:color w:val="auto"/>
                      <w:lang w:val="en-US" w:eastAsia="zh-CN"/>
                    </w:rPr>
                  </w:pPr>
                  <w:r>
                    <w:rPr>
                      <w:rFonts w:hint="eastAsia"/>
                      <w:color w:val="auto"/>
                      <w:lang w:val="en-US" w:eastAsia="zh-CN"/>
                    </w:rPr>
                    <w:t>1</w:t>
                  </w:r>
                </w:p>
              </w:tc>
            </w:tr>
            <w:tr w14:paraId="467F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EB5AE40">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BDE5195">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6303F76E">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09B6FAD">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452B614A">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12B318F3">
                  <w:pPr>
                    <w:pStyle w:val="53"/>
                    <w:bidi w:val="0"/>
                    <w:ind w:firstLine="0" w:firstLineChars="0"/>
                    <w:rPr>
                      <w:rFonts w:hint="eastAsia"/>
                      <w:color w:val="auto"/>
                      <w:lang w:val="en-US" w:eastAsia="zh-CN"/>
                    </w:rPr>
                  </w:pPr>
                  <w:r>
                    <w:rPr>
                      <w:rFonts w:hint="eastAsia"/>
                      <w:color w:val="auto"/>
                      <w:lang w:val="en-US" w:eastAsia="zh-CN"/>
                    </w:rPr>
                    <w:t>-2.87</w:t>
                  </w:r>
                </w:p>
              </w:tc>
              <w:tc>
                <w:tcPr>
                  <w:tcW w:w="649" w:type="dxa"/>
                  <w:tcBorders>
                    <w:top w:val="single" w:color="auto" w:sz="4" w:space="0"/>
                    <w:left w:val="single" w:color="auto" w:sz="4" w:space="0"/>
                    <w:bottom w:val="single" w:color="auto" w:sz="4" w:space="0"/>
                    <w:right w:val="single" w:color="auto" w:sz="4" w:space="0"/>
                  </w:tcBorders>
                  <w:vAlign w:val="center"/>
                </w:tcPr>
                <w:p w14:paraId="5284C7CE">
                  <w:pPr>
                    <w:pStyle w:val="53"/>
                    <w:bidi w:val="0"/>
                    <w:ind w:firstLine="0" w:firstLineChars="0"/>
                    <w:rPr>
                      <w:rFonts w:hint="eastAsia"/>
                      <w:color w:val="auto"/>
                      <w:lang w:val="en-US" w:eastAsia="zh-CN"/>
                    </w:rPr>
                  </w:pPr>
                  <w:r>
                    <w:rPr>
                      <w:rFonts w:hint="eastAsia"/>
                      <w:color w:val="auto"/>
                      <w:lang w:val="en-US" w:eastAsia="zh-CN"/>
                    </w:rPr>
                    <w:t>7.39</w:t>
                  </w:r>
                </w:p>
              </w:tc>
              <w:tc>
                <w:tcPr>
                  <w:tcW w:w="656" w:type="dxa"/>
                  <w:tcBorders>
                    <w:top w:val="single" w:color="auto" w:sz="4" w:space="0"/>
                    <w:left w:val="single" w:color="auto" w:sz="4" w:space="0"/>
                    <w:bottom w:val="single" w:color="auto" w:sz="4" w:space="0"/>
                    <w:right w:val="single" w:color="auto" w:sz="4" w:space="0"/>
                  </w:tcBorders>
                  <w:vAlign w:val="center"/>
                </w:tcPr>
                <w:p w14:paraId="64AE2F11">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956BBC8">
                  <w:pPr>
                    <w:pStyle w:val="53"/>
                    <w:bidi w:val="0"/>
                    <w:rPr>
                      <w:rFonts w:hint="default"/>
                      <w:color w:val="auto"/>
                      <w:lang w:val="en-US" w:eastAsia="zh-CN"/>
                    </w:rPr>
                  </w:pPr>
                  <w:r>
                    <w:rPr>
                      <w:rFonts w:hint="eastAsia"/>
                      <w:color w:val="auto"/>
                      <w:lang w:val="en-US" w:eastAsia="zh-CN"/>
                    </w:rPr>
                    <w:t>20.07</w:t>
                  </w:r>
                </w:p>
              </w:tc>
              <w:tc>
                <w:tcPr>
                  <w:tcW w:w="347" w:type="pct"/>
                  <w:tcBorders>
                    <w:top w:val="single" w:color="auto" w:sz="4" w:space="0"/>
                    <w:left w:val="single" w:color="auto" w:sz="4" w:space="0"/>
                    <w:bottom w:val="single" w:color="auto" w:sz="4" w:space="0"/>
                    <w:right w:val="single" w:color="auto" w:sz="4" w:space="0"/>
                  </w:tcBorders>
                  <w:vAlign w:val="center"/>
                </w:tcPr>
                <w:p w14:paraId="23BBEA76">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44576BE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FA8A979">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10C6042">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7D32E1F2">
                  <w:pPr>
                    <w:pStyle w:val="53"/>
                    <w:bidi w:val="0"/>
                    <w:rPr>
                      <w:rFonts w:hint="eastAsia"/>
                      <w:color w:val="auto"/>
                      <w:lang w:val="en-US" w:eastAsia="zh-CN"/>
                    </w:rPr>
                  </w:pPr>
                  <w:r>
                    <w:rPr>
                      <w:rFonts w:hint="eastAsia"/>
                      <w:color w:val="auto"/>
                      <w:lang w:val="en-US" w:eastAsia="zh-CN"/>
                    </w:rPr>
                    <w:t>1</w:t>
                  </w:r>
                </w:p>
              </w:tc>
            </w:tr>
            <w:tr w14:paraId="02CE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26756843">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24D739B">
                  <w:pPr>
                    <w:pStyle w:val="53"/>
                    <w:bidi w:val="0"/>
                    <w:ind w:firstLine="0" w:firstLineChars="0"/>
                    <w:rPr>
                      <w:rFonts w:hint="eastAsia"/>
                      <w:color w:val="auto"/>
                      <w:lang w:val="en-US" w:eastAsia="zh-CN"/>
                    </w:rPr>
                  </w:pPr>
                  <w:r>
                    <w:rPr>
                      <w:rFonts w:hint="eastAsia"/>
                      <w:color w:val="auto"/>
                      <w:lang w:val="en-US" w:eastAsia="zh-CN"/>
                    </w:rPr>
                    <w:t>熔融挤出机</w:t>
                  </w:r>
                </w:p>
              </w:tc>
              <w:tc>
                <w:tcPr>
                  <w:tcW w:w="243" w:type="pct"/>
                  <w:tcBorders>
                    <w:top w:val="single" w:color="auto" w:sz="4" w:space="0"/>
                    <w:left w:val="single" w:color="auto" w:sz="4" w:space="0"/>
                    <w:bottom w:val="single" w:color="auto" w:sz="4" w:space="0"/>
                    <w:right w:val="single" w:color="auto" w:sz="4" w:space="0"/>
                  </w:tcBorders>
                  <w:vAlign w:val="center"/>
                </w:tcPr>
                <w:p w14:paraId="17D945B4">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7F976617">
                  <w:pPr>
                    <w:pStyle w:val="53"/>
                    <w:bidi w:val="0"/>
                    <w:ind w:firstLine="0" w:firstLineChars="0"/>
                    <w:rPr>
                      <w:rFonts w:hint="eastAsia"/>
                      <w:color w:val="auto"/>
                      <w:lang w:val="en-US" w:eastAsia="zh-CN"/>
                    </w:rPr>
                  </w:pPr>
                  <w:r>
                    <w:rPr>
                      <w:rFonts w:hint="eastAsia"/>
                      <w:color w:val="auto"/>
                      <w:lang w:val="en-US" w:eastAsia="zh-CN"/>
                    </w:rPr>
                    <w:t>65</w:t>
                  </w:r>
                </w:p>
              </w:tc>
              <w:tc>
                <w:tcPr>
                  <w:tcW w:w="410" w:type="pct"/>
                  <w:vMerge w:val="continue"/>
                  <w:tcBorders>
                    <w:left w:val="single" w:color="auto" w:sz="4" w:space="0"/>
                    <w:right w:val="single" w:color="auto" w:sz="4" w:space="0"/>
                  </w:tcBorders>
                  <w:vAlign w:val="center"/>
                </w:tcPr>
                <w:p w14:paraId="258E204B">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113E5AF">
                  <w:pPr>
                    <w:pStyle w:val="53"/>
                    <w:bidi w:val="0"/>
                    <w:ind w:firstLine="0" w:firstLineChars="0"/>
                    <w:rPr>
                      <w:rFonts w:hint="eastAsia"/>
                      <w:color w:val="auto"/>
                      <w:lang w:val="en-US" w:eastAsia="zh-CN"/>
                    </w:rPr>
                  </w:pPr>
                  <w:r>
                    <w:rPr>
                      <w:rFonts w:hint="eastAsia"/>
                      <w:color w:val="auto"/>
                      <w:lang w:val="en-US" w:eastAsia="zh-CN"/>
                    </w:rPr>
                    <w:t>-2.87</w:t>
                  </w:r>
                </w:p>
              </w:tc>
              <w:tc>
                <w:tcPr>
                  <w:tcW w:w="649" w:type="dxa"/>
                  <w:tcBorders>
                    <w:top w:val="single" w:color="auto" w:sz="4" w:space="0"/>
                    <w:left w:val="single" w:color="auto" w:sz="4" w:space="0"/>
                    <w:bottom w:val="single" w:color="auto" w:sz="4" w:space="0"/>
                    <w:right w:val="single" w:color="auto" w:sz="4" w:space="0"/>
                  </w:tcBorders>
                  <w:vAlign w:val="center"/>
                </w:tcPr>
                <w:p w14:paraId="0590BEA9">
                  <w:pPr>
                    <w:pStyle w:val="53"/>
                    <w:bidi w:val="0"/>
                    <w:ind w:firstLine="0" w:firstLineChars="0"/>
                    <w:rPr>
                      <w:rFonts w:hint="eastAsia"/>
                      <w:color w:val="auto"/>
                      <w:lang w:val="en-US" w:eastAsia="zh-CN"/>
                    </w:rPr>
                  </w:pPr>
                  <w:r>
                    <w:rPr>
                      <w:rFonts w:hint="eastAsia"/>
                      <w:color w:val="auto"/>
                      <w:lang w:val="en-US" w:eastAsia="zh-CN"/>
                    </w:rPr>
                    <w:t>7.39</w:t>
                  </w:r>
                </w:p>
              </w:tc>
              <w:tc>
                <w:tcPr>
                  <w:tcW w:w="656" w:type="dxa"/>
                  <w:tcBorders>
                    <w:top w:val="single" w:color="auto" w:sz="4" w:space="0"/>
                    <w:left w:val="single" w:color="auto" w:sz="4" w:space="0"/>
                    <w:bottom w:val="single" w:color="auto" w:sz="4" w:space="0"/>
                    <w:right w:val="single" w:color="auto" w:sz="4" w:space="0"/>
                  </w:tcBorders>
                  <w:vAlign w:val="center"/>
                </w:tcPr>
                <w:p w14:paraId="34700CF6">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6BF2AA2">
                  <w:pPr>
                    <w:pStyle w:val="53"/>
                    <w:bidi w:val="0"/>
                    <w:rPr>
                      <w:rFonts w:hint="default"/>
                      <w:color w:val="auto"/>
                      <w:lang w:val="en-US" w:eastAsia="zh-CN"/>
                    </w:rPr>
                  </w:pPr>
                  <w:r>
                    <w:rPr>
                      <w:rFonts w:hint="eastAsia"/>
                      <w:color w:val="auto"/>
                      <w:lang w:val="en-US" w:eastAsia="zh-CN"/>
                    </w:rPr>
                    <w:t>16.30</w:t>
                  </w:r>
                </w:p>
              </w:tc>
              <w:tc>
                <w:tcPr>
                  <w:tcW w:w="347" w:type="pct"/>
                  <w:tcBorders>
                    <w:top w:val="single" w:color="auto" w:sz="4" w:space="0"/>
                    <w:left w:val="single" w:color="auto" w:sz="4" w:space="0"/>
                    <w:bottom w:val="single" w:color="auto" w:sz="4" w:space="0"/>
                    <w:right w:val="single" w:color="auto" w:sz="4" w:space="0"/>
                  </w:tcBorders>
                  <w:vAlign w:val="center"/>
                </w:tcPr>
                <w:p w14:paraId="0F7C965D">
                  <w:pPr>
                    <w:pStyle w:val="53"/>
                    <w:bidi w:val="0"/>
                    <w:rPr>
                      <w:rFonts w:hint="default"/>
                      <w:color w:val="auto"/>
                      <w:lang w:val="en-US" w:eastAsia="zh-CN"/>
                    </w:rPr>
                  </w:pPr>
                  <w:r>
                    <w:rPr>
                      <w:rFonts w:hint="eastAsia"/>
                      <w:color w:val="auto"/>
                      <w:lang w:val="en-US" w:eastAsia="zh-CN"/>
                    </w:rPr>
                    <w:t>47.45</w:t>
                  </w:r>
                </w:p>
              </w:tc>
              <w:tc>
                <w:tcPr>
                  <w:tcW w:w="253" w:type="pct"/>
                  <w:vMerge w:val="continue"/>
                  <w:tcBorders>
                    <w:left w:val="single" w:color="auto" w:sz="4" w:space="0"/>
                    <w:right w:val="single" w:color="auto" w:sz="4" w:space="0"/>
                  </w:tcBorders>
                  <w:vAlign w:val="center"/>
                </w:tcPr>
                <w:p w14:paraId="7A0C7660">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5C4DAEAF">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E20DB2E">
                  <w:pPr>
                    <w:pStyle w:val="53"/>
                    <w:bidi w:val="0"/>
                    <w:rPr>
                      <w:rFonts w:hint="default"/>
                      <w:color w:val="auto"/>
                      <w:lang w:val="en-US" w:eastAsia="zh-CN"/>
                    </w:rPr>
                  </w:pPr>
                  <w:r>
                    <w:rPr>
                      <w:rFonts w:hint="eastAsia"/>
                      <w:color w:val="auto"/>
                      <w:lang w:val="en-US" w:eastAsia="zh-CN"/>
                    </w:rPr>
                    <w:t>37.45</w:t>
                  </w:r>
                </w:p>
              </w:tc>
              <w:tc>
                <w:tcPr>
                  <w:tcW w:w="364" w:type="pct"/>
                  <w:tcBorders>
                    <w:top w:val="single" w:color="auto" w:sz="4" w:space="0"/>
                    <w:left w:val="single" w:color="auto" w:sz="4" w:space="0"/>
                    <w:bottom w:val="single" w:color="auto" w:sz="4" w:space="0"/>
                    <w:right w:val="single" w:color="auto" w:sz="4" w:space="0"/>
                  </w:tcBorders>
                  <w:vAlign w:val="center"/>
                </w:tcPr>
                <w:p w14:paraId="562B3760">
                  <w:pPr>
                    <w:pStyle w:val="53"/>
                    <w:bidi w:val="0"/>
                    <w:rPr>
                      <w:rFonts w:hint="eastAsia"/>
                      <w:color w:val="auto"/>
                      <w:lang w:val="en-US" w:eastAsia="zh-CN"/>
                    </w:rPr>
                  </w:pPr>
                  <w:r>
                    <w:rPr>
                      <w:rFonts w:hint="eastAsia"/>
                      <w:color w:val="auto"/>
                      <w:lang w:val="en-US" w:eastAsia="zh-CN"/>
                    </w:rPr>
                    <w:t>1</w:t>
                  </w:r>
                </w:p>
              </w:tc>
            </w:tr>
            <w:tr w14:paraId="71EF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31282473">
                  <w:pPr>
                    <w:pStyle w:val="53"/>
                    <w:bidi w:val="0"/>
                    <w:rPr>
                      <w:rFonts w:hint="eastAsia" w:eastAsia="宋体"/>
                      <w:color w:val="auto"/>
                      <w:lang w:val="en-US" w:eastAsia="zh-CN"/>
                    </w:rPr>
                  </w:pPr>
                  <w:r>
                    <w:rPr>
                      <w:rFonts w:hint="eastAsia"/>
                      <w:color w:val="auto"/>
                      <w:lang w:val="en-US" w:eastAsia="zh-CN"/>
                    </w:rPr>
                    <w:t>6</w:t>
                  </w:r>
                </w:p>
              </w:tc>
              <w:tc>
                <w:tcPr>
                  <w:tcW w:w="502" w:type="pct"/>
                  <w:tcBorders>
                    <w:top w:val="single" w:color="auto" w:sz="4" w:space="0"/>
                    <w:left w:val="single" w:color="auto" w:sz="4" w:space="0"/>
                    <w:bottom w:val="single" w:color="auto" w:sz="4" w:space="0"/>
                    <w:right w:val="single" w:color="auto" w:sz="4" w:space="0"/>
                  </w:tcBorders>
                  <w:vAlign w:val="center"/>
                </w:tcPr>
                <w:p w14:paraId="51D6608F">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1471DAF7">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B0B8E66">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71BE8DE">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5D54645E">
                  <w:pPr>
                    <w:pStyle w:val="53"/>
                    <w:bidi w:val="0"/>
                    <w:rPr>
                      <w:rFonts w:hint="default"/>
                      <w:color w:val="auto"/>
                      <w:lang w:val="en-US" w:eastAsia="zh-CN"/>
                    </w:rPr>
                  </w:pPr>
                  <w:r>
                    <w:rPr>
                      <w:rFonts w:hint="eastAsia"/>
                      <w:color w:val="auto"/>
                      <w:lang w:val="en-US" w:eastAsia="zh-CN"/>
                    </w:rPr>
                    <w:t>-2.6</w:t>
                  </w:r>
                </w:p>
              </w:tc>
              <w:tc>
                <w:tcPr>
                  <w:tcW w:w="408" w:type="pct"/>
                  <w:tcBorders>
                    <w:top w:val="single" w:color="auto" w:sz="4" w:space="0"/>
                    <w:left w:val="single" w:color="auto" w:sz="4" w:space="0"/>
                    <w:bottom w:val="single" w:color="auto" w:sz="4" w:space="0"/>
                    <w:right w:val="single" w:color="auto" w:sz="4" w:space="0"/>
                  </w:tcBorders>
                  <w:vAlign w:val="center"/>
                </w:tcPr>
                <w:p w14:paraId="01BBF75D">
                  <w:pPr>
                    <w:pStyle w:val="53"/>
                    <w:bidi w:val="0"/>
                    <w:rPr>
                      <w:rFonts w:hint="default"/>
                      <w:color w:val="auto"/>
                      <w:lang w:val="en-US" w:eastAsia="zh-CN"/>
                    </w:rPr>
                  </w:pPr>
                  <w:r>
                    <w:rPr>
                      <w:rFonts w:hint="eastAsia"/>
                      <w:color w:val="auto"/>
                      <w:lang w:val="en-US" w:eastAsia="zh-CN"/>
                    </w:rPr>
                    <w:t>4.69</w:t>
                  </w:r>
                </w:p>
              </w:tc>
              <w:tc>
                <w:tcPr>
                  <w:tcW w:w="413" w:type="pct"/>
                  <w:tcBorders>
                    <w:top w:val="single" w:color="auto" w:sz="4" w:space="0"/>
                    <w:left w:val="single" w:color="auto" w:sz="4" w:space="0"/>
                    <w:bottom w:val="single" w:color="auto" w:sz="4" w:space="0"/>
                    <w:right w:val="single" w:color="auto" w:sz="4" w:space="0"/>
                  </w:tcBorders>
                  <w:vAlign w:val="center"/>
                </w:tcPr>
                <w:p w14:paraId="4E1C6C8A">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238F20B">
                  <w:pPr>
                    <w:pStyle w:val="53"/>
                    <w:bidi w:val="0"/>
                    <w:rPr>
                      <w:rFonts w:hint="default"/>
                      <w:color w:val="auto"/>
                      <w:lang w:val="en-US" w:eastAsia="zh-CN"/>
                    </w:rPr>
                  </w:pPr>
                  <w:r>
                    <w:rPr>
                      <w:rFonts w:hint="eastAsia"/>
                      <w:color w:val="auto"/>
                      <w:lang w:val="en-US" w:eastAsia="zh-CN"/>
                    </w:rPr>
                    <w:t>13.06</w:t>
                  </w:r>
                </w:p>
              </w:tc>
              <w:tc>
                <w:tcPr>
                  <w:tcW w:w="347" w:type="pct"/>
                  <w:tcBorders>
                    <w:top w:val="single" w:color="auto" w:sz="4" w:space="0"/>
                    <w:left w:val="single" w:color="auto" w:sz="4" w:space="0"/>
                    <w:bottom w:val="single" w:color="auto" w:sz="4" w:space="0"/>
                    <w:right w:val="single" w:color="auto" w:sz="4" w:space="0"/>
                  </w:tcBorders>
                  <w:vAlign w:val="center"/>
                </w:tcPr>
                <w:p w14:paraId="0DCD3B94">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4B9CE95D">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3808FBC">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0F969C5">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5A2307EE">
                  <w:pPr>
                    <w:pStyle w:val="53"/>
                    <w:bidi w:val="0"/>
                    <w:rPr>
                      <w:rFonts w:hint="eastAsia"/>
                      <w:color w:val="auto"/>
                      <w:lang w:val="en-US" w:eastAsia="zh-CN"/>
                    </w:rPr>
                  </w:pPr>
                  <w:r>
                    <w:rPr>
                      <w:rFonts w:hint="eastAsia"/>
                      <w:color w:val="auto"/>
                      <w:lang w:val="en-US" w:eastAsia="zh-CN"/>
                    </w:rPr>
                    <w:t>1</w:t>
                  </w:r>
                </w:p>
              </w:tc>
            </w:tr>
            <w:tr w14:paraId="422CB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44C6890C">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7578B309">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31BD8E2">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0453F4E0">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1B34FDB9">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5CEBB36">
                  <w:pPr>
                    <w:pStyle w:val="53"/>
                    <w:bidi w:val="0"/>
                    <w:ind w:firstLine="0" w:firstLineChars="0"/>
                    <w:rPr>
                      <w:rFonts w:hint="eastAsia"/>
                      <w:color w:val="auto"/>
                      <w:lang w:val="en-US" w:eastAsia="zh-CN"/>
                    </w:rPr>
                  </w:pPr>
                  <w:r>
                    <w:rPr>
                      <w:rFonts w:hint="eastAsia"/>
                      <w:color w:val="auto"/>
                      <w:lang w:val="en-US" w:eastAsia="zh-CN"/>
                    </w:rPr>
                    <w:t>-2.6</w:t>
                  </w:r>
                </w:p>
              </w:tc>
              <w:tc>
                <w:tcPr>
                  <w:tcW w:w="649" w:type="dxa"/>
                  <w:tcBorders>
                    <w:top w:val="single" w:color="auto" w:sz="4" w:space="0"/>
                    <w:left w:val="single" w:color="auto" w:sz="4" w:space="0"/>
                    <w:bottom w:val="single" w:color="auto" w:sz="4" w:space="0"/>
                    <w:right w:val="single" w:color="auto" w:sz="4" w:space="0"/>
                  </w:tcBorders>
                  <w:vAlign w:val="center"/>
                </w:tcPr>
                <w:p w14:paraId="4B3391C9">
                  <w:pPr>
                    <w:pStyle w:val="53"/>
                    <w:bidi w:val="0"/>
                    <w:ind w:firstLine="0" w:firstLineChars="0"/>
                    <w:rPr>
                      <w:rFonts w:hint="eastAsia"/>
                      <w:color w:val="auto"/>
                      <w:lang w:val="en-US" w:eastAsia="zh-CN"/>
                    </w:rPr>
                  </w:pPr>
                  <w:r>
                    <w:rPr>
                      <w:rFonts w:hint="eastAsia"/>
                      <w:color w:val="auto"/>
                      <w:lang w:val="en-US" w:eastAsia="zh-CN"/>
                    </w:rPr>
                    <w:t>4.69</w:t>
                  </w:r>
                </w:p>
              </w:tc>
              <w:tc>
                <w:tcPr>
                  <w:tcW w:w="656" w:type="dxa"/>
                  <w:tcBorders>
                    <w:top w:val="single" w:color="auto" w:sz="4" w:space="0"/>
                    <w:left w:val="single" w:color="auto" w:sz="4" w:space="0"/>
                    <w:bottom w:val="single" w:color="auto" w:sz="4" w:space="0"/>
                    <w:right w:val="single" w:color="auto" w:sz="4" w:space="0"/>
                  </w:tcBorders>
                  <w:vAlign w:val="center"/>
                </w:tcPr>
                <w:p w14:paraId="4B85AB6B">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707322E">
                  <w:pPr>
                    <w:pStyle w:val="53"/>
                    <w:bidi w:val="0"/>
                    <w:rPr>
                      <w:rFonts w:hint="default"/>
                      <w:color w:val="auto"/>
                      <w:lang w:val="en-US" w:eastAsia="zh-CN"/>
                    </w:rPr>
                  </w:pPr>
                  <w:r>
                    <w:rPr>
                      <w:rFonts w:hint="eastAsia"/>
                      <w:color w:val="auto"/>
                      <w:lang w:val="en-US" w:eastAsia="zh-CN"/>
                    </w:rPr>
                    <w:t>15.16</w:t>
                  </w:r>
                </w:p>
              </w:tc>
              <w:tc>
                <w:tcPr>
                  <w:tcW w:w="347" w:type="pct"/>
                  <w:tcBorders>
                    <w:top w:val="single" w:color="auto" w:sz="4" w:space="0"/>
                    <w:left w:val="single" w:color="auto" w:sz="4" w:space="0"/>
                    <w:bottom w:val="single" w:color="auto" w:sz="4" w:space="0"/>
                    <w:right w:val="single" w:color="auto" w:sz="4" w:space="0"/>
                  </w:tcBorders>
                  <w:vAlign w:val="center"/>
                </w:tcPr>
                <w:p w14:paraId="5906AD25">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467DDAB6">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26E402D">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68FA4F3">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3EFB4B80">
                  <w:pPr>
                    <w:pStyle w:val="53"/>
                    <w:bidi w:val="0"/>
                    <w:rPr>
                      <w:rFonts w:hint="eastAsia"/>
                      <w:color w:val="auto"/>
                      <w:lang w:val="en-US" w:eastAsia="zh-CN"/>
                    </w:rPr>
                  </w:pPr>
                  <w:r>
                    <w:rPr>
                      <w:rFonts w:hint="eastAsia"/>
                      <w:color w:val="auto"/>
                      <w:lang w:val="en-US" w:eastAsia="zh-CN"/>
                    </w:rPr>
                    <w:t>1</w:t>
                  </w:r>
                </w:p>
              </w:tc>
            </w:tr>
            <w:tr w14:paraId="09EB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2CDC27D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5A85447">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087867A4">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7CD6E2C2">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F525CCA">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51175197">
                  <w:pPr>
                    <w:pStyle w:val="53"/>
                    <w:bidi w:val="0"/>
                    <w:ind w:firstLine="0" w:firstLineChars="0"/>
                    <w:rPr>
                      <w:rFonts w:hint="eastAsia"/>
                      <w:color w:val="auto"/>
                      <w:lang w:val="en-US" w:eastAsia="zh-CN"/>
                    </w:rPr>
                  </w:pPr>
                  <w:r>
                    <w:rPr>
                      <w:rFonts w:hint="eastAsia"/>
                      <w:color w:val="auto"/>
                      <w:lang w:val="en-US" w:eastAsia="zh-CN"/>
                    </w:rPr>
                    <w:t>-2.6</w:t>
                  </w:r>
                </w:p>
              </w:tc>
              <w:tc>
                <w:tcPr>
                  <w:tcW w:w="649" w:type="dxa"/>
                  <w:tcBorders>
                    <w:top w:val="single" w:color="auto" w:sz="4" w:space="0"/>
                    <w:left w:val="single" w:color="auto" w:sz="4" w:space="0"/>
                    <w:bottom w:val="single" w:color="auto" w:sz="4" w:space="0"/>
                    <w:right w:val="single" w:color="auto" w:sz="4" w:space="0"/>
                  </w:tcBorders>
                  <w:vAlign w:val="center"/>
                </w:tcPr>
                <w:p w14:paraId="4D40B005">
                  <w:pPr>
                    <w:pStyle w:val="53"/>
                    <w:bidi w:val="0"/>
                    <w:ind w:firstLine="0" w:firstLineChars="0"/>
                    <w:rPr>
                      <w:rFonts w:hint="eastAsia"/>
                      <w:color w:val="auto"/>
                      <w:lang w:val="en-US" w:eastAsia="zh-CN"/>
                    </w:rPr>
                  </w:pPr>
                  <w:r>
                    <w:rPr>
                      <w:rFonts w:hint="eastAsia"/>
                      <w:color w:val="auto"/>
                      <w:lang w:val="en-US" w:eastAsia="zh-CN"/>
                    </w:rPr>
                    <w:t>4.69</w:t>
                  </w:r>
                </w:p>
              </w:tc>
              <w:tc>
                <w:tcPr>
                  <w:tcW w:w="656" w:type="dxa"/>
                  <w:tcBorders>
                    <w:top w:val="single" w:color="auto" w:sz="4" w:space="0"/>
                    <w:left w:val="single" w:color="auto" w:sz="4" w:space="0"/>
                    <w:bottom w:val="single" w:color="auto" w:sz="4" w:space="0"/>
                    <w:right w:val="single" w:color="auto" w:sz="4" w:space="0"/>
                  </w:tcBorders>
                  <w:vAlign w:val="center"/>
                </w:tcPr>
                <w:p w14:paraId="0384912F">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6AE607E8">
                  <w:pPr>
                    <w:pStyle w:val="53"/>
                    <w:bidi w:val="0"/>
                    <w:rPr>
                      <w:rFonts w:hint="default"/>
                      <w:color w:val="auto"/>
                      <w:lang w:val="en-US" w:eastAsia="zh-CN"/>
                    </w:rPr>
                  </w:pPr>
                  <w:r>
                    <w:rPr>
                      <w:rFonts w:hint="eastAsia"/>
                      <w:color w:val="auto"/>
                      <w:lang w:val="en-US" w:eastAsia="zh-CN"/>
                    </w:rPr>
                    <w:t>12.76</w:t>
                  </w:r>
                </w:p>
              </w:tc>
              <w:tc>
                <w:tcPr>
                  <w:tcW w:w="347" w:type="pct"/>
                  <w:tcBorders>
                    <w:top w:val="single" w:color="auto" w:sz="4" w:space="0"/>
                    <w:left w:val="single" w:color="auto" w:sz="4" w:space="0"/>
                    <w:bottom w:val="single" w:color="auto" w:sz="4" w:space="0"/>
                    <w:right w:val="single" w:color="auto" w:sz="4" w:space="0"/>
                  </w:tcBorders>
                  <w:vAlign w:val="center"/>
                </w:tcPr>
                <w:p w14:paraId="534142EE">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390A9C58">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72D0C1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F8DB808">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30E37ABF">
                  <w:pPr>
                    <w:pStyle w:val="53"/>
                    <w:bidi w:val="0"/>
                    <w:rPr>
                      <w:rFonts w:hint="eastAsia"/>
                      <w:color w:val="auto"/>
                      <w:lang w:val="en-US" w:eastAsia="zh-CN"/>
                    </w:rPr>
                  </w:pPr>
                  <w:r>
                    <w:rPr>
                      <w:rFonts w:hint="eastAsia"/>
                      <w:color w:val="auto"/>
                      <w:lang w:val="en-US" w:eastAsia="zh-CN"/>
                    </w:rPr>
                    <w:t>1</w:t>
                  </w:r>
                </w:p>
              </w:tc>
            </w:tr>
            <w:tr w14:paraId="3316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663D03D1">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25FDC8A">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5018ED50">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5DDAAAC">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19614AD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9728A12">
                  <w:pPr>
                    <w:pStyle w:val="53"/>
                    <w:bidi w:val="0"/>
                    <w:ind w:firstLine="0" w:firstLineChars="0"/>
                    <w:rPr>
                      <w:rFonts w:hint="eastAsia"/>
                      <w:color w:val="auto"/>
                      <w:lang w:val="en-US" w:eastAsia="zh-CN"/>
                    </w:rPr>
                  </w:pPr>
                  <w:r>
                    <w:rPr>
                      <w:rFonts w:hint="eastAsia"/>
                      <w:color w:val="auto"/>
                      <w:lang w:val="en-US" w:eastAsia="zh-CN"/>
                    </w:rPr>
                    <w:t>-2.6</w:t>
                  </w:r>
                </w:p>
              </w:tc>
              <w:tc>
                <w:tcPr>
                  <w:tcW w:w="649" w:type="dxa"/>
                  <w:tcBorders>
                    <w:top w:val="single" w:color="auto" w:sz="4" w:space="0"/>
                    <w:left w:val="single" w:color="auto" w:sz="4" w:space="0"/>
                    <w:bottom w:val="single" w:color="auto" w:sz="4" w:space="0"/>
                    <w:right w:val="single" w:color="auto" w:sz="4" w:space="0"/>
                  </w:tcBorders>
                  <w:vAlign w:val="center"/>
                </w:tcPr>
                <w:p w14:paraId="7EF586A3">
                  <w:pPr>
                    <w:pStyle w:val="53"/>
                    <w:bidi w:val="0"/>
                    <w:ind w:firstLine="0" w:firstLineChars="0"/>
                    <w:rPr>
                      <w:rFonts w:hint="eastAsia"/>
                      <w:color w:val="auto"/>
                      <w:lang w:val="en-US" w:eastAsia="zh-CN"/>
                    </w:rPr>
                  </w:pPr>
                  <w:r>
                    <w:rPr>
                      <w:rFonts w:hint="eastAsia"/>
                      <w:color w:val="auto"/>
                      <w:lang w:val="en-US" w:eastAsia="zh-CN"/>
                    </w:rPr>
                    <w:t>4.69</w:t>
                  </w:r>
                </w:p>
              </w:tc>
              <w:tc>
                <w:tcPr>
                  <w:tcW w:w="656" w:type="dxa"/>
                  <w:tcBorders>
                    <w:top w:val="single" w:color="auto" w:sz="4" w:space="0"/>
                    <w:left w:val="single" w:color="auto" w:sz="4" w:space="0"/>
                    <w:bottom w:val="single" w:color="auto" w:sz="4" w:space="0"/>
                    <w:right w:val="single" w:color="auto" w:sz="4" w:space="0"/>
                  </w:tcBorders>
                  <w:vAlign w:val="center"/>
                </w:tcPr>
                <w:p w14:paraId="216BBB9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99E0FA3">
                  <w:pPr>
                    <w:pStyle w:val="53"/>
                    <w:bidi w:val="0"/>
                    <w:rPr>
                      <w:rFonts w:hint="default"/>
                      <w:color w:val="auto"/>
                      <w:lang w:val="en-US" w:eastAsia="zh-CN"/>
                    </w:rPr>
                  </w:pPr>
                  <w:r>
                    <w:rPr>
                      <w:rFonts w:hint="eastAsia"/>
                      <w:color w:val="auto"/>
                      <w:lang w:val="en-US" w:eastAsia="zh-CN"/>
                    </w:rPr>
                    <w:t>6.17</w:t>
                  </w:r>
                </w:p>
              </w:tc>
              <w:tc>
                <w:tcPr>
                  <w:tcW w:w="347" w:type="pct"/>
                  <w:tcBorders>
                    <w:top w:val="single" w:color="auto" w:sz="4" w:space="0"/>
                    <w:left w:val="single" w:color="auto" w:sz="4" w:space="0"/>
                    <w:bottom w:val="single" w:color="auto" w:sz="4" w:space="0"/>
                    <w:right w:val="single" w:color="auto" w:sz="4" w:space="0"/>
                  </w:tcBorders>
                  <w:vAlign w:val="center"/>
                </w:tcPr>
                <w:p w14:paraId="290BF537">
                  <w:pPr>
                    <w:pStyle w:val="53"/>
                    <w:bidi w:val="0"/>
                    <w:rPr>
                      <w:rFonts w:hint="default"/>
                      <w:color w:val="auto"/>
                      <w:lang w:val="en-US" w:eastAsia="zh-CN"/>
                    </w:rPr>
                  </w:pPr>
                  <w:r>
                    <w:rPr>
                      <w:rFonts w:hint="eastAsia"/>
                      <w:color w:val="auto"/>
                      <w:lang w:val="en-US" w:eastAsia="zh-CN"/>
                    </w:rPr>
                    <w:t>57.50</w:t>
                  </w:r>
                </w:p>
              </w:tc>
              <w:tc>
                <w:tcPr>
                  <w:tcW w:w="253" w:type="pct"/>
                  <w:vMerge w:val="continue"/>
                  <w:tcBorders>
                    <w:left w:val="single" w:color="auto" w:sz="4" w:space="0"/>
                    <w:right w:val="single" w:color="auto" w:sz="4" w:space="0"/>
                  </w:tcBorders>
                  <w:vAlign w:val="center"/>
                </w:tcPr>
                <w:p w14:paraId="28BD5DA4">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D6B085B">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E595536">
                  <w:pPr>
                    <w:pStyle w:val="53"/>
                    <w:bidi w:val="0"/>
                    <w:rPr>
                      <w:rFonts w:hint="default"/>
                      <w:color w:val="auto"/>
                      <w:lang w:val="en-US" w:eastAsia="zh-CN"/>
                    </w:rPr>
                  </w:pPr>
                  <w:r>
                    <w:rPr>
                      <w:rFonts w:hint="eastAsia"/>
                      <w:color w:val="auto"/>
                      <w:lang w:val="en-US" w:eastAsia="zh-CN"/>
                    </w:rPr>
                    <w:t>47.50</w:t>
                  </w:r>
                </w:p>
              </w:tc>
              <w:tc>
                <w:tcPr>
                  <w:tcW w:w="364" w:type="pct"/>
                  <w:tcBorders>
                    <w:top w:val="single" w:color="auto" w:sz="4" w:space="0"/>
                    <w:left w:val="single" w:color="auto" w:sz="4" w:space="0"/>
                    <w:bottom w:val="single" w:color="auto" w:sz="4" w:space="0"/>
                    <w:right w:val="single" w:color="auto" w:sz="4" w:space="0"/>
                  </w:tcBorders>
                  <w:vAlign w:val="center"/>
                </w:tcPr>
                <w:p w14:paraId="1D10CFCB">
                  <w:pPr>
                    <w:pStyle w:val="53"/>
                    <w:bidi w:val="0"/>
                    <w:rPr>
                      <w:rFonts w:hint="eastAsia"/>
                      <w:color w:val="auto"/>
                      <w:lang w:val="en-US" w:eastAsia="zh-CN"/>
                    </w:rPr>
                  </w:pPr>
                  <w:r>
                    <w:rPr>
                      <w:rFonts w:hint="eastAsia"/>
                      <w:color w:val="auto"/>
                      <w:lang w:val="en-US" w:eastAsia="zh-CN"/>
                    </w:rPr>
                    <w:t>1</w:t>
                  </w:r>
                </w:p>
              </w:tc>
            </w:tr>
            <w:tr w14:paraId="7C1F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6BD9A663">
                  <w:pPr>
                    <w:pStyle w:val="53"/>
                    <w:bidi w:val="0"/>
                    <w:rPr>
                      <w:rFonts w:hint="eastAsia" w:eastAsia="宋体"/>
                      <w:color w:val="auto"/>
                      <w:lang w:val="en-US" w:eastAsia="zh-CN"/>
                    </w:rPr>
                  </w:pPr>
                  <w:r>
                    <w:rPr>
                      <w:rFonts w:hint="eastAsia"/>
                      <w:color w:val="auto"/>
                      <w:lang w:val="en-US" w:eastAsia="zh-CN"/>
                    </w:rPr>
                    <w:t>7</w:t>
                  </w:r>
                </w:p>
              </w:tc>
              <w:tc>
                <w:tcPr>
                  <w:tcW w:w="502" w:type="pct"/>
                  <w:tcBorders>
                    <w:top w:val="single" w:color="auto" w:sz="4" w:space="0"/>
                    <w:left w:val="single" w:color="auto" w:sz="4" w:space="0"/>
                    <w:bottom w:val="single" w:color="auto" w:sz="4" w:space="0"/>
                    <w:right w:val="single" w:color="auto" w:sz="4" w:space="0"/>
                  </w:tcBorders>
                  <w:vAlign w:val="center"/>
                </w:tcPr>
                <w:p w14:paraId="02E25B3E">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8BFB7CC">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11C83D47">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4DB00744">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6BEF0CA6">
                  <w:pPr>
                    <w:pStyle w:val="53"/>
                    <w:bidi w:val="0"/>
                    <w:rPr>
                      <w:rFonts w:hint="default"/>
                      <w:color w:val="auto"/>
                      <w:lang w:val="en-US" w:eastAsia="zh-CN"/>
                    </w:rPr>
                  </w:pPr>
                  <w:r>
                    <w:rPr>
                      <w:rFonts w:hint="eastAsia"/>
                      <w:color w:val="auto"/>
                      <w:lang w:val="en-US" w:eastAsia="zh-CN"/>
                    </w:rPr>
                    <w:t>0.53</w:t>
                  </w:r>
                </w:p>
              </w:tc>
              <w:tc>
                <w:tcPr>
                  <w:tcW w:w="408" w:type="pct"/>
                  <w:tcBorders>
                    <w:top w:val="single" w:color="auto" w:sz="4" w:space="0"/>
                    <w:left w:val="single" w:color="auto" w:sz="4" w:space="0"/>
                    <w:bottom w:val="single" w:color="auto" w:sz="4" w:space="0"/>
                    <w:right w:val="single" w:color="auto" w:sz="4" w:space="0"/>
                  </w:tcBorders>
                  <w:vAlign w:val="center"/>
                </w:tcPr>
                <w:p w14:paraId="3EA5B20D">
                  <w:pPr>
                    <w:pStyle w:val="53"/>
                    <w:bidi w:val="0"/>
                    <w:rPr>
                      <w:rFonts w:hint="default"/>
                      <w:color w:val="auto"/>
                      <w:lang w:val="en-US" w:eastAsia="zh-CN"/>
                    </w:rPr>
                  </w:pPr>
                  <w:r>
                    <w:rPr>
                      <w:rFonts w:hint="eastAsia"/>
                      <w:color w:val="auto"/>
                      <w:lang w:val="en-US" w:eastAsia="zh-CN"/>
                    </w:rPr>
                    <w:t>-1.84</w:t>
                  </w:r>
                </w:p>
              </w:tc>
              <w:tc>
                <w:tcPr>
                  <w:tcW w:w="413" w:type="pct"/>
                  <w:tcBorders>
                    <w:top w:val="single" w:color="auto" w:sz="4" w:space="0"/>
                    <w:left w:val="single" w:color="auto" w:sz="4" w:space="0"/>
                    <w:bottom w:val="single" w:color="auto" w:sz="4" w:space="0"/>
                    <w:right w:val="single" w:color="auto" w:sz="4" w:space="0"/>
                  </w:tcBorders>
                  <w:vAlign w:val="center"/>
                </w:tcPr>
                <w:p w14:paraId="1378D09D">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75522D3">
                  <w:pPr>
                    <w:pStyle w:val="53"/>
                    <w:bidi w:val="0"/>
                    <w:rPr>
                      <w:rFonts w:hint="default"/>
                      <w:color w:val="auto"/>
                      <w:lang w:val="en-US" w:eastAsia="zh-CN"/>
                    </w:rPr>
                  </w:pPr>
                  <w:r>
                    <w:rPr>
                      <w:rFonts w:hint="eastAsia"/>
                      <w:color w:val="auto"/>
                      <w:lang w:val="en-US" w:eastAsia="zh-CN"/>
                    </w:rPr>
                    <w:t>13.58</w:t>
                  </w:r>
                </w:p>
              </w:tc>
              <w:tc>
                <w:tcPr>
                  <w:tcW w:w="347" w:type="pct"/>
                  <w:tcBorders>
                    <w:top w:val="single" w:color="auto" w:sz="4" w:space="0"/>
                    <w:left w:val="single" w:color="auto" w:sz="4" w:space="0"/>
                    <w:bottom w:val="single" w:color="auto" w:sz="4" w:space="0"/>
                    <w:right w:val="single" w:color="auto" w:sz="4" w:space="0"/>
                  </w:tcBorders>
                  <w:vAlign w:val="center"/>
                </w:tcPr>
                <w:p w14:paraId="2BDB18AD">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2C93B5D9">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C95780C">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1AFF65D4">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6193F20B">
                  <w:pPr>
                    <w:pStyle w:val="53"/>
                    <w:bidi w:val="0"/>
                    <w:rPr>
                      <w:rFonts w:hint="eastAsia"/>
                      <w:color w:val="auto"/>
                      <w:lang w:val="en-US" w:eastAsia="zh-CN"/>
                    </w:rPr>
                  </w:pPr>
                  <w:r>
                    <w:rPr>
                      <w:rFonts w:hint="eastAsia"/>
                      <w:color w:val="auto"/>
                      <w:lang w:val="en-US" w:eastAsia="zh-CN"/>
                    </w:rPr>
                    <w:t>1</w:t>
                  </w:r>
                </w:p>
              </w:tc>
            </w:tr>
            <w:tr w14:paraId="2053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80296D1">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CB5E719">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544988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7C5685BA">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349EC5C1">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2231698">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62401282">
                  <w:pPr>
                    <w:pStyle w:val="53"/>
                    <w:bidi w:val="0"/>
                    <w:ind w:firstLine="0" w:firstLineChars="0"/>
                    <w:rPr>
                      <w:rFonts w:hint="eastAsia"/>
                      <w:color w:val="auto"/>
                      <w:lang w:val="en-US" w:eastAsia="zh-CN"/>
                    </w:rPr>
                  </w:pPr>
                  <w:r>
                    <w:rPr>
                      <w:rFonts w:hint="eastAsia"/>
                      <w:color w:val="auto"/>
                      <w:lang w:val="en-US" w:eastAsia="zh-CN"/>
                    </w:rPr>
                    <w:t>-1.84</w:t>
                  </w:r>
                </w:p>
              </w:tc>
              <w:tc>
                <w:tcPr>
                  <w:tcW w:w="656" w:type="dxa"/>
                  <w:tcBorders>
                    <w:top w:val="single" w:color="auto" w:sz="4" w:space="0"/>
                    <w:left w:val="single" w:color="auto" w:sz="4" w:space="0"/>
                    <w:bottom w:val="single" w:color="auto" w:sz="4" w:space="0"/>
                    <w:right w:val="single" w:color="auto" w:sz="4" w:space="0"/>
                  </w:tcBorders>
                  <w:vAlign w:val="center"/>
                </w:tcPr>
                <w:p w14:paraId="24B22307">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63131C1">
                  <w:pPr>
                    <w:pStyle w:val="53"/>
                    <w:bidi w:val="0"/>
                    <w:rPr>
                      <w:rFonts w:hint="default"/>
                      <w:color w:val="auto"/>
                      <w:lang w:val="en-US" w:eastAsia="zh-CN"/>
                    </w:rPr>
                  </w:pPr>
                  <w:r>
                    <w:rPr>
                      <w:rFonts w:hint="eastAsia"/>
                      <w:color w:val="auto"/>
                      <w:lang w:val="en-US" w:eastAsia="zh-CN"/>
                    </w:rPr>
                    <w:t>11.02</w:t>
                  </w:r>
                </w:p>
              </w:tc>
              <w:tc>
                <w:tcPr>
                  <w:tcW w:w="347" w:type="pct"/>
                  <w:tcBorders>
                    <w:top w:val="single" w:color="auto" w:sz="4" w:space="0"/>
                    <w:left w:val="single" w:color="auto" w:sz="4" w:space="0"/>
                    <w:bottom w:val="single" w:color="auto" w:sz="4" w:space="0"/>
                    <w:right w:val="single" w:color="auto" w:sz="4" w:space="0"/>
                  </w:tcBorders>
                  <w:vAlign w:val="center"/>
                </w:tcPr>
                <w:p w14:paraId="06FF4E93">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1BD7040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A24A7E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2736930">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60A2C4C4">
                  <w:pPr>
                    <w:pStyle w:val="53"/>
                    <w:bidi w:val="0"/>
                    <w:rPr>
                      <w:rFonts w:hint="eastAsia"/>
                      <w:color w:val="auto"/>
                      <w:lang w:val="en-US" w:eastAsia="zh-CN"/>
                    </w:rPr>
                  </w:pPr>
                  <w:r>
                    <w:rPr>
                      <w:rFonts w:hint="eastAsia"/>
                      <w:color w:val="auto"/>
                      <w:lang w:val="en-US" w:eastAsia="zh-CN"/>
                    </w:rPr>
                    <w:t>1</w:t>
                  </w:r>
                </w:p>
              </w:tc>
            </w:tr>
            <w:tr w14:paraId="569A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0CDDBA1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13179F46">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6B57AE59">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6A0DEAC1">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70303D6">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5BADEE6">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0EFAD775">
                  <w:pPr>
                    <w:pStyle w:val="53"/>
                    <w:bidi w:val="0"/>
                    <w:ind w:firstLine="0" w:firstLineChars="0"/>
                    <w:rPr>
                      <w:rFonts w:hint="eastAsia"/>
                      <w:color w:val="auto"/>
                      <w:lang w:val="en-US" w:eastAsia="zh-CN"/>
                    </w:rPr>
                  </w:pPr>
                  <w:r>
                    <w:rPr>
                      <w:rFonts w:hint="eastAsia"/>
                      <w:color w:val="auto"/>
                      <w:lang w:val="en-US" w:eastAsia="zh-CN"/>
                    </w:rPr>
                    <w:t>-1.84</w:t>
                  </w:r>
                </w:p>
              </w:tc>
              <w:tc>
                <w:tcPr>
                  <w:tcW w:w="656" w:type="dxa"/>
                  <w:tcBorders>
                    <w:top w:val="single" w:color="auto" w:sz="4" w:space="0"/>
                    <w:left w:val="single" w:color="auto" w:sz="4" w:space="0"/>
                    <w:bottom w:val="single" w:color="auto" w:sz="4" w:space="0"/>
                    <w:right w:val="single" w:color="auto" w:sz="4" w:space="0"/>
                  </w:tcBorders>
                  <w:vAlign w:val="center"/>
                </w:tcPr>
                <w:p w14:paraId="20212925">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6BF8E270">
                  <w:pPr>
                    <w:pStyle w:val="53"/>
                    <w:bidi w:val="0"/>
                    <w:rPr>
                      <w:rFonts w:hint="default"/>
                      <w:color w:val="auto"/>
                      <w:lang w:val="en-US" w:eastAsia="zh-CN"/>
                    </w:rPr>
                  </w:pPr>
                  <w:r>
                    <w:rPr>
                      <w:rFonts w:hint="eastAsia"/>
                      <w:color w:val="auto"/>
                      <w:lang w:val="en-US" w:eastAsia="zh-CN"/>
                    </w:rPr>
                    <w:t>11.90</w:t>
                  </w:r>
                </w:p>
              </w:tc>
              <w:tc>
                <w:tcPr>
                  <w:tcW w:w="347" w:type="pct"/>
                  <w:tcBorders>
                    <w:top w:val="single" w:color="auto" w:sz="4" w:space="0"/>
                    <w:left w:val="single" w:color="auto" w:sz="4" w:space="0"/>
                    <w:bottom w:val="single" w:color="auto" w:sz="4" w:space="0"/>
                    <w:right w:val="single" w:color="auto" w:sz="4" w:space="0"/>
                  </w:tcBorders>
                  <w:vAlign w:val="center"/>
                </w:tcPr>
                <w:p w14:paraId="7F4A0B6C">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68A43D35">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38CF0E1">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079474EC">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2E766E9A">
                  <w:pPr>
                    <w:pStyle w:val="53"/>
                    <w:bidi w:val="0"/>
                    <w:rPr>
                      <w:rFonts w:hint="eastAsia"/>
                      <w:color w:val="auto"/>
                      <w:lang w:val="en-US" w:eastAsia="zh-CN"/>
                    </w:rPr>
                  </w:pPr>
                  <w:r>
                    <w:rPr>
                      <w:rFonts w:hint="eastAsia"/>
                      <w:color w:val="auto"/>
                      <w:lang w:val="en-US" w:eastAsia="zh-CN"/>
                    </w:rPr>
                    <w:t>1</w:t>
                  </w:r>
                </w:p>
              </w:tc>
            </w:tr>
            <w:tr w14:paraId="2812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135E9782">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57C56F5A">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6D81A6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3F1E0C41">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DD3B3F3">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0DDD572">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2AE84F5E">
                  <w:pPr>
                    <w:pStyle w:val="53"/>
                    <w:bidi w:val="0"/>
                    <w:ind w:firstLine="0" w:firstLineChars="0"/>
                    <w:rPr>
                      <w:rFonts w:hint="eastAsia"/>
                      <w:color w:val="auto"/>
                      <w:lang w:val="en-US" w:eastAsia="zh-CN"/>
                    </w:rPr>
                  </w:pPr>
                  <w:r>
                    <w:rPr>
                      <w:rFonts w:hint="eastAsia"/>
                      <w:color w:val="auto"/>
                      <w:lang w:val="en-US" w:eastAsia="zh-CN"/>
                    </w:rPr>
                    <w:t>-1.84</w:t>
                  </w:r>
                </w:p>
              </w:tc>
              <w:tc>
                <w:tcPr>
                  <w:tcW w:w="656" w:type="dxa"/>
                  <w:tcBorders>
                    <w:top w:val="single" w:color="auto" w:sz="4" w:space="0"/>
                    <w:left w:val="single" w:color="auto" w:sz="4" w:space="0"/>
                    <w:bottom w:val="single" w:color="auto" w:sz="4" w:space="0"/>
                    <w:right w:val="single" w:color="auto" w:sz="4" w:space="0"/>
                  </w:tcBorders>
                  <w:vAlign w:val="center"/>
                </w:tcPr>
                <w:p w14:paraId="6AF752EA">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C472875">
                  <w:pPr>
                    <w:pStyle w:val="53"/>
                    <w:bidi w:val="0"/>
                    <w:rPr>
                      <w:rFonts w:hint="default"/>
                      <w:color w:val="auto"/>
                      <w:lang w:val="en-US" w:eastAsia="zh-CN"/>
                    </w:rPr>
                  </w:pPr>
                  <w:r>
                    <w:rPr>
                      <w:rFonts w:hint="eastAsia"/>
                      <w:color w:val="auto"/>
                      <w:lang w:val="en-US" w:eastAsia="zh-CN"/>
                    </w:rPr>
                    <w:t>10.24</w:t>
                  </w:r>
                </w:p>
              </w:tc>
              <w:tc>
                <w:tcPr>
                  <w:tcW w:w="347" w:type="pct"/>
                  <w:tcBorders>
                    <w:top w:val="single" w:color="auto" w:sz="4" w:space="0"/>
                    <w:left w:val="single" w:color="auto" w:sz="4" w:space="0"/>
                    <w:bottom w:val="single" w:color="auto" w:sz="4" w:space="0"/>
                    <w:right w:val="single" w:color="auto" w:sz="4" w:space="0"/>
                  </w:tcBorders>
                  <w:vAlign w:val="center"/>
                </w:tcPr>
                <w:p w14:paraId="51369D54">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07776076">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3D3ED26">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0BA03CB7">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58198ED3">
                  <w:pPr>
                    <w:pStyle w:val="53"/>
                    <w:bidi w:val="0"/>
                    <w:rPr>
                      <w:rFonts w:hint="eastAsia"/>
                      <w:color w:val="auto"/>
                      <w:lang w:val="en-US" w:eastAsia="zh-CN"/>
                    </w:rPr>
                  </w:pPr>
                  <w:r>
                    <w:rPr>
                      <w:rFonts w:hint="eastAsia"/>
                      <w:color w:val="auto"/>
                      <w:lang w:val="en-US" w:eastAsia="zh-CN"/>
                    </w:rPr>
                    <w:t>1</w:t>
                  </w:r>
                </w:p>
              </w:tc>
            </w:tr>
            <w:tr w14:paraId="4186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2D7EB87A">
                  <w:pPr>
                    <w:pStyle w:val="53"/>
                    <w:bidi w:val="0"/>
                    <w:rPr>
                      <w:rFonts w:hint="eastAsia" w:eastAsia="宋体"/>
                      <w:color w:val="auto"/>
                      <w:lang w:val="en-US" w:eastAsia="zh-CN"/>
                    </w:rPr>
                  </w:pPr>
                  <w:r>
                    <w:rPr>
                      <w:rFonts w:hint="eastAsia"/>
                      <w:color w:val="auto"/>
                      <w:lang w:val="en-US" w:eastAsia="zh-CN"/>
                    </w:rPr>
                    <w:t>8</w:t>
                  </w:r>
                </w:p>
              </w:tc>
              <w:tc>
                <w:tcPr>
                  <w:tcW w:w="502" w:type="pct"/>
                  <w:tcBorders>
                    <w:top w:val="single" w:color="auto" w:sz="4" w:space="0"/>
                    <w:left w:val="single" w:color="auto" w:sz="4" w:space="0"/>
                    <w:bottom w:val="single" w:color="auto" w:sz="4" w:space="0"/>
                    <w:right w:val="single" w:color="auto" w:sz="4" w:space="0"/>
                  </w:tcBorders>
                  <w:vAlign w:val="center"/>
                </w:tcPr>
                <w:p w14:paraId="359CEB97">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6B1D86C1">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7263DC2B">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D1F6DF5">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2A52FFF4">
                  <w:pPr>
                    <w:pStyle w:val="53"/>
                    <w:bidi w:val="0"/>
                    <w:rPr>
                      <w:rFonts w:hint="default"/>
                      <w:color w:val="auto"/>
                      <w:lang w:val="en-US" w:eastAsia="zh-CN"/>
                    </w:rPr>
                  </w:pPr>
                  <w:r>
                    <w:rPr>
                      <w:rFonts w:hint="eastAsia"/>
                      <w:color w:val="auto"/>
                      <w:lang w:val="en-US" w:eastAsia="zh-CN"/>
                    </w:rPr>
                    <w:t>4.06</w:t>
                  </w:r>
                </w:p>
              </w:tc>
              <w:tc>
                <w:tcPr>
                  <w:tcW w:w="408" w:type="pct"/>
                  <w:tcBorders>
                    <w:top w:val="single" w:color="auto" w:sz="4" w:space="0"/>
                    <w:left w:val="single" w:color="auto" w:sz="4" w:space="0"/>
                    <w:bottom w:val="single" w:color="auto" w:sz="4" w:space="0"/>
                    <w:right w:val="single" w:color="auto" w:sz="4" w:space="0"/>
                  </w:tcBorders>
                  <w:vAlign w:val="center"/>
                </w:tcPr>
                <w:p w14:paraId="79BFC9CB">
                  <w:pPr>
                    <w:pStyle w:val="53"/>
                    <w:bidi w:val="0"/>
                    <w:rPr>
                      <w:rFonts w:hint="default"/>
                      <w:color w:val="auto"/>
                      <w:lang w:val="en-US" w:eastAsia="zh-CN"/>
                    </w:rPr>
                  </w:pPr>
                  <w:r>
                    <w:rPr>
                      <w:rFonts w:hint="eastAsia"/>
                      <w:color w:val="auto"/>
                      <w:lang w:val="en-US" w:eastAsia="zh-CN"/>
                    </w:rPr>
                    <w:t>1.69</w:t>
                  </w:r>
                </w:p>
              </w:tc>
              <w:tc>
                <w:tcPr>
                  <w:tcW w:w="413" w:type="pct"/>
                  <w:tcBorders>
                    <w:top w:val="single" w:color="auto" w:sz="4" w:space="0"/>
                    <w:left w:val="single" w:color="auto" w:sz="4" w:space="0"/>
                    <w:bottom w:val="single" w:color="auto" w:sz="4" w:space="0"/>
                    <w:right w:val="single" w:color="auto" w:sz="4" w:space="0"/>
                  </w:tcBorders>
                  <w:vAlign w:val="center"/>
                </w:tcPr>
                <w:p w14:paraId="469BF71C">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FE09353">
                  <w:pPr>
                    <w:pStyle w:val="53"/>
                    <w:bidi w:val="0"/>
                    <w:rPr>
                      <w:rFonts w:hint="default"/>
                      <w:color w:val="auto"/>
                      <w:lang w:val="en-US" w:eastAsia="zh-CN"/>
                    </w:rPr>
                  </w:pPr>
                  <w:r>
                    <w:rPr>
                      <w:rFonts w:hint="eastAsia"/>
                      <w:color w:val="auto"/>
                      <w:lang w:val="en-US" w:eastAsia="zh-CN"/>
                    </w:rPr>
                    <w:t>13.96</w:t>
                  </w:r>
                </w:p>
              </w:tc>
              <w:tc>
                <w:tcPr>
                  <w:tcW w:w="347" w:type="pct"/>
                  <w:tcBorders>
                    <w:top w:val="single" w:color="auto" w:sz="4" w:space="0"/>
                    <w:left w:val="single" w:color="auto" w:sz="4" w:space="0"/>
                    <w:bottom w:val="single" w:color="auto" w:sz="4" w:space="0"/>
                    <w:right w:val="single" w:color="auto" w:sz="4" w:space="0"/>
                  </w:tcBorders>
                  <w:vAlign w:val="center"/>
                </w:tcPr>
                <w:p w14:paraId="13040219">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56832C99">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076CD19">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6A9CC5C">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7BE3066C">
                  <w:pPr>
                    <w:pStyle w:val="53"/>
                    <w:bidi w:val="0"/>
                    <w:rPr>
                      <w:rFonts w:hint="eastAsia"/>
                      <w:color w:val="auto"/>
                      <w:lang w:val="en-US" w:eastAsia="zh-CN"/>
                    </w:rPr>
                  </w:pPr>
                  <w:r>
                    <w:rPr>
                      <w:rFonts w:hint="eastAsia"/>
                      <w:color w:val="auto"/>
                      <w:lang w:val="en-US" w:eastAsia="zh-CN"/>
                    </w:rPr>
                    <w:t>1</w:t>
                  </w:r>
                </w:p>
              </w:tc>
            </w:tr>
            <w:tr w14:paraId="34E3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6DC79F57">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1ECC8E4D">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0D5B5369">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6604A8E5">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2C0A736">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779C647">
                  <w:pPr>
                    <w:pStyle w:val="53"/>
                    <w:bidi w:val="0"/>
                    <w:ind w:firstLine="0" w:firstLineChars="0"/>
                    <w:rPr>
                      <w:rFonts w:hint="eastAsia"/>
                      <w:color w:val="auto"/>
                      <w:lang w:val="en-US" w:eastAsia="zh-CN"/>
                    </w:rPr>
                  </w:pPr>
                  <w:r>
                    <w:rPr>
                      <w:rFonts w:hint="eastAsia"/>
                      <w:color w:val="auto"/>
                      <w:lang w:val="en-US" w:eastAsia="zh-CN"/>
                    </w:rPr>
                    <w:t>4.06</w:t>
                  </w:r>
                </w:p>
              </w:tc>
              <w:tc>
                <w:tcPr>
                  <w:tcW w:w="649" w:type="dxa"/>
                  <w:tcBorders>
                    <w:top w:val="single" w:color="auto" w:sz="4" w:space="0"/>
                    <w:left w:val="single" w:color="auto" w:sz="4" w:space="0"/>
                    <w:bottom w:val="single" w:color="auto" w:sz="4" w:space="0"/>
                    <w:right w:val="single" w:color="auto" w:sz="4" w:space="0"/>
                  </w:tcBorders>
                  <w:vAlign w:val="center"/>
                </w:tcPr>
                <w:p w14:paraId="5A17411B">
                  <w:pPr>
                    <w:pStyle w:val="53"/>
                    <w:bidi w:val="0"/>
                    <w:ind w:firstLine="0" w:firstLineChars="0"/>
                    <w:rPr>
                      <w:rFonts w:hint="eastAsia"/>
                      <w:color w:val="auto"/>
                      <w:lang w:val="en-US" w:eastAsia="zh-CN"/>
                    </w:rPr>
                  </w:pPr>
                  <w:r>
                    <w:rPr>
                      <w:rFonts w:hint="eastAsia"/>
                      <w:color w:val="auto"/>
                      <w:lang w:val="en-US" w:eastAsia="zh-CN"/>
                    </w:rPr>
                    <w:t>1.69</w:t>
                  </w:r>
                </w:p>
              </w:tc>
              <w:tc>
                <w:tcPr>
                  <w:tcW w:w="656" w:type="dxa"/>
                  <w:tcBorders>
                    <w:top w:val="single" w:color="auto" w:sz="4" w:space="0"/>
                    <w:left w:val="single" w:color="auto" w:sz="4" w:space="0"/>
                    <w:bottom w:val="single" w:color="auto" w:sz="4" w:space="0"/>
                    <w:right w:val="single" w:color="auto" w:sz="4" w:space="0"/>
                  </w:tcBorders>
                  <w:vAlign w:val="center"/>
                </w:tcPr>
                <w:p w14:paraId="0A6E2B32">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03159A6">
                  <w:pPr>
                    <w:pStyle w:val="53"/>
                    <w:bidi w:val="0"/>
                    <w:rPr>
                      <w:rFonts w:hint="default"/>
                      <w:color w:val="auto"/>
                      <w:lang w:val="en-US" w:eastAsia="zh-CN"/>
                    </w:rPr>
                  </w:pPr>
                  <w:r>
                    <w:rPr>
                      <w:rFonts w:hint="eastAsia"/>
                      <w:color w:val="auto"/>
                      <w:lang w:val="en-US" w:eastAsia="zh-CN"/>
                    </w:rPr>
                    <w:t>6.10</w:t>
                  </w:r>
                </w:p>
              </w:tc>
              <w:tc>
                <w:tcPr>
                  <w:tcW w:w="347" w:type="pct"/>
                  <w:tcBorders>
                    <w:top w:val="single" w:color="auto" w:sz="4" w:space="0"/>
                    <w:left w:val="single" w:color="auto" w:sz="4" w:space="0"/>
                    <w:bottom w:val="single" w:color="auto" w:sz="4" w:space="0"/>
                    <w:right w:val="single" w:color="auto" w:sz="4" w:space="0"/>
                  </w:tcBorders>
                  <w:vAlign w:val="center"/>
                </w:tcPr>
                <w:p w14:paraId="49F9BCB4">
                  <w:pPr>
                    <w:pStyle w:val="53"/>
                    <w:bidi w:val="0"/>
                    <w:rPr>
                      <w:rFonts w:hint="default"/>
                      <w:color w:val="auto"/>
                      <w:lang w:val="en-US" w:eastAsia="zh-CN"/>
                    </w:rPr>
                  </w:pPr>
                  <w:r>
                    <w:rPr>
                      <w:rFonts w:hint="eastAsia"/>
                      <w:color w:val="auto"/>
                      <w:lang w:val="en-US" w:eastAsia="zh-CN"/>
                    </w:rPr>
                    <w:t>57.50</w:t>
                  </w:r>
                </w:p>
              </w:tc>
              <w:tc>
                <w:tcPr>
                  <w:tcW w:w="253" w:type="pct"/>
                  <w:vMerge w:val="continue"/>
                  <w:tcBorders>
                    <w:left w:val="single" w:color="auto" w:sz="4" w:space="0"/>
                    <w:right w:val="single" w:color="auto" w:sz="4" w:space="0"/>
                  </w:tcBorders>
                  <w:vAlign w:val="center"/>
                </w:tcPr>
                <w:p w14:paraId="4415E4B9">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821AF78">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FE3808A">
                  <w:pPr>
                    <w:pStyle w:val="53"/>
                    <w:bidi w:val="0"/>
                    <w:rPr>
                      <w:rFonts w:hint="default"/>
                      <w:color w:val="auto"/>
                      <w:lang w:val="en-US" w:eastAsia="zh-CN"/>
                    </w:rPr>
                  </w:pPr>
                  <w:r>
                    <w:rPr>
                      <w:rFonts w:hint="eastAsia"/>
                      <w:color w:val="auto"/>
                      <w:lang w:val="en-US" w:eastAsia="zh-CN"/>
                    </w:rPr>
                    <w:t>47.50</w:t>
                  </w:r>
                </w:p>
              </w:tc>
              <w:tc>
                <w:tcPr>
                  <w:tcW w:w="364" w:type="pct"/>
                  <w:tcBorders>
                    <w:top w:val="single" w:color="auto" w:sz="4" w:space="0"/>
                    <w:left w:val="single" w:color="auto" w:sz="4" w:space="0"/>
                    <w:bottom w:val="single" w:color="auto" w:sz="4" w:space="0"/>
                    <w:right w:val="single" w:color="auto" w:sz="4" w:space="0"/>
                  </w:tcBorders>
                  <w:vAlign w:val="center"/>
                </w:tcPr>
                <w:p w14:paraId="46B395A2">
                  <w:pPr>
                    <w:pStyle w:val="53"/>
                    <w:bidi w:val="0"/>
                    <w:rPr>
                      <w:rFonts w:hint="eastAsia"/>
                      <w:color w:val="auto"/>
                      <w:lang w:val="en-US" w:eastAsia="zh-CN"/>
                    </w:rPr>
                  </w:pPr>
                  <w:r>
                    <w:rPr>
                      <w:rFonts w:hint="eastAsia"/>
                      <w:color w:val="auto"/>
                      <w:lang w:val="en-US" w:eastAsia="zh-CN"/>
                    </w:rPr>
                    <w:t>1</w:t>
                  </w:r>
                </w:p>
              </w:tc>
            </w:tr>
            <w:tr w14:paraId="7EA2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AD33420">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0C0C7905">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1B5977C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33AFF6FD">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4D166214">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2F21750B">
                  <w:pPr>
                    <w:pStyle w:val="53"/>
                    <w:bidi w:val="0"/>
                    <w:ind w:firstLine="0" w:firstLineChars="0"/>
                    <w:rPr>
                      <w:rFonts w:hint="eastAsia"/>
                      <w:color w:val="auto"/>
                      <w:lang w:val="en-US" w:eastAsia="zh-CN"/>
                    </w:rPr>
                  </w:pPr>
                  <w:r>
                    <w:rPr>
                      <w:rFonts w:hint="eastAsia"/>
                      <w:color w:val="auto"/>
                      <w:lang w:val="en-US" w:eastAsia="zh-CN"/>
                    </w:rPr>
                    <w:t>4.06</w:t>
                  </w:r>
                </w:p>
              </w:tc>
              <w:tc>
                <w:tcPr>
                  <w:tcW w:w="649" w:type="dxa"/>
                  <w:tcBorders>
                    <w:top w:val="single" w:color="auto" w:sz="4" w:space="0"/>
                    <w:left w:val="single" w:color="auto" w:sz="4" w:space="0"/>
                    <w:bottom w:val="single" w:color="auto" w:sz="4" w:space="0"/>
                    <w:right w:val="single" w:color="auto" w:sz="4" w:space="0"/>
                  </w:tcBorders>
                  <w:vAlign w:val="center"/>
                </w:tcPr>
                <w:p w14:paraId="2879280A">
                  <w:pPr>
                    <w:pStyle w:val="53"/>
                    <w:bidi w:val="0"/>
                    <w:ind w:firstLine="0" w:firstLineChars="0"/>
                    <w:rPr>
                      <w:rFonts w:hint="eastAsia"/>
                      <w:color w:val="auto"/>
                      <w:lang w:val="en-US" w:eastAsia="zh-CN"/>
                    </w:rPr>
                  </w:pPr>
                  <w:r>
                    <w:rPr>
                      <w:rFonts w:hint="eastAsia"/>
                      <w:color w:val="auto"/>
                      <w:lang w:val="en-US" w:eastAsia="zh-CN"/>
                    </w:rPr>
                    <w:t>1.69</w:t>
                  </w:r>
                </w:p>
              </w:tc>
              <w:tc>
                <w:tcPr>
                  <w:tcW w:w="656" w:type="dxa"/>
                  <w:tcBorders>
                    <w:top w:val="single" w:color="auto" w:sz="4" w:space="0"/>
                    <w:left w:val="single" w:color="auto" w:sz="4" w:space="0"/>
                    <w:bottom w:val="single" w:color="auto" w:sz="4" w:space="0"/>
                    <w:right w:val="single" w:color="auto" w:sz="4" w:space="0"/>
                  </w:tcBorders>
                  <w:vAlign w:val="center"/>
                </w:tcPr>
                <w:p w14:paraId="2784527F">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2FB5F40">
                  <w:pPr>
                    <w:pStyle w:val="53"/>
                    <w:bidi w:val="0"/>
                    <w:rPr>
                      <w:rFonts w:hint="default"/>
                      <w:color w:val="auto"/>
                      <w:lang w:val="en-US" w:eastAsia="zh-CN"/>
                    </w:rPr>
                  </w:pPr>
                  <w:r>
                    <w:rPr>
                      <w:rFonts w:hint="eastAsia"/>
                      <w:color w:val="auto"/>
                      <w:lang w:val="en-US" w:eastAsia="zh-CN"/>
                    </w:rPr>
                    <w:t>11.11</w:t>
                  </w:r>
                </w:p>
              </w:tc>
              <w:tc>
                <w:tcPr>
                  <w:tcW w:w="347" w:type="pct"/>
                  <w:tcBorders>
                    <w:top w:val="single" w:color="auto" w:sz="4" w:space="0"/>
                    <w:left w:val="single" w:color="auto" w:sz="4" w:space="0"/>
                    <w:bottom w:val="single" w:color="auto" w:sz="4" w:space="0"/>
                    <w:right w:val="single" w:color="auto" w:sz="4" w:space="0"/>
                  </w:tcBorders>
                  <w:vAlign w:val="center"/>
                </w:tcPr>
                <w:p w14:paraId="43558262">
                  <w:pPr>
                    <w:pStyle w:val="53"/>
                    <w:bidi w:val="0"/>
                    <w:rPr>
                      <w:rFonts w:hint="default"/>
                      <w:color w:val="auto"/>
                      <w:lang w:val="en-US" w:eastAsia="zh-CN"/>
                    </w:rPr>
                  </w:pPr>
                  <w:r>
                    <w:rPr>
                      <w:rFonts w:hint="eastAsia"/>
                      <w:color w:val="auto"/>
                      <w:lang w:val="en-US" w:eastAsia="zh-CN"/>
                    </w:rPr>
                    <w:t>57.46</w:t>
                  </w:r>
                </w:p>
              </w:tc>
              <w:tc>
                <w:tcPr>
                  <w:tcW w:w="253" w:type="pct"/>
                  <w:vMerge w:val="continue"/>
                  <w:tcBorders>
                    <w:left w:val="single" w:color="auto" w:sz="4" w:space="0"/>
                    <w:right w:val="single" w:color="auto" w:sz="4" w:space="0"/>
                  </w:tcBorders>
                  <w:vAlign w:val="center"/>
                </w:tcPr>
                <w:p w14:paraId="34B2D703">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108C07B5">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737E381">
                  <w:pPr>
                    <w:pStyle w:val="53"/>
                    <w:bidi w:val="0"/>
                    <w:rPr>
                      <w:rFonts w:hint="default"/>
                      <w:color w:val="auto"/>
                      <w:lang w:val="en-US" w:eastAsia="zh-CN"/>
                    </w:rPr>
                  </w:pPr>
                  <w:r>
                    <w:rPr>
                      <w:rFonts w:hint="eastAsia"/>
                      <w:color w:val="auto"/>
                      <w:lang w:val="en-US" w:eastAsia="zh-CN"/>
                    </w:rPr>
                    <w:t>47.46</w:t>
                  </w:r>
                </w:p>
              </w:tc>
              <w:tc>
                <w:tcPr>
                  <w:tcW w:w="364" w:type="pct"/>
                  <w:tcBorders>
                    <w:top w:val="single" w:color="auto" w:sz="4" w:space="0"/>
                    <w:left w:val="single" w:color="auto" w:sz="4" w:space="0"/>
                    <w:bottom w:val="single" w:color="auto" w:sz="4" w:space="0"/>
                    <w:right w:val="single" w:color="auto" w:sz="4" w:space="0"/>
                  </w:tcBorders>
                  <w:vAlign w:val="center"/>
                </w:tcPr>
                <w:p w14:paraId="775FD278">
                  <w:pPr>
                    <w:pStyle w:val="53"/>
                    <w:bidi w:val="0"/>
                    <w:rPr>
                      <w:rFonts w:hint="eastAsia"/>
                      <w:color w:val="auto"/>
                      <w:lang w:val="en-US" w:eastAsia="zh-CN"/>
                    </w:rPr>
                  </w:pPr>
                  <w:r>
                    <w:rPr>
                      <w:rFonts w:hint="eastAsia"/>
                      <w:color w:val="auto"/>
                      <w:lang w:val="en-US" w:eastAsia="zh-CN"/>
                    </w:rPr>
                    <w:t>1</w:t>
                  </w:r>
                </w:p>
              </w:tc>
            </w:tr>
            <w:tr w14:paraId="5CD0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580AF458">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66AD863">
                  <w:pPr>
                    <w:pStyle w:val="53"/>
                    <w:bidi w:val="0"/>
                    <w:ind w:firstLine="0" w:firstLineChars="0"/>
                    <w:rPr>
                      <w:rFonts w:hint="eastAsia"/>
                      <w:color w:val="auto"/>
                      <w:lang w:val="en-US" w:eastAsia="zh-CN"/>
                    </w:rPr>
                  </w:pPr>
                  <w:r>
                    <w:rPr>
                      <w:rFonts w:hint="eastAsia"/>
                      <w:color w:val="auto"/>
                      <w:lang w:val="en-US" w:eastAsia="zh-CN"/>
                    </w:rPr>
                    <w:t>切粒机</w:t>
                  </w:r>
                </w:p>
              </w:tc>
              <w:tc>
                <w:tcPr>
                  <w:tcW w:w="243" w:type="pct"/>
                  <w:tcBorders>
                    <w:top w:val="single" w:color="auto" w:sz="4" w:space="0"/>
                    <w:left w:val="single" w:color="auto" w:sz="4" w:space="0"/>
                    <w:bottom w:val="single" w:color="auto" w:sz="4" w:space="0"/>
                    <w:right w:val="single" w:color="auto" w:sz="4" w:space="0"/>
                  </w:tcBorders>
                  <w:vAlign w:val="center"/>
                </w:tcPr>
                <w:p w14:paraId="3B3E0158">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BBC8949">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6BBFBC02">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3BC4C6A8">
                  <w:pPr>
                    <w:pStyle w:val="53"/>
                    <w:bidi w:val="0"/>
                    <w:ind w:firstLine="0" w:firstLineChars="0"/>
                    <w:rPr>
                      <w:rFonts w:hint="eastAsia"/>
                      <w:color w:val="auto"/>
                      <w:lang w:val="en-US" w:eastAsia="zh-CN"/>
                    </w:rPr>
                  </w:pPr>
                  <w:r>
                    <w:rPr>
                      <w:rFonts w:hint="eastAsia"/>
                      <w:color w:val="auto"/>
                      <w:lang w:val="en-US" w:eastAsia="zh-CN"/>
                    </w:rPr>
                    <w:t>4.06</w:t>
                  </w:r>
                </w:p>
              </w:tc>
              <w:tc>
                <w:tcPr>
                  <w:tcW w:w="649" w:type="dxa"/>
                  <w:tcBorders>
                    <w:top w:val="single" w:color="auto" w:sz="4" w:space="0"/>
                    <w:left w:val="single" w:color="auto" w:sz="4" w:space="0"/>
                    <w:bottom w:val="single" w:color="auto" w:sz="4" w:space="0"/>
                    <w:right w:val="single" w:color="auto" w:sz="4" w:space="0"/>
                  </w:tcBorders>
                  <w:vAlign w:val="center"/>
                </w:tcPr>
                <w:p w14:paraId="6D9866BB">
                  <w:pPr>
                    <w:pStyle w:val="53"/>
                    <w:bidi w:val="0"/>
                    <w:ind w:firstLine="0" w:firstLineChars="0"/>
                    <w:rPr>
                      <w:rFonts w:hint="eastAsia"/>
                      <w:color w:val="auto"/>
                      <w:lang w:val="en-US" w:eastAsia="zh-CN"/>
                    </w:rPr>
                  </w:pPr>
                  <w:r>
                    <w:rPr>
                      <w:rFonts w:hint="eastAsia"/>
                      <w:color w:val="auto"/>
                      <w:lang w:val="en-US" w:eastAsia="zh-CN"/>
                    </w:rPr>
                    <w:t>1.69</w:t>
                  </w:r>
                </w:p>
              </w:tc>
              <w:tc>
                <w:tcPr>
                  <w:tcW w:w="656" w:type="dxa"/>
                  <w:tcBorders>
                    <w:top w:val="single" w:color="auto" w:sz="4" w:space="0"/>
                    <w:left w:val="single" w:color="auto" w:sz="4" w:space="0"/>
                    <w:bottom w:val="single" w:color="auto" w:sz="4" w:space="0"/>
                    <w:right w:val="single" w:color="auto" w:sz="4" w:space="0"/>
                  </w:tcBorders>
                  <w:vAlign w:val="center"/>
                </w:tcPr>
                <w:p w14:paraId="62488DA6">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A2D3852">
                  <w:pPr>
                    <w:pStyle w:val="53"/>
                    <w:bidi w:val="0"/>
                    <w:rPr>
                      <w:rFonts w:hint="default"/>
                      <w:color w:val="auto"/>
                      <w:lang w:val="en-US" w:eastAsia="zh-CN"/>
                    </w:rPr>
                  </w:pPr>
                  <w:r>
                    <w:rPr>
                      <w:rFonts w:hint="eastAsia"/>
                      <w:color w:val="auto"/>
                      <w:lang w:val="en-US" w:eastAsia="zh-CN"/>
                    </w:rPr>
                    <w:t>15.10</w:t>
                  </w:r>
                </w:p>
              </w:tc>
              <w:tc>
                <w:tcPr>
                  <w:tcW w:w="347" w:type="pct"/>
                  <w:tcBorders>
                    <w:top w:val="single" w:color="auto" w:sz="4" w:space="0"/>
                    <w:left w:val="single" w:color="auto" w:sz="4" w:space="0"/>
                    <w:bottom w:val="single" w:color="auto" w:sz="4" w:space="0"/>
                    <w:right w:val="single" w:color="auto" w:sz="4" w:space="0"/>
                  </w:tcBorders>
                  <w:vAlign w:val="center"/>
                </w:tcPr>
                <w:p w14:paraId="12CB6F5E">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0F2104CD">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AE17C72">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2277DB3">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5525D929">
                  <w:pPr>
                    <w:pStyle w:val="53"/>
                    <w:bidi w:val="0"/>
                    <w:rPr>
                      <w:rFonts w:hint="eastAsia"/>
                      <w:color w:val="auto"/>
                      <w:lang w:val="en-US" w:eastAsia="zh-CN"/>
                    </w:rPr>
                  </w:pPr>
                  <w:r>
                    <w:rPr>
                      <w:rFonts w:hint="eastAsia"/>
                      <w:color w:val="auto"/>
                      <w:lang w:val="en-US" w:eastAsia="zh-CN"/>
                    </w:rPr>
                    <w:t>1</w:t>
                  </w:r>
                </w:p>
              </w:tc>
            </w:tr>
            <w:tr w14:paraId="7A74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0244DAAC">
                  <w:pPr>
                    <w:pStyle w:val="53"/>
                    <w:bidi w:val="0"/>
                    <w:rPr>
                      <w:rFonts w:hint="eastAsia" w:eastAsia="宋体"/>
                      <w:color w:val="auto"/>
                      <w:lang w:val="en-US" w:eastAsia="zh-CN"/>
                    </w:rPr>
                  </w:pPr>
                  <w:r>
                    <w:rPr>
                      <w:rFonts w:hint="eastAsia"/>
                      <w:color w:val="auto"/>
                      <w:lang w:val="en-US" w:eastAsia="zh-CN"/>
                    </w:rPr>
                    <w:t>9</w:t>
                  </w:r>
                </w:p>
              </w:tc>
              <w:tc>
                <w:tcPr>
                  <w:tcW w:w="502" w:type="pct"/>
                  <w:tcBorders>
                    <w:top w:val="single" w:color="auto" w:sz="4" w:space="0"/>
                    <w:left w:val="single" w:color="auto" w:sz="4" w:space="0"/>
                    <w:bottom w:val="single" w:color="auto" w:sz="4" w:space="0"/>
                    <w:right w:val="single" w:color="auto" w:sz="4" w:space="0"/>
                  </w:tcBorders>
                  <w:vAlign w:val="center"/>
                </w:tcPr>
                <w:p w14:paraId="41EAF08F">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1CA43328">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3EE61B60">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6A8AFE5C">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1CD69B7F">
                  <w:pPr>
                    <w:pStyle w:val="53"/>
                    <w:bidi w:val="0"/>
                    <w:rPr>
                      <w:rFonts w:hint="default"/>
                      <w:color w:val="auto"/>
                      <w:lang w:val="en-US" w:eastAsia="zh-CN"/>
                    </w:rPr>
                  </w:pPr>
                  <w:r>
                    <w:rPr>
                      <w:rFonts w:hint="eastAsia"/>
                      <w:color w:val="auto"/>
                      <w:lang w:val="en-US" w:eastAsia="zh-CN"/>
                    </w:rPr>
                    <w:t>0.53</w:t>
                  </w:r>
                </w:p>
              </w:tc>
              <w:tc>
                <w:tcPr>
                  <w:tcW w:w="408" w:type="pct"/>
                  <w:tcBorders>
                    <w:top w:val="single" w:color="auto" w:sz="4" w:space="0"/>
                    <w:left w:val="single" w:color="auto" w:sz="4" w:space="0"/>
                    <w:bottom w:val="single" w:color="auto" w:sz="4" w:space="0"/>
                    <w:right w:val="single" w:color="auto" w:sz="4" w:space="0"/>
                  </w:tcBorders>
                  <w:vAlign w:val="center"/>
                </w:tcPr>
                <w:p w14:paraId="62DF31FC">
                  <w:pPr>
                    <w:pStyle w:val="53"/>
                    <w:bidi w:val="0"/>
                    <w:rPr>
                      <w:rFonts w:hint="default"/>
                      <w:color w:val="auto"/>
                      <w:lang w:val="en-US" w:eastAsia="zh-CN"/>
                    </w:rPr>
                  </w:pPr>
                  <w:r>
                    <w:rPr>
                      <w:rFonts w:hint="eastAsia"/>
                      <w:color w:val="auto"/>
                      <w:lang w:val="en-US" w:eastAsia="zh-CN"/>
                    </w:rPr>
                    <w:t>6.03</w:t>
                  </w:r>
                </w:p>
              </w:tc>
              <w:tc>
                <w:tcPr>
                  <w:tcW w:w="413" w:type="pct"/>
                  <w:tcBorders>
                    <w:top w:val="single" w:color="auto" w:sz="4" w:space="0"/>
                    <w:left w:val="single" w:color="auto" w:sz="4" w:space="0"/>
                    <w:bottom w:val="single" w:color="auto" w:sz="4" w:space="0"/>
                    <w:right w:val="single" w:color="auto" w:sz="4" w:space="0"/>
                  </w:tcBorders>
                  <w:vAlign w:val="center"/>
                </w:tcPr>
                <w:p w14:paraId="2F527897">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C5DBD62">
                  <w:pPr>
                    <w:pStyle w:val="53"/>
                    <w:bidi w:val="0"/>
                    <w:rPr>
                      <w:rFonts w:hint="default"/>
                      <w:color w:val="auto"/>
                      <w:lang w:val="en-US" w:eastAsia="zh-CN"/>
                    </w:rPr>
                  </w:pPr>
                  <w:r>
                    <w:rPr>
                      <w:rFonts w:hint="eastAsia"/>
                      <w:color w:val="auto"/>
                      <w:lang w:val="en-US" w:eastAsia="zh-CN"/>
                    </w:rPr>
                    <w:t>8.46</w:t>
                  </w:r>
                </w:p>
              </w:tc>
              <w:tc>
                <w:tcPr>
                  <w:tcW w:w="347" w:type="pct"/>
                  <w:tcBorders>
                    <w:top w:val="single" w:color="auto" w:sz="4" w:space="0"/>
                    <w:left w:val="single" w:color="auto" w:sz="4" w:space="0"/>
                    <w:bottom w:val="single" w:color="auto" w:sz="4" w:space="0"/>
                    <w:right w:val="single" w:color="auto" w:sz="4" w:space="0"/>
                  </w:tcBorders>
                  <w:vAlign w:val="center"/>
                </w:tcPr>
                <w:p w14:paraId="2FC39045">
                  <w:pPr>
                    <w:pStyle w:val="53"/>
                    <w:bidi w:val="0"/>
                    <w:rPr>
                      <w:rFonts w:hint="default"/>
                      <w:color w:val="auto"/>
                      <w:lang w:val="en-US" w:eastAsia="zh-CN"/>
                    </w:rPr>
                  </w:pPr>
                  <w:r>
                    <w:rPr>
                      <w:rFonts w:hint="eastAsia"/>
                      <w:color w:val="auto"/>
                      <w:lang w:val="en-US" w:eastAsia="zh-CN"/>
                    </w:rPr>
                    <w:t>72.47</w:t>
                  </w:r>
                </w:p>
              </w:tc>
              <w:tc>
                <w:tcPr>
                  <w:tcW w:w="253" w:type="pct"/>
                  <w:vMerge w:val="continue"/>
                  <w:tcBorders>
                    <w:left w:val="single" w:color="auto" w:sz="4" w:space="0"/>
                    <w:right w:val="single" w:color="auto" w:sz="4" w:space="0"/>
                  </w:tcBorders>
                  <w:vAlign w:val="center"/>
                </w:tcPr>
                <w:p w14:paraId="2E3930F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8D0DAED">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8779AF5">
                  <w:pPr>
                    <w:pStyle w:val="53"/>
                    <w:bidi w:val="0"/>
                    <w:rPr>
                      <w:rFonts w:hint="default"/>
                      <w:color w:val="auto"/>
                      <w:lang w:val="en-US" w:eastAsia="zh-CN"/>
                    </w:rPr>
                  </w:pPr>
                  <w:r>
                    <w:rPr>
                      <w:rFonts w:hint="eastAsia"/>
                      <w:color w:val="auto"/>
                      <w:lang w:val="en-US" w:eastAsia="zh-CN"/>
                    </w:rPr>
                    <w:t>62.47</w:t>
                  </w:r>
                </w:p>
              </w:tc>
              <w:tc>
                <w:tcPr>
                  <w:tcW w:w="364" w:type="pct"/>
                  <w:tcBorders>
                    <w:top w:val="single" w:color="auto" w:sz="4" w:space="0"/>
                    <w:left w:val="single" w:color="auto" w:sz="4" w:space="0"/>
                    <w:bottom w:val="single" w:color="auto" w:sz="4" w:space="0"/>
                    <w:right w:val="single" w:color="auto" w:sz="4" w:space="0"/>
                  </w:tcBorders>
                  <w:vAlign w:val="center"/>
                </w:tcPr>
                <w:p w14:paraId="1566F67E">
                  <w:pPr>
                    <w:pStyle w:val="53"/>
                    <w:bidi w:val="0"/>
                    <w:rPr>
                      <w:rFonts w:hint="eastAsia"/>
                      <w:color w:val="auto"/>
                      <w:lang w:val="en-US" w:eastAsia="zh-CN"/>
                    </w:rPr>
                  </w:pPr>
                  <w:r>
                    <w:rPr>
                      <w:rFonts w:hint="eastAsia"/>
                      <w:color w:val="auto"/>
                      <w:lang w:val="en-US" w:eastAsia="zh-CN"/>
                    </w:rPr>
                    <w:t>1</w:t>
                  </w:r>
                </w:p>
              </w:tc>
            </w:tr>
            <w:tr w14:paraId="6C01F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677524F0">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660BC2CF">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16E39C2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C7B23BF">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752FD829">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72B4C668">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40805899">
                  <w:pPr>
                    <w:pStyle w:val="53"/>
                    <w:bidi w:val="0"/>
                    <w:ind w:firstLine="0" w:firstLineChars="0"/>
                    <w:rPr>
                      <w:rFonts w:hint="eastAsia"/>
                      <w:color w:val="auto"/>
                      <w:lang w:val="en-US" w:eastAsia="zh-CN"/>
                    </w:rPr>
                  </w:pPr>
                  <w:r>
                    <w:rPr>
                      <w:rFonts w:hint="eastAsia"/>
                      <w:color w:val="auto"/>
                      <w:lang w:val="en-US" w:eastAsia="zh-CN"/>
                    </w:rPr>
                    <w:t>6.03</w:t>
                  </w:r>
                </w:p>
              </w:tc>
              <w:tc>
                <w:tcPr>
                  <w:tcW w:w="656" w:type="dxa"/>
                  <w:tcBorders>
                    <w:top w:val="single" w:color="auto" w:sz="4" w:space="0"/>
                    <w:left w:val="single" w:color="auto" w:sz="4" w:space="0"/>
                    <w:bottom w:val="single" w:color="auto" w:sz="4" w:space="0"/>
                    <w:right w:val="single" w:color="auto" w:sz="4" w:space="0"/>
                  </w:tcBorders>
                  <w:vAlign w:val="center"/>
                </w:tcPr>
                <w:p w14:paraId="7EDECE7B">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C68684A">
                  <w:pPr>
                    <w:pStyle w:val="53"/>
                    <w:bidi w:val="0"/>
                    <w:rPr>
                      <w:rFonts w:hint="default"/>
                      <w:color w:val="auto"/>
                      <w:lang w:val="en-US" w:eastAsia="zh-CN"/>
                    </w:rPr>
                  </w:pPr>
                  <w:r>
                    <w:rPr>
                      <w:rFonts w:hint="eastAsia"/>
                      <w:color w:val="auto"/>
                      <w:lang w:val="en-US" w:eastAsia="zh-CN"/>
                    </w:rPr>
                    <w:t>4.62</w:t>
                  </w:r>
                </w:p>
              </w:tc>
              <w:tc>
                <w:tcPr>
                  <w:tcW w:w="347" w:type="pct"/>
                  <w:tcBorders>
                    <w:top w:val="single" w:color="auto" w:sz="4" w:space="0"/>
                    <w:left w:val="single" w:color="auto" w:sz="4" w:space="0"/>
                    <w:bottom w:val="single" w:color="auto" w:sz="4" w:space="0"/>
                    <w:right w:val="single" w:color="auto" w:sz="4" w:space="0"/>
                  </w:tcBorders>
                  <w:vAlign w:val="center"/>
                </w:tcPr>
                <w:p w14:paraId="7C182C09">
                  <w:pPr>
                    <w:pStyle w:val="53"/>
                    <w:bidi w:val="0"/>
                    <w:rPr>
                      <w:rFonts w:hint="default"/>
                      <w:color w:val="auto"/>
                      <w:lang w:val="en-US" w:eastAsia="zh-CN"/>
                    </w:rPr>
                  </w:pPr>
                  <w:r>
                    <w:rPr>
                      <w:rFonts w:hint="eastAsia"/>
                      <w:color w:val="auto"/>
                      <w:lang w:val="en-US" w:eastAsia="zh-CN"/>
                    </w:rPr>
                    <w:t>72.54</w:t>
                  </w:r>
                </w:p>
              </w:tc>
              <w:tc>
                <w:tcPr>
                  <w:tcW w:w="253" w:type="pct"/>
                  <w:vMerge w:val="continue"/>
                  <w:tcBorders>
                    <w:left w:val="single" w:color="auto" w:sz="4" w:space="0"/>
                    <w:right w:val="single" w:color="auto" w:sz="4" w:space="0"/>
                  </w:tcBorders>
                  <w:vAlign w:val="center"/>
                </w:tcPr>
                <w:p w14:paraId="4A660692">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03DD0930">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278F623D">
                  <w:pPr>
                    <w:pStyle w:val="53"/>
                    <w:bidi w:val="0"/>
                    <w:rPr>
                      <w:rFonts w:hint="default"/>
                      <w:color w:val="auto"/>
                      <w:lang w:val="en-US" w:eastAsia="zh-CN"/>
                    </w:rPr>
                  </w:pPr>
                  <w:r>
                    <w:rPr>
                      <w:rFonts w:hint="eastAsia"/>
                      <w:color w:val="auto"/>
                      <w:lang w:val="en-US" w:eastAsia="zh-CN"/>
                    </w:rPr>
                    <w:t>62.54</w:t>
                  </w:r>
                </w:p>
              </w:tc>
              <w:tc>
                <w:tcPr>
                  <w:tcW w:w="364" w:type="pct"/>
                  <w:tcBorders>
                    <w:top w:val="single" w:color="auto" w:sz="4" w:space="0"/>
                    <w:left w:val="single" w:color="auto" w:sz="4" w:space="0"/>
                    <w:bottom w:val="single" w:color="auto" w:sz="4" w:space="0"/>
                    <w:right w:val="single" w:color="auto" w:sz="4" w:space="0"/>
                  </w:tcBorders>
                  <w:vAlign w:val="center"/>
                </w:tcPr>
                <w:p w14:paraId="6E33A9AF">
                  <w:pPr>
                    <w:pStyle w:val="53"/>
                    <w:bidi w:val="0"/>
                    <w:rPr>
                      <w:rFonts w:hint="eastAsia"/>
                      <w:color w:val="auto"/>
                      <w:lang w:val="en-US" w:eastAsia="zh-CN"/>
                    </w:rPr>
                  </w:pPr>
                  <w:r>
                    <w:rPr>
                      <w:rFonts w:hint="eastAsia"/>
                      <w:color w:val="auto"/>
                      <w:lang w:val="en-US" w:eastAsia="zh-CN"/>
                    </w:rPr>
                    <w:t>1</w:t>
                  </w:r>
                </w:p>
              </w:tc>
            </w:tr>
            <w:tr w14:paraId="6ED7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1B3101D">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8EB3529">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4B04865C">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B878DAD">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56EBB5B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6A2F8D5C">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1FF0D2A2">
                  <w:pPr>
                    <w:pStyle w:val="53"/>
                    <w:bidi w:val="0"/>
                    <w:ind w:firstLine="0" w:firstLineChars="0"/>
                    <w:rPr>
                      <w:rFonts w:hint="eastAsia"/>
                      <w:color w:val="auto"/>
                      <w:lang w:val="en-US" w:eastAsia="zh-CN"/>
                    </w:rPr>
                  </w:pPr>
                  <w:r>
                    <w:rPr>
                      <w:rFonts w:hint="eastAsia"/>
                      <w:color w:val="auto"/>
                      <w:lang w:val="en-US" w:eastAsia="zh-CN"/>
                    </w:rPr>
                    <w:t>6.03</w:t>
                  </w:r>
                </w:p>
              </w:tc>
              <w:tc>
                <w:tcPr>
                  <w:tcW w:w="656" w:type="dxa"/>
                  <w:tcBorders>
                    <w:top w:val="single" w:color="auto" w:sz="4" w:space="0"/>
                    <w:left w:val="single" w:color="auto" w:sz="4" w:space="0"/>
                    <w:bottom w:val="single" w:color="auto" w:sz="4" w:space="0"/>
                    <w:right w:val="single" w:color="auto" w:sz="4" w:space="0"/>
                  </w:tcBorders>
                  <w:vAlign w:val="center"/>
                </w:tcPr>
                <w:p w14:paraId="68779BA6">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6E1F2B3">
                  <w:pPr>
                    <w:pStyle w:val="53"/>
                    <w:bidi w:val="0"/>
                    <w:rPr>
                      <w:rFonts w:hint="default"/>
                      <w:color w:val="auto"/>
                      <w:lang w:val="en-US" w:eastAsia="zh-CN"/>
                    </w:rPr>
                  </w:pPr>
                  <w:r>
                    <w:rPr>
                      <w:rFonts w:hint="eastAsia"/>
                      <w:color w:val="auto"/>
                      <w:lang w:val="en-US" w:eastAsia="zh-CN"/>
                    </w:rPr>
                    <w:t>16.52</w:t>
                  </w:r>
                </w:p>
              </w:tc>
              <w:tc>
                <w:tcPr>
                  <w:tcW w:w="347" w:type="pct"/>
                  <w:tcBorders>
                    <w:top w:val="single" w:color="auto" w:sz="4" w:space="0"/>
                    <w:left w:val="single" w:color="auto" w:sz="4" w:space="0"/>
                    <w:bottom w:val="single" w:color="auto" w:sz="4" w:space="0"/>
                    <w:right w:val="single" w:color="auto" w:sz="4" w:space="0"/>
                  </w:tcBorders>
                  <w:vAlign w:val="center"/>
                </w:tcPr>
                <w:p w14:paraId="3B7E3F29">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1E7BB034">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F29BC0F">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4146C7C">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374A39DD">
                  <w:pPr>
                    <w:pStyle w:val="53"/>
                    <w:bidi w:val="0"/>
                    <w:rPr>
                      <w:rFonts w:hint="eastAsia"/>
                      <w:color w:val="auto"/>
                      <w:lang w:val="en-US" w:eastAsia="zh-CN"/>
                    </w:rPr>
                  </w:pPr>
                  <w:r>
                    <w:rPr>
                      <w:rFonts w:hint="eastAsia"/>
                      <w:color w:val="auto"/>
                      <w:lang w:val="en-US" w:eastAsia="zh-CN"/>
                    </w:rPr>
                    <w:t>1</w:t>
                  </w:r>
                </w:p>
              </w:tc>
            </w:tr>
            <w:tr w14:paraId="4A35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203E4209">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74C600F7">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28BC7125">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040D8845">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017F710E">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5E59B40C">
                  <w:pPr>
                    <w:pStyle w:val="53"/>
                    <w:bidi w:val="0"/>
                    <w:ind w:firstLine="0" w:firstLineChars="0"/>
                    <w:rPr>
                      <w:rFonts w:hint="eastAsia"/>
                      <w:color w:val="auto"/>
                      <w:lang w:val="en-US" w:eastAsia="zh-CN"/>
                    </w:rPr>
                  </w:pPr>
                  <w:r>
                    <w:rPr>
                      <w:rFonts w:hint="eastAsia"/>
                      <w:color w:val="auto"/>
                      <w:lang w:val="en-US" w:eastAsia="zh-CN"/>
                    </w:rPr>
                    <w:t>0.53</w:t>
                  </w:r>
                </w:p>
              </w:tc>
              <w:tc>
                <w:tcPr>
                  <w:tcW w:w="649" w:type="dxa"/>
                  <w:tcBorders>
                    <w:top w:val="single" w:color="auto" w:sz="4" w:space="0"/>
                    <w:left w:val="single" w:color="auto" w:sz="4" w:space="0"/>
                    <w:bottom w:val="single" w:color="auto" w:sz="4" w:space="0"/>
                    <w:right w:val="single" w:color="auto" w:sz="4" w:space="0"/>
                  </w:tcBorders>
                  <w:vAlign w:val="center"/>
                </w:tcPr>
                <w:p w14:paraId="3D41B916">
                  <w:pPr>
                    <w:pStyle w:val="53"/>
                    <w:bidi w:val="0"/>
                    <w:ind w:firstLine="0" w:firstLineChars="0"/>
                    <w:rPr>
                      <w:rFonts w:hint="eastAsia"/>
                      <w:color w:val="auto"/>
                      <w:lang w:val="en-US" w:eastAsia="zh-CN"/>
                    </w:rPr>
                  </w:pPr>
                  <w:r>
                    <w:rPr>
                      <w:rFonts w:hint="eastAsia"/>
                      <w:color w:val="auto"/>
                      <w:lang w:val="en-US" w:eastAsia="zh-CN"/>
                    </w:rPr>
                    <w:t>6.03</w:t>
                  </w:r>
                </w:p>
              </w:tc>
              <w:tc>
                <w:tcPr>
                  <w:tcW w:w="656" w:type="dxa"/>
                  <w:tcBorders>
                    <w:top w:val="single" w:color="auto" w:sz="4" w:space="0"/>
                    <w:left w:val="single" w:color="auto" w:sz="4" w:space="0"/>
                    <w:bottom w:val="single" w:color="auto" w:sz="4" w:space="0"/>
                    <w:right w:val="single" w:color="auto" w:sz="4" w:space="0"/>
                  </w:tcBorders>
                  <w:vAlign w:val="center"/>
                </w:tcPr>
                <w:p w14:paraId="0183D558">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12BA443B">
                  <w:pPr>
                    <w:pStyle w:val="53"/>
                    <w:bidi w:val="0"/>
                    <w:rPr>
                      <w:rFonts w:hint="default"/>
                      <w:color w:val="auto"/>
                      <w:lang w:val="en-US" w:eastAsia="zh-CN"/>
                    </w:rPr>
                  </w:pPr>
                  <w:r>
                    <w:rPr>
                      <w:rFonts w:hint="eastAsia"/>
                      <w:color w:val="auto"/>
                      <w:lang w:val="en-US" w:eastAsia="zh-CN"/>
                    </w:rPr>
                    <w:t>7.58</w:t>
                  </w:r>
                </w:p>
              </w:tc>
              <w:tc>
                <w:tcPr>
                  <w:tcW w:w="347" w:type="pct"/>
                  <w:tcBorders>
                    <w:top w:val="single" w:color="auto" w:sz="4" w:space="0"/>
                    <w:left w:val="single" w:color="auto" w:sz="4" w:space="0"/>
                    <w:bottom w:val="single" w:color="auto" w:sz="4" w:space="0"/>
                    <w:right w:val="single" w:color="auto" w:sz="4" w:space="0"/>
                  </w:tcBorders>
                  <w:vAlign w:val="center"/>
                </w:tcPr>
                <w:p w14:paraId="086616CC">
                  <w:pPr>
                    <w:pStyle w:val="53"/>
                    <w:bidi w:val="0"/>
                    <w:rPr>
                      <w:rFonts w:hint="default"/>
                      <w:color w:val="auto"/>
                      <w:lang w:val="en-US" w:eastAsia="zh-CN"/>
                    </w:rPr>
                  </w:pPr>
                  <w:r>
                    <w:rPr>
                      <w:rFonts w:hint="eastAsia"/>
                      <w:color w:val="auto"/>
                      <w:lang w:val="en-US" w:eastAsia="zh-CN"/>
                    </w:rPr>
                    <w:t>72.48</w:t>
                  </w:r>
                </w:p>
              </w:tc>
              <w:tc>
                <w:tcPr>
                  <w:tcW w:w="253" w:type="pct"/>
                  <w:vMerge w:val="continue"/>
                  <w:tcBorders>
                    <w:left w:val="single" w:color="auto" w:sz="4" w:space="0"/>
                    <w:right w:val="single" w:color="auto" w:sz="4" w:space="0"/>
                  </w:tcBorders>
                  <w:vAlign w:val="center"/>
                </w:tcPr>
                <w:p w14:paraId="6DEC674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5622B5E4">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0B4A1412">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0935CCB9">
                  <w:pPr>
                    <w:pStyle w:val="53"/>
                    <w:bidi w:val="0"/>
                    <w:rPr>
                      <w:rFonts w:hint="eastAsia"/>
                      <w:color w:val="auto"/>
                      <w:lang w:val="en-US" w:eastAsia="zh-CN"/>
                    </w:rPr>
                  </w:pPr>
                  <w:r>
                    <w:rPr>
                      <w:rFonts w:hint="eastAsia"/>
                      <w:color w:val="auto"/>
                      <w:lang w:val="en-US" w:eastAsia="zh-CN"/>
                    </w:rPr>
                    <w:t>1</w:t>
                  </w:r>
                </w:p>
              </w:tc>
            </w:tr>
            <w:tr w14:paraId="69215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539C9B67">
                  <w:pPr>
                    <w:pStyle w:val="53"/>
                    <w:bidi w:val="0"/>
                    <w:rPr>
                      <w:rFonts w:hint="default" w:eastAsia="宋体"/>
                      <w:color w:val="auto"/>
                      <w:lang w:val="en-US" w:eastAsia="zh-CN"/>
                    </w:rPr>
                  </w:pPr>
                  <w:r>
                    <w:rPr>
                      <w:rFonts w:hint="eastAsia"/>
                      <w:color w:val="auto"/>
                      <w:lang w:val="en-US" w:eastAsia="zh-CN"/>
                    </w:rPr>
                    <w:t>10</w:t>
                  </w:r>
                </w:p>
                <w:p w14:paraId="36F1229D">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62096819">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2AA3922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74B3838">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788114CA">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51AF82B3">
                  <w:pPr>
                    <w:pStyle w:val="53"/>
                    <w:bidi w:val="0"/>
                    <w:rPr>
                      <w:rFonts w:hint="default"/>
                      <w:color w:val="auto"/>
                      <w:lang w:val="en-US" w:eastAsia="zh-CN"/>
                    </w:rPr>
                  </w:pPr>
                  <w:r>
                    <w:rPr>
                      <w:rFonts w:hint="eastAsia"/>
                      <w:color w:val="auto"/>
                      <w:lang w:val="en-US" w:eastAsia="zh-CN"/>
                    </w:rPr>
                    <w:t>6.77</w:t>
                  </w:r>
                </w:p>
              </w:tc>
              <w:tc>
                <w:tcPr>
                  <w:tcW w:w="408" w:type="pct"/>
                  <w:tcBorders>
                    <w:top w:val="single" w:color="auto" w:sz="4" w:space="0"/>
                    <w:left w:val="single" w:color="auto" w:sz="4" w:space="0"/>
                    <w:bottom w:val="single" w:color="auto" w:sz="4" w:space="0"/>
                    <w:right w:val="single" w:color="auto" w:sz="4" w:space="0"/>
                  </w:tcBorders>
                  <w:vAlign w:val="center"/>
                </w:tcPr>
                <w:p w14:paraId="6F3FE2E1">
                  <w:pPr>
                    <w:pStyle w:val="53"/>
                    <w:bidi w:val="0"/>
                    <w:rPr>
                      <w:rFonts w:hint="default"/>
                      <w:color w:val="auto"/>
                      <w:lang w:val="en-US" w:eastAsia="zh-CN"/>
                    </w:rPr>
                  </w:pPr>
                  <w:r>
                    <w:rPr>
                      <w:rFonts w:hint="eastAsia"/>
                      <w:color w:val="auto"/>
                      <w:lang w:val="en-US" w:eastAsia="zh-CN"/>
                    </w:rPr>
                    <w:t>3.45</w:t>
                  </w:r>
                </w:p>
              </w:tc>
              <w:tc>
                <w:tcPr>
                  <w:tcW w:w="413" w:type="pct"/>
                  <w:tcBorders>
                    <w:top w:val="single" w:color="auto" w:sz="4" w:space="0"/>
                    <w:left w:val="single" w:color="auto" w:sz="4" w:space="0"/>
                    <w:bottom w:val="single" w:color="auto" w:sz="4" w:space="0"/>
                    <w:right w:val="single" w:color="auto" w:sz="4" w:space="0"/>
                  </w:tcBorders>
                  <w:vAlign w:val="center"/>
                </w:tcPr>
                <w:p w14:paraId="1AEFD607">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D57928C">
                  <w:pPr>
                    <w:pStyle w:val="53"/>
                    <w:bidi w:val="0"/>
                    <w:rPr>
                      <w:rFonts w:hint="default"/>
                      <w:color w:val="auto"/>
                      <w:lang w:val="en-US" w:eastAsia="zh-CN"/>
                    </w:rPr>
                  </w:pPr>
                  <w:r>
                    <w:rPr>
                      <w:rFonts w:hint="eastAsia"/>
                      <w:color w:val="auto"/>
                      <w:lang w:val="en-US" w:eastAsia="zh-CN"/>
                    </w:rPr>
                    <w:t>14.68</w:t>
                  </w:r>
                </w:p>
              </w:tc>
              <w:tc>
                <w:tcPr>
                  <w:tcW w:w="347" w:type="pct"/>
                  <w:tcBorders>
                    <w:top w:val="single" w:color="auto" w:sz="4" w:space="0"/>
                    <w:left w:val="single" w:color="auto" w:sz="4" w:space="0"/>
                    <w:bottom w:val="single" w:color="auto" w:sz="4" w:space="0"/>
                    <w:right w:val="single" w:color="auto" w:sz="4" w:space="0"/>
                  </w:tcBorders>
                  <w:vAlign w:val="center"/>
                </w:tcPr>
                <w:p w14:paraId="301EF9A6">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11140E2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1CB0500">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A24385A">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759387CF">
                  <w:pPr>
                    <w:pStyle w:val="53"/>
                    <w:bidi w:val="0"/>
                    <w:rPr>
                      <w:rFonts w:hint="eastAsia"/>
                      <w:color w:val="auto"/>
                      <w:lang w:val="en-US" w:eastAsia="zh-CN"/>
                    </w:rPr>
                  </w:pPr>
                  <w:r>
                    <w:rPr>
                      <w:rFonts w:hint="eastAsia"/>
                      <w:color w:val="auto"/>
                      <w:lang w:val="en-US" w:eastAsia="zh-CN"/>
                    </w:rPr>
                    <w:t>1</w:t>
                  </w:r>
                </w:p>
              </w:tc>
            </w:tr>
            <w:tr w14:paraId="5454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B78DF2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7F8367C3">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5DFF6EEA">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3D043FF">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7340AB2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5276BF97">
                  <w:pPr>
                    <w:pStyle w:val="53"/>
                    <w:bidi w:val="0"/>
                    <w:ind w:firstLine="0" w:firstLineChars="0"/>
                    <w:rPr>
                      <w:rFonts w:hint="eastAsia"/>
                      <w:color w:val="auto"/>
                      <w:lang w:val="en-US" w:eastAsia="zh-CN"/>
                    </w:rPr>
                  </w:pPr>
                  <w:r>
                    <w:rPr>
                      <w:rFonts w:hint="eastAsia"/>
                      <w:color w:val="auto"/>
                      <w:lang w:val="en-US" w:eastAsia="zh-CN"/>
                    </w:rPr>
                    <w:t>6.77</w:t>
                  </w:r>
                </w:p>
              </w:tc>
              <w:tc>
                <w:tcPr>
                  <w:tcW w:w="649" w:type="dxa"/>
                  <w:tcBorders>
                    <w:top w:val="single" w:color="auto" w:sz="4" w:space="0"/>
                    <w:left w:val="single" w:color="auto" w:sz="4" w:space="0"/>
                    <w:bottom w:val="single" w:color="auto" w:sz="4" w:space="0"/>
                    <w:right w:val="single" w:color="auto" w:sz="4" w:space="0"/>
                  </w:tcBorders>
                  <w:vAlign w:val="center"/>
                </w:tcPr>
                <w:p w14:paraId="27EF09BB">
                  <w:pPr>
                    <w:pStyle w:val="53"/>
                    <w:bidi w:val="0"/>
                    <w:ind w:firstLine="0" w:firstLineChars="0"/>
                    <w:rPr>
                      <w:rFonts w:hint="eastAsia"/>
                      <w:color w:val="auto"/>
                      <w:lang w:val="en-US" w:eastAsia="zh-CN"/>
                    </w:rPr>
                  </w:pPr>
                  <w:r>
                    <w:rPr>
                      <w:rFonts w:hint="eastAsia"/>
                      <w:color w:val="auto"/>
                      <w:lang w:val="en-US" w:eastAsia="zh-CN"/>
                    </w:rPr>
                    <w:t>3.45</w:t>
                  </w:r>
                </w:p>
              </w:tc>
              <w:tc>
                <w:tcPr>
                  <w:tcW w:w="656" w:type="dxa"/>
                  <w:tcBorders>
                    <w:top w:val="single" w:color="auto" w:sz="4" w:space="0"/>
                    <w:left w:val="single" w:color="auto" w:sz="4" w:space="0"/>
                    <w:bottom w:val="single" w:color="auto" w:sz="4" w:space="0"/>
                    <w:right w:val="single" w:color="auto" w:sz="4" w:space="0"/>
                  </w:tcBorders>
                  <w:vAlign w:val="center"/>
                </w:tcPr>
                <w:p w14:paraId="40A79493">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740398C">
                  <w:pPr>
                    <w:pStyle w:val="53"/>
                    <w:bidi w:val="0"/>
                    <w:rPr>
                      <w:rFonts w:hint="default"/>
                      <w:color w:val="auto"/>
                      <w:lang w:val="en-US" w:eastAsia="zh-CN"/>
                    </w:rPr>
                  </w:pPr>
                  <w:r>
                    <w:rPr>
                      <w:rFonts w:hint="eastAsia"/>
                      <w:color w:val="auto"/>
                      <w:lang w:val="en-US" w:eastAsia="zh-CN"/>
                    </w:rPr>
                    <w:t>3.09</w:t>
                  </w:r>
                </w:p>
              </w:tc>
              <w:tc>
                <w:tcPr>
                  <w:tcW w:w="347" w:type="pct"/>
                  <w:tcBorders>
                    <w:top w:val="single" w:color="auto" w:sz="4" w:space="0"/>
                    <w:left w:val="single" w:color="auto" w:sz="4" w:space="0"/>
                    <w:bottom w:val="single" w:color="auto" w:sz="4" w:space="0"/>
                    <w:right w:val="single" w:color="auto" w:sz="4" w:space="0"/>
                  </w:tcBorders>
                  <w:vAlign w:val="center"/>
                </w:tcPr>
                <w:p w14:paraId="3FF43B9C">
                  <w:pPr>
                    <w:pStyle w:val="53"/>
                    <w:bidi w:val="0"/>
                    <w:rPr>
                      <w:rFonts w:hint="default"/>
                      <w:color w:val="auto"/>
                      <w:lang w:val="en-US" w:eastAsia="zh-CN"/>
                    </w:rPr>
                  </w:pPr>
                  <w:r>
                    <w:rPr>
                      <w:rFonts w:hint="eastAsia"/>
                      <w:color w:val="auto"/>
                      <w:lang w:val="en-US" w:eastAsia="zh-CN"/>
                    </w:rPr>
                    <w:t>72.65</w:t>
                  </w:r>
                </w:p>
              </w:tc>
              <w:tc>
                <w:tcPr>
                  <w:tcW w:w="253" w:type="pct"/>
                  <w:vMerge w:val="continue"/>
                  <w:tcBorders>
                    <w:left w:val="single" w:color="auto" w:sz="4" w:space="0"/>
                    <w:right w:val="single" w:color="auto" w:sz="4" w:space="0"/>
                  </w:tcBorders>
                  <w:vAlign w:val="center"/>
                </w:tcPr>
                <w:p w14:paraId="7306CF82">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5A32209">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E7AE35B">
                  <w:pPr>
                    <w:pStyle w:val="53"/>
                    <w:bidi w:val="0"/>
                    <w:rPr>
                      <w:rFonts w:hint="default"/>
                      <w:color w:val="auto"/>
                      <w:lang w:val="en-US" w:eastAsia="zh-CN"/>
                    </w:rPr>
                  </w:pPr>
                  <w:r>
                    <w:rPr>
                      <w:rFonts w:hint="eastAsia"/>
                      <w:color w:val="auto"/>
                      <w:lang w:val="en-US" w:eastAsia="zh-CN"/>
                    </w:rPr>
                    <w:t>62.65</w:t>
                  </w:r>
                </w:p>
              </w:tc>
              <w:tc>
                <w:tcPr>
                  <w:tcW w:w="364" w:type="pct"/>
                  <w:tcBorders>
                    <w:top w:val="single" w:color="auto" w:sz="4" w:space="0"/>
                    <w:left w:val="single" w:color="auto" w:sz="4" w:space="0"/>
                    <w:bottom w:val="single" w:color="auto" w:sz="4" w:space="0"/>
                    <w:right w:val="single" w:color="auto" w:sz="4" w:space="0"/>
                  </w:tcBorders>
                  <w:vAlign w:val="center"/>
                </w:tcPr>
                <w:p w14:paraId="140A6DFC">
                  <w:pPr>
                    <w:pStyle w:val="53"/>
                    <w:bidi w:val="0"/>
                    <w:rPr>
                      <w:rFonts w:hint="eastAsia"/>
                      <w:color w:val="auto"/>
                      <w:lang w:val="en-US" w:eastAsia="zh-CN"/>
                    </w:rPr>
                  </w:pPr>
                  <w:r>
                    <w:rPr>
                      <w:rFonts w:hint="eastAsia"/>
                      <w:color w:val="auto"/>
                      <w:lang w:val="en-US" w:eastAsia="zh-CN"/>
                    </w:rPr>
                    <w:t>1</w:t>
                  </w:r>
                </w:p>
              </w:tc>
            </w:tr>
            <w:tr w14:paraId="1D56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E77E7A8">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5311AA88">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06F28699">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545E985">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05375CFF">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6515B0E7">
                  <w:pPr>
                    <w:pStyle w:val="53"/>
                    <w:bidi w:val="0"/>
                    <w:ind w:firstLine="0" w:firstLineChars="0"/>
                    <w:rPr>
                      <w:rFonts w:hint="eastAsia"/>
                      <w:color w:val="auto"/>
                      <w:lang w:val="en-US" w:eastAsia="zh-CN"/>
                    </w:rPr>
                  </w:pPr>
                  <w:r>
                    <w:rPr>
                      <w:rFonts w:hint="eastAsia"/>
                      <w:color w:val="auto"/>
                      <w:lang w:val="en-US" w:eastAsia="zh-CN"/>
                    </w:rPr>
                    <w:t>6.77</w:t>
                  </w:r>
                </w:p>
              </w:tc>
              <w:tc>
                <w:tcPr>
                  <w:tcW w:w="649" w:type="dxa"/>
                  <w:tcBorders>
                    <w:top w:val="single" w:color="auto" w:sz="4" w:space="0"/>
                    <w:left w:val="single" w:color="auto" w:sz="4" w:space="0"/>
                    <w:bottom w:val="single" w:color="auto" w:sz="4" w:space="0"/>
                    <w:right w:val="single" w:color="auto" w:sz="4" w:space="0"/>
                  </w:tcBorders>
                  <w:vAlign w:val="center"/>
                </w:tcPr>
                <w:p w14:paraId="1327709B">
                  <w:pPr>
                    <w:pStyle w:val="53"/>
                    <w:bidi w:val="0"/>
                    <w:ind w:firstLine="0" w:firstLineChars="0"/>
                    <w:rPr>
                      <w:rFonts w:hint="eastAsia"/>
                      <w:color w:val="auto"/>
                      <w:lang w:val="en-US" w:eastAsia="zh-CN"/>
                    </w:rPr>
                  </w:pPr>
                  <w:r>
                    <w:rPr>
                      <w:rFonts w:hint="eastAsia"/>
                      <w:color w:val="auto"/>
                      <w:lang w:val="en-US" w:eastAsia="zh-CN"/>
                    </w:rPr>
                    <w:t>3.45</w:t>
                  </w:r>
                </w:p>
              </w:tc>
              <w:tc>
                <w:tcPr>
                  <w:tcW w:w="656" w:type="dxa"/>
                  <w:tcBorders>
                    <w:top w:val="single" w:color="auto" w:sz="4" w:space="0"/>
                    <w:left w:val="single" w:color="auto" w:sz="4" w:space="0"/>
                    <w:bottom w:val="single" w:color="auto" w:sz="4" w:space="0"/>
                    <w:right w:val="single" w:color="auto" w:sz="4" w:space="0"/>
                  </w:tcBorders>
                  <w:vAlign w:val="center"/>
                </w:tcPr>
                <w:p w14:paraId="078280FE">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1F5CEA3">
                  <w:pPr>
                    <w:pStyle w:val="53"/>
                    <w:bidi w:val="0"/>
                    <w:rPr>
                      <w:rFonts w:hint="default"/>
                      <w:color w:val="auto"/>
                      <w:lang w:val="en-US" w:eastAsia="zh-CN"/>
                    </w:rPr>
                  </w:pPr>
                  <w:r>
                    <w:rPr>
                      <w:rFonts w:hint="eastAsia"/>
                      <w:color w:val="auto"/>
                      <w:lang w:val="en-US" w:eastAsia="zh-CN"/>
                    </w:rPr>
                    <w:t>18.03</w:t>
                  </w:r>
                </w:p>
              </w:tc>
              <w:tc>
                <w:tcPr>
                  <w:tcW w:w="347" w:type="pct"/>
                  <w:tcBorders>
                    <w:top w:val="single" w:color="auto" w:sz="4" w:space="0"/>
                    <w:left w:val="single" w:color="auto" w:sz="4" w:space="0"/>
                    <w:bottom w:val="single" w:color="auto" w:sz="4" w:space="0"/>
                    <w:right w:val="single" w:color="auto" w:sz="4" w:space="0"/>
                  </w:tcBorders>
                  <w:vAlign w:val="center"/>
                </w:tcPr>
                <w:p w14:paraId="276430A5">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552BAFF0">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AD92C64">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5F5E0FF">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138DAB9B">
                  <w:pPr>
                    <w:pStyle w:val="53"/>
                    <w:bidi w:val="0"/>
                    <w:rPr>
                      <w:rFonts w:hint="eastAsia"/>
                      <w:color w:val="auto"/>
                      <w:lang w:val="en-US" w:eastAsia="zh-CN"/>
                    </w:rPr>
                  </w:pPr>
                  <w:r>
                    <w:rPr>
                      <w:rFonts w:hint="eastAsia"/>
                      <w:color w:val="auto"/>
                      <w:lang w:val="en-US" w:eastAsia="zh-CN"/>
                    </w:rPr>
                    <w:t>1</w:t>
                  </w:r>
                </w:p>
              </w:tc>
            </w:tr>
            <w:tr w14:paraId="0F5A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784B005C">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75B02B7B">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6CAAB351">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F8A7221">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409E5701">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FDB4446">
                  <w:pPr>
                    <w:pStyle w:val="53"/>
                    <w:bidi w:val="0"/>
                    <w:ind w:firstLine="0" w:firstLineChars="0"/>
                    <w:rPr>
                      <w:rFonts w:hint="eastAsia"/>
                      <w:color w:val="auto"/>
                      <w:lang w:val="en-US" w:eastAsia="zh-CN"/>
                    </w:rPr>
                  </w:pPr>
                  <w:r>
                    <w:rPr>
                      <w:rFonts w:hint="eastAsia"/>
                      <w:color w:val="auto"/>
                      <w:lang w:val="en-US" w:eastAsia="zh-CN"/>
                    </w:rPr>
                    <w:t>6.77</w:t>
                  </w:r>
                </w:p>
              </w:tc>
              <w:tc>
                <w:tcPr>
                  <w:tcW w:w="649" w:type="dxa"/>
                  <w:tcBorders>
                    <w:top w:val="single" w:color="auto" w:sz="4" w:space="0"/>
                    <w:left w:val="single" w:color="auto" w:sz="4" w:space="0"/>
                    <w:bottom w:val="single" w:color="auto" w:sz="4" w:space="0"/>
                    <w:right w:val="single" w:color="auto" w:sz="4" w:space="0"/>
                  </w:tcBorders>
                  <w:vAlign w:val="center"/>
                </w:tcPr>
                <w:p w14:paraId="32A56CF9">
                  <w:pPr>
                    <w:pStyle w:val="53"/>
                    <w:bidi w:val="0"/>
                    <w:ind w:firstLine="0" w:firstLineChars="0"/>
                    <w:rPr>
                      <w:rFonts w:hint="eastAsia"/>
                      <w:color w:val="auto"/>
                      <w:lang w:val="en-US" w:eastAsia="zh-CN"/>
                    </w:rPr>
                  </w:pPr>
                  <w:r>
                    <w:rPr>
                      <w:rFonts w:hint="eastAsia"/>
                      <w:color w:val="auto"/>
                      <w:lang w:val="en-US" w:eastAsia="zh-CN"/>
                    </w:rPr>
                    <w:t>3.45</w:t>
                  </w:r>
                </w:p>
              </w:tc>
              <w:tc>
                <w:tcPr>
                  <w:tcW w:w="656" w:type="dxa"/>
                  <w:tcBorders>
                    <w:top w:val="single" w:color="auto" w:sz="4" w:space="0"/>
                    <w:left w:val="single" w:color="auto" w:sz="4" w:space="0"/>
                    <w:bottom w:val="single" w:color="auto" w:sz="4" w:space="0"/>
                    <w:right w:val="single" w:color="auto" w:sz="4" w:space="0"/>
                  </w:tcBorders>
                  <w:vAlign w:val="center"/>
                </w:tcPr>
                <w:p w14:paraId="5A7FB39E">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BB87919">
                  <w:pPr>
                    <w:pStyle w:val="53"/>
                    <w:bidi w:val="0"/>
                    <w:rPr>
                      <w:rFonts w:hint="default"/>
                      <w:color w:val="auto"/>
                      <w:lang w:val="en-US" w:eastAsia="zh-CN"/>
                    </w:rPr>
                  </w:pPr>
                  <w:r>
                    <w:rPr>
                      <w:rFonts w:hint="eastAsia"/>
                      <w:color w:val="auto"/>
                      <w:lang w:val="en-US" w:eastAsia="zh-CN"/>
                    </w:rPr>
                    <w:t>9.95</w:t>
                  </w:r>
                </w:p>
              </w:tc>
              <w:tc>
                <w:tcPr>
                  <w:tcW w:w="347" w:type="pct"/>
                  <w:tcBorders>
                    <w:top w:val="single" w:color="auto" w:sz="4" w:space="0"/>
                    <w:left w:val="single" w:color="auto" w:sz="4" w:space="0"/>
                    <w:bottom w:val="single" w:color="auto" w:sz="4" w:space="0"/>
                    <w:right w:val="single" w:color="auto" w:sz="4" w:space="0"/>
                  </w:tcBorders>
                  <w:vAlign w:val="center"/>
                </w:tcPr>
                <w:p w14:paraId="74AE5A9C">
                  <w:pPr>
                    <w:pStyle w:val="53"/>
                    <w:bidi w:val="0"/>
                    <w:rPr>
                      <w:rFonts w:hint="default"/>
                      <w:color w:val="auto"/>
                      <w:lang w:val="en-US" w:eastAsia="zh-CN"/>
                    </w:rPr>
                  </w:pPr>
                  <w:r>
                    <w:rPr>
                      <w:rFonts w:hint="eastAsia"/>
                      <w:color w:val="auto"/>
                      <w:lang w:val="en-US" w:eastAsia="zh-CN"/>
                    </w:rPr>
                    <w:t>72.47</w:t>
                  </w:r>
                </w:p>
              </w:tc>
              <w:tc>
                <w:tcPr>
                  <w:tcW w:w="253" w:type="pct"/>
                  <w:vMerge w:val="continue"/>
                  <w:tcBorders>
                    <w:left w:val="single" w:color="auto" w:sz="4" w:space="0"/>
                    <w:right w:val="single" w:color="auto" w:sz="4" w:space="0"/>
                  </w:tcBorders>
                  <w:vAlign w:val="center"/>
                </w:tcPr>
                <w:p w14:paraId="0DEE0A1B">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218AE12">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FFECA73">
                  <w:pPr>
                    <w:pStyle w:val="53"/>
                    <w:bidi w:val="0"/>
                    <w:rPr>
                      <w:rFonts w:hint="default"/>
                      <w:color w:val="auto"/>
                      <w:lang w:val="en-US" w:eastAsia="zh-CN"/>
                    </w:rPr>
                  </w:pPr>
                  <w:r>
                    <w:rPr>
                      <w:rFonts w:hint="eastAsia"/>
                      <w:color w:val="auto"/>
                      <w:lang w:val="en-US" w:eastAsia="zh-CN"/>
                    </w:rPr>
                    <w:t>62.47</w:t>
                  </w:r>
                </w:p>
              </w:tc>
              <w:tc>
                <w:tcPr>
                  <w:tcW w:w="364" w:type="pct"/>
                  <w:tcBorders>
                    <w:top w:val="single" w:color="auto" w:sz="4" w:space="0"/>
                    <w:left w:val="single" w:color="auto" w:sz="4" w:space="0"/>
                    <w:bottom w:val="single" w:color="auto" w:sz="4" w:space="0"/>
                    <w:right w:val="single" w:color="auto" w:sz="4" w:space="0"/>
                  </w:tcBorders>
                  <w:vAlign w:val="center"/>
                </w:tcPr>
                <w:p w14:paraId="1029BE9B">
                  <w:pPr>
                    <w:pStyle w:val="53"/>
                    <w:bidi w:val="0"/>
                    <w:rPr>
                      <w:rFonts w:hint="eastAsia"/>
                      <w:color w:val="auto"/>
                      <w:lang w:val="en-US" w:eastAsia="zh-CN"/>
                    </w:rPr>
                  </w:pPr>
                  <w:r>
                    <w:rPr>
                      <w:rFonts w:hint="eastAsia"/>
                      <w:color w:val="auto"/>
                      <w:lang w:val="en-US" w:eastAsia="zh-CN"/>
                    </w:rPr>
                    <w:t>1</w:t>
                  </w:r>
                </w:p>
              </w:tc>
            </w:tr>
            <w:tr w14:paraId="606E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3DF471A5">
                  <w:pPr>
                    <w:pStyle w:val="53"/>
                    <w:bidi w:val="0"/>
                    <w:rPr>
                      <w:rFonts w:hint="default" w:eastAsia="宋体"/>
                      <w:color w:val="auto"/>
                      <w:lang w:val="en-US" w:eastAsia="zh-CN"/>
                    </w:rPr>
                  </w:pPr>
                  <w:r>
                    <w:rPr>
                      <w:rFonts w:hint="eastAsia"/>
                      <w:color w:val="auto"/>
                      <w:lang w:val="en-US" w:eastAsia="zh-CN"/>
                    </w:rPr>
                    <w:t>11</w:t>
                  </w:r>
                </w:p>
              </w:tc>
              <w:tc>
                <w:tcPr>
                  <w:tcW w:w="502" w:type="pct"/>
                  <w:tcBorders>
                    <w:top w:val="single" w:color="auto" w:sz="4" w:space="0"/>
                    <w:left w:val="single" w:color="auto" w:sz="4" w:space="0"/>
                    <w:bottom w:val="single" w:color="auto" w:sz="4" w:space="0"/>
                    <w:right w:val="single" w:color="auto" w:sz="4" w:space="0"/>
                  </w:tcBorders>
                  <w:vAlign w:val="center"/>
                </w:tcPr>
                <w:p w14:paraId="015DF84F">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3E8CAFB1">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41334328">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13ADEA69">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06844CFC">
                  <w:pPr>
                    <w:pStyle w:val="53"/>
                    <w:bidi w:val="0"/>
                    <w:rPr>
                      <w:rFonts w:hint="default"/>
                      <w:color w:val="auto"/>
                      <w:lang w:val="en-US" w:eastAsia="zh-CN"/>
                    </w:rPr>
                  </w:pPr>
                  <w:r>
                    <w:rPr>
                      <w:rFonts w:hint="eastAsia"/>
                      <w:color w:val="auto"/>
                      <w:lang w:val="en-US" w:eastAsia="zh-CN"/>
                    </w:rPr>
                    <w:t>-8.84</w:t>
                  </w:r>
                </w:p>
              </w:tc>
              <w:tc>
                <w:tcPr>
                  <w:tcW w:w="408" w:type="pct"/>
                  <w:tcBorders>
                    <w:top w:val="single" w:color="auto" w:sz="4" w:space="0"/>
                    <w:left w:val="single" w:color="auto" w:sz="4" w:space="0"/>
                    <w:bottom w:val="single" w:color="auto" w:sz="4" w:space="0"/>
                    <w:right w:val="single" w:color="auto" w:sz="4" w:space="0"/>
                  </w:tcBorders>
                  <w:vAlign w:val="center"/>
                </w:tcPr>
                <w:p w14:paraId="0D7E962E">
                  <w:pPr>
                    <w:pStyle w:val="53"/>
                    <w:bidi w:val="0"/>
                    <w:rPr>
                      <w:rFonts w:hint="default"/>
                      <w:color w:val="auto"/>
                      <w:lang w:val="en-US" w:eastAsia="zh-CN"/>
                    </w:rPr>
                  </w:pPr>
                  <w:r>
                    <w:rPr>
                      <w:rFonts w:hint="eastAsia"/>
                      <w:color w:val="auto"/>
                      <w:lang w:val="en-US" w:eastAsia="zh-CN"/>
                    </w:rPr>
                    <w:t>-1.96</w:t>
                  </w:r>
                </w:p>
              </w:tc>
              <w:tc>
                <w:tcPr>
                  <w:tcW w:w="413" w:type="pct"/>
                  <w:tcBorders>
                    <w:top w:val="single" w:color="auto" w:sz="4" w:space="0"/>
                    <w:left w:val="single" w:color="auto" w:sz="4" w:space="0"/>
                    <w:bottom w:val="single" w:color="auto" w:sz="4" w:space="0"/>
                    <w:right w:val="single" w:color="auto" w:sz="4" w:space="0"/>
                  </w:tcBorders>
                  <w:vAlign w:val="center"/>
                </w:tcPr>
                <w:p w14:paraId="1292A98A">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395FB797">
                  <w:pPr>
                    <w:pStyle w:val="53"/>
                    <w:bidi w:val="0"/>
                    <w:rPr>
                      <w:rFonts w:hint="default"/>
                      <w:color w:val="auto"/>
                      <w:lang w:val="en-US" w:eastAsia="zh-CN"/>
                    </w:rPr>
                  </w:pPr>
                  <w:r>
                    <w:rPr>
                      <w:rFonts w:hint="eastAsia"/>
                      <w:color w:val="auto"/>
                      <w:lang w:val="en-US" w:eastAsia="zh-CN"/>
                    </w:rPr>
                    <w:t>6.56</w:t>
                  </w:r>
                </w:p>
              </w:tc>
              <w:tc>
                <w:tcPr>
                  <w:tcW w:w="347" w:type="pct"/>
                  <w:tcBorders>
                    <w:top w:val="single" w:color="auto" w:sz="4" w:space="0"/>
                    <w:left w:val="single" w:color="auto" w:sz="4" w:space="0"/>
                    <w:bottom w:val="single" w:color="auto" w:sz="4" w:space="0"/>
                    <w:right w:val="single" w:color="auto" w:sz="4" w:space="0"/>
                  </w:tcBorders>
                  <w:vAlign w:val="center"/>
                </w:tcPr>
                <w:p w14:paraId="5F420CBB">
                  <w:pPr>
                    <w:pStyle w:val="53"/>
                    <w:bidi w:val="0"/>
                    <w:rPr>
                      <w:rFonts w:hint="default"/>
                      <w:color w:val="auto"/>
                      <w:lang w:val="en-US" w:eastAsia="zh-CN"/>
                    </w:rPr>
                  </w:pPr>
                  <w:r>
                    <w:rPr>
                      <w:rFonts w:hint="eastAsia"/>
                      <w:color w:val="auto"/>
                      <w:lang w:val="en-US" w:eastAsia="zh-CN"/>
                    </w:rPr>
                    <w:t>72.49</w:t>
                  </w:r>
                </w:p>
              </w:tc>
              <w:tc>
                <w:tcPr>
                  <w:tcW w:w="253" w:type="pct"/>
                  <w:vMerge w:val="continue"/>
                  <w:tcBorders>
                    <w:left w:val="single" w:color="auto" w:sz="4" w:space="0"/>
                    <w:right w:val="single" w:color="auto" w:sz="4" w:space="0"/>
                  </w:tcBorders>
                  <w:vAlign w:val="center"/>
                </w:tcPr>
                <w:p w14:paraId="276BA0C2">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CE9C2B6">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A8EB62E">
                  <w:pPr>
                    <w:pStyle w:val="53"/>
                    <w:bidi w:val="0"/>
                    <w:rPr>
                      <w:rFonts w:hint="default"/>
                      <w:color w:val="auto"/>
                      <w:lang w:val="en-US" w:eastAsia="zh-CN"/>
                    </w:rPr>
                  </w:pPr>
                  <w:r>
                    <w:rPr>
                      <w:rFonts w:hint="eastAsia"/>
                      <w:color w:val="auto"/>
                      <w:lang w:val="en-US" w:eastAsia="zh-CN"/>
                    </w:rPr>
                    <w:t>62.49</w:t>
                  </w:r>
                </w:p>
              </w:tc>
              <w:tc>
                <w:tcPr>
                  <w:tcW w:w="364" w:type="pct"/>
                  <w:tcBorders>
                    <w:top w:val="single" w:color="auto" w:sz="4" w:space="0"/>
                    <w:left w:val="single" w:color="auto" w:sz="4" w:space="0"/>
                    <w:bottom w:val="single" w:color="auto" w:sz="4" w:space="0"/>
                    <w:right w:val="single" w:color="auto" w:sz="4" w:space="0"/>
                  </w:tcBorders>
                  <w:vAlign w:val="center"/>
                </w:tcPr>
                <w:p w14:paraId="0F47B183">
                  <w:pPr>
                    <w:pStyle w:val="53"/>
                    <w:bidi w:val="0"/>
                    <w:rPr>
                      <w:rFonts w:hint="eastAsia"/>
                      <w:color w:val="auto"/>
                      <w:lang w:val="en-US" w:eastAsia="zh-CN"/>
                    </w:rPr>
                  </w:pPr>
                  <w:r>
                    <w:rPr>
                      <w:rFonts w:hint="eastAsia"/>
                      <w:color w:val="auto"/>
                      <w:lang w:val="en-US" w:eastAsia="zh-CN"/>
                    </w:rPr>
                    <w:t>1</w:t>
                  </w:r>
                </w:p>
              </w:tc>
            </w:tr>
            <w:tr w14:paraId="45F2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2F90D998">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31EC4DC4">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240CBB4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0E19C4FD">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42CC17B9">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1485C1C1">
                  <w:pPr>
                    <w:pStyle w:val="53"/>
                    <w:bidi w:val="0"/>
                    <w:ind w:firstLine="0" w:firstLineChars="0"/>
                    <w:rPr>
                      <w:rFonts w:hint="eastAsia"/>
                      <w:color w:val="auto"/>
                      <w:lang w:val="en-US" w:eastAsia="zh-CN"/>
                    </w:rPr>
                  </w:pPr>
                  <w:r>
                    <w:rPr>
                      <w:rFonts w:hint="eastAsia"/>
                      <w:color w:val="auto"/>
                      <w:lang w:val="en-US" w:eastAsia="zh-CN"/>
                    </w:rPr>
                    <w:t>-8.84</w:t>
                  </w:r>
                </w:p>
              </w:tc>
              <w:tc>
                <w:tcPr>
                  <w:tcW w:w="649" w:type="dxa"/>
                  <w:tcBorders>
                    <w:top w:val="single" w:color="auto" w:sz="4" w:space="0"/>
                    <w:left w:val="single" w:color="auto" w:sz="4" w:space="0"/>
                    <w:bottom w:val="single" w:color="auto" w:sz="4" w:space="0"/>
                    <w:right w:val="single" w:color="auto" w:sz="4" w:space="0"/>
                  </w:tcBorders>
                  <w:vAlign w:val="center"/>
                </w:tcPr>
                <w:p w14:paraId="1409FB4F">
                  <w:pPr>
                    <w:pStyle w:val="53"/>
                    <w:bidi w:val="0"/>
                    <w:ind w:firstLine="0" w:firstLineChars="0"/>
                    <w:rPr>
                      <w:rFonts w:hint="eastAsia"/>
                      <w:color w:val="auto"/>
                      <w:lang w:val="en-US" w:eastAsia="zh-CN"/>
                    </w:rPr>
                  </w:pPr>
                  <w:r>
                    <w:rPr>
                      <w:rFonts w:hint="eastAsia"/>
                      <w:color w:val="auto"/>
                      <w:lang w:val="en-US" w:eastAsia="zh-CN"/>
                    </w:rPr>
                    <w:t>-1.96</w:t>
                  </w:r>
                </w:p>
              </w:tc>
              <w:tc>
                <w:tcPr>
                  <w:tcW w:w="656" w:type="dxa"/>
                  <w:tcBorders>
                    <w:top w:val="single" w:color="auto" w:sz="4" w:space="0"/>
                    <w:left w:val="single" w:color="auto" w:sz="4" w:space="0"/>
                    <w:bottom w:val="single" w:color="auto" w:sz="4" w:space="0"/>
                    <w:right w:val="single" w:color="auto" w:sz="4" w:space="0"/>
                  </w:tcBorders>
                  <w:vAlign w:val="center"/>
                </w:tcPr>
                <w:p w14:paraId="6B7944B4">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67F80E7">
                  <w:pPr>
                    <w:pStyle w:val="53"/>
                    <w:bidi w:val="0"/>
                    <w:rPr>
                      <w:rFonts w:hint="default"/>
                      <w:color w:val="auto"/>
                      <w:lang w:val="en-US" w:eastAsia="zh-CN"/>
                    </w:rPr>
                  </w:pPr>
                  <w:r>
                    <w:rPr>
                      <w:rFonts w:hint="eastAsia"/>
                      <w:color w:val="auto"/>
                      <w:lang w:val="en-US" w:eastAsia="zh-CN"/>
                    </w:rPr>
                    <w:t>16.59</w:t>
                  </w:r>
                </w:p>
              </w:tc>
              <w:tc>
                <w:tcPr>
                  <w:tcW w:w="347" w:type="pct"/>
                  <w:tcBorders>
                    <w:top w:val="single" w:color="auto" w:sz="4" w:space="0"/>
                    <w:left w:val="single" w:color="auto" w:sz="4" w:space="0"/>
                    <w:bottom w:val="single" w:color="auto" w:sz="4" w:space="0"/>
                    <w:right w:val="single" w:color="auto" w:sz="4" w:space="0"/>
                  </w:tcBorders>
                  <w:vAlign w:val="center"/>
                </w:tcPr>
                <w:p w14:paraId="1543111E">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4B6D7398">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781CBEF">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5C54623">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4177E681">
                  <w:pPr>
                    <w:pStyle w:val="53"/>
                    <w:bidi w:val="0"/>
                    <w:rPr>
                      <w:rFonts w:hint="eastAsia"/>
                      <w:color w:val="auto"/>
                      <w:lang w:val="en-US" w:eastAsia="zh-CN"/>
                    </w:rPr>
                  </w:pPr>
                  <w:r>
                    <w:rPr>
                      <w:rFonts w:hint="eastAsia"/>
                      <w:color w:val="auto"/>
                      <w:lang w:val="en-US" w:eastAsia="zh-CN"/>
                    </w:rPr>
                    <w:t>1</w:t>
                  </w:r>
                </w:p>
              </w:tc>
            </w:tr>
            <w:tr w14:paraId="66846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F149377">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67EF42D0">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3BAF0FBC">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2AAAE768">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04CB2D41">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040C82F6">
                  <w:pPr>
                    <w:pStyle w:val="53"/>
                    <w:bidi w:val="0"/>
                    <w:ind w:firstLine="0" w:firstLineChars="0"/>
                    <w:rPr>
                      <w:rFonts w:hint="eastAsia"/>
                      <w:color w:val="auto"/>
                      <w:lang w:val="en-US" w:eastAsia="zh-CN"/>
                    </w:rPr>
                  </w:pPr>
                  <w:r>
                    <w:rPr>
                      <w:rFonts w:hint="eastAsia"/>
                      <w:color w:val="auto"/>
                      <w:lang w:val="en-US" w:eastAsia="zh-CN"/>
                    </w:rPr>
                    <w:t>-8.84</w:t>
                  </w:r>
                </w:p>
              </w:tc>
              <w:tc>
                <w:tcPr>
                  <w:tcW w:w="649" w:type="dxa"/>
                  <w:tcBorders>
                    <w:top w:val="single" w:color="auto" w:sz="4" w:space="0"/>
                    <w:left w:val="single" w:color="auto" w:sz="4" w:space="0"/>
                    <w:bottom w:val="single" w:color="auto" w:sz="4" w:space="0"/>
                    <w:right w:val="single" w:color="auto" w:sz="4" w:space="0"/>
                  </w:tcBorders>
                  <w:vAlign w:val="center"/>
                </w:tcPr>
                <w:p w14:paraId="356469BA">
                  <w:pPr>
                    <w:pStyle w:val="53"/>
                    <w:bidi w:val="0"/>
                    <w:ind w:firstLine="0" w:firstLineChars="0"/>
                    <w:rPr>
                      <w:rFonts w:hint="eastAsia"/>
                      <w:color w:val="auto"/>
                      <w:lang w:val="en-US" w:eastAsia="zh-CN"/>
                    </w:rPr>
                  </w:pPr>
                  <w:r>
                    <w:rPr>
                      <w:rFonts w:hint="eastAsia"/>
                      <w:color w:val="auto"/>
                      <w:lang w:val="en-US" w:eastAsia="zh-CN"/>
                    </w:rPr>
                    <w:t>-1.96</w:t>
                  </w:r>
                </w:p>
              </w:tc>
              <w:tc>
                <w:tcPr>
                  <w:tcW w:w="656" w:type="dxa"/>
                  <w:tcBorders>
                    <w:top w:val="single" w:color="auto" w:sz="4" w:space="0"/>
                    <w:left w:val="single" w:color="auto" w:sz="4" w:space="0"/>
                    <w:bottom w:val="single" w:color="auto" w:sz="4" w:space="0"/>
                    <w:right w:val="single" w:color="auto" w:sz="4" w:space="0"/>
                  </w:tcBorders>
                  <w:vAlign w:val="center"/>
                </w:tcPr>
                <w:p w14:paraId="731E2A3D">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15CAF66">
                  <w:pPr>
                    <w:pStyle w:val="53"/>
                    <w:bidi w:val="0"/>
                    <w:rPr>
                      <w:rFonts w:hint="default"/>
                      <w:color w:val="auto"/>
                      <w:lang w:val="en-US" w:eastAsia="zh-CN"/>
                    </w:rPr>
                  </w:pPr>
                  <w:r>
                    <w:rPr>
                      <w:rFonts w:hint="eastAsia"/>
                      <w:color w:val="auto"/>
                      <w:lang w:val="en-US" w:eastAsia="zh-CN"/>
                    </w:rPr>
                    <w:t>19.41</w:t>
                  </w:r>
                </w:p>
              </w:tc>
              <w:tc>
                <w:tcPr>
                  <w:tcW w:w="347" w:type="pct"/>
                  <w:tcBorders>
                    <w:top w:val="single" w:color="auto" w:sz="4" w:space="0"/>
                    <w:left w:val="single" w:color="auto" w:sz="4" w:space="0"/>
                    <w:bottom w:val="single" w:color="auto" w:sz="4" w:space="0"/>
                    <w:right w:val="single" w:color="auto" w:sz="4" w:space="0"/>
                  </w:tcBorders>
                  <w:vAlign w:val="center"/>
                </w:tcPr>
                <w:p w14:paraId="6B85F595">
                  <w:pPr>
                    <w:pStyle w:val="53"/>
                    <w:bidi w:val="0"/>
                    <w:rPr>
                      <w:rFonts w:hint="default"/>
                      <w:color w:val="auto"/>
                      <w:lang w:val="en-US" w:eastAsia="zh-CN"/>
                    </w:rPr>
                  </w:pPr>
                  <w:r>
                    <w:rPr>
                      <w:rFonts w:hint="eastAsia"/>
                      <w:color w:val="auto"/>
                      <w:lang w:val="en-US" w:eastAsia="zh-CN"/>
                    </w:rPr>
                    <w:t>72.45</w:t>
                  </w:r>
                </w:p>
              </w:tc>
              <w:tc>
                <w:tcPr>
                  <w:tcW w:w="253" w:type="pct"/>
                  <w:vMerge w:val="continue"/>
                  <w:tcBorders>
                    <w:left w:val="single" w:color="auto" w:sz="4" w:space="0"/>
                    <w:right w:val="single" w:color="auto" w:sz="4" w:space="0"/>
                  </w:tcBorders>
                  <w:vAlign w:val="center"/>
                </w:tcPr>
                <w:p w14:paraId="0E0A6C65">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427517BD">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E7C6D4F">
                  <w:pPr>
                    <w:pStyle w:val="53"/>
                    <w:bidi w:val="0"/>
                    <w:rPr>
                      <w:rFonts w:hint="default"/>
                      <w:color w:val="auto"/>
                      <w:lang w:val="en-US" w:eastAsia="zh-CN"/>
                    </w:rPr>
                  </w:pPr>
                  <w:r>
                    <w:rPr>
                      <w:rFonts w:hint="eastAsia"/>
                      <w:color w:val="auto"/>
                      <w:lang w:val="en-US" w:eastAsia="zh-CN"/>
                    </w:rPr>
                    <w:t>62.45</w:t>
                  </w:r>
                </w:p>
              </w:tc>
              <w:tc>
                <w:tcPr>
                  <w:tcW w:w="364" w:type="pct"/>
                  <w:tcBorders>
                    <w:top w:val="single" w:color="auto" w:sz="4" w:space="0"/>
                    <w:left w:val="single" w:color="auto" w:sz="4" w:space="0"/>
                    <w:bottom w:val="single" w:color="auto" w:sz="4" w:space="0"/>
                    <w:right w:val="single" w:color="auto" w:sz="4" w:space="0"/>
                  </w:tcBorders>
                  <w:vAlign w:val="center"/>
                </w:tcPr>
                <w:p w14:paraId="59DB0F78">
                  <w:pPr>
                    <w:pStyle w:val="53"/>
                    <w:bidi w:val="0"/>
                    <w:rPr>
                      <w:rFonts w:hint="eastAsia"/>
                      <w:color w:val="auto"/>
                      <w:lang w:val="en-US" w:eastAsia="zh-CN"/>
                    </w:rPr>
                  </w:pPr>
                  <w:r>
                    <w:rPr>
                      <w:rFonts w:hint="eastAsia"/>
                      <w:color w:val="auto"/>
                      <w:lang w:val="en-US" w:eastAsia="zh-CN"/>
                    </w:rPr>
                    <w:t>1</w:t>
                  </w:r>
                </w:p>
              </w:tc>
            </w:tr>
            <w:tr w14:paraId="1ED7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bottom w:val="single" w:color="auto" w:sz="4" w:space="0"/>
                    <w:right w:val="single" w:color="auto" w:sz="4" w:space="0"/>
                  </w:tcBorders>
                  <w:vAlign w:val="center"/>
                </w:tcPr>
                <w:p w14:paraId="0711072F">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2FC4884">
                  <w:pPr>
                    <w:pStyle w:val="53"/>
                    <w:bidi w:val="0"/>
                    <w:ind w:firstLine="0" w:firstLineChars="0"/>
                    <w:rPr>
                      <w:rFonts w:hint="eastAsia"/>
                      <w:color w:val="auto"/>
                      <w:lang w:val="en-US" w:eastAsia="zh-CN"/>
                    </w:rPr>
                  </w:pPr>
                  <w:r>
                    <w:rPr>
                      <w:rFonts w:hint="eastAsia"/>
                      <w:color w:val="auto"/>
                      <w:lang w:val="en-US" w:eastAsia="zh-CN"/>
                    </w:rPr>
                    <w:t>风机</w:t>
                  </w:r>
                </w:p>
              </w:tc>
              <w:tc>
                <w:tcPr>
                  <w:tcW w:w="243" w:type="pct"/>
                  <w:tcBorders>
                    <w:top w:val="single" w:color="auto" w:sz="4" w:space="0"/>
                    <w:left w:val="single" w:color="auto" w:sz="4" w:space="0"/>
                    <w:bottom w:val="single" w:color="auto" w:sz="4" w:space="0"/>
                    <w:right w:val="single" w:color="auto" w:sz="4" w:space="0"/>
                  </w:tcBorders>
                  <w:vAlign w:val="center"/>
                </w:tcPr>
                <w:p w14:paraId="03EC8906">
                  <w:pPr>
                    <w:pStyle w:val="53"/>
                    <w:bidi w:val="0"/>
                    <w:ind w:firstLine="0" w:firstLineChars="0"/>
                    <w:rPr>
                      <w:rFonts w:hint="eastAsia"/>
                      <w:color w:val="auto"/>
                      <w:lang w:val="en-US" w:eastAsia="zh-CN"/>
                    </w:rPr>
                  </w:pPr>
                  <w:r>
                    <w:rPr>
                      <w:rFonts w:hint="eastAsia"/>
                      <w:color w:val="auto"/>
                      <w:lang w:val="en-US" w:eastAsia="zh-CN"/>
                    </w:rPr>
                    <w:t>3</w:t>
                  </w:r>
                </w:p>
              </w:tc>
              <w:tc>
                <w:tcPr>
                  <w:tcW w:w="408" w:type="pct"/>
                  <w:tcBorders>
                    <w:top w:val="single" w:color="auto" w:sz="4" w:space="0"/>
                    <w:left w:val="single" w:color="auto" w:sz="4" w:space="0"/>
                    <w:bottom w:val="single" w:color="auto" w:sz="4" w:space="0"/>
                    <w:right w:val="single" w:color="auto" w:sz="4" w:space="0"/>
                  </w:tcBorders>
                  <w:vAlign w:val="center"/>
                </w:tcPr>
                <w:p w14:paraId="56F522FB">
                  <w:pPr>
                    <w:pStyle w:val="53"/>
                    <w:bidi w:val="0"/>
                    <w:ind w:firstLine="0" w:firstLineChars="0"/>
                    <w:rPr>
                      <w:rFonts w:hint="eastAsia"/>
                      <w:color w:val="auto"/>
                      <w:lang w:val="en-US" w:eastAsia="zh-CN"/>
                    </w:rPr>
                  </w:pPr>
                  <w:r>
                    <w:rPr>
                      <w:rFonts w:hint="eastAsia"/>
                      <w:color w:val="auto"/>
                      <w:lang w:val="en-US" w:eastAsia="zh-CN"/>
                    </w:rPr>
                    <w:t>90</w:t>
                  </w:r>
                </w:p>
              </w:tc>
              <w:tc>
                <w:tcPr>
                  <w:tcW w:w="410" w:type="pct"/>
                  <w:vMerge w:val="continue"/>
                  <w:tcBorders>
                    <w:left w:val="single" w:color="auto" w:sz="4" w:space="0"/>
                    <w:right w:val="single" w:color="auto" w:sz="4" w:space="0"/>
                  </w:tcBorders>
                  <w:vAlign w:val="center"/>
                </w:tcPr>
                <w:p w14:paraId="1F3B04BD">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1C50EB53">
                  <w:pPr>
                    <w:pStyle w:val="53"/>
                    <w:bidi w:val="0"/>
                    <w:ind w:firstLine="0" w:firstLineChars="0"/>
                    <w:rPr>
                      <w:rFonts w:hint="eastAsia"/>
                      <w:color w:val="auto"/>
                      <w:lang w:val="en-US" w:eastAsia="zh-CN"/>
                    </w:rPr>
                  </w:pPr>
                  <w:r>
                    <w:rPr>
                      <w:rFonts w:hint="eastAsia"/>
                      <w:color w:val="auto"/>
                      <w:lang w:val="en-US" w:eastAsia="zh-CN"/>
                    </w:rPr>
                    <w:t>-8.84</w:t>
                  </w:r>
                </w:p>
              </w:tc>
              <w:tc>
                <w:tcPr>
                  <w:tcW w:w="649" w:type="dxa"/>
                  <w:tcBorders>
                    <w:top w:val="single" w:color="auto" w:sz="4" w:space="0"/>
                    <w:left w:val="single" w:color="auto" w:sz="4" w:space="0"/>
                    <w:bottom w:val="single" w:color="auto" w:sz="4" w:space="0"/>
                    <w:right w:val="single" w:color="auto" w:sz="4" w:space="0"/>
                  </w:tcBorders>
                  <w:vAlign w:val="center"/>
                </w:tcPr>
                <w:p w14:paraId="17835891">
                  <w:pPr>
                    <w:pStyle w:val="53"/>
                    <w:bidi w:val="0"/>
                    <w:ind w:firstLine="0" w:firstLineChars="0"/>
                    <w:rPr>
                      <w:rFonts w:hint="eastAsia"/>
                      <w:color w:val="auto"/>
                      <w:lang w:val="en-US" w:eastAsia="zh-CN"/>
                    </w:rPr>
                  </w:pPr>
                  <w:r>
                    <w:rPr>
                      <w:rFonts w:hint="eastAsia"/>
                      <w:color w:val="auto"/>
                      <w:lang w:val="en-US" w:eastAsia="zh-CN"/>
                    </w:rPr>
                    <w:t>-1.96</w:t>
                  </w:r>
                </w:p>
              </w:tc>
              <w:tc>
                <w:tcPr>
                  <w:tcW w:w="656" w:type="dxa"/>
                  <w:tcBorders>
                    <w:top w:val="single" w:color="auto" w:sz="4" w:space="0"/>
                    <w:left w:val="single" w:color="auto" w:sz="4" w:space="0"/>
                    <w:bottom w:val="single" w:color="auto" w:sz="4" w:space="0"/>
                    <w:right w:val="single" w:color="auto" w:sz="4" w:space="0"/>
                  </w:tcBorders>
                  <w:vAlign w:val="center"/>
                </w:tcPr>
                <w:p w14:paraId="07D1431F">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20625D85">
                  <w:pPr>
                    <w:pStyle w:val="53"/>
                    <w:bidi w:val="0"/>
                    <w:rPr>
                      <w:rFonts w:hint="default"/>
                      <w:color w:val="auto"/>
                      <w:lang w:val="en-US" w:eastAsia="zh-CN"/>
                    </w:rPr>
                  </w:pPr>
                  <w:r>
                    <w:rPr>
                      <w:rFonts w:hint="eastAsia"/>
                      <w:color w:val="auto"/>
                      <w:lang w:val="en-US" w:eastAsia="zh-CN"/>
                    </w:rPr>
                    <w:t>5.19</w:t>
                  </w:r>
                </w:p>
              </w:tc>
              <w:tc>
                <w:tcPr>
                  <w:tcW w:w="347" w:type="pct"/>
                  <w:tcBorders>
                    <w:top w:val="single" w:color="auto" w:sz="4" w:space="0"/>
                    <w:left w:val="single" w:color="auto" w:sz="4" w:space="0"/>
                    <w:bottom w:val="single" w:color="auto" w:sz="4" w:space="0"/>
                    <w:right w:val="single" w:color="auto" w:sz="4" w:space="0"/>
                  </w:tcBorders>
                  <w:vAlign w:val="center"/>
                </w:tcPr>
                <w:p w14:paraId="616F5AE1">
                  <w:pPr>
                    <w:pStyle w:val="53"/>
                    <w:bidi w:val="0"/>
                    <w:rPr>
                      <w:rFonts w:hint="default"/>
                      <w:color w:val="auto"/>
                      <w:lang w:val="en-US" w:eastAsia="zh-CN"/>
                    </w:rPr>
                  </w:pPr>
                  <w:r>
                    <w:rPr>
                      <w:rFonts w:hint="eastAsia"/>
                      <w:color w:val="auto"/>
                      <w:lang w:val="en-US" w:eastAsia="zh-CN"/>
                    </w:rPr>
                    <w:t>72.52</w:t>
                  </w:r>
                </w:p>
              </w:tc>
              <w:tc>
                <w:tcPr>
                  <w:tcW w:w="253" w:type="pct"/>
                  <w:vMerge w:val="continue"/>
                  <w:tcBorders>
                    <w:left w:val="single" w:color="auto" w:sz="4" w:space="0"/>
                    <w:right w:val="single" w:color="auto" w:sz="4" w:space="0"/>
                  </w:tcBorders>
                  <w:vAlign w:val="center"/>
                </w:tcPr>
                <w:p w14:paraId="56CD453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2DA7ACFD">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67408237">
                  <w:pPr>
                    <w:pStyle w:val="53"/>
                    <w:bidi w:val="0"/>
                    <w:rPr>
                      <w:rFonts w:hint="default"/>
                      <w:color w:val="auto"/>
                      <w:lang w:val="en-US" w:eastAsia="zh-CN"/>
                    </w:rPr>
                  </w:pPr>
                  <w:r>
                    <w:rPr>
                      <w:rFonts w:hint="eastAsia"/>
                      <w:color w:val="auto"/>
                      <w:lang w:val="en-US" w:eastAsia="zh-CN"/>
                    </w:rPr>
                    <w:t>62.52</w:t>
                  </w:r>
                </w:p>
              </w:tc>
              <w:tc>
                <w:tcPr>
                  <w:tcW w:w="364" w:type="pct"/>
                  <w:tcBorders>
                    <w:top w:val="single" w:color="auto" w:sz="4" w:space="0"/>
                    <w:left w:val="single" w:color="auto" w:sz="4" w:space="0"/>
                    <w:bottom w:val="single" w:color="auto" w:sz="4" w:space="0"/>
                    <w:right w:val="single" w:color="auto" w:sz="4" w:space="0"/>
                  </w:tcBorders>
                  <w:vAlign w:val="center"/>
                </w:tcPr>
                <w:p w14:paraId="42E73927">
                  <w:pPr>
                    <w:pStyle w:val="53"/>
                    <w:bidi w:val="0"/>
                    <w:rPr>
                      <w:rFonts w:hint="eastAsia"/>
                      <w:color w:val="auto"/>
                      <w:lang w:val="en-US" w:eastAsia="zh-CN"/>
                    </w:rPr>
                  </w:pPr>
                  <w:r>
                    <w:rPr>
                      <w:rFonts w:hint="eastAsia"/>
                      <w:color w:val="auto"/>
                      <w:lang w:val="en-US" w:eastAsia="zh-CN"/>
                    </w:rPr>
                    <w:t>1</w:t>
                  </w:r>
                </w:p>
              </w:tc>
            </w:tr>
            <w:tr w14:paraId="5029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restart"/>
                  <w:tcBorders>
                    <w:top w:val="nil"/>
                    <w:left w:val="single" w:color="auto" w:sz="4" w:space="0"/>
                    <w:right w:val="single" w:color="auto" w:sz="4" w:space="0"/>
                  </w:tcBorders>
                  <w:vAlign w:val="center"/>
                </w:tcPr>
                <w:p w14:paraId="31817C99">
                  <w:pPr>
                    <w:pStyle w:val="53"/>
                    <w:bidi w:val="0"/>
                    <w:rPr>
                      <w:rFonts w:hint="default" w:eastAsia="宋体"/>
                      <w:color w:val="auto"/>
                      <w:lang w:val="en-US" w:eastAsia="zh-CN"/>
                    </w:rPr>
                  </w:pPr>
                  <w:r>
                    <w:rPr>
                      <w:rFonts w:hint="eastAsia"/>
                      <w:color w:val="auto"/>
                      <w:lang w:val="en-US" w:eastAsia="zh-CN"/>
                    </w:rPr>
                    <w:t>12</w:t>
                  </w:r>
                </w:p>
              </w:tc>
              <w:tc>
                <w:tcPr>
                  <w:tcW w:w="502" w:type="pct"/>
                  <w:tcBorders>
                    <w:top w:val="single" w:color="auto" w:sz="4" w:space="0"/>
                    <w:left w:val="single" w:color="auto" w:sz="4" w:space="0"/>
                    <w:bottom w:val="single" w:color="auto" w:sz="4" w:space="0"/>
                    <w:right w:val="single" w:color="auto" w:sz="4" w:space="0"/>
                  </w:tcBorders>
                  <w:vAlign w:val="center"/>
                </w:tcPr>
                <w:p w14:paraId="77406BDD">
                  <w:pPr>
                    <w:pStyle w:val="53"/>
                    <w:bidi w:val="0"/>
                    <w:ind w:firstLine="0" w:firstLineChars="0"/>
                    <w:rPr>
                      <w:rFonts w:hint="eastAsia"/>
                      <w:color w:val="auto"/>
                      <w:lang w:val="en-US" w:eastAsia="zh-CN"/>
                    </w:rPr>
                  </w:pPr>
                  <w:r>
                    <w:rPr>
                      <w:rFonts w:hint="eastAsia"/>
                      <w:color w:val="auto"/>
                      <w:lang w:val="en-US" w:eastAsia="zh-CN"/>
                    </w:rPr>
                    <w:t>冷却塔</w:t>
                  </w:r>
                </w:p>
              </w:tc>
              <w:tc>
                <w:tcPr>
                  <w:tcW w:w="243" w:type="pct"/>
                  <w:tcBorders>
                    <w:top w:val="single" w:color="auto" w:sz="4" w:space="0"/>
                    <w:left w:val="single" w:color="auto" w:sz="4" w:space="0"/>
                    <w:bottom w:val="single" w:color="auto" w:sz="4" w:space="0"/>
                    <w:right w:val="single" w:color="auto" w:sz="4" w:space="0"/>
                  </w:tcBorders>
                  <w:vAlign w:val="center"/>
                </w:tcPr>
                <w:p w14:paraId="1B36BBE6">
                  <w:pPr>
                    <w:pStyle w:val="53"/>
                    <w:bidi w:val="0"/>
                    <w:ind w:firstLine="0" w:firstLineChars="0"/>
                    <w:rPr>
                      <w:rFonts w:hint="eastAsia"/>
                      <w:color w:val="auto"/>
                      <w:lang w:val="en-US" w:eastAsia="zh-CN"/>
                    </w:rPr>
                  </w:pPr>
                  <w:r>
                    <w:rPr>
                      <w:rFonts w:hint="eastAsia"/>
                      <w:color w:val="auto"/>
                      <w:lang w:val="en-US" w:eastAsia="zh-CN"/>
                    </w:rPr>
                    <w:t>1</w:t>
                  </w:r>
                </w:p>
              </w:tc>
              <w:tc>
                <w:tcPr>
                  <w:tcW w:w="408" w:type="pct"/>
                  <w:tcBorders>
                    <w:top w:val="single" w:color="auto" w:sz="4" w:space="0"/>
                    <w:left w:val="single" w:color="auto" w:sz="4" w:space="0"/>
                    <w:bottom w:val="single" w:color="auto" w:sz="4" w:space="0"/>
                    <w:right w:val="single" w:color="auto" w:sz="4" w:space="0"/>
                  </w:tcBorders>
                  <w:vAlign w:val="center"/>
                </w:tcPr>
                <w:p w14:paraId="63FD6C51">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C19FDCD">
                  <w:pPr>
                    <w:pStyle w:val="53"/>
                    <w:bidi w:val="0"/>
                    <w:rPr>
                      <w:rFonts w:hint="default"/>
                      <w:color w:val="auto"/>
                      <w:lang w:val="en-US" w:eastAsia="zh-CN"/>
                    </w:rPr>
                  </w:pPr>
                </w:p>
              </w:tc>
              <w:tc>
                <w:tcPr>
                  <w:tcW w:w="408" w:type="pct"/>
                  <w:tcBorders>
                    <w:top w:val="single" w:color="auto" w:sz="4" w:space="0"/>
                    <w:left w:val="single" w:color="auto" w:sz="4" w:space="0"/>
                    <w:bottom w:val="single" w:color="auto" w:sz="4" w:space="0"/>
                    <w:right w:val="single" w:color="auto" w:sz="4" w:space="0"/>
                  </w:tcBorders>
                  <w:vAlign w:val="center"/>
                </w:tcPr>
                <w:p w14:paraId="0552E990">
                  <w:pPr>
                    <w:pStyle w:val="53"/>
                    <w:bidi w:val="0"/>
                    <w:rPr>
                      <w:rFonts w:hint="default"/>
                      <w:color w:val="auto"/>
                      <w:lang w:val="en-US" w:eastAsia="zh-CN"/>
                    </w:rPr>
                  </w:pPr>
                  <w:r>
                    <w:rPr>
                      <w:rFonts w:hint="eastAsia"/>
                      <w:color w:val="auto"/>
                      <w:lang w:val="en-US" w:eastAsia="zh-CN"/>
                    </w:rPr>
                    <w:t>-7.35</w:t>
                  </w:r>
                </w:p>
              </w:tc>
              <w:tc>
                <w:tcPr>
                  <w:tcW w:w="408" w:type="pct"/>
                  <w:tcBorders>
                    <w:top w:val="single" w:color="auto" w:sz="4" w:space="0"/>
                    <w:left w:val="single" w:color="auto" w:sz="4" w:space="0"/>
                    <w:bottom w:val="single" w:color="auto" w:sz="4" w:space="0"/>
                    <w:right w:val="single" w:color="auto" w:sz="4" w:space="0"/>
                  </w:tcBorders>
                  <w:vAlign w:val="center"/>
                </w:tcPr>
                <w:p w14:paraId="7B61AA2D">
                  <w:pPr>
                    <w:pStyle w:val="53"/>
                    <w:bidi w:val="0"/>
                    <w:rPr>
                      <w:rFonts w:hint="default"/>
                      <w:color w:val="auto"/>
                      <w:lang w:val="en-US" w:eastAsia="zh-CN"/>
                    </w:rPr>
                  </w:pPr>
                  <w:r>
                    <w:rPr>
                      <w:rFonts w:hint="eastAsia"/>
                      <w:color w:val="auto"/>
                      <w:lang w:val="en-US" w:eastAsia="zh-CN"/>
                    </w:rPr>
                    <w:t>-5.1</w:t>
                  </w:r>
                </w:p>
              </w:tc>
              <w:tc>
                <w:tcPr>
                  <w:tcW w:w="413" w:type="pct"/>
                  <w:tcBorders>
                    <w:top w:val="single" w:color="auto" w:sz="4" w:space="0"/>
                    <w:left w:val="single" w:color="auto" w:sz="4" w:space="0"/>
                    <w:bottom w:val="single" w:color="auto" w:sz="4" w:space="0"/>
                    <w:right w:val="single" w:color="auto" w:sz="4" w:space="0"/>
                  </w:tcBorders>
                  <w:vAlign w:val="center"/>
                </w:tcPr>
                <w:p w14:paraId="56574D51">
                  <w:pPr>
                    <w:pStyle w:val="53"/>
                    <w:bidi w:val="0"/>
                    <w:rPr>
                      <w:rFonts w:hint="default"/>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026117A9">
                  <w:pPr>
                    <w:pStyle w:val="53"/>
                    <w:bidi w:val="0"/>
                    <w:rPr>
                      <w:rFonts w:hint="default"/>
                      <w:color w:val="auto"/>
                      <w:lang w:val="en-US" w:eastAsia="zh-CN"/>
                    </w:rPr>
                  </w:pPr>
                  <w:r>
                    <w:rPr>
                      <w:rFonts w:hint="eastAsia"/>
                      <w:color w:val="auto"/>
                      <w:lang w:val="en-US" w:eastAsia="zh-CN"/>
                    </w:rPr>
                    <w:t>9.72</w:t>
                  </w:r>
                </w:p>
              </w:tc>
              <w:tc>
                <w:tcPr>
                  <w:tcW w:w="347" w:type="pct"/>
                  <w:tcBorders>
                    <w:top w:val="single" w:color="auto" w:sz="4" w:space="0"/>
                    <w:left w:val="single" w:color="auto" w:sz="4" w:space="0"/>
                    <w:bottom w:val="single" w:color="auto" w:sz="4" w:space="0"/>
                    <w:right w:val="single" w:color="auto" w:sz="4" w:space="0"/>
                  </w:tcBorders>
                  <w:vAlign w:val="center"/>
                </w:tcPr>
                <w:p w14:paraId="2FE79839">
                  <w:pPr>
                    <w:pStyle w:val="53"/>
                    <w:bidi w:val="0"/>
                    <w:rPr>
                      <w:rFonts w:hint="default"/>
                      <w:color w:val="auto"/>
                      <w:lang w:val="en-US" w:eastAsia="zh-CN"/>
                    </w:rPr>
                  </w:pPr>
                  <w:r>
                    <w:rPr>
                      <w:rFonts w:hint="eastAsia"/>
                      <w:color w:val="auto"/>
                      <w:lang w:val="en-US" w:eastAsia="zh-CN"/>
                    </w:rPr>
                    <w:t>57.47</w:t>
                  </w:r>
                </w:p>
              </w:tc>
              <w:tc>
                <w:tcPr>
                  <w:tcW w:w="253" w:type="pct"/>
                  <w:vMerge w:val="continue"/>
                  <w:tcBorders>
                    <w:left w:val="single" w:color="auto" w:sz="4" w:space="0"/>
                    <w:right w:val="single" w:color="auto" w:sz="4" w:space="0"/>
                  </w:tcBorders>
                  <w:vAlign w:val="center"/>
                </w:tcPr>
                <w:p w14:paraId="16016EEE">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71BC3FC3">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44B2AC8E">
                  <w:pPr>
                    <w:pStyle w:val="53"/>
                    <w:bidi w:val="0"/>
                    <w:rPr>
                      <w:rFonts w:hint="default"/>
                      <w:color w:val="auto"/>
                      <w:lang w:val="en-US" w:eastAsia="zh-CN"/>
                    </w:rPr>
                  </w:pPr>
                  <w:r>
                    <w:rPr>
                      <w:rFonts w:hint="eastAsia"/>
                      <w:color w:val="auto"/>
                      <w:lang w:val="en-US" w:eastAsia="zh-CN"/>
                    </w:rPr>
                    <w:t>47.47</w:t>
                  </w:r>
                </w:p>
              </w:tc>
              <w:tc>
                <w:tcPr>
                  <w:tcW w:w="364" w:type="pct"/>
                  <w:tcBorders>
                    <w:top w:val="single" w:color="auto" w:sz="4" w:space="0"/>
                    <w:left w:val="single" w:color="auto" w:sz="4" w:space="0"/>
                    <w:bottom w:val="single" w:color="auto" w:sz="4" w:space="0"/>
                    <w:right w:val="single" w:color="auto" w:sz="4" w:space="0"/>
                  </w:tcBorders>
                  <w:vAlign w:val="center"/>
                </w:tcPr>
                <w:p w14:paraId="210A2B59">
                  <w:pPr>
                    <w:pStyle w:val="53"/>
                    <w:bidi w:val="0"/>
                    <w:rPr>
                      <w:rFonts w:hint="eastAsia"/>
                      <w:color w:val="auto"/>
                      <w:lang w:val="en-US" w:eastAsia="zh-CN"/>
                    </w:rPr>
                  </w:pPr>
                  <w:r>
                    <w:rPr>
                      <w:rFonts w:hint="eastAsia"/>
                      <w:color w:val="auto"/>
                      <w:lang w:val="en-US" w:eastAsia="zh-CN"/>
                    </w:rPr>
                    <w:t>1</w:t>
                  </w:r>
                </w:p>
              </w:tc>
            </w:tr>
            <w:tr w14:paraId="3F75B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12236827">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B19AC6D">
                  <w:pPr>
                    <w:pStyle w:val="53"/>
                    <w:bidi w:val="0"/>
                    <w:ind w:firstLine="0" w:firstLineChars="0"/>
                    <w:rPr>
                      <w:rFonts w:hint="eastAsia"/>
                      <w:color w:val="auto"/>
                      <w:lang w:val="en-US" w:eastAsia="zh-CN"/>
                    </w:rPr>
                  </w:pPr>
                  <w:r>
                    <w:rPr>
                      <w:rFonts w:hint="eastAsia"/>
                      <w:color w:val="auto"/>
                      <w:lang w:val="en-US" w:eastAsia="zh-CN"/>
                    </w:rPr>
                    <w:t>冷却塔</w:t>
                  </w:r>
                </w:p>
              </w:tc>
              <w:tc>
                <w:tcPr>
                  <w:tcW w:w="243" w:type="pct"/>
                  <w:tcBorders>
                    <w:top w:val="single" w:color="auto" w:sz="4" w:space="0"/>
                    <w:left w:val="single" w:color="auto" w:sz="4" w:space="0"/>
                    <w:bottom w:val="single" w:color="auto" w:sz="4" w:space="0"/>
                    <w:right w:val="single" w:color="auto" w:sz="4" w:space="0"/>
                  </w:tcBorders>
                  <w:vAlign w:val="center"/>
                </w:tcPr>
                <w:p w14:paraId="7B57A085">
                  <w:pPr>
                    <w:pStyle w:val="53"/>
                    <w:bidi w:val="0"/>
                    <w:ind w:firstLine="0" w:firstLineChars="0"/>
                    <w:rPr>
                      <w:rFonts w:hint="eastAsia"/>
                      <w:color w:val="auto"/>
                      <w:lang w:val="en-US" w:eastAsia="zh-CN"/>
                    </w:rPr>
                  </w:pPr>
                  <w:r>
                    <w:rPr>
                      <w:rFonts w:hint="eastAsia"/>
                      <w:color w:val="auto"/>
                      <w:lang w:val="en-US" w:eastAsia="zh-CN"/>
                    </w:rPr>
                    <w:t>1</w:t>
                  </w:r>
                </w:p>
              </w:tc>
              <w:tc>
                <w:tcPr>
                  <w:tcW w:w="408" w:type="pct"/>
                  <w:tcBorders>
                    <w:top w:val="single" w:color="auto" w:sz="4" w:space="0"/>
                    <w:left w:val="single" w:color="auto" w:sz="4" w:space="0"/>
                    <w:bottom w:val="single" w:color="auto" w:sz="4" w:space="0"/>
                    <w:right w:val="single" w:color="auto" w:sz="4" w:space="0"/>
                  </w:tcBorders>
                  <w:vAlign w:val="center"/>
                </w:tcPr>
                <w:p w14:paraId="4E78C156">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5C2A0DC4">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6C8C9110">
                  <w:pPr>
                    <w:pStyle w:val="53"/>
                    <w:bidi w:val="0"/>
                    <w:ind w:firstLine="0" w:firstLineChars="0"/>
                    <w:rPr>
                      <w:rFonts w:hint="eastAsia"/>
                      <w:color w:val="auto"/>
                      <w:lang w:val="en-US" w:eastAsia="zh-CN"/>
                    </w:rPr>
                  </w:pPr>
                  <w:r>
                    <w:rPr>
                      <w:rFonts w:hint="eastAsia"/>
                      <w:color w:val="auto"/>
                      <w:lang w:val="en-US" w:eastAsia="zh-CN"/>
                    </w:rPr>
                    <w:t>-7.35</w:t>
                  </w:r>
                </w:p>
              </w:tc>
              <w:tc>
                <w:tcPr>
                  <w:tcW w:w="649" w:type="dxa"/>
                  <w:tcBorders>
                    <w:top w:val="single" w:color="auto" w:sz="4" w:space="0"/>
                    <w:left w:val="single" w:color="auto" w:sz="4" w:space="0"/>
                    <w:bottom w:val="single" w:color="auto" w:sz="4" w:space="0"/>
                    <w:right w:val="single" w:color="auto" w:sz="4" w:space="0"/>
                  </w:tcBorders>
                  <w:vAlign w:val="center"/>
                </w:tcPr>
                <w:p w14:paraId="3B4B2D96">
                  <w:pPr>
                    <w:pStyle w:val="53"/>
                    <w:bidi w:val="0"/>
                    <w:ind w:firstLine="0" w:firstLineChars="0"/>
                    <w:rPr>
                      <w:rFonts w:hint="eastAsia"/>
                      <w:color w:val="auto"/>
                      <w:lang w:val="en-US" w:eastAsia="zh-CN"/>
                    </w:rPr>
                  </w:pPr>
                  <w:r>
                    <w:rPr>
                      <w:rFonts w:hint="eastAsia"/>
                      <w:color w:val="auto"/>
                      <w:lang w:val="en-US" w:eastAsia="zh-CN"/>
                    </w:rPr>
                    <w:t>-5.1</w:t>
                  </w:r>
                </w:p>
              </w:tc>
              <w:tc>
                <w:tcPr>
                  <w:tcW w:w="656" w:type="dxa"/>
                  <w:tcBorders>
                    <w:top w:val="single" w:color="auto" w:sz="4" w:space="0"/>
                    <w:left w:val="single" w:color="auto" w:sz="4" w:space="0"/>
                    <w:bottom w:val="single" w:color="auto" w:sz="4" w:space="0"/>
                    <w:right w:val="single" w:color="auto" w:sz="4" w:space="0"/>
                  </w:tcBorders>
                  <w:vAlign w:val="center"/>
                </w:tcPr>
                <w:p w14:paraId="1EC77391">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E72C492">
                  <w:pPr>
                    <w:pStyle w:val="53"/>
                    <w:bidi w:val="0"/>
                    <w:rPr>
                      <w:rFonts w:hint="default"/>
                      <w:color w:val="auto"/>
                      <w:lang w:val="en-US" w:eastAsia="zh-CN"/>
                    </w:rPr>
                  </w:pPr>
                  <w:r>
                    <w:rPr>
                      <w:rFonts w:hint="eastAsia"/>
                      <w:color w:val="auto"/>
                      <w:lang w:val="en-US" w:eastAsia="zh-CN"/>
                    </w:rPr>
                    <w:t>18.26</w:t>
                  </w:r>
                </w:p>
              </w:tc>
              <w:tc>
                <w:tcPr>
                  <w:tcW w:w="347" w:type="pct"/>
                  <w:tcBorders>
                    <w:top w:val="single" w:color="auto" w:sz="4" w:space="0"/>
                    <w:left w:val="single" w:color="auto" w:sz="4" w:space="0"/>
                    <w:bottom w:val="single" w:color="auto" w:sz="4" w:space="0"/>
                    <w:right w:val="single" w:color="auto" w:sz="4" w:space="0"/>
                  </w:tcBorders>
                  <w:vAlign w:val="center"/>
                </w:tcPr>
                <w:p w14:paraId="77F1B792">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771B3026">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68D21210">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733CDFB0">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00511B48">
                  <w:pPr>
                    <w:pStyle w:val="53"/>
                    <w:bidi w:val="0"/>
                    <w:rPr>
                      <w:rFonts w:hint="eastAsia"/>
                      <w:color w:val="auto"/>
                      <w:lang w:val="en-US" w:eastAsia="zh-CN"/>
                    </w:rPr>
                  </w:pPr>
                  <w:r>
                    <w:rPr>
                      <w:rFonts w:hint="eastAsia"/>
                      <w:color w:val="auto"/>
                      <w:lang w:val="en-US" w:eastAsia="zh-CN"/>
                    </w:rPr>
                    <w:t>1</w:t>
                  </w:r>
                </w:p>
              </w:tc>
            </w:tr>
            <w:tr w14:paraId="244D7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236" w:type="pct"/>
                  <w:vMerge w:val="continue"/>
                  <w:tcBorders>
                    <w:left w:val="single" w:color="auto" w:sz="4" w:space="0"/>
                    <w:right w:val="single" w:color="auto" w:sz="4" w:space="0"/>
                  </w:tcBorders>
                  <w:vAlign w:val="center"/>
                </w:tcPr>
                <w:p w14:paraId="3D76731E">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27878FBB">
                  <w:pPr>
                    <w:pStyle w:val="53"/>
                    <w:bidi w:val="0"/>
                    <w:ind w:firstLine="0" w:firstLineChars="0"/>
                    <w:rPr>
                      <w:rFonts w:hint="eastAsia"/>
                      <w:color w:val="auto"/>
                      <w:lang w:val="en-US" w:eastAsia="zh-CN"/>
                    </w:rPr>
                  </w:pPr>
                  <w:r>
                    <w:rPr>
                      <w:rFonts w:hint="eastAsia"/>
                      <w:color w:val="auto"/>
                      <w:lang w:val="en-US" w:eastAsia="zh-CN"/>
                    </w:rPr>
                    <w:t>冷却塔</w:t>
                  </w:r>
                </w:p>
              </w:tc>
              <w:tc>
                <w:tcPr>
                  <w:tcW w:w="243" w:type="pct"/>
                  <w:tcBorders>
                    <w:top w:val="single" w:color="auto" w:sz="4" w:space="0"/>
                    <w:left w:val="single" w:color="auto" w:sz="4" w:space="0"/>
                    <w:bottom w:val="single" w:color="auto" w:sz="4" w:space="0"/>
                    <w:right w:val="single" w:color="auto" w:sz="4" w:space="0"/>
                  </w:tcBorders>
                  <w:vAlign w:val="center"/>
                </w:tcPr>
                <w:p w14:paraId="211595EC">
                  <w:pPr>
                    <w:pStyle w:val="53"/>
                    <w:bidi w:val="0"/>
                    <w:ind w:firstLine="0" w:firstLineChars="0"/>
                    <w:rPr>
                      <w:rFonts w:hint="eastAsia"/>
                      <w:color w:val="auto"/>
                      <w:lang w:val="en-US" w:eastAsia="zh-CN"/>
                    </w:rPr>
                  </w:pPr>
                  <w:r>
                    <w:rPr>
                      <w:rFonts w:hint="eastAsia"/>
                      <w:color w:val="auto"/>
                      <w:lang w:val="en-US" w:eastAsia="zh-CN"/>
                    </w:rPr>
                    <w:t>1</w:t>
                  </w:r>
                </w:p>
              </w:tc>
              <w:tc>
                <w:tcPr>
                  <w:tcW w:w="408" w:type="pct"/>
                  <w:tcBorders>
                    <w:top w:val="single" w:color="auto" w:sz="4" w:space="0"/>
                    <w:left w:val="single" w:color="auto" w:sz="4" w:space="0"/>
                    <w:bottom w:val="single" w:color="auto" w:sz="4" w:space="0"/>
                    <w:right w:val="single" w:color="auto" w:sz="4" w:space="0"/>
                  </w:tcBorders>
                  <w:vAlign w:val="center"/>
                </w:tcPr>
                <w:p w14:paraId="5F7FC79F">
                  <w:pPr>
                    <w:pStyle w:val="53"/>
                    <w:bidi w:val="0"/>
                    <w:ind w:firstLine="0" w:firstLineChars="0"/>
                    <w:rPr>
                      <w:rFonts w:hint="eastAsia"/>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6B50346">
                  <w:pPr>
                    <w:pStyle w:val="53"/>
                    <w:bidi w:val="0"/>
                    <w:rPr>
                      <w:rFonts w:hint="default"/>
                      <w:color w:val="auto"/>
                      <w:lang w:val="en-US" w:eastAsia="zh-CN"/>
                    </w:rPr>
                  </w:pPr>
                </w:p>
              </w:tc>
              <w:tc>
                <w:tcPr>
                  <w:tcW w:w="649" w:type="dxa"/>
                  <w:tcBorders>
                    <w:top w:val="single" w:color="auto" w:sz="4" w:space="0"/>
                    <w:left w:val="single" w:color="auto" w:sz="4" w:space="0"/>
                    <w:bottom w:val="single" w:color="auto" w:sz="4" w:space="0"/>
                    <w:right w:val="single" w:color="auto" w:sz="4" w:space="0"/>
                  </w:tcBorders>
                  <w:vAlign w:val="center"/>
                </w:tcPr>
                <w:p w14:paraId="45655661">
                  <w:pPr>
                    <w:pStyle w:val="53"/>
                    <w:bidi w:val="0"/>
                    <w:ind w:firstLine="0" w:firstLineChars="0"/>
                    <w:rPr>
                      <w:rFonts w:hint="eastAsia"/>
                      <w:color w:val="auto"/>
                      <w:lang w:val="en-US" w:eastAsia="zh-CN"/>
                    </w:rPr>
                  </w:pPr>
                  <w:r>
                    <w:rPr>
                      <w:rFonts w:hint="eastAsia"/>
                      <w:color w:val="auto"/>
                      <w:lang w:val="en-US" w:eastAsia="zh-CN"/>
                    </w:rPr>
                    <w:t>-7.35</w:t>
                  </w:r>
                </w:p>
              </w:tc>
              <w:tc>
                <w:tcPr>
                  <w:tcW w:w="649" w:type="dxa"/>
                  <w:tcBorders>
                    <w:top w:val="single" w:color="auto" w:sz="4" w:space="0"/>
                    <w:left w:val="single" w:color="auto" w:sz="4" w:space="0"/>
                    <w:bottom w:val="single" w:color="auto" w:sz="4" w:space="0"/>
                    <w:right w:val="single" w:color="auto" w:sz="4" w:space="0"/>
                  </w:tcBorders>
                  <w:vAlign w:val="center"/>
                </w:tcPr>
                <w:p w14:paraId="692C632C">
                  <w:pPr>
                    <w:pStyle w:val="53"/>
                    <w:bidi w:val="0"/>
                    <w:ind w:firstLine="0" w:firstLineChars="0"/>
                    <w:rPr>
                      <w:rFonts w:hint="eastAsia"/>
                      <w:color w:val="auto"/>
                      <w:lang w:val="en-US" w:eastAsia="zh-CN"/>
                    </w:rPr>
                  </w:pPr>
                  <w:r>
                    <w:rPr>
                      <w:rFonts w:hint="eastAsia"/>
                      <w:color w:val="auto"/>
                      <w:lang w:val="en-US" w:eastAsia="zh-CN"/>
                    </w:rPr>
                    <w:t>-5.1</w:t>
                  </w:r>
                </w:p>
              </w:tc>
              <w:tc>
                <w:tcPr>
                  <w:tcW w:w="656" w:type="dxa"/>
                  <w:tcBorders>
                    <w:top w:val="single" w:color="auto" w:sz="4" w:space="0"/>
                    <w:left w:val="single" w:color="auto" w:sz="4" w:space="0"/>
                    <w:bottom w:val="single" w:color="auto" w:sz="4" w:space="0"/>
                    <w:right w:val="single" w:color="auto" w:sz="4" w:space="0"/>
                  </w:tcBorders>
                  <w:vAlign w:val="center"/>
                </w:tcPr>
                <w:p w14:paraId="6C596F5A">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7F44F393">
                  <w:pPr>
                    <w:pStyle w:val="53"/>
                    <w:bidi w:val="0"/>
                    <w:rPr>
                      <w:rFonts w:hint="default"/>
                      <w:color w:val="auto"/>
                      <w:lang w:val="en-US" w:eastAsia="zh-CN"/>
                    </w:rPr>
                  </w:pPr>
                  <w:r>
                    <w:rPr>
                      <w:rFonts w:hint="eastAsia"/>
                      <w:color w:val="auto"/>
                      <w:lang w:val="en-US" w:eastAsia="zh-CN"/>
                    </w:rPr>
                    <w:t>16.37</w:t>
                  </w:r>
                </w:p>
              </w:tc>
              <w:tc>
                <w:tcPr>
                  <w:tcW w:w="347" w:type="pct"/>
                  <w:tcBorders>
                    <w:top w:val="single" w:color="auto" w:sz="4" w:space="0"/>
                    <w:left w:val="single" w:color="auto" w:sz="4" w:space="0"/>
                    <w:bottom w:val="single" w:color="auto" w:sz="4" w:space="0"/>
                    <w:right w:val="single" w:color="auto" w:sz="4" w:space="0"/>
                  </w:tcBorders>
                  <w:vAlign w:val="center"/>
                </w:tcPr>
                <w:p w14:paraId="4D675C22">
                  <w:pPr>
                    <w:pStyle w:val="53"/>
                    <w:bidi w:val="0"/>
                    <w:rPr>
                      <w:rFonts w:hint="default"/>
                      <w:color w:val="auto"/>
                      <w:lang w:val="en-US" w:eastAsia="zh-CN"/>
                    </w:rPr>
                  </w:pPr>
                  <w:r>
                    <w:rPr>
                      <w:rFonts w:hint="eastAsia"/>
                      <w:color w:val="auto"/>
                      <w:lang w:val="en-US" w:eastAsia="zh-CN"/>
                    </w:rPr>
                    <w:t>57.45</w:t>
                  </w:r>
                </w:p>
              </w:tc>
              <w:tc>
                <w:tcPr>
                  <w:tcW w:w="253" w:type="pct"/>
                  <w:vMerge w:val="continue"/>
                  <w:tcBorders>
                    <w:left w:val="single" w:color="auto" w:sz="4" w:space="0"/>
                    <w:right w:val="single" w:color="auto" w:sz="4" w:space="0"/>
                  </w:tcBorders>
                  <w:vAlign w:val="center"/>
                </w:tcPr>
                <w:p w14:paraId="0CF21387">
                  <w:pPr>
                    <w:pStyle w:val="53"/>
                    <w:bidi w:val="0"/>
                    <w:rPr>
                      <w:rFonts w:hint="eastAsia"/>
                      <w:color w:val="auto"/>
                      <w:lang w:val="en-US" w:eastAsia="zh-CN"/>
                    </w:rPr>
                  </w:pPr>
                </w:p>
              </w:tc>
              <w:tc>
                <w:tcPr>
                  <w:tcW w:w="402" w:type="dxa"/>
                  <w:tcBorders>
                    <w:top w:val="single" w:color="auto" w:sz="4" w:space="0"/>
                    <w:left w:val="single" w:color="auto" w:sz="4" w:space="0"/>
                    <w:bottom w:val="single" w:color="auto" w:sz="4" w:space="0"/>
                    <w:right w:val="single" w:color="auto" w:sz="4" w:space="0"/>
                  </w:tcBorders>
                  <w:vAlign w:val="center"/>
                </w:tcPr>
                <w:p w14:paraId="369FEC03">
                  <w:pPr>
                    <w:pStyle w:val="53"/>
                    <w:bidi w:val="0"/>
                    <w:ind w:firstLine="0" w:firstLineChars="0"/>
                    <w:rPr>
                      <w:rFonts w:hint="eastAsia"/>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541A0B1F">
                  <w:pPr>
                    <w:pStyle w:val="53"/>
                    <w:bidi w:val="0"/>
                    <w:rPr>
                      <w:rFonts w:hint="default"/>
                      <w:color w:val="auto"/>
                      <w:lang w:val="en-US" w:eastAsia="zh-CN"/>
                    </w:rPr>
                  </w:pPr>
                  <w:r>
                    <w:rPr>
                      <w:rFonts w:hint="eastAsia"/>
                      <w:color w:val="auto"/>
                      <w:lang w:val="en-US" w:eastAsia="zh-CN"/>
                    </w:rPr>
                    <w:t>47.45</w:t>
                  </w:r>
                </w:p>
              </w:tc>
              <w:tc>
                <w:tcPr>
                  <w:tcW w:w="364" w:type="pct"/>
                  <w:tcBorders>
                    <w:top w:val="single" w:color="auto" w:sz="4" w:space="0"/>
                    <w:left w:val="single" w:color="auto" w:sz="4" w:space="0"/>
                    <w:bottom w:val="single" w:color="auto" w:sz="4" w:space="0"/>
                    <w:right w:val="single" w:color="auto" w:sz="4" w:space="0"/>
                  </w:tcBorders>
                  <w:vAlign w:val="center"/>
                </w:tcPr>
                <w:p w14:paraId="37B561A7">
                  <w:pPr>
                    <w:pStyle w:val="53"/>
                    <w:bidi w:val="0"/>
                    <w:rPr>
                      <w:rFonts w:hint="eastAsia"/>
                      <w:color w:val="auto"/>
                      <w:lang w:val="en-US" w:eastAsia="zh-CN"/>
                    </w:rPr>
                  </w:pPr>
                  <w:r>
                    <w:rPr>
                      <w:rFonts w:hint="eastAsia"/>
                      <w:color w:val="auto"/>
                      <w:lang w:val="en-US" w:eastAsia="zh-CN"/>
                    </w:rPr>
                    <w:t>1</w:t>
                  </w:r>
                </w:p>
              </w:tc>
            </w:tr>
            <w:tr w14:paraId="0987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6" w:hRule="atLeast"/>
              </w:trPr>
              <w:tc>
                <w:tcPr>
                  <w:tcW w:w="236" w:type="pct"/>
                  <w:vMerge w:val="continue"/>
                  <w:tcBorders>
                    <w:left w:val="single" w:color="auto" w:sz="4" w:space="0"/>
                    <w:bottom w:val="single" w:color="auto" w:sz="4" w:space="0"/>
                    <w:right w:val="single" w:color="auto" w:sz="4" w:space="0"/>
                  </w:tcBorders>
                  <w:vAlign w:val="center"/>
                </w:tcPr>
                <w:p w14:paraId="2AA5B916">
                  <w:pPr>
                    <w:pStyle w:val="53"/>
                    <w:bidi w:val="0"/>
                    <w:rPr>
                      <w:rFonts w:hint="default"/>
                      <w:color w:val="auto"/>
                    </w:rPr>
                  </w:pPr>
                </w:p>
              </w:tc>
              <w:tc>
                <w:tcPr>
                  <w:tcW w:w="502" w:type="pct"/>
                  <w:tcBorders>
                    <w:top w:val="single" w:color="auto" w:sz="4" w:space="0"/>
                    <w:left w:val="single" w:color="auto" w:sz="4" w:space="0"/>
                    <w:bottom w:val="single" w:color="auto" w:sz="4" w:space="0"/>
                    <w:right w:val="single" w:color="auto" w:sz="4" w:space="0"/>
                  </w:tcBorders>
                  <w:vAlign w:val="center"/>
                </w:tcPr>
                <w:p w14:paraId="4160740F">
                  <w:pPr>
                    <w:pStyle w:val="53"/>
                    <w:bidi w:val="0"/>
                    <w:ind w:firstLine="0" w:firstLineChars="0"/>
                    <w:rPr>
                      <w:rFonts w:hint="default"/>
                      <w:color w:val="auto"/>
                    </w:rPr>
                  </w:pPr>
                  <w:r>
                    <w:rPr>
                      <w:rFonts w:hint="eastAsia"/>
                      <w:color w:val="auto"/>
                      <w:lang w:val="en-US" w:eastAsia="zh-CN"/>
                    </w:rPr>
                    <w:t>冷却塔</w:t>
                  </w:r>
                </w:p>
              </w:tc>
              <w:tc>
                <w:tcPr>
                  <w:tcW w:w="243" w:type="pct"/>
                  <w:tcBorders>
                    <w:top w:val="single" w:color="auto" w:sz="4" w:space="0"/>
                    <w:left w:val="single" w:color="auto" w:sz="4" w:space="0"/>
                    <w:bottom w:val="single" w:color="auto" w:sz="4" w:space="0"/>
                    <w:right w:val="single" w:color="auto" w:sz="4" w:space="0"/>
                  </w:tcBorders>
                  <w:vAlign w:val="center"/>
                </w:tcPr>
                <w:p w14:paraId="4515C02D">
                  <w:pPr>
                    <w:pStyle w:val="53"/>
                    <w:bidi w:val="0"/>
                    <w:ind w:firstLine="0" w:firstLineChars="0"/>
                    <w:rPr>
                      <w:rFonts w:hint="eastAsia"/>
                      <w:color w:val="auto"/>
                      <w:lang w:val="en-US" w:eastAsia="zh-CN"/>
                    </w:rPr>
                  </w:pPr>
                  <w:r>
                    <w:rPr>
                      <w:rFonts w:hint="eastAsia"/>
                      <w:color w:val="auto"/>
                      <w:lang w:val="en-US" w:eastAsia="zh-CN"/>
                    </w:rPr>
                    <w:t>1</w:t>
                  </w:r>
                </w:p>
              </w:tc>
              <w:tc>
                <w:tcPr>
                  <w:tcW w:w="408" w:type="pct"/>
                  <w:tcBorders>
                    <w:top w:val="single" w:color="auto" w:sz="4" w:space="0"/>
                    <w:left w:val="single" w:color="auto" w:sz="4" w:space="0"/>
                    <w:bottom w:val="single" w:color="auto" w:sz="4" w:space="0"/>
                    <w:right w:val="single" w:color="auto" w:sz="4" w:space="0"/>
                  </w:tcBorders>
                  <w:vAlign w:val="center"/>
                </w:tcPr>
                <w:p w14:paraId="05B3D67F">
                  <w:pPr>
                    <w:pStyle w:val="53"/>
                    <w:bidi w:val="0"/>
                    <w:ind w:firstLine="0" w:firstLineChars="0"/>
                    <w:rPr>
                      <w:rFonts w:hint="default"/>
                      <w:color w:val="auto"/>
                      <w:lang w:val="en-US" w:eastAsia="zh-CN"/>
                    </w:rPr>
                  </w:pPr>
                  <w:r>
                    <w:rPr>
                      <w:rFonts w:hint="eastAsia"/>
                      <w:color w:val="auto"/>
                      <w:lang w:val="en-US" w:eastAsia="zh-CN"/>
                    </w:rPr>
                    <w:t>75</w:t>
                  </w:r>
                </w:p>
              </w:tc>
              <w:tc>
                <w:tcPr>
                  <w:tcW w:w="410" w:type="pct"/>
                  <w:vMerge w:val="continue"/>
                  <w:tcBorders>
                    <w:left w:val="single" w:color="auto" w:sz="4" w:space="0"/>
                    <w:right w:val="single" w:color="auto" w:sz="4" w:space="0"/>
                  </w:tcBorders>
                  <w:vAlign w:val="center"/>
                </w:tcPr>
                <w:p w14:paraId="07DA31DB">
                  <w:pPr>
                    <w:pStyle w:val="53"/>
                    <w:bidi w:val="0"/>
                    <w:rPr>
                      <w:rFonts w:hint="default"/>
                      <w:color w:val="auto"/>
                    </w:rPr>
                  </w:pPr>
                </w:p>
              </w:tc>
              <w:tc>
                <w:tcPr>
                  <w:tcW w:w="649" w:type="dxa"/>
                  <w:tcBorders>
                    <w:top w:val="single" w:color="auto" w:sz="4" w:space="0"/>
                    <w:left w:val="single" w:color="auto" w:sz="4" w:space="0"/>
                    <w:bottom w:val="single" w:color="auto" w:sz="4" w:space="0"/>
                    <w:right w:val="single" w:color="auto" w:sz="4" w:space="0"/>
                  </w:tcBorders>
                  <w:vAlign w:val="center"/>
                </w:tcPr>
                <w:p w14:paraId="67B0F2E3">
                  <w:pPr>
                    <w:pStyle w:val="53"/>
                    <w:bidi w:val="0"/>
                    <w:ind w:firstLine="0" w:firstLineChars="0"/>
                    <w:rPr>
                      <w:rFonts w:hint="default"/>
                      <w:color w:val="auto"/>
                      <w:lang w:val="en-US" w:eastAsia="zh-CN"/>
                    </w:rPr>
                  </w:pPr>
                  <w:r>
                    <w:rPr>
                      <w:rFonts w:hint="eastAsia"/>
                      <w:color w:val="auto"/>
                      <w:lang w:val="en-US" w:eastAsia="zh-CN"/>
                    </w:rPr>
                    <w:t>-7.35</w:t>
                  </w:r>
                </w:p>
              </w:tc>
              <w:tc>
                <w:tcPr>
                  <w:tcW w:w="649" w:type="dxa"/>
                  <w:tcBorders>
                    <w:top w:val="single" w:color="auto" w:sz="4" w:space="0"/>
                    <w:left w:val="single" w:color="auto" w:sz="4" w:space="0"/>
                    <w:bottom w:val="single" w:color="auto" w:sz="4" w:space="0"/>
                    <w:right w:val="single" w:color="auto" w:sz="4" w:space="0"/>
                  </w:tcBorders>
                  <w:vAlign w:val="center"/>
                </w:tcPr>
                <w:p w14:paraId="1879B21B">
                  <w:pPr>
                    <w:pStyle w:val="53"/>
                    <w:bidi w:val="0"/>
                    <w:ind w:firstLine="0" w:firstLineChars="0"/>
                    <w:rPr>
                      <w:rFonts w:hint="eastAsia"/>
                      <w:color w:val="auto"/>
                      <w:lang w:val="en-US" w:eastAsia="zh-CN"/>
                    </w:rPr>
                  </w:pPr>
                  <w:r>
                    <w:rPr>
                      <w:rFonts w:hint="eastAsia"/>
                      <w:color w:val="auto"/>
                      <w:lang w:val="en-US" w:eastAsia="zh-CN"/>
                    </w:rPr>
                    <w:t>-5.1</w:t>
                  </w:r>
                </w:p>
              </w:tc>
              <w:tc>
                <w:tcPr>
                  <w:tcW w:w="656" w:type="dxa"/>
                  <w:tcBorders>
                    <w:top w:val="single" w:color="auto" w:sz="4" w:space="0"/>
                    <w:left w:val="single" w:color="auto" w:sz="4" w:space="0"/>
                    <w:bottom w:val="single" w:color="auto" w:sz="4" w:space="0"/>
                    <w:right w:val="single" w:color="auto" w:sz="4" w:space="0"/>
                  </w:tcBorders>
                  <w:vAlign w:val="center"/>
                </w:tcPr>
                <w:p w14:paraId="1471080C">
                  <w:pPr>
                    <w:pStyle w:val="53"/>
                    <w:bidi w:val="0"/>
                    <w:ind w:firstLine="0" w:firstLineChars="0"/>
                    <w:rPr>
                      <w:rFonts w:hint="eastAsia"/>
                      <w:color w:val="auto"/>
                      <w:lang w:val="en-US" w:eastAsia="zh-CN"/>
                    </w:rPr>
                  </w:pPr>
                  <w:r>
                    <w:rPr>
                      <w:rFonts w:hint="eastAsia"/>
                      <w:color w:val="auto"/>
                      <w:lang w:val="en-US" w:eastAsia="zh-CN"/>
                    </w:rPr>
                    <w:t>1</w:t>
                  </w:r>
                </w:p>
              </w:tc>
              <w:tc>
                <w:tcPr>
                  <w:tcW w:w="410" w:type="pct"/>
                  <w:tcBorders>
                    <w:top w:val="single" w:color="auto" w:sz="4" w:space="0"/>
                    <w:left w:val="single" w:color="auto" w:sz="4" w:space="0"/>
                    <w:bottom w:val="single" w:color="auto" w:sz="4" w:space="0"/>
                    <w:right w:val="single" w:color="auto" w:sz="4" w:space="0"/>
                  </w:tcBorders>
                  <w:vAlign w:val="center"/>
                </w:tcPr>
                <w:p w14:paraId="491B2647">
                  <w:pPr>
                    <w:pStyle w:val="53"/>
                    <w:bidi w:val="0"/>
                    <w:rPr>
                      <w:rFonts w:hint="default"/>
                      <w:color w:val="auto"/>
                      <w:lang w:val="en-US" w:eastAsia="zh-CN"/>
                    </w:rPr>
                  </w:pPr>
                  <w:r>
                    <w:rPr>
                      <w:rFonts w:hint="eastAsia"/>
                      <w:color w:val="auto"/>
                      <w:lang w:val="en-US" w:eastAsia="zh-CN"/>
                    </w:rPr>
                    <w:t>3.32</w:t>
                  </w:r>
                </w:p>
              </w:tc>
              <w:tc>
                <w:tcPr>
                  <w:tcW w:w="347" w:type="pct"/>
                  <w:tcBorders>
                    <w:top w:val="single" w:color="auto" w:sz="4" w:space="0"/>
                    <w:left w:val="single" w:color="auto" w:sz="4" w:space="0"/>
                    <w:bottom w:val="single" w:color="auto" w:sz="4" w:space="0"/>
                    <w:right w:val="single" w:color="auto" w:sz="4" w:space="0"/>
                  </w:tcBorders>
                  <w:vAlign w:val="center"/>
                </w:tcPr>
                <w:p w14:paraId="504E0961">
                  <w:pPr>
                    <w:pStyle w:val="53"/>
                    <w:bidi w:val="0"/>
                    <w:rPr>
                      <w:rFonts w:hint="default"/>
                      <w:color w:val="auto"/>
                      <w:lang w:val="en-US" w:eastAsia="zh-CN"/>
                    </w:rPr>
                  </w:pPr>
                  <w:r>
                    <w:rPr>
                      <w:rFonts w:hint="eastAsia"/>
                      <w:color w:val="auto"/>
                      <w:lang w:val="en-US" w:eastAsia="zh-CN"/>
                    </w:rPr>
                    <w:t>57.62</w:t>
                  </w:r>
                </w:p>
              </w:tc>
              <w:tc>
                <w:tcPr>
                  <w:tcW w:w="253" w:type="pct"/>
                  <w:vMerge w:val="continue"/>
                  <w:tcBorders>
                    <w:left w:val="single" w:color="auto" w:sz="4" w:space="0"/>
                    <w:right w:val="single" w:color="auto" w:sz="4" w:space="0"/>
                  </w:tcBorders>
                  <w:vAlign w:val="center"/>
                </w:tcPr>
                <w:p w14:paraId="2C746DC5">
                  <w:pPr>
                    <w:pStyle w:val="53"/>
                    <w:bidi w:val="0"/>
                    <w:rPr>
                      <w:rFonts w:hint="default"/>
                      <w:color w:val="auto"/>
                    </w:rPr>
                  </w:pPr>
                </w:p>
              </w:tc>
              <w:tc>
                <w:tcPr>
                  <w:tcW w:w="402" w:type="dxa"/>
                  <w:tcBorders>
                    <w:top w:val="single" w:color="auto" w:sz="4" w:space="0"/>
                    <w:left w:val="single" w:color="auto" w:sz="4" w:space="0"/>
                    <w:bottom w:val="single" w:color="auto" w:sz="4" w:space="0"/>
                    <w:right w:val="single" w:color="auto" w:sz="4" w:space="0"/>
                  </w:tcBorders>
                  <w:vAlign w:val="center"/>
                </w:tcPr>
                <w:p w14:paraId="5A8E82A1">
                  <w:pPr>
                    <w:pStyle w:val="53"/>
                    <w:bidi w:val="0"/>
                    <w:ind w:firstLine="0" w:firstLineChars="0"/>
                    <w:rPr>
                      <w:rFonts w:hint="default"/>
                      <w:color w:val="auto"/>
                      <w:lang w:val="en-US" w:eastAsia="zh-CN"/>
                    </w:rPr>
                  </w:pPr>
                  <w:r>
                    <w:rPr>
                      <w:rFonts w:hint="eastAsia"/>
                      <w:color w:val="auto"/>
                      <w:lang w:val="en-US" w:eastAsia="zh-CN"/>
                    </w:rPr>
                    <w:t>10</w:t>
                  </w:r>
                </w:p>
              </w:tc>
              <w:tc>
                <w:tcPr>
                  <w:tcW w:w="337" w:type="pct"/>
                  <w:tcBorders>
                    <w:top w:val="single" w:color="auto" w:sz="4" w:space="0"/>
                    <w:left w:val="single" w:color="auto" w:sz="4" w:space="0"/>
                    <w:bottom w:val="single" w:color="auto" w:sz="4" w:space="0"/>
                    <w:right w:val="single" w:color="auto" w:sz="4" w:space="0"/>
                  </w:tcBorders>
                  <w:vAlign w:val="center"/>
                </w:tcPr>
                <w:p w14:paraId="3C2BA44F">
                  <w:pPr>
                    <w:pStyle w:val="53"/>
                    <w:bidi w:val="0"/>
                    <w:rPr>
                      <w:rFonts w:hint="default"/>
                      <w:color w:val="auto"/>
                      <w:lang w:val="en-US" w:eastAsia="zh-CN"/>
                    </w:rPr>
                  </w:pPr>
                  <w:r>
                    <w:rPr>
                      <w:rFonts w:hint="eastAsia"/>
                      <w:color w:val="auto"/>
                      <w:lang w:val="en-US" w:eastAsia="zh-CN"/>
                    </w:rPr>
                    <w:t>47.62</w:t>
                  </w:r>
                </w:p>
              </w:tc>
              <w:tc>
                <w:tcPr>
                  <w:tcW w:w="364" w:type="pct"/>
                  <w:tcBorders>
                    <w:top w:val="single" w:color="auto" w:sz="4" w:space="0"/>
                    <w:left w:val="single" w:color="auto" w:sz="4" w:space="0"/>
                    <w:bottom w:val="single" w:color="auto" w:sz="4" w:space="0"/>
                    <w:right w:val="single" w:color="auto" w:sz="4" w:space="0"/>
                  </w:tcBorders>
                  <w:vAlign w:val="center"/>
                </w:tcPr>
                <w:p w14:paraId="5DD24921">
                  <w:pPr>
                    <w:pStyle w:val="53"/>
                    <w:bidi w:val="0"/>
                    <w:rPr>
                      <w:rFonts w:hint="eastAsia"/>
                      <w:color w:val="auto"/>
                      <w:lang w:val="en-US" w:eastAsia="zh-CN"/>
                    </w:rPr>
                  </w:pPr>
                  <w:r>
                    <w:rPr>
                      <w:rFonts w:hint="eastAsia"/>
                      <w:color w:val="auto"/>
                      <w:lang w:val="en-US" w:eastAsia="zh-CN"/>
                    </w:rPr>
                    <w:t>1</w:t>
                  </w:r>
                </w:p>
              </w:tc>
            </w:tr>
          </w:tbl>
          <w:p w14:paraId="15A1F00B">
            <w:pPr>
              <w:pStyle w:val="51"/>
              <w:bidi w:val="0"/>
              <w:rPr>
                <w:rFonts w:hint="default"/>
                <w:b/>
                <w:bCs/>
                <w:color w:val="auto"/>
              </w:rPr>
            </w:pPr>
            <w:r>
              <w:rPr>
                <w:rFonts w:hint="default"/>
                <w:b/>
                <w:bCs/>
                <w:color w:val="auto"/>
              </w:rPr>
              <w:t>2、噪声影响分析</w:t>
            </w:r>
          </w:p>
          <w:p w14:paraId="320EDCDB">
            <w:pPr>
              <w:pStyle w:val="51"/>
              <w:ind w:firstLine="480"/>
              <w:rPr>
                <w:rFonts w:hint="default" w:ascii="Times New Roman" w:hAnsi="Times New Roman" w:cs="Times New Roman"/>
                <w:color w:val="auto"/>
              </w:rPr>
            </w:pPr>
            <w:r>
              <w:rPr>
                <w:rFonts w:hint="default" w:ascii="Times New Roman" w:hAnsi="Times New Roman" w:cs="Times New Roman"/>
                <w:color w:val="auto"/>
              </w:rPr>
              <w:t>（1）噪声预测</w:t>
            </w:r>
          </w:p>
          <w:p w14:paraId="43675166">
            <w:pPr>
              <w:pStyle w:val="51"/>
              <w:ind w:firstLine="480"/>
              <w:rPr>
                <w:rFonts w:hint="default" w:ascii="Times New Roman" w:hAnsi="Times New Roman" w:cs="Times New Roman"/>
                <w:color w:val="auto"/>
              </w:rPr>
            </w:pPr>
            <w:r>
              <w:rPr>
                <w:rFonts w:hint="default" w:ascii="Times New Roman" w:hAnsi="Times New Roman" w:cs="Times New Roman"/>
                <w:color w:val="auto"/>
                <w:szCs w:val="24"/>
              </w:rPr>
              <w:t>①预测模式</w:t>
            </w:r>
          </w:p>
          <w:p w14:paraId="409F738F">
            <w:pPr>
              <w:pStyle w:val="51"/>
              <w:ind w:firstLine="480"/>
              <w:rPr>
                <w:rFonts w:hint="default" w:ascii="Times New Roman" w:hAnsi="Times New Roman" w:cs="Times New Roman"/>
                <w:color w:val="auto"/>
              </w:rPr>
            </w:pPr>
            <w:r>
              <w:rPr>
                <w:rFonts w:hint="default" w:ascii="Times New Roman" w:hAnsi="Times New Roman" w:cs="Times New Roman"/>
                <w:color w:val="auto"/>
                <w:szCs w:val="24"/>
              </w:rPr>
              <w:t>评价采用点声源模式预测噪声源对环境的影响，预测仅考虑距离衰减。预测中噪声源强取采取措施后的噪声值，预测模式如下：</w:t>
            </w:r>
          </w:p>
          <w:p w14:paraId="3A86D904">
            <w:pPr>
              <w:pStyle w:val="51"/>
              <w:ind w:firstLine="480"/>
              <w:rPr>
                <w:rFonts w:hint="default" w:ascii="Times New Roman" w:hAnsi="Times New Roman" w:cs="Times New Roman" w:eastAsiaTheme="minorEastAsia"/>
                <w:color w:val="auto"/>
                <w:lang w:val="pt-BR"/>
              </w:rPr>
            </w:pPr>
            <w:r>
              <w:rPr>
                <w:rFonts w:hint="eastAsia" w:cs="Times New Roman" w:eastAsiaTheme="minorEastAsia"/>
                <w:color w:val="auto"/>
                <w:szCs w:val="24"/>
                <w:lang w:eastAsia="zh-CN"/>
              </w:rPr>
              <w:t>1）</w:t>
            </w:r>
            <w:r>
              <w:rPr>
                <w:rFonts w:hint="default" w:ascii="Times New Roman" w:hAnsi="Times New Roman" w:cs="Times New Roman" w:eastAsiaTheme="minorEastAsia"/>
                <w:color w:val="auto"/>
                <w:szCs w:val="24"/>
                <w:lang w:val="pt-BR"/>
              </w:rPr>
              <w:t>距离衰减模式</w:t>
            </w:r>
          </w:p>
          <w:p w14:paraId="6CFA0636">
            <w:pPr>
              <w:pStyle w:val="51"/>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4"/>
                <w:lang w:val="pt-BR"/>
              </w:rPr>
              <w:t>LA</w:t>
            </w:r>
            <w:r>
              <w:rPr>
                <w:rFonts w:hint="eastAsia" w:cs="Times New Roman" w:eastAsiaTheme="minorEastAsia"/>
                <w:color w:val="auto"/>
                <w:szCs w:val="24"/>
                <w:lang w:val="pt-BR" w:eastAsia="zh-CN"/>
              </w:rPr>
              <w:t>(</w:t>
            </w:r>
            <w:r>
              <w:rPr>
                <w:rFonts w:hint="default" w:ascii="Times New Roman" w:hAnsi="Times New Roman" w:cs="Times New Roman" w:eastAsiaTheme="minorEastAsia"/>
                <w:color w:val="auto"/>
                <w:szCs w:val="24"/>
                <w:lang w:val="pt-BR"/>
              </w:rPr>
              <w:t>r</w:t>
            </w:r>
            <w:r>
              <w:rPr>
                <w:rFonts w:hint="eastAsia" w:cs="Times New Roman" w:eastAsiaTheme="minorEastAsia"/>
                <w:color w:val="auto"/>
                <w:szCs w:val="24"/>
                <w:lang w:val="pt-BR" w:eastAsia="zh-CN"/>
              </w:rPr>
              <w:t>)</w:t>
            </w:r>
            <w:r>
              <w:rPr>
                <w:rFonts w:hint="default" w:ascii="Times New Roman" w:hAnsi="Times New Roman" w:cs="Times New Roman" w:eastAsiaTheme="minorEastAsia"/>
                <w:color w:val="auto"/>
                <w:szCs w:val="24"/>
                <w:lang w:val="pt-BR"/>
              </w:rPr>
              <w:t>=LWA-20lg</w:t>
            </w:r>
            <w:r>
              <w:rPr>
                <w:rFonts w:hint="eastAsia" w:cs="Times New Roman" w:eastAsiaTheme="minorEastAsia"/>
                <w:color w:val="auto"/>
                <w:szCs w:val="24"/>
                <w:lang w:val="pt-BR" w:eastAsia="zh-CN"/>
              </w:rPr>
              <w:t>(</w:t>
            </w:r>
            <w:r>
              <w:rPr>
                <w:rFonts w:hint="default" w:ascii="Times New Roman" w:hAnsi="Times New Roman" w:cs="Times New Roman" w:eastAsiaTheme="minorEastAsia"/>
                <w:color w:val="auto"/>
                <w:szCs w:val="24"/>
                <w:lang w:val="pt-BR"/>
              </w:rPr>
              <w:t>r</w:t>
            </w:r>
            <w:r>
              <w:rPr>
                <w:rFonts w:hint="eastAsia" w:cs="Times New Roman" w:eastAsiaTheme="minorEastAsia"/>
                <w:color w:val="auto"/>
                <w:szCs w:val="24"/>
                <w:lang w:val="pt-BR" w:eastAsia="zh-CN"/>
              </w:rPr>
              <w:t>)</w:t>
            </w:r>
          </w:p>
          <w:p w14:paraId="7D5540A5">
            <w:pPr>
              <w:pStyle w:val="51"/>
              <w:ind w:firstLine="480"/>
              <w:rPr>
                <w:rFonts w:hint="default" w:ascii="Times New Roman" w:hAnsi="Times New Roman" w:cs="Times New Roman" w:eastAsiaTheme="minorEastAsia"/>
                <w:color w:val="auto"/>
                <w:lang w:val="pt-BR"/>
              </w:rPr>
            </w:pPr>
            <w:r>
              <w:rPr>
                <w:rFonts w:hint="default" w:ascii="Times New Roman" w:hAnsi="Times New Roman" w:cs="Times New Roman" w:eastAsiaTheme="minorEastAsia"/>
                <w:color w:val="auto"/>
                <w:szCs w:val="24"/>
              </w:rPr>
              <w:t>式中</w:t>
            </w:r>
            <w:r>
              <w:rPr>
                <w:rFonts w:hint="default" w:ascii="Times New Roman" w:hAnsi="Times New Roman" w:cs="Times New Roman" w:eastAsiaTheme="minorEastAsia"/>
                <w:color w:val="auto"/>
                <w:szCs w:val="24"/>
                <w:lang w:val="pt-BR"/>
              </w:rPr>
              <w:t>：</w:t>
            </w:r>
          </w:p>
          <w:p w14:paraId="4181D861">
            <w:pPr>
              <w:pStyle w:val="51"/>
              <w:ind w:firstLine="480"/>
              <w:rPr>
                <w:rFonts w:hint="default" w:ascii="Times New Roman" w:hAnsi="Times New Roman" w:cs="Times New Roman" w:eastAsiaTheme="minorEastAsia"/>
                <w:color w:val="auto"/>
                <w:lang w:val="pt-BR"/>
              </w:rPr>
            </w:pPr>
            <w:r>
              <w:rPr>
                <w:rFonts w:hint="default" w:ascii="Times New Roman" w:hAnsi="Times New Roman" w:cs="Times New Roman" w:eastAsiaTheme="minorEastAsia"/>
                <w:color w:val="auto"/>
                <w:szCs w:val="24"/>
                <w:lang w:val="pt-BR"/>
              </w:rPr>
              <w:t>LA（r）——</w:t>
            </w:r>
            <w:r>
              <w:rPr>
                <w:rFonts w:hint="default" w:ascii="Times New Roman" w:hAnsi="Times New Roman" w:cs="Times New Roman" w:eastAsiaTheme="minorEastAsia"/>
                <w:color w:val="auto"/>
                <w:szCs w:val="24"/>
              </w:rPr>
              <w:t>距噪声源</w:t>
            </w:r>
            <w:r>
              <w:rPr>
                <w:rFonts w:hint="default" w:ascii="Times New Roman" w:hAnsi="Times New Roman" w:cs="Times New Roman" w:eastAsiaTheme="minorEastAsia"/>
                <w:color w:val="auto"/>
                <w:szCs w:val="24"/>
                <w:lang w:val="pt-BR"/>
              </w:rPr>
              <w:t>r</w:t>
            </w:r>
            <w:r>
              <w:rPr>
                <w:rFonts w:hint="default" w:ascii="Times New Roman" w:hAnsi="Times New Roman" w:cs="Times New Roman" w:eastAsiaTheme="minorEastAsia"/>
                <w:color w:val="auto"/>
                <w:szCs w:val="24"/>
              </w:rPr>
              <w:t>数处预测点的</w:t>
            </w:r>
            <w:r>
              <w:rPr>
                <w:rFonts w:hint="default" w:ascii="Times New Roman" w:hAnsi="Times New Roman" w:cs="Times New Roman" w:eastAsiaTheme="minorEastAsia"/>
                <w:color w:val="auto"/>
                <w:szCs w:val="24"/>
                <w:lang w:val="pt-BR"/>
              </w:rPr>
              <w:t>A</w:t>
            </w:r>
            <w:r>
              <w:rPr>
                <w:rFonts w:hint="default" w:ascii="Times New Roman" w:hAnsi="Times New Roman" w:cs="Times New Roman" w:eastAsiaTheme="minorEastAsia"/>
                <w:color w:val="auto"/>
                <w:szCs w:val="24"/>
              </w:rPr>
              <w:t>声级</w:t>
            </w:r>
            <w:r>
              <w:rPr>
                <w:rFonts w:hint="default" w:ascii="Times New Roman" w:hAnsi="Times New Roman" w:cs="Times New Roman" w:eastAsiaTheme="minorEastAsia"/>
                <w:color w:val="auto"/>
                <w:szCs w:val="24"/>
                <w:lang w:val="pt-BR"/>
              </w:rPr>
              <w:t>，dB（A）；</w:t>
            </w:r>
          </w:p>
          <w:p w14:paraId="5F350D01">
            <w:pPr>
              <w:pStyle w:val="51"/>
              <w:ind w:firstLine="480"/>
              <w:rPr>
                <w:rFonts w:hint="default" w:ascii="Times New Roman" w:hAnsi="Times New Roman" w:cs="Times New Roman" w:eastAsiaTheme="minorEastAsia"/>
                <w:color w:val="auto"/>
                <w:lang w:val="pt-BR"/>
              </w:rPr>
            </w:pPr>
            <w:r>
              <w:rPr>
                <w:rFonts w:hint="default" w:ascii="Times New Roman" w:hAnsi="Times New Roman" w:cs="Times New Roman" w:eastAsiaTheme="minorEastAsia"/>
                <w:color w:val="auto"/>
                <w:szCs w:val="24"/>
                <w:lang w:val="pt-BR"/>
              </w:rPr>
              <w:t>LWA——</w:t>
            </w:r>
            <w:r>
              <w:rPr>
                <w:rFonts w:hint="default" w:ascii="Times New Roman" w:hAnsi="Times New Roman" w:cs="Times New Roman" w:eastAsiaTheme="minorEastAsia"/>
                <w:color w:val="auto"/>
                <w:szCs w:val="24"/>
              </w:rPr>
              <w:t>点声源的</w:t>
            </w:r>
            <w:r>
              <w:rPr>
                <w:rFonts w:hint="default" w:ascii="Times New Roman" w:hAnsi="Times New Roman" w:cs="Times New Roman" w:eastAsiaTheme="minorEastAsia"/>
                <w:color w:val="auto"/>
                <w:szCs w:val="24"/>
                <w:lang w:val="pt-BR"/>
              </w:rPr>
              <w:t>A</w:t>
            </w:r>
            <w:r>
              <w:rPr>
                <w:rFonts w:hint="default" w:ascii="Times New Roman" w:hAnsi="Times New Roman" w:cs="Times New Roman" w:eastAsiaTheme="minorEastAsia"/>
                <w:color w:val="auto"/>
                <w:szCs w:val="24"/>
              </w:rPr>
              <w:t>声级</w:t>
            </w:r>
            <w:r>
              <w:rPr>
                <w:rFonts w:hint="default" w:ascii="Times New Roman" w:hAnsi="Times New Roman" w:cs="Times New Roman" w:eastAsiaTheme="minorEastAsia"/>
                <w:color w:val="auto"/>
                <w:szCs w:val="24"/>
                <w:lang w:val="pt-BR"/>
              </w:rPr>
              <w:t>，dB（A）；</w:t>
            </w:r>
          </w:p>
          <w:p w14:paraId="1F380255">
            <w:pPr>
              <w:pStyle w:val="51"/>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szCs w:val="24"/>
              </w:rPr>
              <w:t>r——点声源到预测点的距离，m。</w:t>
            </w:r>
          </w:p>
          <w:p w14:paraId="49A1A619">
            <w:pPr>
              <w:pStyle w:val="51"/>
              <w:ind w:firstLine="480"/>
              <w:rPr>
                <w:rFonts w:hint="default" w:ascii="Times New Roman" w:hAnsi="Times New Roman" w:cs="Times New Roman" w:eastAsiaTheme="minorEastAsia"/>
                <w:color w:val="auto"/>
              </w:rPr>
            </w:pPr>
            <w:r>
              <w:rPr>
                <w:rFonts w:hint="eastAsia" w:cs="Times New Roman" w:eastAsiaTheme="minorEastAsia"/>
                <w:color w:val="auto"/>
                <w:szCs w:val="24"/>
                <w:lang w:eastAsia="zh-CN"/>
              </w:rPr>
              <w:t>2）</w:t>
            </w:r>
            <w:r>
              <w:rPr>
                <w:rFonts w:hint="default" w:ascii="Times New Roman" w:hAnsi="Times New Roman" w:cs="Times New Roman" w:eastAsiaTheme="minorEastAsia"/>
                <w:color w:val="auto"/>
                <w:szCs w:val="24"/>
              </w:rPr>
              <w:t>叠加计算</w:t>
            </w:r>
          </w:p>
          <w:p w14:paraId="22BF8042">
            <w:pPr>
              <w:pStyle w:val="51"/>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drawing>
                <wp:inline distT="0" distB="0" distL="0" distR="0">
                  <wp:extent cx="120650" cy="146685"/>
                  <wp:effectExtent l="0" t="0" r="12700" b="5080"/>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pic:cNvPicPr>
                            <a:picLocks noChangeAspect="1" noChangeArrowheads="1"/>
                          </pic:cNvPicPr>
                        </pic:nvPicPr>
                        <pic:blipFill>
                          <a:blip r:embed="rId15"/>
                          <a:srcRect/>
                          <a:stretch>
                            <a:fillRect/>
                          </a:stretch>
                        </pic:blipFill>
                        <pic:spPr>
                          <a:xfrm>
                            <a:off x="0" y="0"/>
                            <a:ext cx="120650" cy="146685"/>
                          </a:xfrm>
                          <a:prstGeom prst="rect">
                            <a:avLst/>
                          </a:prstGeom>
                          <a:noFill/>
                          <a:ln w="9525">
                            <a:noFill/>
                            <a:miter lim="800000"/>
                            <a:headEnd/>
                            <a:tailEnd/>
                          </a:ln>
                        </pic:spPr>
                      </pic:pic>
                    </a:graphicData>
                  </a:graphic>
                </wp:inline>
              </w:drawing>
            </w:r>
            <w:r>
              <w:rPr>
                <w:rFonts w:hint="default" w:ascii="Times New Roman" w:hAnsi="Times New Roman" w:cs="Times New Roman" w:eastAsiaTheme="minorEastAsia"/>
                <w:color w:val="auto"/>
                <w:szCs w:val="24"/>
              </w:rPr>
              <w:t>个噪声源对同一受声点的声压级叠加：</w:t>
            </w:r>
          </w:p>
          <w:p w14:paraId="59D60281">
            <w:pPr>
              <w:pStyle w:val="51"/>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object>
                <v:shape id="_x0000_i1028" o:spt="75" type="#_x0000_t75" style="height:34.65pt;width:132.45pt;" o:ole="t" filled="f" o:preferrelative="t" stroked="f" coordsize="21600,21600">
                  <v:path/>
                  <v:fill on="f" focussize="0,0"/>
                  <v:stroke on="f" joinstyle="miter"/>
                  <v:imagedata r:id="rId17" o:title=""/>
                  <o:lock v:ext="edit" aspectratio="t"/>
                  <w10:wrap type="none"/>
                  <w10:anchorlock/>
                </v:shape>
                <o:OLEObject Type="Embed" ProgID="Equation.3" ShapeID="_x0000_i1028" DrawAspect="Content" ObjectID="_1468075728" r:id="rId16">
                  <o:LockedField>false</o:LockedField>
                </o:OLEObject>
              </w:object>
            </w:r>
          </w:p>
          <w:p w14:paraId="75793D48">
            <w:pPr>
              <w:pStyle w:val="51"/>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t>式中：</w:t>
            </w:r>
            <w:r>
              <w:rPr>
                <w:rFonts w:hint="default" w:ascii="Times New Roman" w:hAnsi="Times New Roman" w:cs="Times New Roman" w:eastAsiaTheme="minorEastAsia"/>
                <w:color w:val="auto"/>
                <w:szCs w:val="24"/>
              </w:rPr>
              <w:drawing>
                <wp:inline distT="0" distB="0" distL="0" distR="0">
                  <wp:extent cx="224155" cy="241300"/>
                  <wp:effectExtent l="0" t="0" r="4445" b="5080"/>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noChangeArrowheads="1"/>
                          </pic:cNvPicPr>
                        </pic:nvPicPr>
                        <pic:blipFill>
                          <a:blip r:embed="rId18"/>
                          <a:srcRect/>
                          <a:stretch>
                            <a:fillRect/>
                          </a:stretch>
                        </pic:blipFill>
                        <pic:spPr>
                          <a:xfrm>
                            <a:off x="0" y="0"/>
                            <a:ext cx="224155" cy="241300"/>
                          </a:xfrm>
                          <a:prstGeom prst="rect">
                            <a:avLst/>
                          </a:prstGeom>
                          <a:noFill/>
                          <a:ln w="9525">
                            <a:noFill/>
                            <a:miter lim="800000"/>
                            <a:headEnd/>
                            <a:tailEnd/>
                          </a:ln>
                        </pic:spPr>
                      </pic:pic>
                    </a:graphicData>
                  </a:graphic>
                </wp:inline>
              </w:drawing>
            </w:r>
            <w:r>
              <w:rPr>
                <w:rFonts w:hint="default" w:ascii="Times New Roman" w:hAnsi="Times New Roman" w:cs="Times New Roman" w:eastAsiaTheme="minorEastAsia"/>
                <w:color w:val="auto"/>
                <w:szCs w:val="24"/>
              </w:rPr>
              <w:t>——某预测受声点的总声压级，dB（A）；</w:t>
            </w:r>
          </w:p>
          <w:p w14:paraId="4633EAEC">
            <w:pPr>
              <w:pStyle w:val="51"/>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drawing>
                <wp:inline distT="0" distB="0" distL="0" distR="0">
                  <wp:extent cx="267335" cy="198120"/>
                  <wp:effectExtent l="0" t="0" r="0" b="1270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noChangeArrowheads="1"/>
                          </pic:cNvPicPr>
                        </pic:nvPicPr>
                        <pic:blipFill>
                          <a:blip r:embed="rId19"/>
                          <a:srcRect/>
                          <a:stretch>
                            <a:fillRect/>
                          </a:stretch>
                        </pic:blipFill>
                        <pic:spPr>
                          <a:xfrm>
                            <a:off x="0" y="0"/>
                            <a:ext cx="267335" cy="198120"/>
                          </a:xfrm>
                          <a:prstGeom prst="rect">
                            <a:avLst/>
                          </a:prstGeom>
                          <a:noFill/>
                          <a:ln w="9525">
                            <a:noFill/>
                            <a:miter lim="800000"/>
                            <a:headEnd/>
                            <a:tailEnd/>
                          </a:ln>
                        </pic:spPr>
                      </pic:pic>
                    </a:graphicData>
                  </a:graphic>
                </wp:inline>
              </w:drawing>
            </w:r>
            <w:r>
              <w:rPr>
                <w:rFonts w:hint="default" w:ascii="Times New Roman" w:hAnsi="Times New Roman" w:cs="Times New Roman" w:eastAsiaTheme="minorEastAsia"/>
                <w:color w:val="auto"/>
                <w:szCs w:val="24"/>
              </w:rPr>
              <w:t>——某声源在预测受声点产生的声压级，dB（A）；</w:t>
            </w:r>
          </w:p>
          <w:p w14:paraId="3191D0DE">
            <w:pPr>
              <w:pStyle w:val="51"/>
              <w:ind w:firstLine="480"/>
              <w:rPr>
                <w:rFonts w:hint="default" w:ascii="Times New Roman" w:hAnsi="Times New Roman" w:cs="Times New Roman" w:eastAsiaTheme="minorEastAsia"/>
                <w:color w:val="auto"/>
                <w:szCs w:val="24"/>
              </w:rPr>
            </w:pPr>
            <w:r>
              <w:rPr>
                <w:rFonts w:hint="default" w:ascii="Times New Roman" w:hAnsi="Times New Roman" w:cs="Times New Roman" w:eastAsiaTheme="minorEastAsia"/>
                <w:color w:val="auto"/>
                <w:szCs w:val="24"/>
              </w:rPr>
              <w:drawing>
                <wp:inline distT="0" distB="0" distL="0" distR="0">
                  <wp:extent cx="120650" cy="146685"/>
                  <wp:effectExtent l="0" t="0" r="12700" b="508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noChangeArrowheads="1"/>
                          </pic:cNvPicPr>
                        </pic:nvPicPr>
                        <pic:blipFill>
                          <a:blip r:embed="rId15"/>
                          <a:srcRect/>
                          <a:stretch>
                            <a:fillRect/>
                          </a:stretch>
                        </pic:blipFill>
                        <pic:spPr>
                          <a:xfrm>
                            <a:off x="0" y="0"/>
                            <a:ext cx="120650" cy="146685"/>
                          </a:xfrm>
                          <a:prstGeom prst="rect">
                            <a:avLst/>
                          </a:prstGeom>
                          <a:noFill/>
                          <a:ln w="9525">
                            <a:noFill/>
                            <a:miter lim="800000"/>
                            <a:headEnd/>
                            <a:tailEnd/>
                          </a:ln>
                        </pic:spPr>
                      </pic:pic>
                    </a:graphicData>
                  </a:graphic>
                </wp:inline>
              </w:drawing>
            </w:r>
            <w:r>
              <w:rPr>
                <w:rFonts w:hint="default" w:ascii="Times New Roman" w:hAnsi="Times New Roman" w:cs="Times New Roman" w:eastAsiaTheme="minorEastAsia"/>
                <w:color w:val="auto"/>
                <w:szCs w:val="24"/>
              </w:rPr>
              <w:t>—— 声源数量。</w:t>
            </w:r>
          </w:p>
          <w:p w14:paraId="34CC28E1">
            <w:pPr>
              <w:pStyle w:val="51"/>
              <w:ind w:firstLine="480"/>
              <w:rPr>
                <w:rFonts w:hint="default" w:ascii="Times New Roman" w:hAnsi="Times New Roman" w:cs="Times New Roman"/>
                <w:color w:val="auto"/>
              </w:rPr>
            </w:pPr>
            <w:r>
              <w:rPr>
                <w:rFonts w:hint="default" w:ascii="Times New Roman" w:hAnsi="Times New Roman" w:cs="Times New Roman"/>
                <w:color w:val="auto"/>
                <w:szCs w:val="24"/>
              </w:rPr>
              <w:t>②预测结果</w:t>
            </w:r>
          </w:p>
          <w:p w14:paraId="27A59B4D">
            <w:pPr>
              <w:pStyle w:val="51"/>
              <w:ind w:firstLine="480"/>
              <w:rPr>
                <w:rFonts w:hint="default" w:ascii="Times New Roman" w:hAnsi="Times New Roman" w:cs="Times New Roman"/>
                <w:color w:val="auto"/>
              </w:rPr>
            </w:pPr>
            <w:r>
              <w:rPr>
                <w:rFonts w:hint="default" w:ascii="Times New Roman" w:hAnsi="Times New Roman" w:cs="Times New Roman"/>
                <w:color w:val="auto"/>
                <w:szCs w:val="24"/>
              </w:rPr>
              <w:t>根据噪声源强以及点源衰减预测模式，项目噪声预测结果见表4-8。</w:t>
            </w:r>
          </w:p>
          <w:p w14:paraId="2365446F">
            <w:pPr>
              <w:pStyle w:val="52"/>
              <w:rPr>
                <w:rFonts w:hint="default" w:ascii="Times New Roman" w:hAnsi="Times New Roman" w:eastAsia="宋体" w:cs="Times New Roman"/>
                <w:color w:val="auto"/>
                <w:lang w:val="en-US" w:eastAsia="zh-CN"/>
              </w:rPr>
            </w:pPr>
            <w:r>
              <w:rPr>
                <w:rFonts w:hint="default" w:ascii="Times New Roman" w:hAnsi="Times New Roman" w:cs="Times New Roman"/>
                <w:color w:val="auto"/>
              </w:rPr>
              <w:t>表4-8     项目厂界噪声预测结果一览表</w:t>
            </w:r>
            <w:r>
              <w:rPr>
                <w:rFonts w:hint="eastAsia" w:cs="Times New Roman"/>
                <w:color w:val="auto"/>
                <w:lang w:val="en-US" w:eastAsia="zh-CN"/>
              </w:rPr>
              <w:t xml:space="preserve">      单位：</w:t>
            </w:r>
            <w:r>
              <w:rPr>
                <w:color w:val="auto"/>
              </w:rPr>
              <w:t>dB(A)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1049"/>
              <w:gridCol w:w="900"/>
              <w:gridCol w:w="800"/>
              <w:gridCol w:w="875"/>
              <w:gridCol w:w="1226"/>
              <w:gridCol w:w="1419"/>
            </w:tblGrid>
            <w:tr w14:paraId="79AA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exact"/>
                <w:jc w:val="center"/>
              </w:trPr>
              <w:tc>
                <w:tcPr>
                  <w:tcW w:w="1048" w:type="pct"/>
                  <w:noWrap w:val="0"/>
                  <w:vAlign w:val="center"/>
                </w:tcPr>
                <w:p w14:paraId="600D055B">
                  <w:pPr>
                    <w:pStyle w:val="53"/>
                    <w:bidi w:val="0"/>
                    <w:rPr>
                      <w:color w:val="auto"/>
                    </w:rPr>
                  </w:pPr>
                  <w:r>
                    <w:rPr>
                      <w:color w:val="auto"/>
                    </w:rPr>
                    <w:t>预测方位</w:t>
                  </w:r>
                </w:p>
              </w:tc>
              <w:tc>
                <w:tcPr>
                  <w:tcW w:w="661" w:type="pct"/>
                  <w:noWrap w:val="0"/>
                  <w:vAlign w:val="center"/>
                </w:tcPr>
                <w:p w14:paraId="3D22BF07">
                  <w:pPr>
                    <w:pStyle w:val="53"/>
                    <w:bidi w:val="0"/>
                    <w:rPr>
                      <w:color w:val="auto"/>
                    </w:rPr>
                  </w:pPr>
                  <w:r>
                    <w:rPr>
                      <w:color w:val="auto"/>
                    </w:rPr>
                    <w:t>X/m</w:t>
                  </w:r>
                </w:p>
              </w:tc>
              <w:tc>
                <w:tcPr>
                  <w:tcW w:w="567" w:type="pct"/>
                  <w:noWrap w:val="0"/>
                  <w:vAlign w:val="center"/>
                </w:tcPr>
                <w:p w14:paraId="3034D838">
                  <w:pPr>
                    <w:pStyle w:val="53"/>
                    <w:bidi w:val="0"/>
                    <w:rPr>
                      <w:color w:val="auto"/>
                    </w:rPr>
                  </w:pPr>
                  <w:r>
                    <w:rPr>
                      <w:color w:val="auto"/>
                    </w:rPr>
                    <w:t>Y/m</w:t>
                  </w:r>
                </w:p>
              </w:tc>
              <w:tc>
                <w:tcPr>
                  <w:tcW w:w="504" w:type="pct"/>
                  <w:noWrap w:val="0"/>
                  <w:vAlign w:val="center"/>
                </w:tcPr>
                <w:p w14:paraId="13F730CA">
                  <w:pPr>
                    <w:pStyle w:val="53"/>
                    <w:bidi w:val="0"/>
                    <w:rPr>
                      <w:color w:val="auto"/>
                    </w:rPr>
                  </w:pPr>
                  <w:r>
                    <w:rPr>
                      <w:color w:val="auto"/>
                    </w:rPr>
                    <w:t>时段</w:t>
                  </w:r>
                </w:p>
              </w:tc>
              <w:tc>
                <w:tcPr>
                  <w:tcW w:w="551" w:type="pct"/>
                  <w:noWrap w:val="0"/>
                  <w:vAlign w:val="center"/>
                </w:tcPr>
                <w:p w14:paraId="48FE061F">
                  <w:pPr>
                    <w:pStyle w:val="53"/>
                    <w:bidi w:val="0"/>
                    <w:rPr>
                      <w:color w:val="auto"/>
                    </w:rPr>
                  </w:pPr>
                  <w:r>
                    <w:rPr>
                      <w:rFonts w:hint="eastAsia"/>
                      <w:color w:val="auto"/>
                    </w:rPr>
                    <w:t>贡献值</w:t>
                  </w:r>
                </w:p>
              </w:tc>
              <w:tc>
                <w:tcPr>
                  <w:tcW w:w="772" w:type="pct"/>
                  <w:noWrap w:val="0"/>
                  <w:vAlign w:val="center"/>
                </w:tcPr>
                <w:p w14:paraId="3F34003A">
                  <w:pPr>
                    <w:pStyle w:val="53"/>
                    <w:bidi w:val="0"/>
                    <w:rPr>
                      <w:color w:val="auto"/>
                    </w:rPr>
                  </w:pPr>
                  <w:r>
                    <w:rPr>
                      <w:color w:val="auto"/>
                    </w:rPr>
                    <w:t>标准限值</w:t>
                  </w:r>
                </w:p>
              </w:tc>
              <w:tc>
                <w:tcPr>
                  <w:tcW w:w="894" w:type="pct"/>
                  <w:noWrap w:val="0"/>
                  <w:vAlign w:val="center"/>
                </w:tcPr>
                <w:p w14:paraId="208946E6">
                  <w:pPr>
                    <w:pStyle w:val="53"/>
                    <w:bidi w:val="0"/>
                    <w:rPr>
                      <w:color w:val="auto"/>
                    </w:rPr>
                  </w:pPr>
                  <w:r>
                    <w:rPr>
                      <w:color w:val="auto"/>
                    </w:rPr>
                    <w:t>达标情况</w:t>
                  </w:r>
                </w:p>
              </w:tc>
            </w:tr>
            <w:tr w14:paraId="261A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48" w:type="pct"/>
                  <w:shd w:val="clear" w:color="auto" w:fill="FFFFFF"/>
                  <w:noWrap w:val="0"/>
                  <w:vAlign w:val="center"/>
                </w:tcPr>
                <w:p w14:paraId="605810D5">
                  <w:pPr>
                    <w:pStyle w:val="53"/>
                    <w:bidi w:val="0"/>
                    <w:rPr>
                      <w:rFonts w:hint="default"/>
                      <w:color w:val="auto"/>
                      <w:lang w:val="en-US" w:eastAsia="zh-CN"/>
                    </w:rPr>
                  </w:pPr>
                  <w:r>
                    <w:rPr>
                      <w:rFonts w:hint="eastAsia"/>
                      <w:color w:val="auto"/>
                      <w:lang w:val="en-US" w:eastAsia="zh-CN"/>
                    </w:rPr>
                    <w:t>第1边最大值</w:t>
                  </w:r>
                </w:p>
              </w:tc>
              <w:tc>
                <w:tcPr>
                  <w:tcW w:w="661" w:type="pct"/>
                  <w:shd w:val="clear" w:color="auto" w:fill="FFFFFF"/>
                  <w:noWrap w:val="0"/>
                  <w:vAlign w:val="center"/>
                </w:tcPr>
                <w:p w14:paraId="79CA369B">
                  <w:pPr>
                    <w:pStyle w:val="53"/>
                    <w:bidi w:val="0"/>
                    <w:rPr>
                      <w:rFonts w:hint="default"/>
                      <w:color w:val="auto"/>
                      <w:lang w:val="en-US" w:eastAsia="zh-CN"/>
                    </w:rPr>
                  </w:pPr>
                  <w:r>
                    <w:rPr>
                      <w:rFonts w:hint="eastAsia"/>
                      <w:color w:val="auto"/>
                      <w:lang w:val="en-US" w:eastAsia="zh-CN"/>
                    </w:rPr>
                    <w:t>-17.04</w:t>
                  </w:r>
                </w:p>
              </w:tc>
              <w:tc>
                <w:tcPr>
                  <w:tcW w:w="567" w:type="pct"/>
                  <w:shd w:val="clear" w:color="auto" w:fill="FFFFFF"/>
                  <w:noWrap w:val="0"/>
                  <w:vAlign w:val="center"/>
                </w:tcPr>
                <w:p w14:paraId="0DA9F1F9">
                  <w:pPr>
                    <w:pStyle w:val="53"/>
                    <w:bidi w:val="0"/>
                    <w:rPr>
                      <w:rFonts w:hint="default"/>
                      <w:color w:val="auto"/>
                      <w:lang w:val="en-US" w:eastAsia="zh-CN"/>
                    </w:rPr>
                  </w:pPr>
                  <w:r>
                    <w:rPr>
                      <w:rFonts w:hint="eastAsia"/>
                      <w:color w:val="auto"/>
                      <w:lang w:val="en-US" w:eastAsia="zh-CN"/>
                    </w:rPr>
                    <w:t>6.24</w:t>
                  </w:r>
                </w:p>
              </w:tc>
              <w:tc>
                <w:tcPr>
                  <w:tcW w:w="504" w:type="pct"/>
                  <w:shd w:val="clear" w:color="auto" w:fill="FFFFFF"/>
                  <w:noWrap w:val="0"/>
                  <w:vAlign w:val="center"/>
                </w:tcPr>
                <w:p w14:paraId="635CDE8C">
                  <w:pPr>
                    <w:pStyle w:val="53"/>
                    <w:bidi w:val="0"/>
                    <w:rPr>
                      <w:color w:val="auto"/>
                    </w:rPr>
                  </w:pPr>
                  <w:r>
                    <w:rPr>
                      <w:color w:val="auto"/>
                    </w:rPr>
                    <w:t>昼间</w:t>
                  </w:r>
                </w:p>
              </w:tc>
              <w:tc>
                <w:tcPr>
                  <w:tcW w:w="551" w:type="pct"/>
                  <w:shd w:val="clear" w:color="auto" w:fill="FFFFFF"/>
                  <w:noWrap w:val="0"/>
                  <w:vAlign w:val="center"/>
                </w:tcPr>
                <w:p w14:paraId="390335BE">
                  <w:pPr>
                    <w:pStyle w:val="53"/>
                    <w:bidi w:val="0"/>
                    <w:rPr>
                      <w:rFonts w:hint="default"/>
                      <w:color w:val="auto"/>
                      <w:lang w:val="en-US" w:eastAsia="zh-CN"/>
                    </w:rPr>
                  </w:pPr>
                  <w:r>
                    <w:rPr>
                      <w:rFonts w:hint="eastAsia"/>
                      <w:color w:val="auto"/>
                      <w:lang w:val="en-US" w:eastAsia="zh-CN"/>
                    </w:rPr>
                    <w:t>53.73</w:t>
                  </w:r>
                </w:p>
              </w:tc>
              <w:tc>
                <w:tcPr>
                  <w:tcW w:w="772" w:type="pct"/>
                  <w:shd w:val="clear" w:color="auto" w:fill="FFFFFF"/>
                  <w:noWrap w:val="0"/>
                  <w:vAlign w:val="center"/>
                </w:tcPr>
                <w:p w14:paraId="6BD329C7">
                  <w:pPr>
                    <w:pStyle w:val="53"/>
                    <w:bidi w:val="0"/>
                    <w:rPr>
                      <w:rFonts w:hint="default"/>
                      <w:color w:val="auto"/>
                      <w:lang w:val="en-US" w:eastAsia="zh-CN"/>
                    </w:rPr>
                  </w:pPr>
                  <w:r>
                    <w:rPr>
                      <w:rFonts w:hint="eastAsia"/>
                      <w:color w:val="auto"/>
                      <w:lang w:val="en-US" w:eastAsia="zh-CN"/>
                    </w:rPr>
                    <w:t>60</w:t>
                  </w:r>
                </w:p>
              </w:tc>
              <w:tc>
                <w:tcPr>
                  <w:tcW w:w="894" w:type="pct"/>
                  <w:shd w:val="clear" w:color="auto" w:fill="FFFFFF"/>
                  <w:noWrap w:val="0"/>
                  <w:vAlign w:val="center"/>
                </w:tcPr>
                <w:p w14:paraId="41B69A00">
                  <w:pPr>
                    <w:pStyle w:val="53"/>
                    <w:bidi w:val="0"/>
                    <w:rPr>
                      <w:color w:val="auto"/>
                    </w:rPr>
                  </w:pPr>
                  <w:r>
                    <w:rPr>
                      <w:color w:val="auto"/>
                    </w:rPr>
                    <w:t>达标</w:t>
                  </w:r>
                </w:p>
              </w:tc>
            </w:tr>
            <w:tr w14:paraId="4490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1048" w:type="pct"/>
                  <w:shd w:val="clear" w:color="auto" w:fill="FFFFFF"/>
                  <w:noWrap w:val="0"/>
                  <w:vAlign w:val="center"/>
                </w:tcPr>
                <w:p w14:paraId="427D3B94">
                  <w:pPr>
                    <w:pStyle w:val="53"/>
                    <w:bidi w:val="0"/>
                    <w:rPr>
                      <w:color w:val="auto"/>
                    </w:rPr>
                  </w:pPr>
                  <w:r>
                    <w:rPr>
                      <w:rFonts w:hint="eastAsia"/>
                      <w:color w:val="auto"/>
                      <w:lang w:val="en-US" w:eastAsia="zh-CN"/>
                    </w:rPr>
                    <w:t>第2边最大值</w:t>
                  </w:r>
                </w:p>
              </w:tc>
              <w:tc>
                <w:tcPr>
                  <w:tcW w:w="661" w:type="pct"/>
                  <w:shd w:val="clear" w:color="auto" w:fill="FFFFFF"/>
                  <w:noWrap w:val="0"/>
                  <w:vAlign w:val="center"/>
                </w:tcPr>
                <w:p w14:paraId="0F8ED054">
                  <w:pPr>
                    <w:pStyle w:val="53"/>
                    <w:bidi w:val="0"/>
                    <w:rPr>
                      <w:rFonts w:hint="default"/>
                      <w:color w:val="auto"/>
                      <w:lang w:val="en-US" w:eastAsia="zh-CN"/>
                    </w:rPr>
                  </w:pPr>
                  <w:r>
                    <w:rPr>
                      <w:rFonts w:hint="eastAsia"/>
                      <w:color w:val="auto"/>
                      <w:lang w:val="en-US" w:eastAsia="zh-CN"/>
                    </w:rPr>
                    <w:t>17.31</w:t>
                  </w:r>
                </w:p>
              </w:tc>
              <w:tc>
                <w:tcPr>
                  <w:tcW w:w="567" w:type="pct"/>
                  <w:shd w:val="clear" w:color="auto" w:fill="FFFFFF"/>
                  <w:noWrap w:val="0"/>
                  <w:vAlign w:val="center"/>
                </w:tcPr>
                <w:p w14:paraId="4FC96736">
                  <w:pPr>
                    <w:pStyle w:val="53"/>
                    <w:bidi w:val="0"/>
                    <w:rPr>
                      <w:rFonts w:hint="default"/>
                      <w:color w:val="auto"/>
                      <w:lang w:val="en-US" w:eastAsia="zh-CN"/>
                    </w:rPr>
                  </w:pPr>
                  <w:r>
                    <w:rPr>
                      <w:rFonts w:hint="eastAsia"/>
                      <w:color w:val="auto"/>
                      <w:lang w:val="en-US" w:eastAsia="zh-CN"/>
                    </w:rPr>
                    <w:t>-0.27</w:t>
                  </w:r>
                </w:p>
              </w:tc>
              <w:tc>
                <w:tcPr>
                  <w:tcW w:w="504" w:type="pct"/>
                  <w:shd w:val="clear" w:color="auto" w:fill="FFFFFF"/>
                  <w:noWrap w:val="0"/>
                  <w:vAlign w:val="center"/>
                </w:tcPr>
                <w:p w14:paraId="72516F45">
                  <w:pPr>
                    <w:pStyle w:val="53"/>
                    <w:bidi w:val="0"/>
                    <w:rPr>
                      <w:color w:val="auto"/>
                    </w:rPr>
                  </w:pPr>
                  <w:r>
                    <w:rPr>
                      <w:color w:val="auto"/>
                    </w:rPr>
                    <w:t>昼间</w:t>
                  </w:r>
                </w:p>
              </w:tc>
              <w:tc>
                <w:tcPr>
                  <w:tcW w:w="551" w:type="pct"/>
                  <w:shd w:val="clear" w:color="auto" w:fill="FFFFFF"/>
                  <w:noWrap w:val="0"/>
                  <w:vAlign w:val="center"/>
                </w:tcPr>
                <w:p w14:paraId="23B3B565">
                  <w:pPr>
                    <w:pStyle w:val="53"/>
                    <w:bidi w:val="0"/>
                    <w:rPr>
                      <w:rFonts w:hint="default"/>
                      <w:color w:val="auto"/>
                      <w:lang w:val="en-US" w:eastAsia="zh-CN"/>
                    </w:rPr>
                  </w:pPr>
                  <w:r>
                    <w:rPr>
                      <w:rFonts w:hint="eastAsia"/>
                      <w:color w:val="auto"/>
                      <w:lang w:val="en-US" w:eastAsia="zh-CN"/>
                    </w:rPr>
                    <w:t>55.19</w:t>
                  </w:r>
                </w:p>
              </w:tc>
              <w:tc>
                <w:tcPr>
                  <w:tcW w:w="772" w:type="pct"/>
                  <w:shd w:val="clear" w:color="auto" w:fill="FFFFFF"/>
                  <w:noWrap w:val="0"/>
                  <w:vAlign w:val="center"/>
                </w:tcPr>
                <w:p w14:paraId="24E97864">
                  <w:pPr>
                    <w:pStyle w:val="53"/>
                    <w:bidi w:val="0"/>
                    <w:rPr>
                      <w:rFonts w:hint="default"/>
                      <w:color w:val="auto"/>
                      <w:lang w:val="en-US" w:eastAsia="zh-CN"/>
                    </w:rPr>
                  </w:pPr>
                  <w:r>
                    <w:rPr>
                      <w:rFonts w:hint="eastAsia"/>
                      <w:color w:val="auto"/>
                      <w:lang w:val="en-US" w:eastAsia="zh-CN"/>
                    </w:rPr>
                    <w:t>60</w:t>
                  </w:r>
                </w:p>
              </w:tc>
              <w:tc>
                <w:tcPr>
                  <w:tcW w:w="894" w:type="pct"/>
                  <w:shd w:val="clear" w:color="auto" w:fill="FFFFFF"/>
                  <w:noWrap w:val="0"/>
                  <w:vAlign w:val="center"/>
                </w:tcPr>
                <w:p w14:paraId="5A80ADEC">
                  <w:pPr>
                    <w:pStyle w:val="53"/>
                    <w:bidi w:val="0"/>
                    <w:rPr>
                      <w:color w:val="auto"/>
                    </w:rPr>
                  </w:pPr>
                  <w:r>
                    <w:rPr>
                      <w:color w:val="auto"/>
                    </w:rPr>
                    <w:t>达标</w:t>
                  </w:r>
                </w:p>
              </w:tc>
            </w:tr>
            <w:tr w14:paraId="42E8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48" w:type="pct"/>
                  <w:shd w:val="clear" w:color="auto" w:fill="FFFFFF"/>
                  <w:noWrap w:val="0"/>
                  <w:vAlign w:val="center"/>
                </w:tcPr>
                <w:p w14:paraId="1D400F02">
                  <w:pPr>
                    <w:pStyle w:val="53"/>
                    <w:bidi w:val="0"/>
                    <w:rPr>
                      <w:color w:val="auto"/>
                    </w:rPr>
                  </w:pPr>
                  <w:r>
                    <w:rPr>
                      <w:rFonts w:hint="eastAsia"/>
                      <w:color w:val="auto"/>
                      <w:lang w:val="en-US" w:eastAsia="zh-CN"/>
                    </w:rPr>
                    <w:t>第3边最大值</w:t>
                  </w:r>
                </w:p>
              </w:tc>
              <w:tc>
                <w:tcPr>
                  <w:tcW w:w="661" w:type="pct"/>
                  <w:shd w:val="clear" w:color="auto" w:fill="FFFFFF"/>
                  <w:noWrap w:val="0"/>
                  <w:vAlign w:val="center"/>
                </w:tcPr>
                <w:p w14:paraId="15105EF0">
                  <w:pPr>
                    <w:pStyle w:val="53"/>
                    <w:bidi w:val="0"/>
                    <w:rPr>
                      <w:rFonts w:hint="default"/>
                      <w:color w:val="auto"/>
                      <w:lang w:val="en-US" w:eastAsia="zh-CN"/>
                    </w:rPr>
                  </w:pPr>
                  <w:r>
                    <w:rPr>
                      <w:rFonts w:hint="eastAsia"/>
                      <w:color w:val="auto"/>
                      <w:lang w:val="en-US" w:eastAsia="zh-CN"/>
                    </w:rPr>
                    <w:t>7.66</w:t>
                  </w:r>
                </w:p>
              </w:tc>
              <w:tc>
                <w:tcPr>
                  <w:tcW w:w="567" w:type="pct"/>
                  <w:shd w:val="clear" w:color="auto" w:fill="FFFFFF"/>
                  <w:noWrap w:val="0"/>
                  <w:vAlign w:val="center"/>
                </w:tcPr>
                <w:p w14:paraId="0F2F67C3">
                  <w:pPr>
                    <w:pStyle w:val="53"/>
                    <w:bidi w:val="0"/>
                    <w:rPr>
                      <w:rFonts w:hint="default"/>
                      <w:color w:val="auto"/>
                      <w:lang w:val="en-US" w:eastAsia="zh-CN"/>
                    </w:rPr>
                  </w:pPr>
                  <w:r>
                    <w:rPr>
                      <w:rFonts w:hint="eastAsia"/>
                      <w:color w:val="auto"/>
                      <w:lang w:val="en-US" w:eastAsia="zh-CN"/>
                    </w:rPr>
                    <w:t>-18.52</w:t>
                  </w:r>
                </w:p>
              </w:tc>
              <w:tc>
                <w:tcPr>
                  <w:tcW w:w="504" w:type="pct"/>
                  <w:shd w:val="clear" w:color="auto" w:fill="FFFFFF"/>
                  <w:noWrap w:val="0"/>
                  <w:vAlign w:val="center"/>
                </w:tcPr>
                <w:p w14:paraId="37400B34">
                  <w:pPr>
                    <w:pStyle w:val="53"/>
                    <w:bidi w:val="0"/>
                    <w:rPr>
                      <w:color w:val="auto"/>
                    </w:rPr>
                  </w:pPr>
                  <w:r>
                    <w:rPr>
                      <w:color w:val="auto"/>
                    </w:rPr>
                    <w:t>昼间</w:t>
                  </w:r>
                </w:p>
              </w:tc>
              <w:tc>
                <w:tcPr>
                  <w:tcW w:w="551" w:type="pct"/>
                  <w:shd w:val="clear" w:color="auto" w:fill="FFFFFF"/>
                  <w:noWrap w:val="0"/>
                  <w:vAlign w:val="center"/>
                </w:tcPr>
                <w:p w14:paraId="30947046">
                  <w:pPr>
                    <w:pStyle w:val="53"/>
                    <w:bidi w:val="0"/>
                    <w:rPr>
                      <w:rFonts w:hint="default"/>
                      <w:color w:val="auto"/>
                      <w:lang w:val="en-US" w:eastAsia="zh-CN"/>
                    </w:rPr>
                  </w:pPr>
                  <w:r>
                    <w:rPr>
                      <w:rFonts w:hint="eastAsia"/>
                      <w:color w:val="auto"/>
                      <w:lang w:val="en-US" w:eastAsia="zh-CN"/>
                    </w:rPr>
                    <w:t>53.54</w:t>
                  </w:r>
                </w:p>
              </w:tc>
              <w:tc>
                <w:tcPr>
                  <w:tcW w:w="772" w:type="pct"/>
                  <w:shd w:val="clear" w:color="auto" w:fill="FFFFFF"/>
                  <w:noWrap w:val="0"/>
                  <w:vAlign w:val="center"/>
                </w:tcPr>
                <w:p w14:paraId="5DF11EB9">
                  <w:pPr>
                    <w:pStyle w:val="53"/>
                    <w:bidi w:val="0"/>
                    <w:rPr>
                      <w:rFonts w:hint="default"/>
                      <w:color w:val="auto"/>
                      <w:lang w:val="en-US" w:eastAsia="zh-CN"/>
                    </w:rPr>
                  </w:pPr>
                  <w:r>
                    <w:rPr>
                      <w:rFonts w:hint="eastAsia"/>
                      <w:color w:val="auto"/>
                      <w:lang w:val="en-US" w:eastAsia="zh-CN"/>
                    </w:rPr>
                    <w:t>60</w:t>
                  </w:r>
                </w:p>
              </w:tc>
              <w:tc>
                <w:tcPr>
                  <w:tcW w:w="894" w:type="pct"/>
                  <w:shd w:val="clear" w:color="auto" w:fill="FFFFFF"/>
                  <w:noWrap w:val="0"/>
                  <w:vAlign w:val="center"/>
                </w:tcPr>
                <w:p w14:paraId="388189FF">
                  <w:pPr>
                    <w:pStyle w:val="53"/>
                    <w:bidi w:val="0"/>
                    <w:rPr>
                      <w:color w:val="auto"/>
                    </w:rPr>
                  </w:pPr>
                  <w:r>
                    <w:rPr>
                      <w:color w:val="auto"/>
                    </w:rPr>
                    <w:t>达标</w:t>
                  </w:r>
                </w:p>
              </w:tc>
            </w:tr>
            <w:tr w14:paraId="47AF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048" w:type="pct"/>
                  <w:shd w:val="clear" w:color="auto" w:fill="FFFFFF"/>
                  <w:noWrap w:val="0"/>
                  <w:vAlign w:val="center"/>
                </w:tcPr>
                <w:p w14:paraId="0D56F5E7">
                  <w:pPr>
                    <w:pStyle w:val="53"/>
                    <w:bidi w:val="0"/>
                    <w:rPr>
                      <w:color w:val="auto"/>
                    </w:rPr>
                  </w:pPr>
                  <w:r>
                    <w:rPr>
                      <w:rFonts w:hint="eastAsia"/>
                      <w:color w:val="auto"/>
                      <w:lang w:val="en-US" w:eastAsia="zh-CN"/>
                    </w:rPr>
                    <w:t>第4边最大值</w:t>
                  </w:r>
                </w:p>
              </w:tc>
              <w:tc>
                <w:tcPr>
                  <w:tcW w:w="661" w:type="pct"/>
                  <w:shd w:val="clear" w:color="auto" w:fill="FFFFFF"/>
                  <w:noWrap w:val="0"/>
                  <w:vAlign w:val="center"/>
                </w:tcPr>
                <w:p w14:paraId="58478909">
                  <w:pPr>
                    <w:pStyle w:val="53"/>
                    <w:bidi w:val="0"/>
                    <w:rPr>
                      <w:rFonts w:hint="default"/>
                      <w:color w:val="auto"/>
                      <w:lang w:val="en-US" w:eastAsia="zh-CN"/>
                    </w:rPr>
                  </w:pPr>
                  <w:r>
                    <w:rPr>
                      <w:rFonts w:hint="eastAsia"/>
                      <w:color w:val="auto"/>
                      <w:lang w:val="en-US" w:eastAsia="zh-CN"/>
                    </w:rPr>
                    <w:t>-20.34</w:t>
                  </w:r>
                </w:p>
              </w:tc>
              <w:tc>
                <w:tcPr>
                  <w:tcW w:w="567" w:type="pct"/>
                  <w:shd w:val="clear" w:color="auto" w:fill="FFFFFF"/>
                  <w:noWrap w:val="0"/>
                  <w:vAlign w:val="center"/>
                </w:tcPr>
                <w:p w14:paraId="67A6165C">
                  <w:pPr>
                    <w:pStyle w:val="53"/>
                    <w:bidi w:val="0"/>
                    <w:rPr>
                      <w:rFonts w:hint="default"/>
                      <w:color w:val="auto"/>
                      <w:lang w:val="en-US" w:eastAsia="zh-CN"/>
                    </w:rPr>
                  </w:pPr>
                  <w:r>
                    <w:rPr>
                      <w:rFonts w:hint="eastAsia"/>
                      <w:color w:val="auto"/>
                      <w:lang w:val="en-US" w:eastAsia="zh-CN"/>
                    </w:rPr>
                    <w:t>-4.18</w:t>
                  </w:r>
                </w:p>
              </w:tc>
              <w:tc>
                <w:tcPr>
                  <w:tcW w:w="504" w:type="pct"/>
                  <w:shd w:val="clear" w:color="auto" w:fill="FFFFFF"/>
                  <w:noWrap w:val="0"/>
                  <w:vAlign w:val="center"/>
                </w:tcPr>
                <w:p w14:paraId="146A7C86">
                  <w:pPr>
                    <w:pStyle w:val="53"/>
                    <w:bidi w:val="0"/>
                    <w:rPr>
                      <w:color w:val="auto"/>
                    </w:rPr>
                  </w:pPr>
                  <w:r>
                    <w:rPr>
                      <w:color w:val="auto"/>
                    </w:rPr>
                    <w:t>昼间</w:t>
                  </w:r>
                </w:p>
              </w:tc>
              <w:tc>
                <w:tcPr>
                  <w:tcW w:w="551" w:type="pct"/>
                  <w:shd w:val="clear" w:color="auto" w:fill="FFFFFF"/>
                  <w:noWrap w:val="0"/>
                  <w:vAlign w:val="center"/>
                </w:tcPr>
                <w:p w14:paraId="7E9C1314">
                  <w:pPr>
                    <w:pStyle w:val="53"/>
                    <w:bidi w:val="0"/>
                    <w:rPr>
                      <w:rFonts w:hint="default"/>
                      <w:color w:val="auto"/>
                      <w:lang w:val="en-US" w:eastAsia="zh-CN"/>
                    </w:rPr>
                  </w:pPr>
                  <w:r>
                    <w:rPr>
                      <w:rFonts w:hint="eastAsia"/>
                      <w:color w:val="auto"/>
                      <w:lang w:val="en-US" w:eastAsia="zh-CN"/>
                    </w:rPr>
                    <w:t>55.66</w:t>
                  </w:r>
                </w:p>
              </w:tc>
              <w:tc>
                <w:tcPr>
                  <w:tcW w:w="772" w:type="pct"/>
                  <w:shd w:val="clear" w:color="auto" w:fill="FFFFFF"/>
                  <w:noWrap w:val="0"/>
                  <w:vAlign w:val="center"/>
                </w:tcPr>
                <w:p w14:paraId="4CE4B0D5">
                  <w:pPr>
                    <w:pStyle w:val="53"/>
                    <w:bidi w:val="0"/>
                    <w:rPr>
                      <w:rFonts w:hint="default"/>
                      <w:color w:val="auto"/>
                      <w:lang w:val="en-US" w:eastAsia="zh-CN"/>
                    </w:rPr>
                  </w:pPr>
                  <w:r>
                    <w:rPr>
                      <w:rFonts w:hint="eastAsia"/>
                      <w:color w:val="auto"/>
                      <w:lang w:val="en-US" w:eastAsia="zh-CN"/>
                    </w:rPr>
                    <w:t>60</w:t>
                  </w:r>
                </w:p>
              </w:tc>
              <w:tc>
                <w:tcPr>
                  <w:tcW w:w="894" w:type="pct"/>
                  <w:shd w:val="clear" w:color="auto" w:fill="FFFFFF"/>
                  <w:noWrap w:val="0"/>
                  <w:vAlign w:val="center"/>
                </w:tcPr>
                <w:p w14:paraId="59D21C72">
                  <w:pPr>
                    <w:pStyle w:val="53"/>
                    <w:bidi w:val="0"/>
                    <w:rPr>
                      <w:color w:val="auto"/>
                    </w:rPr>
                  </w:pPr>
                  <w:r>
                    <w:rPr>
                      <w:color w:val="auto"/>
                    </w:rPr>
                    <w:t>达标</w:t>
                  </w:r>
                </w:p>
              </w:tc>
            </w:tr>
          </w:tbl>
          <w:p w14:paraId="771C7675">
            <w:pPr>
              <w:pStyle w:val="51"/>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color w:val="auto"/>
              </w:rPr>
            </w:pPr>
            <w:r>
              <w:rPr>
                <w:color w:val="auto"/>
              </w:rPr>
              <w:drawing>
                <wp:inline distT="0" distB="0" distL="114300" distR="114300">
                  <wp:extent cx="5039995" cy="3806825"/>
                  <wp:effectExtent l="0" t="0" r="8255" b="317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20"/>
                          <a:stretch>
                            <a:fillRect/>
                          </a:stretch>
                        </pic:blipFill>
                        <pic:spPr>
                          <a:xfrm>
                            <a:off x="0" y="0"/>
                            <a:ext cx="5039995" cy="3806825"/>
                          </a:xfrm>
                          <a:prstGeom prst="rect">
                            <a:avLst/>
                          </a:prstGeom>
                          <a:noFill/>
                          <a:ln>
                            <a:noFill/>
                          </a:ln>
                        </pic:spPr>
                      </pic:pic>
                    </a:graphicData>
                  </a:graphic>
                </wp:inline>
              </w:drawing>
            </w:r>
          </w:p>
          <w:p w14:paraId="27D6BFF3">
            <w:pPr>
              <w:pStyle w:val="52"/>
              <w:bidi w:val="0"/>
              <w:rPr>
                <w:rFonts w:hint="default" w:eastAsia="宋体"/>
                <w:color w:val="auto"/>
                <w:lang w:val="en-US" w:eastAsia="zh-CN"/>
              </w:rPr>
            </w:pPr>
            <w:r>
              <w:rPr>
                <w:rFonts w:hint="eastAsia"/>
                <w:color w:val="auto"/>
                <w:lang w:val="en-US" w:eastAsia="zh-CN"/>
              </w:rPr>
              <w:t>图4-1     等声值线图</w:t>
            </w:r>
          </w:p>
          <w:p w14:paraId="65A4A4EE">
            <w:pPr>
              <w:pStyle w:val="51"/>
              <w:bidi w:val="0"/>
              <w:rPr>
                <w:rFonts w:hint="default"/>
                <w:color w:val="auto"/>
              </w:rPr>
            </w:pPr>
            <w:r>
              <w:rPr>
                <w:rFonts w:hint="default"/>
                <w:color w:val="auto"/>
              </w:rPr>
              <w:t>根据表4-8预测结果可知，经隔声消声、减振等降噪措施及距离衰减后，项目各厂界噪声昼间均能</w:t>
            </w:r>
            <w:r>
              <w:rPr>
                <w:rFonts w:hint="eastAsia"/>
                <w:color w:val="auto"/>
                <w:lang w:eastAsia="zh-CN"/>
              </w:rPr>
              <w:t>达到</w:t>
            </w:r>
            <w:r>
              <w:rPr>
                <w:rFonts w:hint="default"/>
                <w:color w:val="auto"/>
              </w:rPr>
              <w:t>《工业企业厂界环境噪声排放标准》（GB 12348-2008）2类标准</w:t>
            </w:r>
            <w:r>
              <w:rPr>
                <w:rFonts w:hint="eastAsia"/>
                <w:color w:val="auto"/>
                <w:lang w:eastAsia="zh-CN"/>
              </w:rPr>
              <w:t>，</w:t>
            </w:r>
            <w:r>
              <w:rPr>
                <w:rFonts w:hint="default"/>
                <w:color w:val="auto"/>
              </w:rPr>
              <w:t>即满足昼间60dB</w:t>
            </w:r>
            <w:r>
              <w:rPr>
                <w:rFonts w:hint="eastAsia"/>
                <w:color w:val="auto"/>
                <w:lang w:eastAsia="zh-CN"/>
              </w:rPr>
              <w:t>（</w:t>
            </w:r>
            <w:r>
              <w:rPr>
                <w:rFonts w:hint="default"/>
                <w:color w:val="auto"/>
              </w:rPr>
              <w:t>A</w:t>
            </w:r>
            <w:r>
              <w:rPr>
                <w:rFonts w:hint="eastAsia"/>
                <w:color w:val="auto"/>
                <w:lang w:eastAsia="zh-CN"/>
              </w:rPr>
              <w:t>）</w:t>
            </w:r>
            <w:r>
              <w:rPr>
                <w:rFonts w:hint="default"/>
                <w:color w:val="auto"/>
              </w:rPr>
              <w:t>的要求</w:t>
            </w:r>
            <w:r>
              <w:rPr>
                <w:rFonts w:hint="eastAsia"/>
                <w:color w:val="auto"/>
                <w:lang w:eastAsia="zh-CN"/>
              </w:rPr>
              <w:t>，</w:t>
            </w:r>
            <w:r>
              <w:rPr>
                <w:rFonts w:hint="eastAsia"/>
                <w:color w:val="auto"/>
                <w:lang w:val="en-US" w:eastAsia="zh-CN"/>
              </w:rPr>
              <w:t>夜间不生产</w:t>
            </w:r>
            <w:r>
              <w:rPr>
                <w:rFonts w:hint="default"/>
                <w:color w:val="auto"/>
              </w:rPr>
              <w:t>；因此，项目采取</w:t>
            </w:r>
            <w:r>
              <w:rPr>
                <w:rFonts w:hint="eastAsia"/>
                <w:color w:val="auto"/>
                <w:lang w:val="en-US" w:eastAsia="zh-CN"/>
              </w:rPr>
              <w:t>噪声</w:t>
            </w:r>
            <w:r>
              <w:rPr>
                <w:rFonts w:hint="default"/>
                <w:color w:val="auto"/>
              </w:rPr>
              <w:t>防治措施可行。项目厂界外50m范围内声环境保护目标</w:t>
            </w:r>
            <w:r>
              <w:rPr>
                <w:rFonts w:hint="eastAsia"/>
                <w:color w:val="auto"/>
                <w:lang w:val="en-US" w:eastAsia="zh-CN"/>
              </w:rPr>
              <w:t>为西侧30m处散户，噪声贡献值39.9</w:t>
            </w:r>
            <w:r>
              <w:rPr>
                <w:rFonts w:hint="default"/>
                <w:color w:val="auto"/>
              </w:rPr>
              <w:t>dB(A)</w:t>
            </w:r>
            <w:r>
              <w:rPr>
                <w:rFonts w:hint="eastAsia"/>
                <w:color w:val="auto"/>
                <w:lang w:eastAsia="zh-CN"/>
              </w:rPr>
              <w:t>、</w:t>
            </w:r>
            <w:r>
              <w:rPr>
                <w:rFonts w:hint="eastAsia"/>
                <w:color w:val="auto"/>
                <w:lang w:val="en-US" w:eastAsia="zh-CN"/>
              </w:rPr>
              <w:t>现状检测结果为52</w:t>
            </w:r>
            <w:r>
              <w:rPr>
                <w:rFonts w:hint="default"/>
                <w:color w:val="auto"/>
              </w:rPr>
              <w:t>dB(A)</w:t>
            </w:r>
            <w:r>
              <w:rPr>
                <w:rFonts w:hint="eastAsia"/>
                <w:color w:val="auto"/>
                <w:lang w:eastAsia="zh-CN"/>
              </w:rPr>
              <w:t>，</w:t>
            </w:r>
            <w:r>
              <w:rPr>
                <w:rFonts w:hint="eastAsia"/>
                <w:color w:val="auto"/>
                <w:lang w:val="en-US" w:eastAsia="zh-CN"/>
              </w:rPr>
              <w:t>叠加值为52.26</w:t>
            </w:r>
            <w:r>
              <w:rPr>
                <w:rFonts w:hint="default"/>
                <w:color w:val="auto"/>
              </w:rPr>
              <w:t>dB(A)</w:t>
            </w:r>
            <w:r>
              <w:rPr>
                <w:rFonts w:hint="eastAsia"/>
                <w:color w:val="auto"/>
                <w:lang w:eastAsia="zh-CN"/>
              </w:rPr>
              <w:t>，</w:t>
            </w:r>
            <w:r>
              <w:rPr>
                <w:rFonts w:hint="default"/>
                <w:color w:val="auto"/>
              </w:rPr>
              <w:t>能达《工业企业厂界环境噪声排放标准》（GB 12348-2008）2类标准；项目排放噪声对周边声环境影响较小。</w:t>
            </w:r>
          </w:p>
          <w:p w14:paraId="4C1AD9CA">
            <w:pPr>
              <w:pStyle w:val="51"/>
              <w:ind w:firstLine="482"/>
              <w:rPr>
                <w:rFonts w:hint="default" w:ascii="Times New Roman" w:hAnsi="Times New Roman" w:cs="Times New Roman"/>
                <w:b/>
                <w:color w:val="auto"/>
              </w:rPr>
            </w:pPr>
            <w:r>
              <w:rPr>
                <w:rFonts w:hint="default" w:ascii="Times New Roman" w:hAnsi="Times New Roman" w:cs="Times New Roman"/>
                <w:b/>
                <w:color w:val="auto"/>
              </w:rPr>
              <w:t>3、噪声控制措施</w:t>
            </w:r>
          </w:p>
          <w:p w14:paraId="769FFEF1">
            <w:pPr>
              <w:pStyle w:val="51"/>
              <w:bidi w:val="0"/>
              <w:rPr>
                <w:rFonts w:hint="default"/>
                <w:color w:val="auto"/>
              </w:rPr>
            </w:pPr>
            <w:r>
              <w:rPr>
                <w:rFonts w:hint="default"/>
                <w:color w:val="auto"/>
              </w:rPr>
              <w:t>为确保项目运营期厂界噪声达标排放，建设单位采用以下措施：</w:t>
            </w:r>
          </w:p>
          <w:p w14:paraId="3A7DB504">
            <w:pPr>
              <w:pStyle w:val="51"/>
              <w:bidi w:val="0"/>
              <w:rPr>
                <w:rFonts w:hint="default"/>
                <w:color w:val="auto"/>
              </w:rPr>
            </w:pPr>
            <w:r>
              <w:rPr>
                <w:rFonts w:hint="default"/>
                <w:color w:val="auto"/>
              </w:rPr>
              <w:t>①对于</w:t>
            </w:r>
            <w:r>
              <w:rPr>
                <w:rFonts w:hint="eastAsia"/>
                <w:color w:val="auto"/>
                <w:lang w:val="en-US" w:eastAsia="zh-CN"/>
              </w:rPr>
              <w:t>产噪较大的</w:t>
            </w:r>
            <w:r>
              <w:rPr>
                <w:rFonts w:hint="eastAsia"/>
                <w:color w:val="auto"/>
                <w:lang w:eastAsia="zh-CN"/>
              </w:rPr>
              <w:t>设备需要</w:t>
            </w:r>
            <w:r>
              <w:rPr>
                <w:rFonts w:hint="default"/>
                <w:color w:val="auto"/>
              </w:rPr>
              <w:t>采取相应的</w:t>
            </w:r>
            <w:r>
              <w:rPr>
                <w:rFonts w:hint="eastAsia"/>
                <w:color w:val="auto"/>
                <w:lang w:val="en-US" w:eastAsia="zh-CN"/>
              </w:rPr>
              <w:t>隔声</w:t>
            </w:r>
            <w:r>
              <w:rPr>
                <w:rFonts w:hint="default"/>
                <w:color w:val="auto"/>
              </w:rPr>
              <w:t>和减振处理，具体的措施为：安装在符合隔振设计要求的混凝土基座上，使其垂直振动衰减很快，沿地面传播振动范围很小，对周围地面环境的影响可以不予考虑；</w:t>
            </w:r>
          </w:p>
          <w:p w14:paraId="0741AF95">
            <w:pPr>
              <w:pStyle w:val="51"/>
              <w:bidi w:val="0"/>
              <w:rPr>
                <w:rFonts w:hint="default"/>
                <w:color w:val="auto"/>
              </w:rPr>
            </w:pPr>
            <w:r>
              <w:rPr>
                <w:rFonts w:hint="default"/>
                <w:color w:val="auto"/>
              </w:rPr>
              <w:t>②设备定期维护、保养，保持设备处于良好运行状态；</w:t>
            </w:r>
          </w:p>
          <w:p w14:paraId="2F0DB8AE">
            <w:pPr>
              <w:pStyle w:val="51"/>
              <w:bidi w:val="0"/>
              <w:rPr>
                <w:rFonts w:hint="default"/>
                <w:color w:val="auto"/>
              </w:rPr>
            </w:pPr>
            <w:r>
              <w:rPr>
                <w:rFonts w:hint="default"/>
                <w:color w:val="auto"/>
              </w:rPr>
              <w:t>③车辆进出，禁鸣喇叭，往来人群，禁止大声喧哗，并加强经营管理；</w:t>
            </w:r>
          </w:p>
          <w:p w14:paraId="2AFB6982">
            <w:pPr>
              <w:pStyle w:val="51"/>
              <w:bidi w:val="0"/>
              <w:rPr>
                <w:rFonts w:hint="default"/>
                <w:color w:val="auto"/>
              </w:rPr>
            </w:pPr>
            <w:r>
              <w:rPr>
                <w:rFonts w:hint="default"/>
                <w:color w:val="auto"/>
              </w:rPr>
              <w:t>④厂房内合理布局，尽量不将高噪声设备放置在一起，相互间距离越远越好。生产时，尽量不同时开启多台高噪声设备，相互间错时开工，避免高噪声设备的噪声叠加；</w:t>
            </w:r>
          </w:p>
          <w:p w14:paraId="05C91428">
            <w:pPr>
              <w:pStyle w:val="51"/>
              <w:bidi w:val="0"/>
              <w:rPr>
                <w:rFonts w:hint="default"/>
                <w:color w:val="auto"/>
              </w:rPr>
            </w:pPr>
            <w:r>
              <w:rPr>
                <w:rFonts w:hint="default"/>
                <w:color w:val="auto"/>
              </w:rPr>
              <w:t>⑤车间个别工作岗位应按照劳动保护的有关要求进行个人防护，如佩戴耳塞、耳罩等防噪声用品。</w:t>
            </w:r>
          </w:p>
          <w:p w14:paraId="07B2CAB1">
            <w:pPr>
              <w:pStyle w:val="51"/>
              <w:bidi w:val="0"/>
              <w:rPr>
                <w:rFonts w:hint="default"/>
                <w:color w:val="auto"/>
              </w:rPr>
            </w:pPr>
            <w:r>
              <w:rPr>
                <w:rFonts w:hint="default"/>
                <w:color w:val="auto"/>
              </w:rPr>
              <w:t>项目采取以上措施后可以有效降低设备噪声对周围环境的影响，噪声衰减到厂界能满足《工业企业厂界环境噪声排放标准》（GB12348-2008）中</w:t>
            </w:r>
            <w:r>
              <w:rPr>
                <w:rFonts w:hint="eastAsia"/>
                <w:color w:val="auto"/>
                <w:lang w:val="en-US" w:eastAsia="zh-CN"/>
              </w:rPr>
              <w:t>2</w:t>
            </w:r>
            <w:r>
              <w:rPr>
                <w:rFonts w:hint="default"/>
                <w:color w:val="auto"/>
              </w:rPr>
              <w:t>类标准。因此，企业落实以上隔声降噪措施，该项目噪声对周围环境影响不大。</w:t>
            </w:r>
          </w:p>
          <w:p w14:paraId="35C0C6B3">
            <w:pPr>
              <w:pStyle w:val="51"/>
              <w:ind w:firstLine="482"/>
              <w:rPr>
                <w:rFonts w:hint="default" w:ascii="Times New Roman" w:hAnsi="Times New Roman" w:cs="Times New Roman"/>
                <w:b/>
                <w:color w:val="auto"/>
              </w:rPr>
            </w:pPr>
            <w:r>
              <w:rPr>
                <w:rFonts w:hint="default" w:ascii="Times New Roman" w:hAnsi="Times New Roman" w:cs="Times New Roman"/>
                <w:b/>
                <w:color w:val="auto"/>
              </w:rPr>
              <w:t>4、噪声监测计划</w:t>
            </w:r>
          </w:p>
          <w:p w14:paraId="4434CBBF">
            <w:pPr>
              <w:pStyle w:val="51"/>
              <w:ind w:firstLine="480"/>
              <w:rPr>
                <w:rFonts w:hint="default" w:ascii="Times New Roman" w:hAnsi="Times New Roman" w:cs="Times New Roman"/>
                <w:color w:val="auto"/>
              </w:rPr>
            </w:pPr>
            <w:r>
              <w:rPr>
                <w:rFonts w:hint="default" w:ascii="Times New Roman" w:hAnsi="Times New Roman" w:cs="Times New Roman"/>
                <w:color w:val="auto"/>
              </w:rPr>
              <w:t>根据《排污单位自行监测技术指南总则》（HJ819-2017）的要求，噪声监测点位、监测项目、采样频次等见表4-9。</w:t>
            </w:r>
          </w:p>
          <w:p w14:paraId="33505ACF">
            <w:pPr>
              <w:pStyle w:val="52"/>
              <w:rPr>
                <w:rFonts w:hint="default" w:ascii="Times New Roman" w:hAnsi="Times New Roman" w:cs="Times New Roman"/>
                <w:color w:val="auto"/>
              </w:rPr>
            </w:pPr>
            <w:r>
              <w:rPr>
                <w:rFonts w:hint="default" w:ascii="Times New Roman" w:hAnsi="Times New Roman" w:cs="Times New Roman"/>
                <w:color w:val="auto"/>
              </w:rPr>
              <w:t>表4-9    噪声污染源监测要求</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5"/>
              <w:gridCol w:w="1759"/>
              <w:gridCol w:w="1192"/>
              <w:gridCol w:w="1060"/>
              <w:gridCol w:w="3190"/>
            </w:tblGrid>
            <w:tr w14:paraId="59BB9D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463" w:type="pct"/>
                  <w:vAlign w:val="center"/>
                </w:tcPr>
                <w:p w14:paraId="08746DB1">
                  <w:pPr>
                    <w:pStyle w:val="53"/>
                    <w:rPr>
                      <w:rFonts w:hint="default" w:ascii="Times New Roman" w:hAnsi="Times New Roman" w:cs="Times New Roman"/>
                      <w:color w:val="auto"/>
                    </w:rPr>
                  </w:pPr>
                  <w:r>
                    <w:rPr>
                      <w:rFonts w:hint="default" w:ascii="Times New Roman" w:hAnsi="Times New Roman" w:cs="Times New Roman"/>
                      <w:color w:val="auto"/>
                    </w:rPr>
                    <w:t>类别</w:t>
                  </w:r>
                </w:p>
              </w:tc>
              <w:tc>
                <w:tcPr>
                  <w:tcW w:w="1108" w:type="pct"/>
                  <w:vAlign w:val="center"/>
                </w:tcPr>
                <w:p w14:paraId="4931FC5F">
                  <w:pPr>
                    <w:pStyle w:val="53"/>
                    <w:rPr>
                      <w:rFonts w:hint="default" w:ascii="Times New Roman" w:hAnsi="Times New Roman" w:cs="Times New Roman"/>
                      <w:color w:val="auto"/>
                    </w:rPr>
                  </w:pPr>
                  <w:r>
                    <w:rPr>
                      <w:rFonts w:hint="default" w:ascii="Times New Roman" w:hAnsi="Times New Roman" w:cs="Times New Roman"/>
                      <w:color w:val="auto"/>
                    </w:rPr>
                    <w:t>监测位置</w:t>
                  </w:r>
                </w:p>
              </w:tc>
              <w:tc>
                <w:tcPr>
                  <w:tcW w:w="751" w:type="pct"/>
                  <w:vAlign w:val="center"/>
                </w:tcPr>
                <w:p w14:paraId="431FC4A5">
                  <w:pPr>
                    <w:pStyle w:val="53"/>
                    <w:rPr>
                      <w:rFonts w:hint="default" w:ascii="Times New Roman" w:hAnsi="Times New Roman" w:cs="Times New Roman"/>
                      <w:color w:val="auto"/>
                    </w:rPr>
                  </w:pPr>
                  <w:r>
                    <w:rPr>
                      <w:rFonts w:hint="default" w:ascii="Times New Roman" w:hAnsi="Times New Roman" w:cs="Times New Roman"/>
                      <w:color w:val="auto"/>
                    </w:rPr>
                    <w:t>监测因子</w:t>
                  </w:r>
                </w:p>
              </w:tc>
              <w:tc>
                <w:tcPr>
                  <w:tcW w:w="668" w:type="pct"/>
                  <w:vAlign w:val="center"/>
                </w:tcPr>
                <w:p w14:paraId="3303FD24">
                  <w:pPr>
                    <w:pStyle w:val="53"/>
                    <w:rPr>
                      <w:rFonts w:hint="default" w:ascii="Times New Roman" w:hAnsi="Times New Roman" w:cs="Times New Roman"/>
                      <w:color w:val="auto"/>
                    </w:rPr>
                  </w:pPr>
                  <w:r>
                    <w:rPr>
                      <w:rFonts w:hint="default" w:ascii="Times New Roman" w:hAnsi="Times New Roman" w:cs="Times New Roman"/>
                      <w:color w:val="auto"/>
                    </w:rPr>
                    <w:t>监测频率</w:t>
                  </w:r>
                </w:p>
              </w:tc>
              <w:tc>
                <w:tcPr>
                  <w:tcW w:w="2010" w:type="pct"/>
                  <w:vAlign w:val="center"/>
                </w:tcPr>
                <w:p w14:paraId="0D073E47">
                  <w:pPr>
                    <w:pStyle w:val="53"/>
                    <w:rPr>
                      <w:rFonts w:hint="default" w:ascii="Times New Roman" w:hAnsi="Times New Roman" w:cs="Times New Roman"/>
                      <w:color w:val="auto"/>
                    </w:rPr>
                  </w:pPr>
                  <w:r>
                    <w:rPr>
                      <w:rFonts w:hint="default" w:ascii="Times New Roman" w:hAnsi="Times New Roman" w:cs="Times New Roman"/>
                      <w:color w:val="auto"/>
                    </w:rPr>
                    <w:t>执行标准</w:t>
                  </w:r>
                </w:p>
              </w:tc>
            </w:tr>
            <w:tr w14:paraId="1491AC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8" w:hRule="atLeast"/>
                <w:jc w:val="center"/>
              </w:trPr>
              <w:tc>
                <w:tcPr>
                  <w:tcW w:w="463" w:type="pct"/>
                  <w:vAlign w:val="center"/>
                </w:tcPr>
                <w:p w14:paraId="389D8896">
                  <w:pPr>
                    <w:pStyle w:val="53"/>
                    <w:rPr>
                      <w:rFonts w:hint="default" w:ascii="Times New Roman" w:hAnsi="Times New Roman" w:cs="Times New Roman"/>
                      <w:color w:val="auto"/>
                    </w:rPr>
                  </w:pPr>
                  <w:r>
                    <w:rPr>
                      <w:rFonts w:hint="default" w:ascii="Times New Roman" w:hAnsi="Times New Roman" w:cs="Times New Roman"/>
                      <w:color w:val="auto"/>
                    </w:rPr>
                    <w:t>噪声</w:t>
                  </w:r>
                </w:p>
              </w:tc>
              <w:tc>
                <w:tcPr>
                  <w:tcW w:w="1108" w:type="pct"/>
                  <w:vAlign w:val="center"/>
                </w:tcPr>
                <w:p w14:paraId="4BD4A798">
                  <w:pPr>
                    <w:pStyle w:val="53"/>
                    <w:rPr>
                      <w:rFonts w:hint="default" w:ascii="Times New Roman" w:hAnsi="Times New Roman" w:cs="Times New Roman"/>
                      <w:color w:val="auto"/>
                    </w:rPr>
                  </w:pPr>
                  <w:r>
                    <w:rPr>
                      <w:rFonts w:hint="default" w:ascii="Times New Roman" w:hAnsi="Times New Roman" w:cs="Times New Roman"/>
                      <w:color w:val="auto"/>
                    </w:rPr>
                    <w:t>东、南、西、北厂界外1m</w:t>
                  </w:r>
                </w:p>
              </w:tc>
              <w:tc>
                <w:tcPr>
                  <w:tcW w:w="751" w:type="pct"/>
                  <w:vAlign w:val="center"/>
                </w:tcPr>
                <w:p w14:paraId="640C8194">
                  <w:pPr>
                    <w:pStyle w:val="53"/>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668" w:type="pct"/>
                  <w:vAlign w:val="center"/>
                </w:tcPr>
                <w:p w14:paraId="5A0117B9">
                  <w:pPr>
                    <w:pStyle w:val="53"/>
                    <w:rPr>
                      <w:rFonts w:hint="default" w:ascii="Times New Roman" w:hAnsi="Times New Roman" w:cs="Times New Roman"/>
                      <w:color w:val="auto"/>
                    </w:rPr>
                  </w:pPr>
                  <w:r>
                    <w:rPr>
                      <w:rFonts w:hint="default" w:ascii="Times New Roman" w:hAnsi="Times New Roman" w:cs="Times New Roman"/>
                      <w:color w:val="auto"/>
                    </w:rPr>
                    <w:t>1次/季度，昼</w:t>
                  </w:r>
                  <w:r>
                    <w:rPr>
                      <w:rFonts w:hint="eastAsia" w:cs="Times New Roman"/>
                      <w:color w:val="auto"/>
                      <w:lang w:val="en-US" w:eastAsia="zh-CN"/>
                    </w:rPr>
                    <w:t>间</w:t>
                  </w:r>
                  <w:r>
                    <w:rPr>
                      <w:rFonts w:hint="default" w:ascii="Times New Roman" w:hAnsi="Times New Roman" w:cs="Times New Roman"/>
                      <w:color w:val="auto"/>
                    </w:rPr>
                    <w:t>1次</w:t>
                  </w:r>
                </w:p>
              </w:tc>
              <w:tc>
                <w:tcPr>
                  <w:tcW w:w="2010" w:type="pct"/>
                  <w:vAlign w:val="center"/>
                </w:tcPr>
                <w:p w14:paraId="52214378">
                  <w:pPr>
                    <w:pStyle w:val="53"/>
                    <w:rPr>
                      <w:rFonts w:hint="default" w:ascii="Times New Roman" w:hAnsi="Times New Roman" w:cs="Times New Roman"/>
                      <w:color w:val="auto"/>
                    </w:rPr>
                  </w:pPr>
                  <w:r>
                    <w:rPr>
                      <w:rFonts w:hint="default" w:ascii="Times New Roman" w:hAnsi="Times New Roman" w:cs="Times New Roman"/>
                      <w:color w:val="auto"/>
                    </w:rPr>
                    <w:t>《工业企业厂界环境噪声排放标准》</w:t>
                  </w:r>
                  <w:r>
                    <w:rPr>
                      <w:rFonts w:hint="eastAsia" w:cs="Times New Roman"/>
                      <w:color w:val="auto"/>
                      <w:lang w:eastAsia="zh-CN"/>
                    </w:rPr>
                    <w:t>（</w:t>
                  </w:r>
                  <w:r>
                    <w:rPr>
                      <w:rFonts w:hint="default" w:ascii="Times New Roman" w:hAnsi="Times New Roman" w:cs="Times New Roman"/>
                      <w:color w:val="auto"/>
                    </w:rPr>
                    <w:t>GB12348-2008</w:t>
                  </w:r>
                  <w:r>
                    <w:rPr>
                      <w:rFonts w:hint="eastAsia" w:cs="Times New Roman"/>
                      <w:color w:val="auto"/>
                      <w:lang w:eastAsia="zh-CN"/>
                    </w:rPr>
                    <w:t>）</w:t>
                  </w:r>
                  <w:r>
                    <w:rPr>
                      <w:rFonts w:hint="default" w:ascii="Times New Roman" w:hAnsi="Times New Roman" w:cs="Times New Roman"/>
                      <w:color w:val="auto"/>
                    </w:rPr>
                    <w:t>中的2类标准</w:t>
                  </w:r>
                </w:p>
              </w:tc>
            </w:tr>
          </w:tbl>
          <w:p w14:paraId="287CD3E0">
            <w:pPr>
              <w:pStyle w:val="51"/>
              <w:ind w:firstLine="482"/>
              <w:rPr>
                <w:rFonts w:hint="default" w:ascii="Times New Roman" w:hAnsi="Times New Roman" w:cs="Times New Roman"/>
                <w:b/>
                <w:color w:val="auto"/>
              </w:rPr>
            </w:pPr>
            <w:r>
              <w:rPr>
                <w:rFonts w:hint="default" w:ascii="Times New Roman" w:hAnsi="Times New Roman" w:cs="Times New Roman"/>
                <w:b/>
                <w:color w:val="auto"/>
              </w:rPr>
              <w:t>四、固体废物影响分析</w:t>
            </w:r>
          </w:p>
          <w:p w14:paraId="23567500">
            <w:pPr>
              <w:pStyle w:val="51"/>
              <w:ind w:firstLine="482"/>
              <w:rPr>
                <w:rFonts w:hint="default" w:ascii="Times New Roman" w:hAnsi="Times New Roman" w:cs="Times New Roman"/>
                <w:b/>
                <w:color w:val="auto"/>
              </w:rPr>
            </w:pPr>
            <w:r>
              <w:rPr>
                <w:rFonts w:hint="default" w:ascii="Times New Roman" w:hAnsi="Times New Roman" w:cs="Times New Roman"/>
                <w:b/>
                <w:color w:val="auto"/>
              </w:rPr>
              <w:t>1、固体废弃物</w:t>
            </w:r>
            <w:r>
              <w:rPr>
                <w:rFonts w:hint="eastAsia" w:cs="Times New Roman"/>
                <w:b/>
                <w:color w:val="auto"/>
                <w:lang w:val="en-US" w:eastAsia="zh-CN"/>
              </w:rPr>
              <w:t>产生处置</w:t>
            </w:r>
            <w:r>
              <w:rPr>
                <w:rFonts w:hint="default" w:ascii="Times New Roman" w:hAnsi="Times New Roman" w:cs="Times New Roman"/>
                <w:b/>
                <w:color w:val="auto"/>
              </w:rPr>
              <w:t>情况分析</w:t>
            </w:r>
          </w:p>
          <w:p w14:paraId="4BFFB26B">
            <w:pPr>
              <w:pStyle w:val="51"/>
              <w:bidi w:val="0"/>
              <w:rPr>
                <w:rFonts w:hint="default"/>
                <w:color w:val="auto"/>
              </w:rPr>
            </w:pPr>
            <w:r>
              <w:rPr>
                <w:rFonts w:hint="default"/>
                <w:color w:val="auto"/>
              </w:rPr>
              <w:t>项目产生的固废包括一般工业固体废物、危险废物及其他垃圾。一般工业固废包括</w:t>
            </w:r>
            <w:r>
              <w:rPr>
                <w:rFonts w:hint="eastAsia"/>
                <w:color w:val="auto"/>
                <w:lang w:val="en-US" w:eastAsia="zh-CN"/>
              </w:rPr>
              <w:t>废包装袋、</w:t>
            </w:r>
            <w:r>
              <w:rPr>
                <w:rFonts w:hint="default"/>
                <w:color w:val="auto"/>
              </w:rPr>
              <w:t>边角料及不合格产品</w:t>
            </w:r>
            <w:r>
              <w:rPr>
                <w:rFonts w:hint="eastAsia"/>
                <w:color w:val="auto"/>
                <w:lang w:eastAsia="zh-CN"/>
              </w:rPr>
              <w:t>、</w:t>
            </w:r>
            <w:r>
              <w:rPr>
                <w:rFonts w:hint="eastAsia"/>
                <w:color w:val="auto"/>
                <w:lang w:val="en-US" w:eastAsia="zh-CN"/>
              </w:rPr>
              <w:t>造粒固废、</w:t>
            </w:r>
            <w:r>
              <w:rPr>
                <w:rFonts w:hint="eastAsia"/>
                <w:b w:val="0"/>
                <w:bCs w:val="0"/>
                <w:strike w:val="0"/>
                <w:dstrike w:val="0"/>
                <w:color w:val="auto"/>
                <w:sz w:val="24"/>
                <w:szCs w:val="24"/>
                <w:highlight w:val="none"/>
                <w:lang w:val="en-US" w:eastAsia="zh-CN"/>
              </w:rPr>
              <w:t>循环水收集箱产生的沉渣</w:t>
            </w:r>
            <w:r>
              <w:rPr>
                <w:rFonts w:hint="default"/>
                <w:color w:val="auto"/>
                <w:lang w:eastAsia="zh-CN"/>
              </w:rPr>
              <w:t>；</w:t>
            </w:r>
            <w:r>
              <w:rPr>
                <w:rFonts w:hint="default"/>
                <w:color w:val="auto"/>
              </w:rPr>
              <w:t>危险固废</w:t>
            </w:r>
            <w:r>
              <w:rPr>
                <w:rFonts w:hint="eastAsia"/>
                <w:color w:val="auto"/>
                <w:lang w:val="en-US" w:eastAsia="zh-CN"/>
              </w:rPr>
              <w:t>为废气处理过程产生的</w:t>
            </w:r>
            <w:r>
              <w:rPr>
                <w:rFonts w:hint="default"/>
                <w:color w:val="auto"/>
              </w:rPr>
              <w:t>废活性炭</w:t>
            </w:r>
            <w:r>
              <w:rPr>
                <w:rFonts w:hint="eastAsia"/>
                <w:color w:val="auto"/>
                <w:lang w:eastAsia="zh-CN"/>
              </w:rPr>
              <w:t>、</w:t>
            </w:r>
            <w:r>
              <w:rPr>
                <w:rFonts w:hint="eastAsia" w:eastAsia="宋体"/>
                <w:b w:val="0"/>
                <w:bCs w:val="0"/>
                <w:strike w:val="0"/>
                <w:dstrike w:val="0"/>
                <w:color w:val="auto"/>
                <w:sz w:val="24"/>
                <w:szCs w:val="24"/>
                <w:highlight w:val="none"/>
                <w:lang w:val="en-US" w:eastAsia="zh-CN"/>
              </w:rPr>
              <w:t>真空烧网炉处理更换的过滤网产生的过滤网残渣</w:t>
            </w:r>
            <w:r>
              <w:rPr>
                <w:rFonts w:hint="default"/>
                <w:color w:val="auto"/>
              </w:rPr>
              <w:t>，其他垃圾</w:t>
            </w:r>
            <w:r>
              <w:rPr>
                <w:rFonts w:hint="eastAsia"/>
                <w:color w:val="auto"/>
                <w:lang w:val="en-US" w:eastAsia="zh-CN"/>
              </w:rPr>
              <w:t>为</w:t>
            </w:r>
            <w:r>
              <w:rPr>
                <w:rFonts w:hint="default"/>
                <w:color w:val="auto"/>
              </w:rPr>
              <w:t>生活垃圾。</w:t>
            </w:r>
          </w:p>
          <w:p w14:paraId="4CCD0214">
            <w:pPr>
              <w:pStyle w:val="51"/>
              <w:bidi w:val="0"/>
              <w:rPr>
                <w:rFonts w:hint="default"/>
                <w:color w:val="auto"/>
              </w:rPr>
            </w:pPr>
            <w:r>
              <w:rPr>
                <w:rFonts w:hint="default"/>
                <w:color w:val="auto"/>
              </w:rPr>
              <w:t>①边角料和不合格产品</w:t>
            </w:r>
          </w:p>
          <w:p w14:paraId="1D310028">
            <w:pPr>
              <w:pStyle w:val="51"/>
              <w:bidi w:val="0"/>
              <w:rPr>
                <w:rFonts w:hint="default"/>
                <w:color w:val="auto"/>
              </w:rPr>
            </w:pPr>
            <w:r>
              <w:rPr>
                <w:rFonts w:hint="default"/>
                <w:color w:val="auto"/>
              </w:rPr>
              <w:t>项目在生产过程中会产生边角料和不合格产品，根据</w:t>
            </w:r>
            <w:r>
              <w:rPr>
                <w:rFonts w:hint="eastAsia"/>
                <w:color w:val="auto"/>
                <w:lang w:val="en-US" w:eastAsia="zh-CN"/>
              </w:rPr>
              <w:t>建设单位</w:t>
            </w:r>
            <w:r>
              <w:rPr>
                <w:rFonts w:hint="default"/>
                <w:color w:val="auto"/>
              </w:rPr>
              <w:t>提供，项目废弃边角料及不合格产品产生量约为产品的</w:t>
            </w:r>
            <w:r>
              <w:rPr>
                <w:rFonts w:hint="eastAsia"/>
                <w:color w:val="auto"/>
                <w:lang w:val="en-US" w:eastAsia="zh-CN"/>
              </w:rPr>
              <w:t>1</w:t>
            </w:r>
            <w:r>
              <w:rPr>
                <w:rFonts w:hint="default"/>
                <w:color w:val="auto"/>
              </w:rPr>
              <w:t>%，</w:t>
            </w:r>
            <w:r>
              <w:rPr>
                <w:rFonts w:hint="eastAsia"/>
                <w:color w:val="auto"/>
                <w:lang w:val="en-US" w:eastAsia="zh-CN"/>
              </w:rPr>
              <w:t>项目生产</w:t>
            </w:r>
            <w:r>
              <w:rPr>
                <w:rFonts w:hint="default"/>
                <w:color w:val="auto"/>
                <w:lang w:val="en-US" w:eastAsia="zh-CN"/>
              </w:rPr>
              <w:t>塑料</w:t>
            </w:r>
            <w:r>
              <w:rPr>
                <w:rFonts w:hint="eastAsia"/>
                <w:color w:val="auto"/>
                <w:lang w:val="en-US" w:eastAsia="zh-CN"/>
              </w:rPr>
              <w:t>颗粒100</w:t>
            </w:r>
            <w:r>
              <w:rPr>
                <w:rFonts w:hint="default"/>
                <w:color w:val="auto"/>
                <w:lang w:val="en-US" w:eastAsia="zh-CN"/>
              </w:rPr>
              <w:t>00吨，则</w:t>
            </w:r>
            <w:r>
              <w:rPr>
                <w:rFonts w:hint="default"/>
                <w:color w:val="auto"/>
              </w:rPr>
              <w:t>废弃边角料及不合格产品</w:t>
            </w:r>
            <w:r>
              <w:rPr>
                <w:rFonts w:hint="default"/>
                <w:color w:val="auto"/>
                <w:lang w:val="en-US" w:eastAsia="zh-CN"/>
              </w:rPr>
              <w:t>产生量为</w:t>
            </w:r>
            <w:r>
              <w:rPr>
                <w:rFonts w:hint="eastAsia"/>
                <w:color w:val="auto"/>
                <w:lang w:val="en-US" w:eastAsia="zh-CN"/>
              </w:rPr>
              <w:t>100</w:t>
            </w:r>
            <w:r>
              <w:rPr>
                <w:rFonts w:hint="default"/>
                <w:color w:val="auto"/>
                <w:lang w:val="en-US" w:eastAsia="zh-CN"/>
              </w:rPr>
              <w:t>t/a</w:t>
            </w:r>
            <w:r>
              <w:rPr>
                <w:rFonts w:hint="default" w:ascii="Times New Roman" w:hAnsi="Times New Roman" w:eastAsia="宋体" w:cs="Times New Roman"/>
                <w:color w:val="auto"/>
                <w:szCs w:val="24"/>
                <w:highlight w:val="none"/>
              </w:rPr>
              <w:t>，该部分废料经收集后全部回用</w:t>
            </w:r>
            <w:r>
              <w:rPr>
                <w:rFonts w:hint="default"/>
                <w:color w:val="auto"/>
              </w:rPr>
              <w:t>于生产。</w:t>
            </w:r>
            <w:r>
              <w:rPr>
                <w:rFonts w:hint="eastAsia"/>
                <w:color w:val="auto"/>
                <w:lang w:val="en-US" w:eastAsia="zh-CN"/>
              </w:rPr>
              <w:t>根据《固体废物分类与代码目录》（2024年1月19日起施行），废物种类为SW59其他工业固体废物，废物代码为900-099-S59。</w:t>
            </w:r>
          </w:p>
          <w:p w14:paraId="435F69AC">
            <w:pPr>
              <w:pStyle w:val="51"/>
              <w:bidi w:val="0"/>
              <w:rPr>
                <w:rFonts w:hint="default"/>
                <w:color w:val="auto"/>
              </w:rPr>
            </w:pPr>
            <w:r>
              <w:rPr>
                <w:rFonts w:hint="default"/>
                <w:color w:val="auto"/>
              </w:rPr>
              <w:t>②造粒固废</w:t>
            </w:r>
          </w:p>
          <w:p w14:paraId="3B6E12F3">
            <w:pPr>
              <w:pStyle w:val="51"/>
              <w:bidi w:val="0"/>
              <w:rPr>
                <w:rFonts w:hint="default"/>
                <w:color w:val="auto"/>
              </w:rPr>
            </w:pPr>
            <w:r>
              <w:rPr>
                <w:rFonts w:hint="default"/>
                <w:color w:val="auto"/>
              </w:rPr>
              <w:t>根据《排放源统计调查产排污核算方法和系数手册》中《42废弃资源综合利用行业系数手册》，废PE/PP再生塑料粒子：挤出造粒一般工业固体废物产污系数为11.9kg/t-原料</w:t>
            </w:r>
            <w:r>
              <w:rPr>
                <w:rFonts w:hint="eastAsia"/>
                <w:color w:val="auto"/>
                <w:lang w:eastAsia="zh-CN"/>
              </w:rPr>
              <w:t>，</w:t>
            </w:r>
            <w:r>
              <w:rPr>
                <w:rFonts w:hint="eastAsia"/>
                <w:color w:val="auto"/>
                <w:lang w:val="en-US" w:eastAsia="zh-CN"/>
              </w:rPr>
              <w:t>则</w:t>
            </w:r>
            <w:r>
              <w:rPr>
                <w:rFonts w:hint="default"/>
                <w:color w:val="auto"/>
              </w:rPr>
              <w:t>项目造粒</w:t>
            </w:r>
            <w:r>
              <w:rPr>
                <w:rFonts w:hint="default"/>
                <w:color w:val="auto"/>
                <w:lang w:val="en-US" w:eastAsia="zh-CN"/>
              </w:rPr>
              <w:t>PP固废产生量为</w:t>
            </w:r>
            <w:r>
              <w:rPr>
                <w:rFonts w:hint="eastAsia"/>
                <w:color w:val="auto"/>
                <w:lang w:val="en-US" w:eastAsia="zh-CN"/>
              </w:rPr>
              <w:t>119</w:t>
            </w:r>
            <w:r>
              <w:rPr>
                <w:rFonts w:hint="default"/>
                <w:color w:val="auto"/>
                <w:lang w:val="en-US" w:eastAsia="zh-CN"/>
              </w:rPr>
              <w:t>t/a</w:t>
            </w:r>
            <w:r>
              <w:rPr>
                <w:rFonts w:hint="default"/>
                <w:color w:val="auto"/>
              </w:rPr>
              <w:t>，</w:t>
            </w:r>
            <w:r>
              <w:rPr>
                <w:rFonts w:hint="default"/>
                <w:color w:val="auto"/>
                <w:lang w:val="en-US" w:eastAsia="zh-CN"/>
              </w:rPr>
              <w:t>该部分全部</w:t>
            </w:r>
            <w:r>
              <w:rPr>
                <w:rFonts w:hint="default"/>
                <w:color w:val="auto"/>
              </w:rPr>
              <w:t>重回造粒生产线造粒回用。</w:t>
            </w:r>
            <w:r>
              <w:rPr>
                <w:rFonts w:hint="eastAsia"/>
                <w:color w:val="auto"/>
                <w:lang w:val="en-US" w:eastAsia="zh-CN"/>
              </w:rPr>
              <w:t>根据《固体废物分类与代码目录》（2024年1月19日起施行），废物种类为SW59其他工业固体废物，废物代码为900-099-S59。</w:t>
            </w:r>
          </w:p>
          <w:p w14:paraId="0C01C87B">
            <w:pPr>
              <w:pStyle w:val="51"/>
              <w:bidi w:val="0"/>
              <w:rPr>
                <w:rFonts w:hint="eastAsia"/>
                <w:color w:val="auto"/>
                <w:lang w:val="en-US" w:eastAsia="zh-CN"/>
              </w:rPr>
            </w:pPr>
            <w:r>
              <w:rPr>
                <w:rFonts w:hint="eastAsia"/>
                <w:color w:val="auto"/>
                <w:lang w:val="en-US" w:eastAsia="zh-CN"/>
              </w:rPr>
              <w:t>③废包装袋</w:t>
            </w:r>
          </w:p>
          <w:p w14:paraId="4E80F064">
            <w:pPr>
              <w:pStyle w:val="51"/>
              <w:bidi w:val="0"/>
              <w:rPr>
                <w:rFonts w:hint="eastAsia"/>
                <w:color w:val="auto"/>
                <w:lang w:val="en-US" w:eastAsia="zh-CN"/>
              </w:rPr>
            </w:pPr>
            <w:r>
              <w:rPr>
                <w:rFonts w:hint="eastAsia"/>
                <w:color w:val="auto"/>
                <w:lang w:val="en-US" w:eastAsia="zh-CN"/>
              </w:rPr>
              <w:t>项目生产运营期间会产生少量原辅料的包装废袋，根据建设单位提供信息该部分产生量为0.5t/a，该部分废包装袋经收集后售卖。根据《固体废物分类与代码目录》（2024年1月19日起施行），废物种类为SW59其他工业固体废物，废物代码为900-099-S59。</w:t>
            </w:r>
          </w:p>
          <w:p w14:paraId="6218C746">
            <w:pPr>
              <w:pStyle w:val="51"/>
              <w:bidi w:val="0"/>
              <w:rPr>
                <w:rFonts w:hint="eastAsia"/>
                <w:color w:val="auto"/>
                <w:lang w:val="en-US" w:eastAsia="zh-CN"/>
              </w:rPr>
            </w:pPr>
            <w:r>
              <w:rPr>
                <w:rFonts w:hint="eastAsia"/>
                <w:color w:val="auto"/>
                <w:lang w:val="en-US" w:eastAsia="zh-CN"/>
              </w:rPr>
              <w:t>④</w:t>
            </w:r>
            <w:r>
              <w:rPr>
                <w:rFonts w:hint="eastAsia"/>
                <w:b w:val="0"/>
                <w:bCs w:val="0"/>
                <w:strike w:val="0"/>
                <w:dstrike w:val="0"/>
                <w:color w:val="auto"/>
                <w:sz w:val="24"/>
                <w:szCs w:val="24"/>
                <w:highlight w:val="none"/>
                <w:lang w:val="en-US" w:eastAsia="zh-CN"/>
              </w:rPr>
              <w:t>循环水收集箱产生的沉渣</w:t>
            </w:r>
          </w:p>
          <w:p w14:paraId="7280C721">
            <w:pPr>
              <w:pStyle w:val="51"/>
              <w:bidi w:val="0"/>
              <w:rPr>
                <w:rFonts w:hint="eastAsia" w:eastAsia="宋体"/>
                <w:color w:val="auto"/>
                <w:lang w:val="en-US" w:eastAsia="zh-CN"/>
              </w:rPr>
            </w:pPr>
            <w:r>
              <w:rPr>
                <w:rFonts w:hint="eastAsia"/>
                <w:b w:val="0"/>
                <w:bCs w:val="0"/>
                <w:strike w:val="0"/>
                <w:dstrike w:val="0"/>
                <w:color w:val="auto"/>
                <w:sz w:val="24"/>
                <w:szCs w:val="24"/>
                <w:highlight w:val="none"/>
                <w:lang w:val="en-US" w:eastAsia="zh-CN"/>
              </w:rPr>
              <w:t>冷却水槽的冷却水进入循环水收集箱，循环水收集箱会产生少量的塑料残渣，年产生量约为0.005t/a，集中收集后用于</w:t>
            </w:r>
            <w:r>
              <w:rPr>
                <w:rFonts w:hint="default"/>
                <w:color w:val="auto"/>
              </w:rPr>
              <w:t>造粒生产线造粒</w:t>
            </w:r>
            <w:r>
              <w:rPr>
                <w:rFonts w:hint="eastAsia"/>
                <w:color w:val="auto"/>
                <w:lang w:eastAsia="zh-CN"/>
              </w:rPr>
              <w:t>。</w:t>
            </w:r>
            <w:r>
              <w:rPr>
                <w:rFonts w:hint="eastAsia"/>
                <w:color w:val="auto"/>
                <w:lang w:val="en-US" w:eastAsia="zh-CN"/>
              </w:rPr>
              <w:t>根据《固体废物分类与代码目录》（2024年1月19日起施行），废物种类为SW59其他工业固体废物，废物代码为900-099-S59。</w:t>
            </w:r>
          </w:p>
          <w:p w14:paraId="593476EA">
            <w:pPr>
              <w:pStyle w:val="51"/>
              <w:bidi w:val="0"/>
              <w:rPr>
                <w:rFonts w:hint="default"/>
                <w:color w:val="auto"/>
                <w:lang w:val="en-US" w:eastAsia="zh-CN"/>
              </w:rPr>
            </w:pPr>
            <w:r>
              <w:rPr>
                <w:rFonts w:hint="default"/>
                <w:color w:val="auto"/>
                <w:lang w:eastAsia="zh-CN"/>
              </w:rPr>
              <w:t>（</w:t>
            </w:r>
            <w:r>
              <w:rPr>
                <w:rFonts w:hint="default"/>
                <w:color w:val="auto"/>
                <w:lang w:val="en-US" w:eastAsia="zh-CN"/>
              </w:rPr>
              <w:t>2</w:t>
            </w:r>
            <w:r>
              <w:rPr>
                <w:rFonts w:hint="default"/>
                <w:color w:val="auto"/>
                <w:lang w:eastAsia="zh-CN"/>
              </w:rPr>
              <w:t>）</w:t>
            </w:r>
            <w:r>
              <w:rPr>
                <w:rFonts w:hint="default"/>
                <w:color w:val="auto"/>
                <w:lang w:val="en-US" w:eastAsia="zh-CN"/>
              </w:rPr>
              <w:t>生活垃圾</w:t>
            </w:r>
          </w:p>
          <w:p w14:paraId="3F72BAB9">
            <w:pPr>
              <w:pStyle w:val="51"/>
              <w:ind w:firstLine="480"/>
              <w:rPr>
                <w:rFonts w:hint="default"/>
                <w:color w:val="auto"/>
                <w:lang w:val="en-US" w:eastAsia="zh-CN"/>
              </w:rPr>
            </w:pPr>
            <w:r>
              <w:rPr>
                <w:rFonts w:hint="default"/>
                <w:color w:val="auto"/>
              </w:rPr>
              <w:t>项目</w:t>
            </w:r>
            <w:r>
              <w:rPr>
                <w:rFonts w:hint="default"/>
                <w:color w:val="auto"/>
                <w:lang w:val="en-US" w:eastAsia="zh-CN"/>
              </w:rPr>
              <w:t>劳动定员</w:t>
            </w:r>
            <w:r>
              <w:rPr>
                <w:rFonts w:hint="eastAsia"/>
                <w:color w:val="auto"/>
                <w:lang w:val="en-US" w:eastAsia="zh-CN"/>
              </w:rPr>
              <w:t>6</w:t>
            </w:r>
            <w:r>
              <w:rPr>
                <w:rFonts w:hint="default"/>
                <w:color w:val="auto"/>
              </w:rPr>
              <w:t>人，生活垃圾按0.5kg/人·d计，则生活垃圾产生量为</w:t>
            </w:r>
            <w:r>
              <w:rPr>
                <w:rFonts w:hint="eastAsia"/>
                <w:color w:val="auto"/>
                <w:lang w:val="en-US" w:eastAsia="zh-CN"/>
              </w:rPr>
              <w:t>3</w:t>
            </w:r>
            <w:r>
              <w:rPr>
                <w:rFonts w:hint="default"/>
                <w:color w:val="auto"/>
              </w:rPr>
              <w:t>kg/d，</w:t>
            </w:r>
            <w:r>
              <w:rPr>
                <w:rFonts w:hint="eastAsia"/>
                <w:color w:val="auto"/>
                <w:lang w:val="en-US" w:eastAsia="zh-CN"/>
              </w:rPr>
              <w:t>0.9</w:t>
            </w:r>
            <w:r>
              <w:rPr>
                <w:rFonts w:hint="default"/>
                <w:color w:val="auto"/>
              </w:rPr>
              <w:t>t/a。项目区内设置垃圾桶收集，</w:t>
            </w:r>
            <w:r>
              <w:rPr>
                <w:rFonts w:hint="default"/>
                <w:color w:val="auto"/>
                <w:lang w:eastAsia="zh-CN"/>
              </w:rPr>
              <w:t>定期清运至指定垃圾收集点</w:t>
            </w:r>
            <w:r>
              <w:rPr>
                <w:rFonts w:hint="default"/>
                <w:color w:val="auto"/>
              </w:rPr>
              <w:t>，委托环卫部门统一清运。</w:t>
            </w:r>
            <w:r>
              <w:rPr>
                <w:rFonts w:hint="eastAsia"/>
                <w:color w:val="auto"/>
                <w:lang w:val="en-US" w:eastAsia="zh-CN"/>
              </w:rPr>
              <w:t>根据《固体废物分类与代码目录》（2024年1月19日起施行），废物种类为SW64其他垃圾，废物代码为900-099-S64。</w:t>
            </w:r>
          </w:p>
          <w:p w14:paraId="699DA2DF">
            <w:pPr>
              <w:pStyle w:val="51"/>
              <w:bidi w:val="0"/>
              <w:rPr>
                <w:rFonts w:hint="default"/>
                <w:color w:val="auto"/>
              </w:rPr>
            </w:pPr>
            <w:r>
              <w:rPr>
                <w:rFonts w:hint="default"/>
                <w:color w:val="auto"/>
              </w:rPr>
              <w:t>（3）危险废物</w:t>
            </w:r>
          </w:p>
          <w:p w14:paraId="059031B5">
            <w:pPr>
              <w:pStyle w:val="51"/>
              <w:bidi w:val="0"/>
              <w:rPr>
                <w:rFonts w:hint="default"/>
                <w:color w:val="auto"/>
              </w:rPr>
            </w:pPr>
            <w:r>
              <w:rPr>
                <w:rFonts w:hint="default"/>
                <w:color w:val="auto"/>
              </w:rPr>
              <w:t>项目危险固废为活性炭吸附装置更换下来的废活性炭</w:t>
            </w:r>
            <w:r>
              <w:rPr>
                <w:rFonts w:hint="eastAsia"/>
                <w:color w:val="auto"/>
                <w:lang w:eastAsia="zh-CN"/>
              </w:rPr>
              <w:t>、</w:t>
            </w:r>
            <w:r>
              <w:rPr>
                <w:rFonts w:hint="eastAsia" w:eastAsia="宋体"/>
                <w:b w:val="0"/>
                <w:bCs w:val="0"/>
                <w:strike w:val="0"/>
                <w:dstrike w:val="0"/>
                <w:color w:val="auto"/>
                <w:sz w:val="24"/>
                <w:szCs w:val="24"/>
                <w:highlight w:val="none"/>
                <w:lang w:val="en-US" w:eastAsia="zh-CN"/>
              </w:rPr>
              <w:t>真空烧网炉处理更换的过滤网产生的过滤网残渣</w:t>
            </w:r>
            <w:r>
              <w:rPr>
                <w:rFonts w:hint="default"/>
                <w:color w:val="auto"/>
              </w:rPr>
              <w:t>。</w:t>
            </w:r>
          </w:p>
          <w:p w14:paraId="105332E8">
            <w:pPr>
              <w:pStyle w:val="51"/>
              <w:bidi w:val="0"/>
              <w:rPr>
                <w:rFonts w:hint="eastAsia" w:eastAsia="宋体"/>
                <w:color w:val="auto"/>
                <w:lang w:val="en-US" w:eastAsia="zh-CN"/>
              </w:rPr>
            </w:pPr>
            <w:r>
              <w:rPr>
                <w:rFonts w:hint="default"/>
                <w:color w:val="auto"/>
              </w:rPr>
              <w:t>①</w:t>
            </w:r>
            <w:r>
              <w:rPr>
                <w:rFonts w:hint="eastAsia"/>
                <w:color w:val="auto"/>
                <w:lang w:val="en-US" w:eastAsia="zh-CN"/>
              </w:rPr>
              <w:t>废活性炭</w:t>
            </w:r>
          </w:p>
          <w:p w14:paraId="4D5FF7D2">
            <w:pPr>
              <w:pStyle w:val="51"/>
              <w:bidi w:val="0"/>
              <w:rPr>
                <w:rFonts w:hint="default"/>
                <w:color w:val="auto"/>
              </w:rPr>
            </w:pPr>
            <w:r>
              <w:rPr>
                <w:rFonts w:hint="default"/>
                <w:color w:val="auto"/>
              </w:rPr>
              <w:t>项目有机废气</w:t>
            </w:r>
            <w:r>
              <w:rPr>
                <w:rFonts w:hint="eastAsia"/>
                <w:color w:val="auto"/>
                <w:lang w:eastAsia="zh-CN"/>
              </w:rPr>
              <w:t>（</w:t>
            </w:r>
            <w:r>
              <w:rPr>
                <w:rFonts w:hint="eastAsia" w:eastAsia="宋体" w:cs="Times New Roman"/>
                <w:color w:val="auto"/>
                <w:szCs w:val="24"/>
                <w:highlight w:val="none"/>
                <w:lang w:val="en-US" w:eastAsia="zh-CN"/>
              </w:rPr>
              <w:t>以非甲烷总烃计</w:t>
            </w:r>
            <w:r>
              <w:rPr>
                <w:rFonts w:hint="eastAsia"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使用活性炭进行吸附处理，根据《简明通风设计手册》，为保证有机废气的吸附效率，需更换新的活性炭，更换下来的废活性炭含有各类挥发性有机污染物，有机废气与废活性炭产生比例约1:2.5，即1t废气处理后产生废活性炭量约2.5t。本项目有机废气</w:t>
            </w:r>
            <w:r>
              <w:rPr>
                <w:rFonts w:hint="eastAsia" w:eastAsia="宋体" w:cs="Times New Roman"/>
                <w:color w:val="auto"/>
                <w:szCs w:val="24"/>
                <w:highlight w:val="none"/>
                <w:lang w:eastAsia="zh-CN"/>
              </w:rPr>
              <w:t>（</w:t>
            </w:r>
            <w:r>
              <w:rPr>
                <w:rFonts w:hint="eastAsia" w:eastAsia="宋体" w:cs="Times New Roman"/>
                <w:color w:val="auto"/>
                <w:szCs w:val="24"/>
                <w:highlight w:val="none"/>
                <w:lang w:val="en-US" w:eastAsia="zh-CN"/>
              </w:rPr>
              <w:t>以非甲烷总烃计</w:t>
            </w:r>
            <w:r>
              <w:rPr>
                <w:rFonts w:hint="eastAsia" w:eastAsia="宋体" w:cs="Times New Roman"/>
                <w:color w:val="auto"/>
                <w:szCs w:val="24"/>
                <w:highlight w:val="none"/>
                <w:lang w:eastAsia="zh-CN"/>
              </w:rPr>
              <w:t>）</w:t>
            </w:r>
            <w:r>
              <w:rPr>
                <w:rFonts w:hint="eastAsia" w:eastAsia="宋体" w:cs="Times New Roman"/>
                <w:color w:val="auto"/>
                <w:szCs w:val="24"/>
                <w:highlight w:val="none"/>
                <w:lang w:val="en-US" w:eastAsia="zh-CN"/>
              </w:rPr>
              <w:t>处理</w:t>
            </w:r>
            <w:r>
              <w:rPr>
                <w:rFonts w:hint="default" w:ascii="Times New Roman" w:hAnsi="Times New Roman" w:eastAsia="宋体" w:cs="Times New Roman"/>
                <w:color w:val="auto"/>
                <w:szCs w:val="24"/>
                <w:highlight w:val="none"/>
              </w:rPr>
              <w:t>量约</w:t>
            </w:r>
            <w:r>
              <w:rPr>
                <w:rFonts w:hint="eastAsia" w:cs="Times New Roman"/>
                <w:color w:val="auto"/>
                <w:szCs w:val="24"/>
                <w:highlight w:val="none"/>
                <w:lang w:val="en-US" w:eastAsia="zh-CN"/>
              </w:rPr>
              <w:t>1.54</w:t>
            </w:r>
            <w:r>
              <w:rPr>
                <w:rFonts w:hint="default" w:ascii="Times New Roman" w:hAnsi="Times New Roman" w:eastAsia="宋体" w:cs="Times New Roman"/>
                <w:color w:val="auto"/>
                <w:szCs w:val="24"/>
                <w:highlight w:val="none"/>
              </w:rPr>
              <w:t>t/a，因此产生废活性炭量约</w:t>
            </w:r>
            <w:r>
              <w:rPr>
                <w:rFonts w:hint="eastAsia" w:cs="Times New Roman"/>
                <w:color w:val="auto"/>
                <w:szCs w:val="24"/>
                <w:highlight w:val="none"/>
                <w:lang w:val="en-US" w:eastAsia="zh-CN"/>
              </w:rPr>
              <w:t>3.85</w:t>
            </w:r>
            <w:r>
              <w:rPr>
                <w:rFonts w:hint="default" w:ascii="Times New Roman" w:hAnsi="Times New Roman" w:eastAsia="宋体" w:cs="Times New Roman"/>
                <w:color w:val="auto"/>
                <w:szCs w:val="24"/>
                <w:highlight w:val="none"/>
              </w:rPr>
              <w:t>t/a。废活性炭属于《国家危险废物名录》（202</w:t>
            </w:r>
            <w:r>
              <w:rPr>
                <w:rFonts w:hint="eastAsia" w:eastAsia="宋体" w:cs="Times New Roman"/>
                <w:color w:val="auto"/>
                <w:szCs w:val="24"/>
                <w:highlight w:val="none"/>
                <w:lang w:val="en-US" w:eastAsia="zh-CN"/>
              </w:rPr>
              <w:t>5</w:t>
            </w:r>
            <w:r>
              <w:rPr>
                <w:rFonts w:hint="default" w:ascii="Times New Roman" w:hAnsi="Times New Roman" w:eastAsia="宋体" w:cs="Times New Roman"/>
                <w:color w:val="auto"/>
                <w:szCs w:val="24"/>
                <w:highlight w:val="none"/>
              </w:rPr>
              <w:t>年版）中HW49其他废物类别中“烟气、VOCs 治理过程（不包括餐饮行业油烟治理过程）产生的废活性炭”，废物代码900-039-49</w:t>
            </w:r>
            <w:r>
              <w:rPr>
                <w:rFonts w:hint="eastAsia" w:eastAsia="宋体" w:cs="Times New Roman"/>
                <w:color w:val="auto"/>
                <w:szCs w:val="24"/>
                <w:highlight w:val="none"/>
                <w:lang w:eastAsia="zh-CN"/>
              </w:rPr>
              <w:t>；</w:t>
            </w:r>
            <w:r>
              <w:rPr>
                <w:rFonts w:hint="default" w:ascii="Times New Roman" w:hAnsi="Times New Roman" w:eastAsia="宋体" w:cs="Times New Roman"/>
                <w:color w:val="auto"/>
                <w:szCs w:val="24"/>
                <w:highlight w:val="none"/>
              </w:rPr>
              <w:t>废活</w:t>
            </w:r>
            <w:r>
              <w:rPr>
                <w:rFonts w:hint="default"/>
                <w:color w:val="auto"/>
              </w:rPr>
              <w:t>性炭</w:t>
            </w:r>
            <w:r>
              <w:rPr>
                <w:rFonts w:hint="eastAsia"/>
                <w:color w:val="auto"/>
                <w:lang w:val="en-US" w:eastAsia="zh-CN"/>
              </w:rPr>
              <w:t>由厂家更换带走，不暂存；为了达到处理效果，</w:t>
            </w:r>
            <w:r>
              <w:rPr>
                <w:rFonts w:hint="eastAsia" w:ascii="Times New Roman" w:hAnsi="Times New Roman" w:cs="Times New Roman"/>
                <w:b w:val="0"/>
                <w:color w:val="auto"/>
                <w:kern w:val="2"/>
                <w:szCs w:val="24"/>
                <w:lang w:val="en-US" w:eastAsia="zh-CN" w:bidi="ar-SA"/>
              </w:rPr>
              <w:t>活性炭每3个月更换一次</w:t>
            </w:r>
            <w:r>
              <w:rPr>
                <w:rFonts w:hint="default"/>
                <w:color w:val="auto"/>
              </w:rPr>
              <w:t>。</w:t>
            </w:r>
          </w:p>
          <w:p w14:paraId="16E1D19A">
            <w:pPr>
              <w:pStyle w:val="51"/>
              <w:bidi w:val="0"/>
              <w:rPr>
                <w:rFonts w:hint="eastAsia"/>
                <w:color w:val="auto"/>
                <w:lang w:val="en-US" w:eastAsia="zh-CN"/>
              </w:rPr>
            </w:pPr>
            <w:r>
              <w:rPr>
                <w:rFonts w:hint="default"/>
                <w:color w:val="auto"/>
              </w:rPr>
              <w:t>②</w:t>
            </w:r>
            <w:r>
              <w:rPr>
                <w:rFonts w:hint="eastAsia"/>
                <w:color w:val="auto"/>
                <w:lang w:val="en-US" w:eastAsia="zh-CN"/>
              </w:rPr>
              <w:t>过滤网残渣</w:t>
            </w:r>
          </w:p>
          <w:p w14:paraId="4C49D84D">
            <w:pPr>
              <w:pStyle w:val="51"/>
              <w:bidi w:val="0"/>
              <w:rPr>
                <w:rFonts w:hint="eastAsia"/>
                <w:color w:val="auto"/>
                <w:lang w:val="en-US" w:eastAsia="zh-CN"/>
              </w:rPr>
            </w:pPr>
            <w:r>
              <w:rPr>
                <w:rFonts w:hint="eastAsia"/>
                <w:color w:val="auto"/>
                <w:lang w:val="en-US" w:eastAsia="zh-CN"/>
              </w:rPr>
              <w:t>项目真空烧网炉处理过滤网产生过滤网残渣量约为0.25t/a，主要成分为焦油，</w:t>
            </w:r>
            <w:r>
              <w:rPr>
                <w:color w:val="auto"/>
              </w:rPr>
              <w:t>根据《国家危险废物名录》</w:t>
            </w:r>
            <w:r>
              <w:rPr>
                <w:rFonts w:hint="eastAsia"/>
                <w:color w:val="auto"/>
                <w:lang w:eastAsia="zh-CN"/>
              </w:rPr>
              <w:t>（</w:t>
            </w:r>
            <w:r>
              <w:rPr>
                <w:rFonts w:hint="eastAsia"/>
                <w:color w:val="auto"/>
                <w:lang w:val="en-US" w:eastAsia="zh-CN"/>
              </w:rPr>
              <w:t>2025年版）</w:t>
            </w:r>
            <w:r>
              <w:rPr>
                <w:color w:val="auto"/>
              </w:rPr>
              <w:t>，</w:t>
            </w:r>
            <w:r>
              <w:rPr>
                <w:rFonts w:hint="default"/>
                <w:color w:val="auto"/>
                <w:lang w:val="en-US" w:eastAsia="zh-CN"/>
              </w:rPr>
              <w:t>其危废代码为HW08废矿物油与含矿物油废物9</w:t>
            </w:r>
            <w:r>
              <w:rPr>
                <w:rFonts w:hint="default" w:ascii="Times New Roman" w:hAnsi="Times New Roman" w:cs="Times New Roman"/>
                <w:color w:val="auto"/>
                <w:szCs w:val="24"/>
                <w:highlight w:val="none"/>
                <w:lang w:val="en-US" w:eastAsia="zh-CN"/>
              </w:rPr>
              <w:t>00-</w:t>
            </w:r>
            <w:r>
              <w:rPr>
                <w:rFonts w:hint="eastAsia" w:ascii="Times New Roman" w:hAnsi="Times New Roman" w:cs="Times New Roman"/>
                <w:color w:val="auto"/>
                <w:szCs w:val="24"/>
                <w:highlight w:val="none"/>
                <w:lang w:val="en-US" w:eastAsia="zh-CN"/>
              </w:rPr>
              <w:t>249-08</w:t>
            </w:r>
            <w:r>
              <w:rPr>
                <w:rFonts w:hint="default" w:ascii="Times New Roman" w:hAnsi="Times New Roman" w:eastAsia="宋体" w:cs="Times New Roman"/>
                <w:b w:val="0"/>
                <w:bCs w:val="0"/>
                <w:strike w:val="0"/>
                <w:dstrike w:val="0"/>
                <w:color w:val="auto"/>
                <w:szCs w:val="24"/>
                <w:highlight w:val="none"/>
                <w:lang w:val="en-US" w:eastAsia="zh-CN"/>
              </w:rPr>
              <w:t>其他生产、销售、使用过程中产生的废矿物油及沾染矿物油的废弃包装物</w:t>
            </w:r>
            <w:r>
              <w:rPr>
                <w:rFonts w:hint="eastAsia" w:ascii="Times New Roman" w:hAnsi="Times New Roman" w:eastAsia="宋体" w:cs="Times New Roman"/>
                <w:b w:val="0"/>
                <w:bCs w:val="0"/>
                <w:strike w:val="0"/>
                <w:dstrike w:val="0"/>
                <w:color w:val="auto"/>
                <w:szCs w:val="24"/>
                <w:highlight w:val="none"/>
                <w:lang w:val="en-US" w:eastAsia="zh-CN"/>
              </w:rPr>
              <w:t>，利用收集桶暂存于危废暂存间，定期交由有资质</w:t>
            </w:r>
            <w:r>
              <w:rPr>
                <w:rFonts w:hint="eastAsia"/>
                <w:color w:val="auto"/>
                <w:lang w:val="en-US" w:eastAsia="zh-CN"/>
              </w:rPr>
              <w:t>单位进行处置。</w:t>
            </w:r>
          </w:p>
          <w:p w14:paraId="4A93F24F">
            <w:pPr>
              <w:pStyle w:val="51"/>
              <w:ind w:firstLine="482"/>
              <w:rPr>
                <w:rFonts w:hint="default" w:ascii="Times New Roman" w:hAnsi="Times New Roman" w:cs="Times New Roman"/>
                <w:b/>
                <w:color w:val="auto"/>
              </w:rPr>
            </w:pPr>
            <w:r>
              <w:rPr>
                <w:rFonts w:hint="default" w:ascii="Times New Roman" w:hAnsi="Times New Roman" w:cs="Times New Roman"/>
                <w:b/>
                <w:color w:val="auto"/>
              </w:rPr>
              <w:t>2、固体废物影响分析</w:t>
            </w:r>
          </w:p>
          <w:p w14:paraId="09166D9C">
            <w:pPr>
              <w:pStyle w:val="51"/>
              <w:ind w:firstLine="480"/>
              <w:rPr>
                <w:rFonts w:hint="default" w:ascii="Times New Roman" w:hAnsi="Times New Roman" w:cs="Times New Roman"/>
                <w:color w:val="auto"/>
              </w:rPr>
            </w:pPr>
            <w:r>
              <w:rPr>
                <w:rFonts w:hint="default" w:ascii="Times New Roman" w:hAnsi="Times New Roman" w:cs="Times New Roman"/>
                <w:color w:val="auto"/>
              </w:rPr>
              <w:t>固废产生及处置情况见下表。</w:t>
            </w:r>
          </w:p>
          <w:p w14:paraId="7C3C262F">
            <w:pPr>
              <w:pStyle w:val="52"/>
              <w:rPr>
                <w:rFonts w:hint="default" w:ascii="Times New Roman" w:hAnsi="Times New Roman" w:cs="Times New Roman"/>
                <w:color w:val="auto"/>
              </w:rPr>
            </w:pPr>
            <w:r>
              <w:rPr>
                <w:rFonts w:hint="default" w:ascii="Times New Roman" w:hAnsi="Times New Roman" w:cs="Times New Roman"/>
                <w:color w:val="auto"/>
              </w:rPr>
              <w:t>表4-10     项目固体废物产生及处置一览表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1"/>
              <w:gridCol w:w="482"/>
              <w:gridCol w:w="1117"/>
              <w:gridCol w:w="592"/>
              <w:gridCol w:w="373"/>
              <w:gridCol w:w="548"/>
              <w:gridCol w:w="740"/>
              <w:gridCol w:w="830"/>
              <w:gridCol w:w="1251"/>
              <w:gridCol w:w="800"/>
              <w:gridCol w:w="722"/>
            </w:tblGrid>
            <w:tr w14:paraId="6BB0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4CEDAF9C">
                  <w:pPr>
                    <w:pStyle w:val="53"/>
                    <w:rPr>
                      <w:rFonts w:hint="default" w:ascii="Times New Roman" w:hAnsi="Times New Roman" w:cs="Times New Roman"/>
                      <w:color w:val="auto"/>
                    </w:rPr>
                  </w:pPr>
                  <w:r>
                    <w:rPr>
                      <w:rFonts w:hint="default" w:ascii="Times New Roman" w:hAnsi="Times New Roman" w:cs="Times New Roman"/>
                      <w:color w:val="auto"/>
                    </w:rPr>
                    <w:t>产生环节</w:t>
                  </w:r>
                </w:p>
              </w:tc>
              <w:tc>
                <w:tcPr>
                  <w:tcW w:w="482" w:type="dxa"/>
                  <w:tcBorders>
                    <w:tl2br w:val="nil"/>
                    <w:tr2bl w:val="nil"/>
                  </w:tcBorders>
                  <w:vAlign w:val="center"/>
                </w:tcPr>
                <w:p w14:paraId="45C14C8E">
                  <w:pPr>
                    <w:pStyle w:val="53"/>
                    <w:rPr>
                      <w:rFonts w:hint="default" w:ascii="Times New Roman" w:hAnsi="Times New Roman" w:cs="Times New Roman"/>
                      <w:color w:val="auto"/>
                    </w:rPr>
                  </w:pPr>
                  <w:r>
                    <w:rPr>
                      <w:rFonts w:hint="default" w:ascii="Times New Roman" w:hAnsi="Times New Roman" w:cs="Times New Roman"/>
                      <w:color w:val="auto"/>
                    </w:rPr>
                    <w:t>名称</w:t>
                  </w:r>
                </w:p>
              </w:tc>
              <w:tc>
                <w:tcPr>
                  <w:tcW w:w="1117" w:type="dxa"/>
                  <w:tcBorders>
                    <w:tl2br w:val="nil"/>
                    <w:tr2bl w:val="nil"/>
                  </w:tcBorders>
                  <w:vAlign w:val="center"/>
                </w:tcPr>
                <w:p w14:paraId="17F86F5A">
                  <w:pPr>
                    <w:pStyle w:val="53"/>
                    <w:rPr>
                      <w:rFonts w:hint="default" w:ascii="Times New Roman" w:hAnsi="Times New Roman" w:cs="Times New Roman"/>
                      <w:color w:val="auto"/>
                    </w:rPr>
                  </w:pPr>
                  <w:r>
                    <w:rPr>
                      <w:rFonts w:hint="default" w:ascii="Times New Roman" w:hAnsi="Times New Roman" w:cs="Times New Roman"/>
                      <w:color w:val="auto"/>
                    </w:rPr>
                    <w:t>属性</w:t>
                  </w:r>
                </w:p>
              </w:tc>
              <w:tc>
                <w:tcPr>
                  <w:tcW w:w="592" w:type="dxa"/>
                  <w:tcBorders>
                    <w:tl2br w:val="nil"/>
                    <w:tr2bl w:val="nil"/>
                  </w:tcBorders>
                  <w:vAlign w:val="center"/>
                </w:tcPr>
                <w:p w14:paraId="3BCFB00A">
                  <w:pPr>
                    <w:pStyle w:val="53"/>
                    <w:rPr>
                      <w:rFonts w:hint="default" w:ascii="Times New Roman" w:hAnsi="Times New Roman" w:cs="Times New Roman"/>
                      <w:color w:val="auto"/>
                    </w:rPr>
                  </w:pPr>
                  <w:r>
                    <w:rPr>
                      <w:rFonts w:hint="default" w:ascii="Times New Roman" w:hAnsi="Times New Roman" w:cs="Times New Roman"/>
                      <w:color w:val="auto"/>
                    </w:rPr>
                    <w:t>主要有毒有害物质名称</w:t>
                  </w:r>
                </w:p>
              </w:tc>
              <w:tc>
                <w:tcPr>
                  <w:tcW w:w="373" w:type="dxa"/>
                  <w:tcBorders>
                    <w:tl2br w:val="nil"/>
                    <w:tr2bl w:val="nil"/>
                  </w:tcBorders>
                  <w:vAlign w:val="center"/>
                </w:tcPr>
                <w:p w14:paraId="4F3B13D4">
                  <w:pPr>
                    <w:pStyle w:val="53"/>
                    <w:rPr>
                      <w:rFonts w:hint="default" w:ascii="Times New Roman" w:hAnsi="Times New Roman" w:cs="Times New Roman"/>
                      <w:color w:val="auto"/>
                    </w:rPr>
                  </w:pPr>
                  <w:r>
                    <w:rPr>
                      <w:rFonts w:hint="default" w:ascii="Times New Roman" w:hAnsi="Times New Roman" w:cs="Times New Roman"/>
                      <w:color w:val="auto"/>
                    </w:rPr>
                    <w:t>物理性状</w:t>
                  </w:r>
                </w:p>
              </w:tc>
              <w:tc>
                <w:tcPr>
                  <w:tcW w:w="548" w:type="dxa"/>
                  <w:tcBorders>
                    <w:tl2br w:val="nil"/>
                    <w:tr2bl w:val="nil"/>
                  </w:tcBorders>
                  <w:vAlign w:val="center"/>
                </w:tcPr>
                <w:p w14:paraId="75CA6925">
                  <w:pPr>
                    <w:pStyle w:val="53"/>
                    <w:rPr>
                      <w:rFonts w:hint="default" w:ascii="Times New Roman" w:hAnsi="Times New Roman" w:cs="Times New Roman"/>
                      <w:color w:val="auto"/>
                    </w:rPr>
                  </w:pPr>
                  <w:r>
                    <w:rPr>
                      <w:rFonts w:hint="default" w:ascii="Times New Roman" w:hAnsi="Times New Roman" w:cs="Times New Roman"/>
                      <w:color w:val="auto"/>
                    </w:rPr>
                    <w:t>环境危险特性</w:t>
                  </w:r>
                </w:p>
              </w:tc>
              <w:tc>
                <w:tcPr>
                  <w:tcW w:w="740" w:type="dxa"/>
                  <w:tcBorders>
                    <w:tl2br w:val="nil"/>
                    <w:tr2bl w:val="nil"/>
                  </w:tcBorders>
                  <w:vAlign w:val="center"/>
                </w:tcPr>
                <w:p w14:paraId="1DAFE68F">
                  <w:pPr>
                    <w:pStyle w:val="53"/>
                    <w:rPr>
                      <w:rFonts w:hint="default" w:ascii="Times New Roman" w:hAnsi="Times New Roman" w:cs="Times New Roman"/>
                      <w:color w:val="auto"/>
                    </w:rPr>
                  </w:pPr>
                  <w:r>
                    <w:rPr>
                      <w:rFonts w:hint="default" w:ascii="Times New Roman" w:hAnsi="Times New Roman" w:cs="Times New Roman"/>
                      <w:color w:val="auto"/>
                    </w:rPr>
                    <w:t>产生量（t/a）</w:t>
                  </w:r>
                </w:p>
              </w:tc>
              <w:tc>
                <w:tcPr>
                  <w:tcW w:w="830" w:type="dxa"/>
                  <w:tcBorders>
                    <w:tl2br w:val="nil"/>
                    <w:tr2bl w:val="nil"/>
                  </w:tcBorders>
                  <w:vAlign w:val="center"/>
                </w:tcPr>
                <w:p w14:paraId="170A3564">
                  <w:pPr>
                    <w:pStyle w:val="53"/>
                    <w:rPr>
                      <w:rFonts w:hint="default" w:ascii="Times New Roman" w:hAnsi="Times New Roman" w:cs="Times New Roman"/>
                      <w:color w:val="auto"/>
                    </w:rPr>
                  </w:pPr>
                  <w:r>
                    <w:rPr>
                      <w:rFonts w:hint="default" w:ascii="Times New Roman" w:hAnsi="Times New Roman" w:cs="Times New Roman"/>
                      <w:color w:val="auto"/>
                    </w:rPr>
                    <w:t>贮存方式</w:t>
                  </w:r>
                </w:p>
              </w:tc>
              <w:tc>
                <w:tcPr>
                  <w:tcW w:w="1251" w:type="dxa"/>
                  <w:tcBorders>
                    <w:tl2br w:val="nil"/>
                    <w:tr2bl w:val="nil"/>
                  </w:tcBorders>
                  <w:vAlign w:val="center"/>
                </w:tcPr>
                <w:p w14:paraId="535106D4">
                  <w:pPr>
                    <w:pStyle w:val="53"/>
                    <w:rPr>
                      <w:rFonts w:hint="default" w:ascii="Times New Roman" w:hAnsi="Times New Roman" w:cs="Times New Roman"/>
                      <w:color w:val="auto"/>
                    </w:rPr>
                  </w:pPr>
                  <w:r>
                    <w:rPr>
                      <w:rFonts w:hint="default" w:ascii="Times New Roman" w:hAnsi="Times New Roman" w:cs="Times New Roman"/>
                      <w:color w:val="auto"/>
                    </w:rPr>
                    <w:t>利用处置方式和去向</w:t>
                  </w:r>
                </w:p>
              </w:tc>
              <w:tc>
                <w:tcPr>
                  <w:tcW w:w="800" w:type="dxa"/>
                  <w:tcBorders>
                    <w:tl2br w:val="nil"/>
                    <w:tr2bl w:val="nil"/>
                  </w:tcBorders>
                  <w:vAlign w:val="center"/>
                </w:tcPr>
                <w:p w14:paraId="1753C2CB">
                  <w:pPr>
                    <w:pStyle w:val="53"/>
                    <w:rPr>
                      <w:rFonts w:hint="default" w:ascii="Times New Roman" w:hAnsi="Times New Roman" w:cs="Times New Roman"/>
                      <w:color w:val="auto"/>
                    </w:rPr>
                  </w:pPr>
                  <w:r>
                    <w:rPr>
                      <w:rFonts w:hint="default" w:ascii="Times New Roman" w:hAnsi="Times New Roman" w:cs="Times New Roman"/>
                      <w:color w:val="auto"/>
                    </w:rPr>
                    <w:t>利用或处置量（t/a）</w:t>
                  </w:r>
                </w:p>
              </w:tc>
              <w:tc>
                <w:tcPr>
                  <w:tcW w:w="722" w:type="dxa"/>
                  <w:tcBorders>
                    <w:tl2br w:val="nil"/>
                    <w:tr2bl w:val="nil"/>
                  </w:tcBorders>
                  <w:vAlign w:val="center"/>
                </w:tcPr>
                <w:p w14:paraId="002EE7D3">
                  <w:pPr>
                    <w:pStyle w:val="53"/>
                    <w:rPr>
                      <w:rFonts w:hint="default" w:ascii="Times New Roman" w:hAnsi="Times New Roman" w:cs="Times New Roman"/>
                      <w:color w:val="auto"/>
                    </w:rPr>
                  </w:pPr>
                  <w:r>
                    <w:rPr>
                      <w:rFonts w:hint="default" w:ascii="Times New Roman" w:hAnsi="Times New Roman" w:cs="Times New Roman"/>
                      <w:color w:val="auto"/>
                    </w:rPr>
                    <w:t>环境管理要求</w:t>
                  </w:r>
                </w:p>
              </w:tc>
            </w:tr>
            <w:tr w14:paraId="5E47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0FCF27F3">
                  <w:pPr>
                    <w:pStyle w:val="53"/>
                    <w:rPr>
                      <w:rFonts w:hint="default" w:ascii="Times New Roman" w:hAnsi="Times New Roman" w:cs="Times New Roman"/>
                      <w:color w:val="auto"/>
                    </w:rPr>
                  </w:pPr>
                  <w:r>
                    <w:rPr>
                      <w:rFonts w:hint="default" w:ascii="Times New Roman" w:hAnsi="Times New Roman" w:cs="Times New Roman"/>
                      <w:color w:val="auto"/>
                    </w:rPr>
                    <w:t>生活</w:t>
                  </w:r>
                </w:p>
              </w:tc>
              <w:tc>
                <w:tcPr>
                  <w:tcW w:w="482" w:type="dxa"/>
                  <w:tcBorders>
                    <w:tl2br w:val="nil"/>
                    <w:tr2bl w:val="nil"/>
                  </w:tcBorders>
                  <w:vAlign w:val="center"/>
                </w:tcPr>
                <w:p w14:paraId="35D55D7A">
                  <w:pPr>
                    <w:pStyle w:val="53"/>
                    <w:rPr>
                      <w:rFonts w:hint="default" w:ascii="Times New Roman" w:hAnsi="Times New Roman" w:cs="Times New Roman"/>
                      <w:color w:val="auto"/>
                    </w:rPr>
                  </w:pPr>
                  <w:r>
                    <w:rPr>
                      <w:rFonts w:hint="default" w:ascii="Times New Roman" w:hAnsi="Times New Roman" w:cs="Times New Roman"/>
                      <w:color w:val="auto"/>
                    </w:rPr>
                    <w:t>生活垃圾</w:t>
                  </w:r>
                </w:p>
              </w:tc>
              <w:tc>
                <w:tcPr>
                  <w:tcW w:w="1117" w:type="dxa"/>
                  <w:tcBorders>
                    <w:tl2br w:val="nil"/>
                    <w:tr2bl w:val="nil"/>
                  </w:tcBorders>
                  <w:vAlign w:val="center"/>
                </w:tcPr>
                <w:p w14:paraId="61D90FDE">
                  <w:pPr>
                    <w:pStyle w:val="53"/>
                    <w:rPr>
                      <w:rFonts w:hint="default" w:ascii="Times New Roman" w:hAnsi="Times New Roman" w:eastAsia="宋体" w:cs="Times New Roman"/>
                      <w:color w:val="auto"/>
                      <w:lang w:val="en-US" w:eastAsia="zh-CN"/>
                    </w:rPr>
                  </w:pPr>
                  <w:r>
                    <w:rPr>
                      <w:rFonts w:hint="default" w:ascii="Times New Roman" w:hAnsi="Times New Roman" w:cs="Times New Roman"/>
                      <w:color w:val="auto"/>
                    </w:rPr>
                    <w:t>一般固废900-</w:t>
                  </w:r>
                  <w:r>
                    <w:rPr>
                      <w:rFonts w:hint="eastAsia" w:ascii="Times New Roman" w:hAnsi="Times New Roman" w:cs="Times New Roman"/>
                      <w:color w:val="auto"/>
                      <w:lang w:val="en-US" w:eastAsia="zh-CN"/>
                    </w:rPr>
                    <w:t>0</w:t>
                  </w:r>
                  <w:r>
                    <w:rPr>
                      <w:rFonts w:hint="default" w:ascii="Times New Roman" w:hAnsi="Times New Roman" w:cs="Times New Roman"/>
                      <w:color w:val="auto"/>
                    </w:rPr>
                    <w:t>99-</w:t>
                  </w:r>
                  <w:r>
                    <w:rPr>
                      <w:rFonts w:hint="eastAsia" w:ascii="Times New Roman" w:hAnsi="Times New Roman" w:cs="Times New Roman"/>
                      <w:color w:val="auto"/>
                      <w:lang w:val="en-US" w:eastAsia="zh-CN"/>
                    </w:rPr>
                    <w:t>S64</w:t>
                  </w:r>
                </w:p>
              </w:tc>
              <w:tc>
                <w:tcPr>
                  <w:tcW w:w="592" w:type="dxa"/>
                  <w:tcBorders>
                    <w:tl2br w:val="nil"/>
                    <w:tr2bl w:val="nil"/>
                  </w:tcBorders>
                  <w:vAlign w:val="center"/>
                </w:tcPr>
                <w:p w14:paraId="1CCD689F">
                  <w:pPr>
                    <w:pStyle w:val="53"/>
                    <w:rPr>
                      <w:rFonts w:hint="default" w:ascii="Times New Roman" w:hAnsi="Times New Roman" w:cs="Times New Roman"/>
                      <w:color w:val="auto"/>
                    </w:rPr>
                  </w:pPr>
                  <w:r>
                    <w:rPr>
                      <w:rFonts w:hint="default" w:ascii="Times New Roman" w:hAnsi="Times New Roman" w:cs="Times New Roman"/>
                      <w:color w:val="auto"/>
                    </w:rPr>
                    <w:t>/</w:t>
                  </w:r>
                </w:p>
              </w:tc>
              <w:tc>
                <w:tcPr>
                  <w:tcW w:w="373" w:type="dxa"/>
                  <w:tcBorders>
                    <w:tl2br w:val="nil"/>
                    <w:tr2bl w:val="nil"/>
                  </w:tcBorders>
                  <w:vAlign w:val="center"/>
                </w:tcPr>
                <w:p w14:paraId="6CA41CFA">
                  <w:pPr>
                    <w:pStyle w:val="53"/>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2891487F">
                  <w:pPr>
                    <w:pStyle w:val="53"/>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3496235E">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0.9</w:t>
                  </w:r>
                </w:p>
              </w:tc>
              <w:tc>
                <w:tcPr>
                  <w:tcW w:w="830" w:type="dxa"/>
                  <w:tcBorders>
                    <w:tl2br w:val="nil"/>
                    <w:tr2bl w:val="nil"/>
                  </w:tcBorders>
                  <w:vAlign w:val="center"/>
                </w:tcPr>
                <w:p w14:paraId="463429B9">
                  <w:pPr>
                    <w:pStyle w:val="53"/>
                    <w:rPr>
                      <w:rFonts w:hint="default" w:ascii="Times New Roman" w:hAnsi="Times New Roman" w:cs="Times New Roman"/>
                      <w:color w:val="auto"/>
                    </w:rPr>
                  </w:pPr>
                  <w:r>
                    <w:rPr>
                      <w:rFonts w:hint="default" w:ascii="Times New Roman" w:hAnsi="Times New Roman" w:cs="Times New Roman"/>
                      <w:color w:val="auto"/>
                    </w:rPr>
                    <w:t>分类收集后暂存于垃圾桶中</w:t>
                  </w:r>
                </w:p>
              </w:tc>
              <w:tc>
                <w:tcPr>
                  <w:tcW w:w="1251" w:type="dxa"/>
                  <w:tcBorders>
                    <w:tl2br w:val="nil"/>
                    <w:tr2bl w:val="nil"/>
                  </w:tcBorders>
                  <w:vAlign w:val="center"/>
                </w:tcPr>
                <w:p w14:paraId="1F1ECBB2">
                  <w:pPr>
                    <w:pStyle w:val="53"/>
                    <w:rPr>
                      <w:rFonts w:hint="default" w:ascii="Times New Roman" w:hAnsi="Times New Roman" w:cs="Times New Roman"/>
                      <w:color w:val="auto"/>
                    </w:rPr>
                  </w:pPr>
                  <w:r>
                    <w:rPr>
                      <w:rFonts w:hint="default" w:ascii="Times New Roman" w:hAnsi="Times New Roman" w:cs="Times New Roman"/>
                      <w:color w:val="auto"/>
                    </w:rPr>
                    <w:t>收集后运至当地垃圾收集点处置</w:t>
                  </w:r>
                </w:p>
              </w:tc>
              <w:tc>
                <w:tcPr>
                  <w:tcW w:w="800" w:type="dxa"/>
                  <w:tcBorders>
                    <w:tl2br w:val="nil"/>
                    <w:tr2bl w:val="nil"/>
                  </w:tcBorders>
                  <w:vAlign w:val="center"/>
                </w:tcPr>
                <w:p w14:paraId="2CA8FDA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0.9</w:t>
                  </w:r>
                </w:p>
              </w:tc>
              <w:tc>
                <w:tcPr>
                  <w:tcW w:w="722" w:type="dxa"/>
                  <w:tcBorders>
                    <w:tl2br w:val="nil"/>
                    <w:tr2bl w:val="nil"/>
                  </w:tcBorders>
                  <w:vAlign w:val="center"/>
                </w:tcPr>
                <w:p w14:paraId="36E8F0AF">
                  <w:pPr>
                    <w:pStyle w:val="53"/>
                    <w:rPr>
                      <w:rFonts w:hint="default" w:ascii="Times New Roman" w:hAnsi="Times New Roman" w:cs="Times New Roman"/>
                      <w:color w:val="auto"/>
                    </w:rPr>
                  </w:pPr>
                  <w:r>
                    <w:rPr>
                      <w:rFonts w:hint="default"/>
                      <w:color w:val="auto"/>
                      <w:lang w:val="en-US" w:eastAsia="zh-CN"/>
                    </w:rPr>
                    <w:t>日产日清</w:t>
                  </w:r>
                </w:p>
              </w:tc>
            </w:tr>
            <w:tr w14:paraId="00CB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5256F4ED">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生产</w:t>
                  </w:r>
                </w:p>
              </w:tc>
              <w:tc>
                <w:tcPr>
                  <w:tcW w:w="482" w:type="dxa"/>
                  <w:tcBorders>
                    <w:tl2br w:val="nil"/>
                    <w:tr2bl w:val="nil"/>
                  </w:tcBorders>
                  <w:vAlign w:val="center"/>
                </w:tcPr>
                <w:p w14:paraId="4DFDB4C5">
                  <w:pPr>
                    <w:pStyle w:val="53"/>
                    <w:rPr>
                      <w:rFonts w:hint="default" w:ascii="Times New Roman" w:hAnsi="Times New Roman" w:cs="Times New Roman"/>
                      <w:color w:val="auto"/>
                    </w:rPr>
                  </w:pPr>
                  <w:r>
                    <w:rPr>
                      <w:rFonts w:hint="default"/>
                      <w:color w:val="auto"/>
                    </w:rPr>
                    <w:t>边角料和不合格产品</w:t>
                  </w:r>
                </w:p>
              </w:tc>
              <w:tc>
                <w:tcPr>
                  <w:tcW w:w="1117" w:type="dxa"/>
                  <w:tcBorders>
                    <w:tl2br w:val="nil"/>
                    <w:tr2bl w:val="nil"/>
                  </w:tcBorders>
                  <w:vAlign w:val="center"/>
                </w:tcPr>
                <w:p w14:paraId="73FAE488">
                  <w:pPr>
                    <w:pStyle w:val="53"/>
                    <w:rPr>
                      <w:rFonts w:hint="default" w:ascii="Times New Roman" w:hAnsi="Times New Roman" w:cs="Times New Roman"/>
                      <w:color w:val="auto"/>
                    </w:rPr>
                  </w:pPr>
                  <w:r>
                    <w:rPr>
                      <w:rFonts w:hint="default" w:ascii="Times New Roman" w:hAnsi="Times New Roman" w:cs="Times New Roman"/>
                      <w:color w:val="auto"/>
                      <w:highlight w:val="none"/>
                    </w:rPr>
                    <w:t>一般固废900-</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rPr>
                    <w:t>99-</w:t>
                  </w:r>
                  <w:r>
                    <w:rPr>
                      <w:rFonts w:hint="eastAsia" w:ascii="Times New Roman" w:hAnsi="Times New Roman" w:cs="Times New Roman"/>
                      <w:color w:val="auto"/>
                      <w:highlight w:val="none"/>
                      <w:lang w:val="en-US" w:eastAsia="zh-CN"/>
                    </w:rPr>
                    <w:t>S5</w:t>
                  </w:r>
                  <w:r>
                    <w:rPr>
                      <w:rFonts w:hint="default" w:ascii="Times New Roman" w:hAnsi="Times New Roman" w:cs="Times New Roman"/>
                      <w:color w:val="auto"/>
                      <w:highlight w:val="none"/>
                    </w:rPr>
                    <w:t>9</w:t>
                  </w:r>
                </w:p>
              </w:tc>
              <w:tc>
                <w:tcPr>
                  <w:tcW w:w="592" w:type="dxa"/>
                  <w:tcBorders>
                    <w:tl2br w:val="nil"/>
                    <w:tr2bl w:val="nil"/>
                  </w:tcBorders>
                  <w:vAlign w:val="center"/>
                </w:tcPr>
                <w:p w14:paraId="41971F18">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373" w:type="dxa"/>
                  <w:tcBorders>
                    <w:tl2br w:val="nil"/>
                    <w:tr2bl w:val="nil"/>
                  </w:tcBorders>
                  <w:vAlign w:val="center"/>
                </w:tcPr>
                <w:p w14:paraId="5FE3A593">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23729347">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061A4A1B">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c>
                <w:tcPr>
                  <w:tcW w:w="830" w:type="dxa"/>
                  <w:tcBorders>
                    <w:tl2br w:val="nil"/>
                    <w:tr2bl w:val="nil"/>
                  </w:tcBorders>
                  <w:vAlign w:val="center"/>
                </w:tcPr>
                <w:p w14:paraId="43B32C96">
                  <w:pPr>
                    <w:pStyle w:val="53"/>
                    <w:rPr>
                      <w:rFonts w:hint="default" w:ascii="Times New Roman" w:hAnsi="Times New Roman" w:cs="Times New Roman"/>
                      <w:color w:val="auto"/>
                    </w:rPr>
                  </w:pPr>
                  <w:r>
                    <w:rPr>
                      <w:rFonts w:hint="eastAsia"/>
                      <w:color w:val="auto"/>
                      <w:lang w:val="en-US" w:eastAsia="zh-CN"/>
                    </w:rPr>
                    <w:t>集中收集</w:t>
                  </w:r>
                </w:p>
              </w:tc>
              <w:tc>
                <w:tcPr>
                  <w:tcW w:w="1251" w:type="dxa"/>
                  <w:tcBorders>
                    <w:tl2br w:val="nil"/>
                    <w:tr2bl w:val="nil"/>
                  </w:tcBorders>
                  <w:vAlign w:val="center"/>
                </w:tcPr>
                <w:p w14:paraId="4469D9D6">
                  <w:pPr>
                    <w:pStyle w:val="53"/>
                    <w:rPr>
                      <w:rFonts w:hint="default" w:ascii="Times New Roman" w:hAnsi="Times New Roman" w:cs="Times New Roman"/>
                      <w:color w:val="auto"/>
                    </w:rPr>
                  </w:pPr>
                  <w:r>
                    <w:rPr>
                      <w:rFonts w:hint="default" w:ascii="Times New Roman" w:hAnsi="Times New Roman" w:eastAsia="宋体" w:cs="Times New Roman"/>
                      <w:color w:val="auto"/>
                      <w:szCs w:val="24"/>
                      <w:highlight w:val="none"/>
                    </w:rPr>
                    <w:t>经收集后全部回用</w:t>
                  </w:r>
                  <w:r>
                    <w:rPr>
                      <w:rFonts w:hint="default"/>
                      <w:color w:val="auto"/>
                    </w:rPr>
                    <w:t>于生产</w:t>
                  </w:r>
                </w:p>
              </w:tc>
              <w:tc>
                <w:tcPr>
                  <w:tcW w:w="800" w:type="dxa"/>
                  <w:tcBorders>
                    <w:tl2br w:val="nil"/>
                    <w:tr2bl w:val="nil"/>
                  </w:tcBorders>
                  <w:vAlign w:val="center"/>
                </w:tcPr>
                <w:p w14:paraId="653D0C1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100</w:t>
                  </w:r>
                </w:p>
              </w:tc>
              <w:tc>
                <w:tcPr>
                  <w:tcW w:w="722" w:type="dxa"/>
                  <w:tcBorders>
                    <w:tl2br w:val="nil"/>
                    <w:tr2bl w:val="nil"/>
                  </w:tcBorders>
                  <w:vAlign w:val="center"/>
                </w:tcPr>
                <w:p w14:paraId="5934AE01">
                  <w:pPr>
                    <w:pStyle w:val="53"/>
                    <w:rPr>
                      <w:rFonts w:hint="default" w:ascii="Times New Roman" w:hAnsi="Times New Roman" w:cs="Times New Roman"/>
                      <w:color w:val="auto"/>
                    </w:rPr>
                  </w:pPr>
                  <w:r>
                    <w:rPr>
                      <w:rFonts w:hint="eastAsia"/>
                      <w:color w:val="auto"/>
                      <w:lang w:val="en-US" w:eastAsia="zh-CN"/>
                    </w:rPr>
                    <w:t>即产即清</w:t>
                  </w:r>
                </w:p>
              </w:tc>
            </w:tr>
            <w:tr w14:paraId="62A00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79BBDF0A">
                  <w:pPr>
                    <w:pStyle w:val="53"/>
                    <w:rPr>
                      <w:rFonts w:hint="default" w:cs="Times New Roman"/>
                      <w:color w:val="auto"/>
                      <w:lang w:val="en-US" w:eastAsia="zh-CN"/>
                    </w:rPr>
                  </w:pPr>
                  <w:r>
                    <w:rPr>
                      <w:rFonts w:hint="eastAsia" w:cs="Times New Roman"/>
                      <w:color w:val="auto"/>
                      <w:lang w:val="en-US" w:eastAsia="zh-CN"/>
                    </w:rPr>
                    <w:t>冷却</w:t>
                  </w:r>
                </w:p>
              </w:tc>
              <w:tc>
                <w:tcPr>
                  <w:tcW w:w="482" w:type="dxa"/>
                  <w:tcBorders>
                    <w:tl2br w:val="nil"/>
                    <w:tr2bl w:val="nil"/>
                  </w:tcBorders>
                  <w:vAlign w:val="center"/>
                </w:tcPr>
                <w:p w14:paraId="1581B9B9">
                  <w:pPr>
                    <w:pStyle w:val="53"/>
                    <w:rPr>
                      <w:rFonts w:hint="default" w:eastAsia="宋体"/>
                      <w:color w:val="auto"/>
                      <w:lang w:val="en-US" w:eastAsia="zh-CN"/>
                    </w:rPr>
                  </w:pPr>
                  <w:r>
                    <w:rPr>
                      <w:rFonts w:hint="eastAsia"/>
                      <w:color w:val="auto"/>
                      <w:lang w:val="en-US" w:eastAsia="zh-CN"/>
                    </w:rPr>
                    <w:t>循环水收集箱沉渣</w:t>
                  </w:r>
                </w:p>
              </w:tc>
              <w:tc>
                <w:tcPr>
                  <w:tcW w:w="1117" w:type="dxa"/>
                  <w:tcBorders>
                    <w:tl2br w:val="nil"/>
                    <w:tr2bl w:val="nil"/>
                  </w:tcBorders>
                  <w:vAlign w:val="center"/>
                </w:tcPr>
                <w:p w14:paraId="49736299">
                  <w:pPr>
                    <w:pStyle w:val="53"/>
                    <w:ind w:firstLine="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一般固废900-</w:t>
                  </w:r>
                  <w:r>
                    <w:rPr>
                      <w:rFonts w:hint="eastAsia" w:ascii="Times New Roman" w:hAnsi="Times New Roman" w:cs="Times New Roman"/>
                      <w:color w:val="auto"/>
                      <w:highlight w:val="none"/>
                      <w:lang w:val="en-US" w:eastAsia="zh-CN"/>
                    </w:rPr>
                    <w:t>0</w:t>
                  </w:r>
                  <w:r>
                    <w:rPr>
                      <w:rFonts w:hint="default" w:ascii="Times New Roman" w:hAnsi="Times New Roman" w:cs="Times New Roman"/>
                      <w:color w:val="auto"/>
                      <w:highlight w:val="none"/>
                    </w:rPr>
                    <w:t>99-</w:t>
                  </w:r>
                  <w:r>
                    <w:rPr>
                      <w:rFonts w:hint="eastAsia" w:ascii="Times New Roman" w:hAnsi="Times New Roman" w:cs="Times New Roman"/>
                      <w:color w:val="auto"/>
                      <w:highlight w:val="none"/>
                      <w:lang w:val="en-US" w:eastAsia="zh-CN"/>
                    </w:rPr>
                    <w:t>S5</w:t>
                  </w:r>
                  <w:r>
                    <w:rPr>
                      <w:rFonts w:hint="default" w:ascii="Times New Roman" w:hAnsi="Times New Roman" w:cs="Times New Roman"/>
                      <w:color w:val="auto"/>
                      <w:highlight w:val="none"/>
                    </w:rPr>
                    <w:t>9</w:t>
                  </w:r>
                </w:p>
              </w:tc>
              <w:tc>
                <w:tcPr>
                  <w:tcW w:w="592" w:type="dxa"/>
                  <w:tcBorders>
                    <w:tl2br w:val="nil"/>
                    <w:tr2bl w:val="nil"/>
                  </w:tcBorders>
                  <w:vAlign w:val="center"/>
                </w:tcPr>
                <w:p w14:paraId="143EC3FE">
                  <w:pPr>
                    <w:pStyle w:val="53"/>
                    <w:ind w:firstLine="0" w:firstLineChars="0"/>
                    <w:rPr>
                      <w:rFonts w:hint="eastAsia" w:cs="Times New Roman"/>
                      <w:color w:val="auto"/>
                      <w:lang w:val="en-US" w:eastAsia="zh-CN"/>
                    </w:rPr>
                  </w:pPr>
                  <w:r>
                    <w:rPr>
                      <w:rFonts w:hint="eastAsia" w:cs="Times New Roman"/>
                      <w:color w:val="auto"/>
                      <w:lang w:val="en-US" w:eastAsia="zh-CN"/>
                    </w:rPr>
                    <w:t>/</w:t>
                  </w:r>
                </w:p>
              </w:tc>
              <w:tc>
                <w:tcPr>
                  <w:tcW w:w="373" w:type="dxa"/>
                  <w:tcBorders>
                    <w:tl2br w:val="nil"/>
                    <w:tr2bl w:val="nil"/>
                  </w:tcBorders>
                  <w:vAlign w:val="center"/>
                </w:tcPr>
                <w:p w14:paraId="6D58A6B3">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150AC853">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58972EC2">
                  <w:pPr>
                    <w:pStyle w:val="53"/>
                    <w:rPr>
                      <w:rFonts w:hint="default" w:cs="Times New Roman"/>
                      <w:color w:val="auto"/>
                      <w:lang w:val="en-US" w:eastAsia="zh-CN"/>
                    </w:rPr>
                  </w:pPr>
                  <w:r>
                    <w:rPr>
                      <w:rFonts w:hint="eastAsia" w:cs="Times New Roman"/>
                      <w:color w:val="auto"/>
                      <w:lang w:val="en-US" w:eastAsia="zh-CN"/>
                    </w:rPr>
                    <w:t>0.005</w:t>
                  </w:r>
                </w:p>
              </w:tc>
              <w:tc>
                <w:tcPr>
                  <w:tcW w:w="830" w:type="dxa"/>
                  <w:tcBorders>
                    <w:tl2br w:val="nil"/>
                    <w:tr2bl w:val="nil"/>
                  </w:tcBorders>
                  <w:vAlign w:val="center"/>
                </w:tcPr>
                <w:p w14:paraId="47DEBA30">
                  <w:pPr>
                    <w:pStyle w:val="53"/>
                    <w:ind w:firstLine="0" w:firstLineChars="0"/>
                    <w:rPr>
                      <w:rFonts w:hint="eastAsia"/>
                      <w:color w:val="auto"/>
                      <w:lang w:val="en-US" w:eastAsia="zh-CN"/>
                    </w:rPr>
                  </w:pPr>
                  <w:r>
                    <w:rPr>
                      <w:rFonts w:hint="eastAsia"/>
                      <w:color w:val="auto"/>
                      <w:lang w:val="en-US" w:eastAsia="zh-CN"/>
                    </w:rPr>
                    <w:t>集中收集</w:t>
                  </w:r>
                </w:p>
              </w:tc>
              <w:tc>
                <w:tcPr>
                  <w:tcW w:w="1251" w:type="dxa"/>
                  <w:tcBorders>
                    <w:tl2br w:val="nil"/>
                    <w:tr2bl w:val="nil"/>
                  </w:tcBorders>
                  <w:vAlign w:val="center"/>
                </w:tcPr>
                <w:p w14:paraId="4B8E2277">
                  <w:pPr>
                    <w:pStyle w:val="53"/>
                    <w:ind w:firstLine="0" w:firstLineChars="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经收集后全部回用</w:t>
                  </w:r>
                  <w:r>
                    <w:rPr>
                      <w:rFonts w:hint="default"/>
                      <w:color w:val="auto"/>
                    </w:rPr>
                    <w:t>于生产</w:t>
                  </w:r>
                </w:p>
              </w:tc>
              <w:tc>
                <w:tcPr>
                  <w:tcW w:w="800" w:type="dxa"/>
                  <w:tcBorders>
                    <w:tl2br w:val="nil"/>
                    <w:tr2bl w:val="nil"/>
                  </w:tcBorders>
                  <w:vAlign w:val="center"/>
                </w:tcPr>
                <w:p w14:paraId="025BAB33">
                  <w:pPr>
                    <w:pStyle w:val="53"/>
                    <w:rPr>
                      <w:rFonts w:hint="default" w:cs="Times New Roman"/>
                      <w:color w:val="auto"/>
                      <w:lang w:val="en-US" w:eastAsia="zh-CN"/>
                    </w:rPr>
                  </w:pPr>
                  <w:r>
                    <w:rPr>
                      <w:rFonts w:hint="eastAsia" w:cs="Times New Roman"/>
                      <w:color w:val="auto"/>
                      <w:lang w:val="en-US" w:eastAsia="zh-CN"/>
                    </w:rPr>
                    <w:t>0.005</w:t>
                  </w:r>
                </w:p>
              </w:tc>
              <w:tc>
                <w:tcPr>
                  <w:tcW w:w="722" w:type="dxa"/>
                  <w:tcBorders>
                    <w:tl2br w:val="nil"/>
                    <w:tr2bl w:val="nil"/>
                  </w:tcBorders>
                  <w:vAlign w:val="center"/>
                </w:tcPr>
                <w:p w14:paraId="6E0CE61C">
                  <w:pPr>
                    <w:pStyle w:val="53"/>
                    <w:rPr>
                      <w:rFonts w:hint="eastAsia"/>
                      <w:color w:val="auto"/>
                      <w:lang w:val="en-US" w:eastAsia="zh-CN"/>
                    </w:rPr>
                  </w:pPr>
                  <w:r>
                    <w:rPr>
                      <w:rFonts w:hint="eastAsia"/>
                      <w:color w:val="auto"/>
                      <w:lang w:val="en-US" w:eastAsia="zh-CN"/>
                    </w:rPr>
                    <w:t>即产即清</w:t>
                  </w:r>
                </w:p>
              </w:tc>
            </w:tr>
            <w:tr w14:paraId="24BD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0B548145">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生产</w:t>
                  </w:r>
                </w:p>
              </w:tc>
              <w:tc>
                <w:tcPr>
                  <w:tcW w:w="482" w:type="dxa"/>
                  <w:tcBorders>
                    <w:tl2br w:val="nil"/>
                    <w:tr2bl w:val="nil"/>
                  </w:tcBorders>
                  <w:vAlign w:val="center"/>
                </w:tcPr>
                <w:p w14:paraId="164BE3A4">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造粒固废</w:t>
                  </w:r>
                </w:p>
              </w:tc>
              <w:tc>
                <w:tcPr>
                  <w:tcW w:w="1117" w:type="dxa"/>
                  <w:tcBorders>
                    <w:tl2br w:val="nil"/>
                    <w:tr2bl w:val="nil"/>
                  </w:tcBorders>
                  <w:vAlign w:val="center"/>
                </w:tcPr>
                <w:p w14:paraId="2507B95C">
                  <w:pPr>
                    <w:pStyle w:val="53"/>
                    <w:rPr>
                      <w:rFonts w:hint="default" w:ascii="Times New Roman" w:hAnsi="Times New Roman" w:cs="Times New Roman"/>
                      <w:color w:val="auto"/>
                    </w:rPr>
                  </w:pPr>
                  <w:r>
                    <w:rPr>
                      <w:rFonts w:hint="default" w:ascii="Times New Roman" w:hAnsi="Times New Roman" w:cs="Times New Roman"/>
                      <w:color w:val="auto"/>
                    </w:rPr>
                    <w:t>一般固废900-</w:t>
                  </w:r>
                  <w:r>
                    <w:rPr>
                      <w:rFonts w:hint="eastAsia" w:ascii="Times New Roman" w:hAnsi="Times New Roman" w:cs="Times New Roman"/>
                      <w:color w:val="auto"/>
                      <w:lang w:val="en-US" w:eastAsia="zh-CN"/>
                    </w:rPr>
                    <w:t>0</w:t>
                  </w:r>
                  <w:r>
                    <w:rPr>
                      <w:rFonts w:hint="default" w:ascii="Times New Roman" w:hAnsi="Times New Roman" w:cs="Times New Roman"/>
                      <w:color w:val="auto"/>
                    </w:rPr>
                    <w:t>99-</w:t>
                  </w:r>
                  <w:r>
                    <w:rPr>
                      <w:rFonts w:hint="eastAsia" w:ascii="Times New Roman" w:hAnsi="Times New Roman" w:cs="Times New Roman"/>
                      <w:color w:val="auto"/>
                      <w:lang w:val="en-US" w:eastAsia="zh-CN"/>
                    </w:rPr>
                    <w:t>S5</w:t>
                  </w:r>
                  <w:r>
                    <w:rPr>
                      <w:rFonts w:hint="default" w:ascii="Times New Roman" w:hAnsi="Times New Roman" w:cs="Times New Roman"/>
                      <w:color w:val="auto"/>
                    </w:rPr>
                    <w:t>9</w:t>
                  </w:r>
                </w:p>
              </w:tc>
              <w:tc>
                <w:tcPr>
                  <w:tcW w:w="592" w:type="dxa"/>
                  <w:tcBorders>
                    <w:tl2br w:val="nil"/>
                    <w:tr2bl w:val="nil"/>
                  </w:tcBorders>
                  <w:vAlign w:val="center"/>
                </w:tcPr>
                <w:p w14:paraId="1465ED1E">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373" w:type="dxa"/>
                  <w:tcBorders>
                    <w:tl2br w:val="nil"/>
                    <w:tr2bl w:val="nil"/>
                  </w:tcBorders>
                  <w:vAlign w:val="center"/>
                </w:tcPr>
                <w:p w14:paraId="0B3DE11F">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6F44CA9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043FFCF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119</w:t>
                  </w:r>
                </w:p>
              </w:tc>
              <w:tc>
                <w:tcPr>
                  <w:tcW w:w="830" w:type="dxa"/>
                  <w:tcBorders>
                    <w:tl2br w:val="nil"/>
                    <w:tr2bl w:val="nil"/>
                  </w:tcBorders>
                  <w:vAlign w:val="center"/>
                </w:tcPr>
                <w:p w14:paraId="3D7E074E">
                  <w:pPr>
                    <w:pStyle w:val="53"/>
                    <w:ind w:firstLine="0" w:firstLineChars="0"/>
                    <w:rPr>
                      <w:rFonts w:hint="default" w:ascii="Times New Roman" w:hAnsi="Times New Roman" w:cs="Times New Roman"/>
                      <w:color w:val="auto"/>
                    </w:rPr>
                  </w:pPr>
                  <w:r>
                    <w:rPr>
                      <w:rFonts w:hint="eastAsia"/>
                      <w:color w:val="auto"/>
                      <w:lang w:val="en-US" w:eastAsia="zh-CN"/>
                    </w:rPr>
                    <w:t>集中收集</w:t>
                  </w:r>
                </w:p>
              </w:tc>
              <w:tc>
                <w:tcPr>
                  <w:tcW w:w="1251" w:type="dxa"/>
                  <w:tcBorders>
                    <w:tl2br w:val="nil"/>
                    <w:tr2bl w:val="nil"/>
                  </w:tcBorders>
                  <w:vAlign w:val="center"/>
                </w:tcPr>
                <w:p w14:paraId="3C911FBA">
                  <w:pPr>
                    <w:pStyle w:val="53"/>
                    <w:ind w:firstLine="0" w:firstLineChars="0"/>
                    <w:rPr>
                      <w:rFonts w:hint="default" w:ascii="Times New Roman" w:hAnsi="Times New Roman" w:cs="Times New Roman"/>
                      <w:color w:val="auto"/>
                    </w:rPr>
                  </w:pPr>
                  <w:r>
                    <w:rPr>
                      <w:rFonts w:hint="default" w:ascii="Times New Roman" w:hAnsi="Times New Roman" w:eastAsia="宋体" w:cs="Times New Roman"/>
                      <w:color w:val="auto"/>
                      <w:szCs w:val="24"/>
                      <w:highlight w:val="none"/>
                    </w:rPr>
                    <w:t>经收集后全部回用</w:t>
                  </w:r>
                  <w:r>
                    <w:rPr>
                      <w:rFonts w:hint="default"/>
                      <w:color w:val="auto"/>
                    </w:rPr>
                    <w:t>于生产</w:t>
                  </w:r>
                </w:p>
              </w:tc>
              <w:tc>
                <w:tcPr>
                  <w:tcW w:w="800" w:type="dxa"/>
                  <w:tcBorders>
                    <w:tl2br w:val="nil"/>
                    <w:tr2bl w:val="nil"/>
                  </w:tcBorders>
                  <w:vAlign w:val="center"/>
                </w:tcPr>
                <w:p w14:paraId="19775B13">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119</w:t>
                  </w:r>
                </w:p>
              </w:tc>
              <w:tc>
                <w:tcPr>
                  <w:tcW w:w="722" w:type="dxa"/>
                  <w:tcBorders>
                    <w:tl2br w:val="nil"/>
                    <w:tr2bl w:val="nil"/>
                  </w:tcBorders>
                  <w:vAlign w:val="center"/>
                </w:tcPr>
                <w:p w14:paraId="06146E4E">
                  <w:pPr>
                    <w:pStyle w:val="53"/>
                    <w:rPr>
                      <w:rFonts w:hint="default" w:ascii="Times New Roman" w:hAnsi="Times New Roman" w:cs="Times New Roman"/>
                      <w:color w:val="auto"/>
                    </w:rPr>
                  </w:pPr>
                  <w:r>
                    <w:rPr>
                      <w:rFonts w:hint="eastAsia"/>
                      <w:color w:val="auto"/>
                      <w:lang w:val="en-US" w:eastAsia="zh-CN"/>
                    </w:rPr>
                    <w:t>即产即清</w:t>
                  </w:r>
                </w:p>
              </w:tc>
            </w:tr>
            <w:tr w14:paraId="1E4C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3275C44E">
                  <w:pPr>
                    <w:pStyle w:val="53"/>
                    <w:rPr>
                      <w:rFonts w:hint="default" w:ascii="Times New Roman" w:hAnsi="Times New Roman" w:cs="Times New Roman"/>
                      <w:color w:val="auto"/>
                    </w:rPr>
                  </w:pPr>
                  <w:r>
                    <w:rPr>
                      <w:rFonts w:hint="eastAsia" w:cs="Times New Roman"/>
                      <w:color w:val="auto"/>
                      <w:lang w:val="en-US" w:eastAsia="zh-CN"/>
                    </w:rPr>
                    <w:t>生产</w:t>
                  </w:r>
                </w:p>
              </w:tc>
              <w:tc>
                <w:tcPr>
                  <w:tcW w:w="482" w:type="dxa"/>
                  <w:tcBorders>
                    <w:tl2br w:val="nil"/>
                    <w:tr2bl w:val="nil"/>
                  </w:tcBorders>
                  <w:vAlign w:val="center"/>
                </w:tcPr>
                <w:p w14:paraId="3736F8E9">
                  <w:pPr>
                    <w:pStyle w:val="53"/>
                    <w:rPr>
                      <w:rFonts w:hint="default" w:ascii="Times New Roman" w:hAnsi="Times New Roman" w:cs="Times New Roman"/>
                      <w:color w:val="auto"/>
                    </w:rPr>
                  </w:pPr>
                  <w:r>
                    <w:rPr>
                      <w:rFonts w:hint="eastAsia"/>
                      <w:color w:val="auto"/>
                      <w:lang w:val="en-US" w:eastAsia="zh-CN"/>
                    </w:rPr>
                    <w:t>废包装袋</w:t>
                  </w:r>
                </w:p>
              </w:tc>
              <w:tc>
                <w:tcPr>
                  <w:tcW w:w="1117" w:type="dxa"/>
                  <w:tcBorders>
                    <w:tl2br w:val="nil"/>
                    <w:tr2bl w:val="nil"/>
                  </w:tcBorders>
                  <w:vAlign w:val="center"/>
                </w:tcPr>
                <w:p w14:paraId="3D660497">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一般固废900-</w:t>
                  </w:r>
                  <w:r>
                    <w:rPr>
                      <w:rFonts w:hint="eastAsia" w:ascii="Times New Roman" w:hAnsi="Times New Roman" w:cs="Times New Roman"/>
                      <w:color w:val="auto"/>
                      <w:lang w:val="en-US" w:eastAsia="zh-CN"/>
                    </w:rPr>
                    <w:t>0</w:t>
                  </w:r>
                  <w:r>
                    <w:rPr>
                      <w:rFonts w:hint="default" w:ascii="Times New Roman" w:hAnsi="Times New Roman" w:cs="Times New Roman"/>
                      <w:color w:val="auto"/>
                    </w:rPr>
                    <w:t>99-</w:t>
                  </w:r>
                  <w:r>
                    <w:rPr>
                      <w:rFonts w:hint="eastAsia" w:ascii="Times New Roman" w:hAnsi="Times New Roman" w:cs="Times New Roman"/>
                      <w:color w:val="auto"/>
                      <w:lang w:val="en-US" w:eastAsia="zh-CN"/>
                    </w:rPr>
                    <w:t>S5</w:t>
                  </w:r>
                  <w:r>
                    <w:rPr>
                      <w:rFonts w:hint="default" w:ascii="Times New Roman" w:hAnsi="Times New Roman" w:cs="Times New Roman"/>
                      <w:color w:val="auto"/>
                    </w:rPr>
                    <w:t>9</w:t>
                  </w:r>
                </w:p>
              </w:tc>
              <w:tc>
                <w:tcPr>
                  <w:tcW w:w="592" w:type="dxa"/>
                  <w:tcBorders>
                    <w:tl2br w:val="nil"/>
                    <w:tr2bl w:val="nil"/>
                  </w:tcBorders>
                  <w:vAlign w:val="center"/>
                </w:tcPr>
                <w:p w14:paraId="326A1F4F">
                  <w:pPr>
                    <w:pStyle w:val="53"/>
                    <w:ind w:firstLine="0" w:firstLineChars="0"/>
                    <w:rPr>
                      <w:rFonts w:hint="default" w:ascii="Times New Roman" w:hAnsi="Times New Roman" w:cs="Times New Roman"/>
                      <w:color w:val="auto"/>
                    </w:rPr>
                  </w:pPr>
                  <w:r>
                    <w:rPr>
                      <w:rFonts w:hint="eastAsia" w:cs="Times New Roman"/>
                      <w:color w:val="auto"/>
                      <w:lang w:val="en-US" w:eastAsia="zh-CN"/>
                    </w:rPr>
                    <w:t>/</w:t>
                  </w:r>
                </w:p>
              </w:tc>
              <w:tc>
                <w:tcPr>
                  <w:tcW w:w="373" w:type="dxa"/>
                  <w:tcBorders>
                    <w:tl2br w:val="nil"/>
                    <w:tr2bl w:val="nil"/>
                  </w:tcBorders>
                  <w:vAlign w:val="center"/>
                </w:tcPr>
                <w:p w14:paraId="1CB08A8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2F236D78">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w:t>
                  </w:r>
                </w:p>
              </w:tc>
              <w:tc>
                <w:tcPr>
                  <w:tcW w:w="740" w:type="dxa"/>
                  <w:tcBorders>
                    <w:tl2br w:val="nil"/>
                    <w:tr2bl w:val="nil"/>
                  </w:tcBorders>
                  <w:vAlign w:val="center"/>
                </w:tcPr>
                <w:p w14:paraId="1C1B46E7">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830" w:type="dxa"/>
                  <w:tcBorders>
                    <w:tl2br w:val="nil"/>
                    <w:tr2bl w:val="nil"/>
                  </w:tcBorders>
                  <w:vAlign w:val="center"/>
                </w:tcPr>
                <w:p w14:paraId="274CF647">
                  <w:pPr>
                    <w:pStyle w:val="53"/>
                    <w:rPr>
                      <w:rFonts w:hint="default" w:ascii="Times New Roman" w:hAnsi="Times New Roman" w:cs="Times New Roman"/>
                      <w:color w:val="auto"/>
                    </w:rPr>
                  </w:pPr>
                  <w:r>
                    <w:rPr>
                      <w:rFonts w:hint="eastAsia"/>
                      <w:color w:val="auto"/>
                      <w:lang w:val="en-US" w:eastAsia="zh-CN"/>
                    </w:rPr>
                    <w:t>集中收集</w:t>
                  </w:r>
                </w:p>
              </w:tc>
              <w:tc>
                <w:tcPr>
                  <w:tcW w:w="1251" w:type="dxa"/>
                  <w:tcBorders>
                    <w:tl2br w:val="nil"/>
                    <w:tr2bl w:val="nil"/>
                  </w:tcBorders>
                  <w:vAlign w:val="center"/>
                </w:tcPr>
                <w:p w14:paraId="126CA96F">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收集后外售</w:t>
                  </w:r>
                </w:p>
              </w:tc>
              <w:tc>
                <w:tcPr>
                  <w:tcW w:w="800" w:type="dxa"/>
                  <w:tcBorders>
                    <w:tl2br w:val="nil"/>
                    <w:tr2bl w:val="nil"/>
                  </w:tcBorders>
                  <w:vAlign w:val="center"/>
                </w:tcPr>
                <w:p w14:paraId="1AD7F68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0.5</w:t>
                  </w:r>
                </w:p>
              </w:tc>
              <w:tc>
                <w:tcPr>
                  <w:tcW w:w="722" w:type="dxa"/>
                  <w:tcBorders>
                    <w:tl2br w:val="nil"/>
                    <w:tr2bl w:val="nil"/>
                  </w:tcBorders>
                  <w:vAlign w:val="center"/>
                </w:tcPr>
                <w:p w14:paraId="082B9DE0">
                  <w:pPr>
                    <w:pStyle w:val="53"/>
                    <w:rPr>
                      <w:rFonts w:hint="default" w:ascii="Times New Roman" w:hAnsi="Times New Roman" w:eastAsia="宋体" w:cs="Times New Roman"/>
                      <w:color w:val="auto"/>
                      <w:lang w:val="en-US" w:eastAsia="zh-CN"/>
                    </w:rPr>
                  </w:pPr>
                  <w:r>
                    <w:rPr>
                      <w:rFonts w:hint="eastAsia"/>
                      <w:color w:val="auto"/>
                      <w:lang w:val="en-US" w:eastAsia="zh-CN"/>
                    </w:rPr>
                    <w:t>即产即清</w:t>
                  </w:r>
                </w:p>
              </w:tc>
            </w:tr>
            <w:tr w14:paraId="5B96F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2C1441C5">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废气治理</w:t>
                  </w:r>
                </w:p>
              </w:tc>
              <w:tc>
                <w:tcPr>
                  <w:tcW w:w="482" w:type="dxa"/>
                  <w:tcBorders>
                    <w:tl2br w:val="nil"/>
                    <w:tr2bl w:val="nil"/>
                  </w:tcBorders>
                  <w:vAlign w:val="center"/>
                </w:tcPr>
                <w:p w14:paraId="0A5A0503">
                  <w:pPr>
                    <w:pStyle w:val="53"/>
                    <w:rPr>
                      <w:rFonts w:hint="default" w:ascii="Times New Roman" w:hAnsi="Times New Roman" w:cs="Times New Roman"/>
                      <w:color w:val="auto"/>
                    </w:rPr>
                  </w:pPr>
                  <w:r>
                    <w:rPr>
                      <w:rFonts w:hint="default"/>
                      <w:color w:val="auto"/>
                    </w:rPr>
                    <w:t>废活性炭</w:t>
                  </w:r>
                </w:p>
              </w:tc>
              <w:tc>
                <w:tcPr>
                  <w:tcW w:w="1117" w:type="dxa"/>
                  <w:tcBorders>
                    <w:tl2br w:val="nil"/>
                    <w:tr2bl w:val="nil"/>
                  </w:tcBorders>
                  <w:vAlign w:val="center"/>
                </w:tcPr>
                <w:p w14:paraId="1CC73E25">
                  <w:pPr>
                    <w:pStyle w:val="53"/>
                    <w:rPr>
                      <w:rFonts w:hint="default" w:ascii="Times New Roman" w:hAnsi="Times New Roman" w:cs="Times New Roman"/>
                      <w:color w:val="auto"/>
                    </w:rPr>
                  </w:pPr>
                  <w:r>
                    <w:rPr>
                      <w:rFonts w:hint="eastAsia" w:eastAsia="宋体" w:cs="Times New Roman"/>
                      <w:color w:val="auto"/>
                      <w:szCs w:val="24"/>
                      <w:highlight w:val="none"/>
                      <w:lang w:val="en-US" w:eastAsia="zh-CN"/>
                    </w:rPr>
                    <w:t>危险废物</w:t>
                  </w:r>
                  <w:r>
                    <w:rPr>
                      <w:rFonts w:hint="default" w:ascii="Times New Roman" w:hAnsi="Times New Roman" w:eastAsia="宋体" w:cs="Times New Roman"/>
                      <w:color w:val="auto"/>
                      <w:szCs w:val="24"/>
                      <w:highlight w:val="none"/>
                    </w:rPr>
                    <w:t>900-039-49</w:t>
                  </w:r>
                </w:p>
              </w:tc>
              <w:tc>
                <w:tcPr>
                  <w:tcW w:w="592" w:type="dxa"/>
                  <w:tcBorders>
                    <w:tl2br w:val="nil"/>
                    <w:tr2bl w:val="nil"/>
                  </w:tcBorders>
                  <w:vAlign w:val="center"/>
                </w:tcPr>
                <w:p w14:paraId="54A4C2EF">
                  <w:pPr>
                    <w:pStyle w:val="53"/>
                    <w:ind w:firstLine="0" w:firstLineChars="0"/>
                    <w:rPr>
                      <w:rFonts w:hint="default" w:ascii="Times New Roman" w:hAnsi="Times New Roman" w:cs="Times New Roman"/>
                      <w:color w:val="auto"/>
                    </w:rPr>
                  </w:pPr>
                  <w:r>
                    <w:rPr>
                      <w:rFonts w:hint="default" w:ascii="Times New Roman" w:hAnsi="Times New Roman" w:cs="Times New Roman"/>
                      <w:color w:val="auto"/>
                      <w:sz w:val="21"/>
                      <w:szCs w:val="21"/>
                      <w:lang w:eastAsia="zh-CN"/>
                    </w:rPr>
                    <w:t>有机物</w:t>
                  </w:r>
                </w:p>
              </w:tc>
              <w:tc>
                <w:tcPr>
                  <w:tcW w:w="373" w:type="dxa"/>
                  <w:tcBorders>
                    <w:tl2br w:val="nil"/>
                    <w:tr2bl w:val="nil"/>
                  </w:tcBorders>
                  <w:vAlign w:val="center"/>
                </w:tcPr>
                <w:p w14:paraId="2A4C45DE">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0C1E26E8">
                  <w:pPr>
                    <w:pStyle w:val="53"/>
                    <w:ind w:firstLine="0" w:firstLineChars="0"/>
                    <w:rPr>
                      <w:rFonts w:hint="default" w:ascii="Times New Roman" w:hAnsi="Times New Roman" w:cs="Times New Roman"/>
                      <w:color w:val="auto"/>
                    </w:rPr>
                  </w:pPr>
                  <w:r>
                    <w:rPr>
                      <w:rFonts w:hint="eastAsia" w:ascii="Times New Roman" w:hAnsi="Times New Roman" w:eastAsia="宋体" w:cs="Times New Roman"/>
                      <w:b w:val="0"/>
                      <w:bCs/>
                      <w:color w:val="auto"/>
                      <w:sz w:val="21"/>
                      <w:szCs w:val="21"/>
                      <w:highlight w:val="none"/>
                      <w:u w:val="none"/>
                      <w:lang w:val="en-US" w:eastAsia="zh-CN"/>
                    </w:rPr>
                    <w:t>T</w:t>
                  </w:r>
                </w:p>
              </w:tc>
              <w:tc>
                <w:tcPr>
                  <w:tcW w:w="740" w:type="dxa"/>
                  <w:tcBorders>
                    <w:tl2br w:val="nil"/>
                    <w:tr2bl w:val="nil"/>
                  </w:tcBorders>
                  <w:vAlign w:val="center"/>
                </w:tcPr>
                <w:p w14:paraId="73D975E4">
                  <w:pPr>
                    <w:pStyle w:val="53"/>
                    <w:rPr>
                      <w:rFonts w:hint="default" w:ascii="Times New Roman" w:hAnsi="Times New Roman" w:eastAsia="宋体" w:cs="Times New Roman"/>
                      <w:color w:val="auto"/>
                      <w:lang w:val="en-US" w:eastAsia="zh-CN"/>
                    </w:rPr>
                  </w:pPr>
                  <w:r>
                    <w:rPr>
                      <w:rFonts w:hint="eastAsia" w:cs="Times New Roman"/>
                      <w:color w:val="auto"/>
                      <w:szCs w:val="24"/>
                      <w:highlight w:val="none"/>
                      <w:lang w:val="en-US" w:eastAsia="zh-CN"/>
                    </w:rPr>
                    <w:t>3.85</w:t>
                  </w:r>
                </w:p>
              </w:tc>
              <w:tc>
                <w:tcPr>
                  <w:tcW w:w="830" w:type="dxa"/>
                  <w:tcBorders>
                    <w:tl2br w:val="nil"/>
                    <w:tr2bl w:val="nil"/>
                  </w:tcBorders>
                  <w:vAlign w:val="center"/>
                </w:tcPr>
                <w:p w14:paraId="20162736">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不暂存</w:t>
                  </w:r>
                </w:p>
              </w:tc>
              <w:tc>
                <w:tcPr>
                  <w:tcW w:w="1251" w:type="dxa"/>
                  <w:tcBorders>
                    <w:tl2br w:val="nil"/>
                    <w:tr2bl w:val="nil"/>
                  </w:tcBorders>
                  <w:vAlign w:val="center"/>
                </w:tcPr>
                <w:p w14:paraId="7C1F9EB3">
                  <w:pPr>
                    <w:pStyle w:val="53"/>
                    <w:rPr>
                      <w:rFonts w:hint="default" w:ascii="Times New Roman" w:hAnsi="Times New Roman" w:cs="Times New Roman"/>
                      <w:color w:val="auto"/>
                    </w:rPr>
                  </w:pPr>
                  <w:r>
                    <w:rPr>
                      <w:rFonts w:hint="eastAsia" w:eastAsia="宋体" w:cs="Times New Roman"/>
                      <w:color w:val="auto"/>
                      <w:szCs w:val="24"/>
                      <w:highlight w:val="none"/>
                      <w:lang w:val="en-US" w:eastAsia="zh-CN"/>
                    </w:rPr>
                    <w:t>由厂家更换带走</w:t>
                  </w:r>
                </w:p>
              </w:tc>
              <w:tc>
                <w:tcPr>
                  <w:tcW w:w="800" w:type="dxa"/>
                  <w:tcBorders>
                    <w:tl2br w:val="nil"/>
                    <w:tr2bl w:val="nil"/>
                  </w:tcBorders>
                  <w:vAlign w:val="center"/>
                </w:tcPr>
                <w:p w14:paraId="2D2AB53C">
                  <w:pPr>
                    <w:pStyle w:val="53"/>
                    <w:rPr>
                      <w:rFonts w:hint="default" w:ascii="Times New Roman" w:hAnsi="Times New Roman" w:cs="Times New Roman"/>
                      <w:color w:val="auto"/>
                    </w:rPr>
                  </w:pPr>
                  <w:r>
                    <w:rPr>
                      <w:rFonts w:hint="eastAsia" w:cs="Times New Roman"/>
                      <w:color w:val="auto"/>
                      <w:szCs w:val="24"/>
                      <w:highlight w:val="none"/>
                      <w:lang w:val="en-US" w:eastAsia="zh-CN"/>
                    </w:rPr>
                    <w:t>3.85</w:t>
                  </w:r>
                </w:p>
              </w:tc>
              <w:tc>
                <w:tcPr>
                  <w:tcW w:w="722" w:type="dxa"/>
                  <w:tcBorders>
                    <w:tl2br w:val="nil"/>
                    <w:tr2bl w:val="nil"/>
                  </w:tcBorders>
                  <w:vAlign w:val="center"/>
                </w:tcPr>
                <w:p w14:paraId="4744F4F2">
                  <w:pPr>
                    <w:pStyle w:val="53"/>
                    <w:rPr>
                      <w:rFonts w:hint="default" w:ascii="Times New Roman" w:hAnsi="Times New Roman" w:eastAsia="宋体" w:cs="Times New Roman"/>
                      <w:color w:val="auto"/>
                      <w:lang w:val="en-US" w:eastAsia="zh-CN"/>
                    </w:rPr>
                  </w:pPr>
                  <w:r>
                    <w:rPr>
                      <w:rFonts w:hint="eastAsia" w:cs="Times New Roman"/>
                      <w:color w:val="auto"/>
                      <w:lang w:val="en-US" w:eastAsia="zh-CN"/>
                    </w:rPr>
                    <w:t>厂区不贮存</w:t>
                  </w:r>
                </w:p>
              </w:tc>
            </w:tr>
            <w:tr w14:paraId="0E2D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481" w:type="dxa"/>
                  <w:tcBorders>
                    <w:tl2br w:val="nil"/>
                    <w:tr2bl w:val="nil"/>
                  </w:tcBorders>
                  <w:tcMar>
                    <w:left w:w="0" w:type="dxa"/>
                    <w:right w:w="0" w:type="dxa"/>
                  </w:tcMar>
                  <w:vAlign w:val="center"/>
                </w:tcPr>
                <w:p w14:paraId="54E56C72">
                  <w:pPr>
                    <w:pStyle w:val="53"/>
                    <w:rPr>
                      <w:rFonts w:hint="eastAsia" w:cs="Times New Roman"/>
                      <w:color w:val="auto"/>
                      <w:lang w:val="en-US" w:eastAsia="zh-CN"/>
                    </w:rPr>
                  </w:pPr>
                  <w:r>
                    <w:rPr>
                      <w:rFonts w:hint="eastAsia"/>
                      <w:color w:val="auto"/>
                      <w:lang w:val="en-US" w:eastAsia="zh-CN"/>
                    </w:rPr>
                    <w:t>真空烧网炉</w:t>
                  </w:r>
                </w:p>
              </w:tc>
              <w:tc>
                <w:tcPr>
                  <w:tcW w:w="482" w:type="dxa"/>
                  <w:tcBorders>
                    <w:tl2br w:val="nil"/>
                    <w:tr2bl w:val="nil"/>
                  </w:tcBorders>
                  <w:vAlign w:val="center"/>
                </w:tcPr>
                <w:p w14:paraId="11ED02A8">
                  <w:pPr>
                    <w:pStyle w:val="53"/>
                    <w:rPr>
                      <w:rFonts w:hint="default"/>
                      <w:color w:val="auto"/>
                    </w:rPr>
                  </w:pPr>
                  <w:r>
                    <w:rPr>
                      <w:rFonts w:hint="eastAsia"/>
                      <w:color w:val="auto"/>
                      <w:lang w:val="en-US" w:eastAsia="zh-CN"/>
                    </w:rPr>
                    <w:t>过滤网残渣</w:t>
                  </w:r>
                </w:p>
              </w:tc>
              <w:tc>
                <w:tcPr>
                  <w:tcW w:w="1117" w:type="dxa"/>
                  <w:tcBorders>
                    <w:tl2br w:val="nil"/>
                    <w:tr2bl w:val="nil"/>
                  </w:tcBorders>
                  <w:vAlign w:val="center"/>
                </w:tcPr>
                <w:p w14:paraId="3E174F6A">
                  <w:pPr>
                    <w:pStyle w:val="53"/>
                    <w:rPr>
                      <w:rFonts w:hint="default" w:eastAsia="宋体" w:cs="Times New Roman"/>
                      <w:color w:val="auto"/>
                      <w:szCs w:val="24"/>
                      <w:highlight w:val="none"/>
                      <w:lang w:val="en-US" w:eastAsia="zh-CN"/>
                    </w:rPr>
                  </w:pPr>
                  <w:r>
                    <w:rPr>
                      <w:rFonts w:hint="eastAsia" w:eastAsia="宋体" w:cs="Times New Roman"/>
                      <w:color w:val="auto"/>
                      <w:szCs w:val="24"/>
                      <w:highlight w:val="none"/>
                      <w:lang w:val="en-US" w:eastAsia="zh-CN"/>
                    </w:rPr>
                    <w:t>危险废物</w:t>
                  </w:r>
                  <w:r>
                    <w:rPr>
                      <w:rFonts w:hint="default"/>
                      <w:color w:val="auto"/>
                      <w:lang w:val="en-US" w:eastAsia="zh-CN"/>
                    </w:rPr>
                    <w:t>9</w:t>
                  </w:r>
                  <w:r>
                    <w:rPr>
                      <w:rFonts w:hint="default" w:ascii="Times New Roman" w:hAnsi="Times New Roman" w:cs="Times New Roman"/>
                      <w:color w:val="auto"/>
                      <w:szCs w:val="24"/>
                      <w:highlight w:val="none"/>
                      <w:lang w:val="en-US" w:eastAsia="zh-CN"/>
                    </w:rPr>
                    <w:t>00-</w:t>
                  </w:r>
                  <w:r>
                    <w:rPr>
                      <w:rFonts w:hint="eastAsia" w:ascii="Times New Roman" w:hAnsi="Times New Roman" w:cs="Times New Roman"/>
                      <w:color w:val="auto"/>
                      <w:szCs w:val="24"/>
                      <w:highlight w:val="none"/>
                      <w:lang w:val="en-US" w:eastAsia="zh-CN"/>
                    </w:rPr>
                    <w:t>249-08</w:t>
                  </w:r>
                </w:p>
              </w:tc>
              <w:tc>
                <w:tcPr>
                  <w:tcW w:w="592" w:type="dxa"/>
                  <w:tcBorders>
                    <w:tl2br w:val="nil"/>
                    <w:tr2bl w:val="nil"/>
                  </w:tcBorders>
                  <w:vAlign w:val="center"/>
                </w:tcPr>
                <w:p w14:paraId="686E3CA7">
                  <w:pPr>
                    <w:pStyle w:val="53"/>
                    <w:ind w:firstLine="0" w:firstLineChars="0"/>
                    <w:rPr>
                      <w:rFonts w:hint="eastAsia" w:cs="Times New Roman"/>
                      <w:color w:val="auto"/>
                      <w:lang w:val="en-US" w:eastAsia="zh-CN"/>
                    </w:rPr>
                  </w:pPr>
                  <w:r>
                    <w:rPr>
                      <w:rFonts w:hint="default" w:ascii="Times New Roman" w:hAnsi="Times New Roman" w:cs="Times New Roman"/>
                      <w:color w:val="auto"/>
                      <w:sz w:val="21"/>
                      <w:szCs w:val="21"/>
                      <w:lang w:val="en-US" w:eastAsia="zh-CN"/>
                    </w:rPr>
                    <w:t>矿物油</w:t>
                  </w:r>
                </w:p>
              </w:tc>
              <w:tc>
                <w:tcPr>
                  <w:tcW w:w="373" w:type="dxa"/>
                  <w:tcBorders>
                    <w:tl2br w:val="nil"/>
                    <w:tr2bl w:val="nil"/>
                  </w:tcBorders>
                  <w:vAlign w:val="center"/>
                </w:tcPr>
                <w:p w14:paraId="7CCC6791">
                  <w:pPr>
                    <w:pStyle w:val="53"/>
                    <w:ind w:firstLine="0" w:firstLineChars="0"/>
                    <w:rPr>
                      <w:rFonts w:hint="default" w:ascii="Times New Roman" w:hAnsi="Times New Roman" w:cs="Times New Roman"/>
                      <w:color w:val="auto"/>
                    </w:rPr>
                  </w:pPr>
                  <w:r>
                    <w:rPr>
                      <w:rFonts w:hint="default" w:ascii="Times New Roman" w:hAnsi="Times New Roman" w:cs="Times New Roman"/>
                      <w:color w:val="auto"/>
                    </w:rPr>
                    <w:t>固态</w:t>
                  </w:r>
                </w:p>
              </w:tc>
              <w:tc>
                <w:tcPr>
                  <w:tcW w:w="548" w:type="dxa"/>
                  <w:tcBorders>
                    <w:tl2br w:val="nil"/>
                    <w:tr2bl w:val="nil"/>
                  </w:tcBorders>
                  <w:vAlign w:val="center"/>
                </w:tcPr>
                <w:p w14:paraId="75F0D7DD">
                  <w:pPr>
                    <w:pStyle w:val="53"/>
                    <w:ind w:firstLine="0" w:firstLineChars="0"/>
                    <w:rPr>
                      <w:rFonts w:hint="default" w:ascii="Times New Roman" w:hAnsi="Times New Roman" w:cs="Times New Roman"/>
                      <w:color w:val="auto"/>
                    </w:rPr>
                  </w:pPr>
                  <w:r>
                    <w:rPr>
                      <w:rFonts w:hint="eastAsia" w:ascii="Times New Roman" w:hAnsi="Times New Roman" w:eastAsia="宋体" w:cs="Times New Roman"/>
                      <w:b w:val="0"/>
                      <w:bCs/>
                      <w:color w:val="auto"/>
                      <w:sz w:val="21"/>
                      <w:szCs w:val="21"/>
                      <w:highlight w:val="none"/>
                      <w:u w:val="none"/>
                      <w:lang w:val="en-US" w:eastAsia="zh-CN"/>
                    </w:rPr>
                    <w:t>T</w:t>
                  </w:r>
                  <w:r>
                    <w:rPr>
                      <w:rFonts w:hint="eastAsia" w:cs="Times New Roman"/>
                      <w:b w:val="0"/>
                      <w:bCs/>
                      <w:color w:val="auto"/>
                      <w:sz w:val="21"/>
                      <w:szCs w:val="21"/>
                      <w:highlight w:val="none"/>
                      <w:u w:val="none"/>
                      <w:lang w:val="en-US" w:eastAsia="zh-CN"/>
                    </w:rPr>
                    <w:t>,</w:t>
                  </w:r>
                  <w:r>
                    <w:rPr>
                      <w:rFonts w:hint="eastAsia" w:ascii="Times New Roman" w:hAnsi="Times New Roman" w:eastAsia="宋体" w:cs="Times New Roman"/>
                      <w:b w:val="0"/>
                      <w:bCs/>
                      <w:color w:val="auto"/>
                      <w:sz w:val="21"/>
                      <w:szCs w:val="21"/>
                      <w:highlight w:val="none"/>
                      <w:u w:val="none"/>
                      <w:lang w:val="en-US" w:eastAsia="zh-CN"/>
                    </w:rPr>
                    <w:t>I</w:t>
                  </w:r>
                </w:p>
              </w:tc>
              <w:tc>
                <w:tcPr>
                  <w:tcW w:w="740" w:type="dxa"/>
                  <w:tcBorders>
                    <w:tl2br w:val="nil"/>
                    <w:tr2bl w:val="nil"/>
                  </w:tcBorders>
                  <w:vAlign w:val="center"/>
                </w:tcPr>
                <w:p w14:paraId="64C8875B">
                  <w:pPr>
                    <w:pStyle w:val="53"/>
                    <w:rPr>
                      <w:rFonts w:hint="default" w:cs="Times New Roman"/>
                      <w:color w:val="auto"/>
                      <w:lang w:val="en-US" w:eastAsia="zh-CN"/>
                    </w:rPr>
                  </w:pPr>
                  <w:r>
                    <w:rPr>
                      <w:rFonts w:hint="eastAsia" w:cs="Times New Roman"/>
                      <w:color w:val="auto"/>
                      <w:lang w:val="en-US" w:eastAsia="zh-CN"/>
                    </w:rPr>
                    <w:t>0.25</w:t>
                  </w:r>
                </w:p>
              </w:tc>
              <w:tc>
                <w:tcPr>
                  <w:tcW w:w="830" w:type="dxa"/>
                  <w:tcBorders>
                    <w:tl2br w:val="nil"/>
                    <w:tr2bl w:val="nil"/>
                  </w:tcBorders>
                  <w:vAlign w:val="center"/>
                </w:tcPr>
                <w:p w14:paraId="18DAAF54">
                  <w:pPr>
                    <w:pStyle w:val="53"/>
                    <w:rPr>
                      <w:rFonts w:hint="eastAsia" w:cs="Times New Roman"/>
                      <w:color w:val="auto"/>
                      <w:lang w:val="en-US" w:eastAsia="zh-CN"/>
                    </w:rPr>
                  </w:pPr>
                  <w:r>
                    <w:rPr>
                      <w:rFonts w:hint="eastAsia" w:ascii="Times New Roman" w:hAnsi="Times New Roman" w:eastAsia="宋体" w:cs="Times New Roman"/>
                      <w:b w:val="0"/>
                      <w:bCs w:val="0"/>
                      <w:strike w:val="0"/>
                      <w:dstrike w:val="0"/>
                      <w:color w:val="auto"/>
                      <w:szCs w:val="24"/>
                      <w:highlight w:val="none"/>
                      <w:lang w:val="en-US" w:eastAsia="zh-CN"/>
                    </w:rPr>
                    <w:t>暂存于危废暂存间</w:t>
                  </w:r>
                </w:p>
              </w:tc>
              <w:tc>
                <w:tcPr>
                  <w:tcW w:w="1251" w:type="dxa"/>
                  <w:tcBorders>
                    <w:tl2br w:val="nil"/>
                    <w:tr2bl w:val="nil"/>
                  </w:tcBorders>
                  <w:vAlign w:val="center"/>
                </w:tcPr>
                <w:p w14:paraId="09EB3A23">
                  <w:pPr>
                    <w:pStyle w:val="53"/>
                    <w:rPr>
                      <w:rFonts w:hint="eastAsia" w:eastAsia="宋体" w:cs="Times New Roman"/>
                      <w:color w:val="auto"/>
                      <w:szCs w:val="24"/>
                      <w:highlight w:val="none"/>
                      <w:lang w:val="en-US" w:eastAsia="zh-CN"/>
                    </w:rPr>
                  </w:pPr>
                  <w:r>
                    <w:rPr>
                      <w:rFonts w:hint="eastAsia" w:ascii="Times New Roman" w:hAnsi="Times New Roman" w:eastAsia="宋体" w:cs="Times New Roman"/>
                      <w:b w:val="0"/>
                      <w:bCs w:val="0"/>
                      <w:strike w:val="0"/>
                      <w:dstrike w:val="0"/>
                      <w:color w:val="auto"/>
                      <w:szCs w:val="24"/>
                      <w:highlight w:val="none"/>
                      <w:lang w:val="en-US" w:eastAsia="zh-CN"/>
                    </w:rPr>
                    <w:t>定期交由有资质</w:t>
                  </w:r>
                  <w:r>
                    <w:rPr>
                      <w:rFonts w:hint="eastAsia"/>
                      <w:color w:val="auto"/>
                      <w:lang w:val="en-US" w:eastAsia="zh-CN"/>
                    </w:rPr>
                    <w:t>单位进行处置</w:t>
                  </w:r>
                </w:p>
              </w:tc>
              <w:tc>
                <w:tcPr>
                  <w:tcW w:w="800" w:type="dxa"/>
                  <w:tcBorders>
                    <w:tl2br w:val="nil"/>
                    <w:tr2bl w:val="nil"/>
                  </w:tcBorders>
                  <w:vAlign w:val="center"/>
                </w:tcPr>
                <w:p w14:paraId="687876FD">
                  <w:pPr>
                    <w:pStyle w:val="53"/>
                    <w:ind w:firstLine="0" w:firstLineChars="0"/>
                    <w:rPr>
                      <w:rFonts w:hint="eastAsia" w:cs="Times New Roman"/>
                      <w:color w:val="auto"/>
                      <w:lang w:val="en-US" w:eastAsia="zh-CN"/>
                    </w:rPr>
                  </w:pPr>
                  <w:r>
                    <w:rPr>
                      <w:rFonts w:hint="eastAsia" w:cs="Times New Roman"/>
                      <w:color w:val="auto"/>
                      <w:lang w:val="en-US" w:eastAsia="zh-CN"/>
                    </w:rPr>
                    <w:t>0.25</w:t>
                  </w:r>
                </w:p>
              </w:tc>
              <w:tc>
                <w:tcPr>
                  <w:tcW w:w="722" w:type="dxa"/>
                  <w:tcBorders>
                    <w:tl2br w:val="nil"/>
                    <w:tr2bl w:val="nil"/>
                  </w:tcBorders>
                  <w:vAlign w:val="center"/>
                </w:tcPr>
                <w:p w14:paraId="1B940021">
                  <w:pPr>
                    <w:pStyle w:val="53"/>
                    <w:rPr>
                      <w:rFonts w:hint="eastAsia" w:cs="Times New Roman"/>
                      <w:color w:val="auto"/>
                      <w:lang w:val="en-US" w:eastAsia="zh-CN"/>
                    </w:rPr>
                  </w:pPr>
                  <w:r>
                    <w:rPr>
                      <w:rFonts w:hint="default" w:ascii="Times New Roman" w:hAnsi="Times New Roman" w:eastAsia="宋体" w:cs="Times New Roman"/>
                      <w:color w:val="auto"/>
                      <w:sz w:val="21"/>
                      <w:szCs w:val="21"/>
                    </w:rPr>
                    <w:t>规范设置危险废物暂存间，交由危险废物处理单位处理</w:t>
                  </w:r>
                </w:p>
              </w:tc>
            </w:tr>
          </w:tbl>
          <w:p w14:paraId="3F1FD562">
            <w:pPr>
              <w:pStyle w:val="51"/>
              <w:ind w:firstLine="482"/>
              <w:rPr>
                <w:rFonts w:hint="default" w:ascii="Times New Roman" w:hAnsi="Times New Roman" w:eastAsia="宋体" w:cs="Times New Roman"/>
                <w:b/>
                <w:color w:val="auto"/>
                <w:lang w:val="en-US" w:eastAsia="zh-CN"/>
              </w:rPr>
            </w:pPr>
            <w:r>
              <w:rPr>
                <w:rFonts w:hint="eastAsia" w:cs="Times New Roman"/>
                <w:b/>
                <w:color w:val="auto"/>
                <w:lang w:val="en-US" w:eastAsia="zh-CN"/>
              </w:rPr>
              <w:t>3、环境管理要求</w:t>
            </w:r>
          </w:p>
          <w:p w14:paraId="2D2E1B44">
            <w:pPr>
              <w:pStyle w:val="51"/>
              <w:bidi w:val="0"/>
              <w:rPr>
                <w:rFonts w:hint="eastAsia"/>
                <w:color w:val="auto"/>
                <w:lang w:val="en-US" w:eastAsia="zh-CN"/>
              </w:rPr>
            </w:pPr>
            <w:r>
              <w:rPr>
                <w:rFonts w:hint="eastAsia"/>
                <w:color w:val="auto"/>
                <w:lang w:val="en-US" w:eastAsia="zh-CN"/>
              </w:rPr>
              <w:t>（1）一般固废暂存区</w:t>
            </w:r>
          </w:p>
          <w:p w14:paraId="37AF2B7A">
            <w:pPr>
              <w:pStyle w:val="51"/>
              <w:bidi w:val="0"/>
              <w:rPr>
                <w:rFonts w:hint="default"/>
                <w:color w:val="auto"/>
              </w:rPr>
            </w:pPr>
            <w:r>
              <w:rPr>
                <w:rFonts w:hint="default"/>
                <w:color w:val="auto"/>
                <w:lang w:val="en-US" w:eastAsia="zh-CN"/>
              </w:rPr>
              <w:t>项目废包装材料暂存一般固废暂存间，外售综合利用</w:t>
            </w:r>
            <w:r>
              <w:rPr>
                <w:rFonts w:hint="eastAsia"/>
                <w:color w:val="auto"/>
                <w:lang w:val="en-US" w:eastAsia="zh-CN"/>
              </w:rPr>
              <w:t>；</w:t>
            </w:r>
            <w:r>
              <w:rPr>
                <w:rFonts w:hint="default"/>
                <w:color w:val="auto"/>
              </w:rPr>
              <w:t>边角料和不合格产品</w:t>
            </w:r>
            <w:r>
              <w:rPr>
                <w:rFonts w:hint="eastAsia"/>
                <w:color w:val="auto"/>
                <w:lang w:eastAsia="zh-CN"/>
              </w:rPr>
              <w:t>、</w:t>
            </w:r>
            <w:r>
              <w:rPr>
                <w:rFonts w:hint="eastAsia"/>
                <w:color w:val="auto"/>
                <w:lang w:val="en-US" w:eastAsia="zh-CN"/>
              </w:rPr>
              <w:t>造粒固废、循环水收集箱沉渣收集后回用</w:t>
            </w:r>
            <w:r>
              <w:rPr>
                <w:rFonts w:hint="default"/>
                <w:color w:val="auto"/>
                <w:lang w:val="en-US" w:eastAsia="zh-CN"/>
              </w:rPr>
              <w:t>。本项目在</w:t>
            </w:r>
            <w:r>
              <w:rPr>
                <w:rFonts w:hint="eastAsia"/>
                <w:color w:val="auto"/>
                <w:lang w:val="en-US" w:eastAsia="zh-CN"/>
              </w:rPr>
              <w:t>车间东</w:t>
            </w:r>
            <w:r>
              <w:rPr>
                <w:rFonts w:hint="default"/>
                <w:color w:val="auto"/>
                <w:lang w:val="en-US" w:eastAsia="zh-CN"/>
              </w:rPr>
              <w:t>侧建设</w:t>
            </w:r>
            <w:r>
              <w:rPr>
                <w:rFonts w:hint="default"/>
                <w:color w:val="auto"/>
              </w:rPr>
              <w:t>一般工业固体废物堆放场所</w:t>
            </w:r>
            <w:r>
              <w:rPr>
                <w:rFonts w:hint="default"/>
                <w:color w:val="auto"/>
                <w:lang w:eastAsia="zh-CN"/>
              </w:rPr>
              <w:t>暂存一般固废，一般工业固体废物堆放场面</w:t>
            </w:r>
            <w:r>
              <w:rPr>
                <w:rFonts w:hint="eastAsia"/>
                <w:color w:val="auto"/>
                <w:lang w:val="en-US" w:eastAsia="zh-CN"/>
              </w:rPr>
              <w:t>1</w:t>
            </w:r>
            <w:r>
              <w:rPr>
                <w:rFonts w:hint="default"/>
                <w:color w:val="auto"/>
                <w:lang w:val="en-US" w:eastAsia="zh-CN"/>
              </w:rPr>
              <w:t>0m</w:t>
            </w:r>
            <w:r>
              <w:rPr>
                <w:rFonts w:hint="default"/>
                <w:color w:val="auto"/>
                <w:vertAlign w:val="superscript"/>
                <w:lang w:val="en-US" w:eastAsia="zh-CN"/>
              </w:rPr>
              <w:t>2</w:t>
            </w:r>
            <w:r>
              <w:rPr>
                <w:rFonts w:hint="default"/>
                <w:color w:val="auto"/>
              </w:rPr>
              <w:t>，规范暂存</w:t>
            </w:r>
            <w:r>
              <w:rPr>
                <w:rFonts w:hint="eastAsia"/>
                <w:color w:val="auto"/>
                <w:lang w:val="en-US" w:eastAsia="zh-CN"/>
              </w:rPr>
              <w:t>一般固废</w:t>
            </w:r>
            <w:r>
              <w:rPr>
                <w:rFonts w:hint="default"/>
                <w:color w:val="auto"/>
              </w:rPr>
              <w:t>，做到</w:t>
            </w:r>
            <w:r>
              <w:rPr>
                <w:rFonts w:hint="default"/>
                <w:color w:val="auto"/>
                <w:lang w:val="en-US" w:eastAsia="zh-CN"/>
              </w:rPr>
              <w:t>防扬散、防流失、防渗漏</w:t>
            </w:r>
            <w:r>
              <w:rPr>
                <w:rFonts w:hint="default"/>
                <w:color w:val="auto"/>
              </w:rPr>
              <w:t>等相关规范要求，固废可</w:t>
            </w:r>
            <w:r>
              <w:rPr>
                <w:rFonts w:hint="default"/>
                <w:color w:val="auto"/>
                <w:lang w:eastAsia="zh-CN"/>
              </w:rPr>
              <w:t>以</w:t>
            </w:r>
            <w:r>
              <w:rPr>
                <w:rFonts w:hint="default"/>
                <w:color w:val="auto"/>
              </w:rPr>
              <w:t>合理妥善处理，能够实现不对外排放，对周围的环境影响较小。</w:t>
            </w:r>
          </w:p>
          <w:p w14:paraId="140F334F">
            <w:pPr>
              <w:pStyle w:val="51"/>
              <w:bidi w:val="0"/>
              <w:rPr>
                <w:rFonts w:hint="eastAsia"/>
                <w:color w:val="auto"/>
              </w:rPr>
            </w:pPr>
            <w:r>
              <w:rPr>
                <w:rFonts w:hint="eastAsia"/>
                <w:color w:val="auto"/>
              </w:rPr>
              <w:t>一般工业固废暂存间的建设应满足</w:t>
            </w:r>
            <w:r>
              <w:rPr>
                <w:color w:val="auto"/>
              </w:rPr>
              <w:t>《一般工业固体废物贮存和填埋污染控制标准》（GB18599-2020）要求</w:t>
            </w:r>
            <w:r>
              <w:rPr>
                <w:rFonts w:hint="eastAsia"/>
                <w:color w:val="auto"/>
              </w:rPr>
              <w:t>。具体为：暂存场所地面与裙脚要用坚固、防渗的材料建造，基础必须防渗，应设计建造径流疏导系统，保证能防止暴雨不会流到堆放场。暂存区采取防风防雨措施；各类固废应分类收集；禁止危险废物和生活垃圾混入。暂存区按照《环境保护图形标志—固体废物贮存（处置）场》</w:t>
            </w:r>
            <w:r>
              <w:rPr>
                <w:rFonts w:hint="eastAsia"/>
                <w:color w:val="auto"/>
                <w:lang w:eastAsia="zh-CN"/>
              </w:rPr>
              <w:t>（</w:t>
            </w:r>
            <w:r>
              <w:rPr>
                <w:rFonts w:hint="eastAsia"/>
                <w:color w:val="auto"/>
              </w:rPr>
              <w:t>GB15562.2</w:t>
            </w:r>
            <w:r>
              <w:rPr>
                <w:rFonts w:hint="eastAsia"/>
                <w:color w:val="auto"/>
                <w:lang w:eastAsia="zh-CN"/>
              </w:rPr>
              <w:t>）</w:t>
            </w:r>
            <w:r>
              <w:rPr>
                <w:rFonts w:hint="eastAsia"/>
                <w:color w:val="auto"/>
              </w:rPr>
              <w:t>的要求设置环保图形标志；指定专人进行日常管理。</w:t>
            </w:r>
          </w:p>
          <w:p w14:paraId="0864F4D6">
            <w:pPr>
              <w:pStyle w:val="51"/>
              <w:bidi w:val="0"/>
              <w:rPr>
                <w:rFonts w:hint="default"/>
                <w:color w:val="auto"/>
                <w:lang w:val="en-US" w:eastAsia="zh-CN"/>
              </w:rPr>
            </w:pPr>
            <w:r>
              <w:rPr>
                <w:rFonts w:hint="eastAsia"/>
                <w:color w:val="auto"/>
                <w:lang w:val="en-US" w:eastAsia="zh-CN"/>
              </w:rPr>
              <w:t>（2）危险废物暂存</w:t>
            </w:r>
          </w:p>
          <w:p w14:paraId="2D53784B">
            <w:pPr>
              <w:pStyle w:val="51"/>
              <w:bidi w:val="0"/>
              <w:rPr>
                <w:rFonts w:hint="default" w:ascii="Times New Roman" w:hAnsi="Times New Roman" w:eastAsia="宋体" w:cs="Times New Roman"/>
                <w:b w:val="0"/>
                <w:bCs w:val="0"/>
                <w:color w:val="auto"/>
                <w:sz w:val="24"/>
                <w:szCs w:val="24"/>
                <w:highlight w:val="none"/>
                <w:lang w:val="en-US" w:eastAsia="zh-CN"/>
              </w:rPr>
            </w:pPr>
            <w:r>
              <w:rPr>
                <w:rFonts w:hint="default"/>
                <w:color w:val="auto"/>
                <w:lang w:val="en-US" w:eastAsia="zh-CN"/>
              </w:rPr>
              <w:t>废气处理设施更换的废活性炭</w:t>
            </w:r>
            <w:r>
              <w:rPr>
                <w:rFonts w:hint="eastAsia"/>
                <w:color w:val="auto"/>
                <w:lang w:val="en-US" w:eastAsia="zh-CN"/>
              </w:rPr>
              <w:t>由厂家更换带走，空烧网炉处理过滤网产生过滤网残渣</w:t>
            </w:r>
            <w:r>
              <w:rPr>
                <w:rFonts w:hint="default"/>
                <w:color w:val="auto"/>
                <w:lang w:eastAsia="zh-CN"/>
              </w:rPr>
              <w:t>暂存于危险废物暂存间，委托有资质</w:t>
            </w:r>
            <w:r>
              <w:rPr>
                <w:rFonts w:hint="eastAsia"/>
                <w:color w:val="auto"/>
                <w:lang w:val="en-US" w:eastAsia="zh-CN"/>
              </w:rPr>
              <w:t>的</w:t>
            </w:r>
            <w:r>
              <w:rPr>
                <w:rFonts w:hint="default"/>
                <w:color w:val="auto"/>
                <w:lang w:eastAsia="zh-CN"/>
              </w:rPr>
              <w:t>单位处理，</w:t>
            </w:r>
            <w:r>
              <w:rPr>
                <w:rFonts w:hint="eastAsia"/>
                <w:color w:val="auto"/>
                <w:lang w:val="en-US" w:eastAsia="zh-CN"/>
              </w:rPr>
              <w:t>建设</w:t>
            </w:r>
            <w:r>
              <w:rPr>
                <w:rFonts w:hint="default"/>
                <w:color w:val="auto"/>
                <w:lang w:eastAsia="zh-CN"/>
              </w:rPr>
              <w:t>危险废物暂存间，位于</w:t>
            </w:r>
            <w:r>
              <w:rPr>
                <w:rFonts w:hint="eastAsia"/>
                <w:color w:val="auto"/>
                <w:lang w:eastAsia="zh-CN"/>
              </w:rPr>
              <w:t>车间东</w:t>
            </w:r>
            <w:r>
              <w:rPr>
                <w:rFonts w:hint="default"/>
                <w:color w:val="auto"/>
                <w:lang w:eastAsia="zh-CN"/>
              </w:rPr>
              <w:t>侧，建筑面积</w:t>
            </w:r>
            <w:r>
              <w:rPr>
                <w:rFonts w:hint="eastAsia"/>
                <w:color w:val="auto"/>
                <w:lang w:val="en-US" w:eastAsia="zh-CN"/>
              </w:rPr>
              <w:t>5</w:t>
            </w:r>
            <w:r>
              <w:rPr>
                <w:rFonts w:hint="default"/>
                <w:color w:val="auto"/>
                <w:lang w:val="en-US" w:eastAsia="zh-CN"/>
              </w:rPr>
              <w:t>m</w:t>
            </w:r>
            <w:r>
              <w:rPr>
                <w:rFonts w:hint="default"/>
                <w:color w:val="auto"/>
                <w:vertAlign w:val="superscript"/>
                <w:lang w:val="en-US" w:eastAsia="zh-CN"/>
              </w:rPr>
              <w:t>2</w:t>
            </w:r>
            <w:r>
              <w:rPr>
                <w:rFonts w:hint="eastAsia"/>
                <w:color w:val="auto"/>
                <w:lang w:eastAsia="zh-CN"/>
              </w:rPr>
              <w:t>，</w:t>
            </w:r>
            <w:r>
              <w:rPr>
                <w:rFonts w:hint="default" w:ascii="Times New Roman" w:hAnsi="Times New Roman" w:eastAsia="宋体" w:cs="Times New Roman"/>
                <w:b w:val="0"/>
                <w:bCs w:val="0"/>
                <w:color w:val="auto"/>
                <w:sz w:val="24"/>
                <w:szCs w:val="24"/>
                <w:highlight w:val="none"/>
                <w:lang w:val="en-US" w:eastAsia="zh-CN"/>
              </w:rPr>
              <w:t>用于暂存产生的危险废物，并建立转移联单，完善危险废物记录台账</w:t>
            </w:r>
            <w:r>
              <w:rPr>
                <w:rFonts w:hint="eastAsia" w:cs="Times New Roman"/>
                <w:b w:val="0"/>
                <w:bCs w:val="0"/>
                <w:color w:val="auto"/>
                <w:sz w:val="24"/>
                <w:szCs w:val="24"/>
                <w:highlight w:val="none"/>
                <w:lang w:val="en-US" w:eastAsia="zh-CN"/>
              </w:rPr>
              <w:t>，危险废物出入库必须详细登记</w:t>
            </w:r>
            <w:r>
              <w:rPr>
                <w:rFonts w:hint="default" w:ascii="Times New Roman" w:hAnsi="Times New Roman" w:eastAsia="宋体" w:cs="Times New Roman"/>
                <w:b w:val="0"/>
                <w:bCs w:val="0"/>
                <w:color w:val="auto"/>
                <w:sz w:val="24"/>
                <w:szCs w:val="24"/>
                <w:highlight w:val="none"/>
                <w:lang w:val="en-US" w:eastAsia="zh-CN"/>
              </w:rPr>
              <w:t>。根据《危险废物贮存污染控制标准》（GB18597-2023）及《危险废物转移管理办法》（</w:t>
            </w:r>
            <w:r>
              <w:rPr>
                <w:rFonts w:hint="eastAsia" w:cs="Times New Roman"/>
                <w:b w:val="0"/>
                <w:bCs w:val="0"/>
                <w:color w:val="auto"/>
                <w:sz w:val="24"/>
                <w:szCs w:val="24"/>
                <w:highlight w:val="none"/>
                <w:lang w:val="en-US" w:eastAsia="zh-CN"/>
              </w:rPr>
              <w:t>2022年1月1日起施行</w:t>
            </w:r>
            <w:r>
              <w:rPr>
                <w:rFonts w:hint="default" w:ascii="Times New Roman" w:hAnsi="Times New Roman" w:eastAsia="宋体" w:cs="Times New Roman"/>
                <w:b w:val="0"/>
                <w:bCs w:val="0"/>
                <w:color w:val="auto"/>
                <w:sz w:val="24"/>
                <w:szCs w:val="24"/>
                <w:highlight w:val="none"/>
                <w:lang w:val="en-US" w:eastAsia="zh-CN"/>
              </w:rPr>
              <w:t>）的要求，本报告对本项目产生的危险废物的贮存、管理提出如下要求：</w:t>
            </w:r>
          </w:p>
          <w:p w14:paraId="0D800C81">
            <w:pPr>
              <w:pStyle w:val="51"/>
              <w:bidi w:val="0"/>
              <w:rPr>
                <w:rFonts w:hint="default"/>
                <w:color w:val="auto"/>
                <w:lang w:val="en-US" w:eastAsia="zh-CN"/>
              </w:rPr>
            </w:pPr>
            <w:r>
              <w:rPr>
                <w:rFonts w:hint="default"/>
                <w:color w:val="auto"/>
                <w:lang w:val="en-US" w:eastAsia="zh-CN"/>
              </w:rPr>
              <w:t>①危废暂存间防渗工程需满足《危险废物贮存污染控制标准》（GB18597-2023）要求，即：防渗层为至少1m厚黏土层（渗透系数不大于10</w:t>
            </w:r>
            <w:r>
              <w:rPr>
                <w:rFonts w:hint="eastAsia"/>
                <w:color w:val="auto"/>
                <w:lang w:val="en-US" w:eastAsia="zh-CN"/>
              </w:rPr>
              <w:t>～</w:t>
            </w:r>
            <w:r>
              <w:rPr>
                <w:rFonts w:hint="default"/>
                <w:color w:val="auto"/>
                <w:vertAlign w:val="superscript"/>
                <w:lang w:val="en-US" w:eastAsia="zh-CN"/>
              </w:rPr>
              <w:t>7</w:t>
            </w:r>
            <w:r>
              <w:rPr>
                <w:rFonts w:hint="default"/>
                <w:color w:val="auto"/>
                <w:lang w:val="en-US" w:eastAsia="zh-CN"/>
              </w:rPr>
              <w:t>cm/s），或至少2mm厚高密度聚乙烯膜等人工防渗材料（渗透系数不大于10</w:t>
            </w:r>
            <w:r>
              <w:rPr>
                <w:rFonts w:hint="eastAsia"/>
                <w:color w:val="auto"/>
                <w:lang w:val="en-US" w:eastAsia="zh-CN"/>
              </w:rPr>
              <w:t>～</w:t>
            </w:r>
            <w:r>
              <w:rPr>
                <w:rFonts w:hint="default"/>
                <w:color w:val="auto"/>
                <w:vertAlign w:val="superscript"/>
                <w:lang w:val="en-US" w:eastAsia="zh-CN"/>
              </w:rPr>
              <w:t>10</w:t>
            </w:r>
            <w:r>
              <w:rPr>
                <w:rFonts w:hint="default"/>
                <w:color w:val="auto"/>
                <w:lang w:val="en-US" w:eastAsia="zh-CN"/>
              </w:rPr>
              <w:t>cm/s），或其他防渗性能等效的材料。</w:t>
            </w:r>
          </w:p>
          <w:p w14:paraId="2079B0C2">
            <w:pPr>
              <w:pStyle w:val="51"/>
              <w:bidi w:val="0"/>
              <w:rPr>
                <w:rFonts w:hint="default"/>
                <w:color w:val="auto"/>
                <w:lang w:val="en-US" w:eastAsia="zh-CN"/>
              </w:rPr>
            </w:pPr>
            <w:r>
              <w:rPr>
                <w:rFonts w:hint="default"/>
                <w:color w:val="auto"/>
                <w:lang w:val="en-US" w:eastAsia="zh-CN"/>
              </w:rPr>
              <w:t>②危废暂存库必须粘贴有危险废物标识标牌</w:t>
            </w:r>
            <w:r>
              <w:rPr>
                <w:rFonts w:hint="eastAsia"/>
                <w:color w:val="auto"/>
                <w:lang w:val="en-US" w:eastAsia="zh-CN"/>
              </w:rPr>
              <w:t>，</w:t>
            </w:r>
            <w:r>
              <w:rPr>
                <w:rFonts w:hint="default"/>
                <w:color w:val="auto"/>
                <w:lang w:val="en-US" w:eastAsia="zh-CN"/>
              </w:rPr>
              <w:t>盛装危险废物的容器上必须粘贴符合《危险废物识别标志设置技术规范》（HJ1276-2022）的标签</w:t>
            </w:r>
            <w:r>
              <w:rPr>
                <w:rFonts w:hint="eastAsia"/>
                <w:color w:val="auto"/>
                <w:lang w:val="en-US" w:eastAsia="zh-CN"/>
              </w:rPr>
              <w:t>，</w:t>
            </w:r>
            <w:r>
              <w:rPr>
                <w:rFonts w:hint="default"/>
                <w:color w:val="auto"/>
                <w:lang w:val="en-US" w:eastAsia="zh-CN"/>
              </w:rPr>
              <w:t>危险废物暂存库不得接收未粘贴上述标签或标签填写不规范的危险废物。</w:t>
            </w:r>
          </w:p>
          <w:p w14:paraId="44A14E3E">
            <w:pPr>
              <w:pStyle w:val="51"/>
              <w:bidi w:val="0"/>
              <w:rPr>
                <w:rFonts w:hint="default"/>
                <w:color w:val="auto"/>
                <w:lang w:val="en-US" w:eastAsia="zh-CN"/>
              </w:rPr>
            </w:pPr>
            <w:r>
              <w:rPr>
                <w:rFonts w:hint="default"/>
                <w:color w:val="auto"/>
                <w:lang w:val="en-US" w:eastAsia="zh-CN"/>
              </w:rPr>
              <w:t>③必须做好危险废物记录，记录上须注明危险废物名称、来源、数量、特性和包装容器的类别、入库日期、存放库位、废物出库日期及接收单位</w:t>
            </w:r>
            <w:r>
              <w:rPr>
                <w:rFonts w:hint="eastAsia"/>
                <w:color w:val="auto"/>
                <w:lang w:val="en-US" w:eastAsia="zh-CN"/>
              </w:rPr>
              <w:t>，</w:t>
            </w:r>
            <w:r>
              <w:rPr>
                <w:rFonts w:hint="default"/>
                <w:color w:val="auto"/>
                <w:lang w:val="en-US" w:eastAsia="zh-CN"/>
              </w:rPr>
              <w:t>危险废物的记录和货单在危险废物回收后继续保留三年。</w:t>
            </w:r>
          </w:p>
          <w:p w14:paraId="0D84329E">
            <w:pPr>
              <w:pStyle w:val="51"/>
              <w:bidi w:val="0"/>
              <w:rPr>
                <w:rFonts w:hint="default"/>
                <w:color w:val="auto"/>
                <w:lang w:val="en-US" w:eastAsia="zh-CN"/>
              </w:rPr>
            </w:pPr>
            <w:r>
              <w:rPr>
                <w:rFonts w:hint="default"/>
                <w:color w:val="auto"/>
                <w:lang w:val="en-US" w:eastAsia="zh-CN"/>
              </w:rPr>
              <w:t>④必须定期对所贮存的危险废物包装容器及贮存设施进行检查，发现破损，应及时采取措施清理更换。</w:t>
            </w:r>
          </w:p>
          <w:p w14:paraId="48E8082E">
            <w:pPr>
              <w:pStyle w:val="51"/>
              <w:bidi w:val="0"/>
              <w:rPr>
                <w:rFonts w:hint="default"/>
                <w:color w:val="auto"/>
                <w:lang w:val="en-US" w:eastAsia="zh-CN"/>
              </w:rPr>
            </w:pPr>
            <w:r>
              <w:rPr>
                <w:rFonts w:hint="default"/>
                <w:color w:val="auto"/>
                <w:lang w:val="en-US" w:eastAsia="zh-CN"/>
              </w:rPr>
              <w:t>⑤危险废物贮存库房设置灭火器等防火设备，做好火灾的预防工作。</w:t>
            </w:r>
          </w:p>
          <w:p w14:paraId="3C564BF8">
            <w:pPr>
              <w:pStyle w:val="51"/>
              <w:bidi w:val="0"/>
              <w:rPr>
                <w:rFonts w:hint="default"/>
                <w:color w:val="auto"/>
                <w:lang w:val="en-US" w:eastAsia="zh-CN"/>
              </w:rPr>
            </w:pPr>
            <w:r>
              <w:rPr>
                <w:rFonts w:hint="default"/>
                <w:color w:val="auto"/>
                <w:lang w:val="en-US" w:eastAsia="zh-CN"/>
              </w:rPr>
              <w:t>⑥在转移危险废物前，建设单位须按照国家有关规定报批危险废物转移计划，经批准后产生单位应当向当地环境保护行政主管部门申请领取国务院环境保护行政主管部门统一制定的联单。并在危险废物转移前三日内报告当地环境保护行政主管部门，并同时将预期达到时间报告当地环境保护行政主管部门。建设单位必须如实填写联单中产生单位栏目，并加盖公章，经交付危险废物运输单位核实验收签字后，将联单第一联副联自留存档，将联单第二联交当地环境保护行政主管部门，联单第一联正联及其余各联交付运输单位随危险废物转移运行。</w:t>
            </w:r>
          </w:p>
          <w:p w14:paraId="3AC2BA52">
            <w:pPr>
              <w:pStyle w:val="51"/>
              <w:bidi w:val="0"/>
              <w:rPr>
                <w:rFonts w:hint="default"/>
                <w:color w:val="auto"/>
                <w:lang w:val="en-US" w:eastAsia="zh-CN"/>
              </w:rPr>
            </w:pPr>
            <w:r>
              <w:rPr>
                <w:rFonts w:hint="default"/>
                <w:color w:val="auto"/>
                <w:lang w:val="en-US" w:eastAsia="zh-CN"/>
              </w:rPr>
              <w:t>⑦贮存具备“四防”要求（防风、防雨、防晒、防渗透）。</w:t>
            </w:r>
          </w:p>
          <w:p w14:paraId="07B92E26">
            <w:pPr>
              <w:pStyle w:val="51"/>
              <w:bidi w:val="0"/>
              <w:rPr>
                <w:rFonts w:hint="eastAsia"/>
                <w:color w:val="auto"/>
                <w:lang w:val="en-US" w:eastAsia="zh-CN"/>
              </w:rPr>
            </w:pPr>
            <w:r>
              <w:rPr>
                <w:rFonts w:hint="default"/>
                <w:color w:val="auto"/>
                <w:lang w:val="en-US" w:eastAsia="zh-CN"/>
              </w:rPr>
              <w:t>综上所述，本项目固废采取以上措施处理，其处置方案具有可操作性，处置方案是可行的。通过对各类固废采取相应的处置措施，实现可回收废物的综合利用，则本项目产生的固体废物对环境</w:t>
            </w:r>
            <w:r>
              <w:rPr>
                <w:rFonts w:hint="eastAsia"/>
                <w:color w:val="auto"/>
                <w:lang w:val="en-US" w:eastAsia="zh-CN"/>
              </w:rPr>
              <w:t>的</w:t>
            </w:r>
            <w:r>
              <w:rPr>
                <w:rFonts w:hint="default"/>
                <w:color w:val="auto"/>
                <w:lang w:val="en-US" w:eastAsia="zh-CN"/>
              </w:rPr>
              <w:t>影响可接受</w:t>
            </w:r>
            <w:r>
              <w:rPr>
                <w:rFonts w:hint="eastAsia"/>
                <w:color w:val="auto"/>
                <w:lang w:val="en-US" w:eastAsia="zh-CN"/>
              </w:rPr>
              <w:t>，</w:t>
            </w:r>
            <w:r>
              <w:rPr>
                <w:rFonts w:hint="default"/>
                <w:color w:val="auto"/>
                <w:lang w:val="en-US" w:eastAsia="zh-CN"/>
              </w:rPr>
              <w:t>处置方式可行，处置率达100%</w:t>
            </w:r>
            <w:r>
              <w:rPr>
                <w:rFonts w:hint="eastAsia"/>
                <w:color w:val="auto"/>
                <w:lang w:val="en-US" w:eastAsia="zh-CN"/>
              </w:rPr>
              <w:t>。</w:t>
            </w:r>
          </w:p>
          <w:p w14:paraId="76732455">
            <w:pPr>
              <w:pStyle w:val="51"/>
              <w:numPr>
                <w:ilvl w:val="0"/>
                <w:numId w:val="0"/>
              </w:numPr>
              <w:bidi w:val="0"/>
              <w:ind w:firstLine="480" w:firstLineChars="200"/>
              <w:rPr>
                <w:rFonts w:hint="default"/>
                <w:color w:val="auto"/>
                <w:lang w:val="en-US" w:eastAsia="zh-CN"/>
              </w:rPr>
            </w:pPr>
            <w:r>
              <w:rPr>
                <w:rFonts w:hint="eastAsia" w:ascii="Times New Roman" w:hAnsi="Times New Roman" w:eastAsia="宋体" w:cs="宋体"/>
                <w:color w:val="auto"/>
                <w:kern w:val="2"/>
                <w:sz w:val="24"/>
                <w:szCs w:val="21"/>
                <w:lang w:val="en-US" w:eastAsia="zh-CN" w:bidi="ar-SA"/>
              </w:rPr>
              <w:t>（3）</w:t>
            </w:r>
            <w:r>
              <w:rPr>
                <w:rFonts w:hint="eastAsia"/>
                <w:color w:val="auto"/>
                <w:lang w:val="en-US" w:eastAsia="zh-CN"/>
              </w:rPr>
              <w:t>台账记录要求</w:t>
            </w:r>
          </w:p>
          <w:p w14:paraId="0A1C58F1">
            <w:pPr>
              <w:pStyle w:val="51"/>
              <w:bidi w:val="0"/>
              <w:rPr>
                <w:color w:val="auto"/>
              </w:rPr>
            </w:pPr>
            <w:r>
              <w:rPr>
                <w:rFonts w:hint="eastAsia"/>
                <w:color w:val="auto"/>
              </w:rPr>
              <w:t>①</w:t>
            </w:r>
            <w:r>
              <w:rPr>
                <w:color w:val="auto"/>
              </w:rPr>
              <w:t>应妥善收集、储存固体废物，属于一般工业固体废物的，其储存、处置应符合GB18599的相关要求；</w:t>
            </w:r>
          </w:p>
          <w:p w14:paraId="782820AF">
            <w:pPr>
              <w:pStyle w:val="51"/>
              <w:bidi w:val="0"/>
              <w:rPr>
                <w:rFonts w:hint="eastAsia"/>
                <w:color w:val="auto"/>
              </w:rPr>
            </w:pPr>
            <w:r>
              <w:rPr>
                <w:rFonts w:hint="eastAsia"/>
                <w:color w:val="auto"/>
              </w:rPr>
              <w:t>②</w:t>
            </w:r>
            <w:r>
              <w:rPr>
                <w:color w:val="auto"/>
              </w:rPr>
              <w:t>记录固体废物产生量、处置量及去向（综合利用或外运）和贮存量；</w:t>
            </w:r>
          </w:p>
          <w:p w14:paraId="64533154">
            <w:pPr>
              <w:pStyle w:val="51"/>
              <w:bidi w:val="0"/>
              <w:rPr>
                <w:color w:val="auto"/>
              </w:rPr>
            </w:pPr>
            <w:r>
              <w:rPr>
                <w:rFonts w:hint="eastAsia"/>
                <w:color w:val="auto"/>
              </w:rPr>
              <w:t>③</w:t>
            </w:r>
            <w:r>
              <w:rPr>
                <w:color w:val="auto"/>
              </w:rPr>
              <w:t>记录形式：分为电子台账和纸质台账两种形式。</w:t>
            </w:r>
          </w:p>
          <w:p w14:paraId="2BBBC545">
            <w:pPr>
              <w:pStyle w:val="51"/>
              <w:bidi w:val="0"/>
              <w:rPr>
                <w:color w:val="auto"/>
              </w:rPr>
            </w:pPr>
            <w:r>
              <w:rPr>
                <w:rFonts w:hint="eastAsia"/>
                <w:color w:val="auto"/>
              </w:rPr>
              <w:t>④</w:t>
            </w:r>
            <w:r>
              <w:rPr>
                <w:color w:val="auto"/>
              </w:rPr>
              <w:t>记录内容：包括基本信息、生产设施运行管理信息、污染防治设施运行管理信息、监测记录信息及其他环境管理信息等，参照《排污单位环境管理台账及排污许可证执行报告技术规范总则（试行）》附录A，生产设施、污染防治设施、排放口编码应与排污许可证副本中载明的编码一致。</w:t>
            </w:r>
          </w:p>
          <w:p w14:paraId="1C1EB3B9">
            <w:pPr>
              <w:pStyle w:val="51"/>
              <w:bidi w:val="0"/>
              <w:rPr>
                <w:color w:val="auto"/>
              </w:rPr>
            </w:pPr>
            <w:r>
              <w:rPr>
                <w:rFonts w:hint="eastAsia"/>
                <w:color w:val="auto"/>
              </w:rPr>
              <w:t>⑤</w:t>
            </w:r>
            <w:r>
              <w:rPr>
                <w:color w:val="auto"/>
              </w:rPr>
              <w:t>记录频次：按照相关规定对基本信息、生产设施运行管理信息、污染防治设施运行管理信息、监测记录信息、其他环境管理信息的记录频次。</w:t>
            </w:r>
          </w:p>
          <w:p w14:paraId="06F63A72">
            <w:pPr>
              <w:pStyle w:val="51"/>
              <w:bidi w:val="0"/>
              <w:rPr>
                <w:color w:val="auto"/>
              </w:rPr>
            </w:pPr>
            <w:r>
              <w:rPr>
                <w:rFonts w:hint="eastAsia"/>
                <w:color w:val="auto"/>
              </w:rPr>
              <w:t>⑥</w:t>
            </w:r>
            <w:r>
              <w:rPr>
                <w:color w:val="auto"/>
              </w:rPr>
              <w:t>记录存储及保存：</w:t>
            </w:r>
          </w:p>
          <w:p w14:paraId="7A3E65B4">
            <w:pPr>
              <w:pStyle w:val="51"/>
              <w:bidi w:val="0"/>
              <w:rPr>
                <w:color w:val="auto"/>
              </w:rPr>
            </w:pPr>
            <w:r>
              <w:rPr>
                <w:color w:val="auto"/>
              </w:rPr>
              <w:t>a）纸质存储：应将纸质台账存放于保护袋、卷夹或保护盒等保存介质中；由专人签字、定点保存；应采取防光、防热、防潮、防细菌及防污染等措施；如有破损应及时修补，并留存备查；</w:t>
            </w:r>
            <w:r>
              <w:rPr>
                <w:rFonts w:hint="eastAsia"/>
                <w:color w:val="auto"/>
                <w:lang w:val="en-US" w:eastAsia="zh-CN"/>
              </w:rPr>
              <w:t>台账保存期限不得少于5</w:t>
            </w:r>
            <w:r>
              <w:rPr>
                <w:color w:val="auto"/>
              </w:rPr>
              <w:t>年。</w:t>
            </w:r>
          </w:p>
          <w:p w14:paraId="3B5471D4">
            <w:pPr>
              <w:pStyle w:val="51"/>
              <w:bidi w:val="0"/>
              <w:rPr>
                <w:rFonts w:hint="default"/>
                <w:color w:val="auto"/>
                <w:lang w:val="en-US" w:eastAsia="zh-CN"/>
              </w:rPr>
            </w:pPr>
            <w:r>
              <w:rPr>
                <w:color w:val="auto"/>
              </w:rPr>
              <w:t>b）电子化存储：应存放于电子存储介质中，并进行数据备份；可在排污许可管理信息平台填报并保存；由专人定期维护管理；</w:t>
            </w:r>
            <w:r>
              <w:rPr>
                <w:rFonts w:hint="eastAsia"/>
                <w:color w:val="auto"/>
                <w:lang w:val="en-US" w:eastAsia="zh-CN"/>
              </w:rPr>
              <w:t>台账保存期限不得少于5</w:t>
            </w:r>
            <w:r>
              <w:rPr>
                <w:color w:val="auto"/>
              </w:rPr>
              <w:t>年。</w:t>
            </w:r>
          </w:p>
          <w:p w14:paraId="71CDADBC">
            <w:pPr>
              <w:pStyle w:val="51"/>
              <w:ind w:firstLine="482"/>
              <w:rPr>
                <w:rFonts w:hint="default" w:ascii="Times New Roman" w:hAnsi="Times New Roman" w:cs="Times New Roman"/>
                <w:b/>
                <w:color w:val="auto"/>
              </w:rPr>
            </w:pPr>
            <w:r>
              <w:rPr>
                <w:rFonts w:hint="default" w:ascii="Times New Roman" w:hAnsi="Times New Roman" w:cs="Times New Roman"/>
                <w:b/>
                <w:color w:val="auto"/>
              </w:rPr>
              <w:t>五、土壤及地下水影响分析</w:t>
            </w:r>
          </w:p>
          <w:p w14:paraId="50474AED">
            <w:pPr>
              <w:pStyle w:val="51"/>
              <w:bidi w:val="0"/>
              <w:rPr>
                <w:rFonts w:hint="eastAsia"/>
                <w:color w:val="auto"/>
                <w:lang w:val="en-US" w:eastAsia="zh-CN"/>
              </w:rPr>
            </w:pPr>
            <w:r>
              <w:rPr>
                <w:rFonts w:hint="eastAsia"/>
                <w:color w:val="auto"/>
                <w:lang w:val="en-US" w:eastAsia="zh-CN"/>
              </w:rPr>
              <w:t>根据《环境影响评价技术导则  地下水环境》（HJ610-2016）和《环境影响评价技术导则  土壤环境》（HJ964-2018）可知，本项目属于Ⅳ类项目，可不开展地下水、土壤环境影响评价。</w:t>
            </w:r>
          </w:p>
          <w:p w14:paraId="47838D25">
            <w:pPr>
              <w:pStyle w:val="51"/>
              <w:bidi w:val="0"/>
              <w:rPr>
                <w:rFonts w:hint="eastAsia"/>
                <w:b/>
                <w:bCs/>
                <w:color w:val="auto"/>
                <w:lang w:val="en-US" w:eastAsia="zh-CN"/>
              </w:rPr>
            </w:pPr>
            <w:r>
              <w:rPr>
                <w:rFonts w:hint="eastAsia"/>
                <w:b/>
                <w:bCs/>
                <w:color w:val="auto"/>
                <w:lang w:val="en-US" w:eastAsia="zh-CN"/>
              </w:rPr>
              <w:t>1、污染途径</w:t>
            </w:r>
          </w:p>
          <w:p w14:paraId="43F61F44">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土壤污染是指人类活动所产生的物质（污染物），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14:paraId="2BDED1C8">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污染物可以通过多种途径进入土壤，主要类型有以下三种：</w:t>
            </w:r>
          </w:p>
          <w:p w14:paraId="740FB22D">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大气污染型：污染物来源于被污染的大气，主要集中在土壤表层，主要污染物是大气中的颗粒物，它们降落到地表可引起土壤土质发生变化，破坏土壤肥力与生态系统的平衡。</w:t>
            </w:r>
          </w:p>
          <w:p w14:paraId="0372C8E1">
            <w:pPr>
              <w:snapToGri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水污染型：项目废水事故状态下未有效收集直接排入外环境，或发生泄漏，致使土壤受到无机盐、有机物和病原体的污染。</w:t>
            </w:r>
          </w:p>
          <w:p w14:paraId="15ACB762">
            <w:pPr>
              <w:snapToGrid w:val="0"/>
              <w:spacing w:line="360" w:lineRule="auto"/>
              <w:ind w:firstLine="480" w:firstLineChars="200"/>
              <w:rPr>
                <w:rFonts w:hint="default"/>
                <w:color w:val="auto"/>
                <w:lang w:val="en-US" w:eastAsia="zh-CN"/>
              </w:rPr>
            </w:pPr>
            <w:r>
              <w:rPr>
                <w:rFonts w:ascii="Times New Roman" w:hAnsi="Times New Roman"/>
                <w:color w:val="auto"/>
                <w:sz w:val="24"/>
                <w:szCs w:val="20"/>
              </w:rPr>
              <w:t>固体废物污染型：项目产生的固废在运输、堆放过程中通过扩散、降水淋洗等直接或间接</w:t>
            </w:r>
            <w:r>
              <w:rPr>
                <w:rFonts w:hint="eastAsia"/>
                <w:color w:val="auto"/>
                <w:sz w:val="24"/>
                <w:szCs w:val="20"/>
                <w:lang w:eastAsia="zh-CN"/>
              </w:rPr>
              <w:t>地</w:t>
            </w:r>
            <w:r>
              <w:rPr>
                <w:rFonts w:ascii="Times New Roman" w:hAnsi="Times New Roman"/>
                <w:color w:val="auto"/>
                <w:sz w:val="24"/>
                <w:szCs w:val="20"/>
              </w:rPr>
              <w:t>影响土壤。</w:t>
            </w:r>
          </w:p>
          <w:p w14:paraId="5C6ED914">
            <w:pPr>
              <w:pStyle w:val="51"/>
              <w:bidi w:val="0"/>
              <w:rPr>
                <w:rFonts w:hint="eastAsia"/>
                <w:color w:val="auto"/>
                <w:lang w:val="en-US" w:eastAsia="zh-CN"/>
              </w:rPr>
            </w:pPr>
            <w:r>
              <w:rPr>
                <w:rFonts w:hint="default"/>
                <w:color w:val="auto"/>
                <w:lang w:val="en-US" w:eastAsia="zh-CN"/>
              </w:rPr>
              <w:t>本项目</w:t>
            </w:r>
            <w:r>
              <w:rPr>
                <w:rFonts w:hint="eastAsia"/>
                <w:color w:val="auto"/>
                <w:lang w:val="en-US" w:eastAsia="zh-CN"/>
              </w:rPr>
              <w:t>属于塑料颗粒生产</w:t>
            </w:r>
            <w:r>
              <w:rPr>
                <w:rFonts w:hint="eastAsia"/>
                <w:color w:val="auto"/>
                <w:lang w:val="zh-CN" w:eastAsia="zh-CN"/>
              </w:rPr>
              <w:t>项目</w:t>
            </w:r>
            <w:r>
              <w:rPr>
                <w:rFonts w:hint="eastAsia"/>
                <w:color w:val="auto"/>
                <w:lang w:val="en-US" w:eastAsia="zh-CN"/>
              </w:rPr>
              <w:t>，</w:t>
            </w:r>
            <w:r>
              <w:rPr>
                <w:rFonts w:hint="default"/>
                <w:color w:val="auto"/>
                <w:lang w:val="en-US" w:eastAsia="zh-CN"/>
              </w:rPr>
              <w:t>根据项目污染物排放特点，项目</w:t>
            </w:r>
            <w:r>
              <w:rPr>
                <w:rFonts w:hint="eastAsia"/>
                <w:color w:val="auto"/>
                <w:lang w:val="en-US" w:eastAsia="zh-CN"/>
              </w:rPr>
              <w:t>运营期</w:t>
            </w:r>
            <w:r>
              <w:rPr>
                <w:rFonts w:hint="default"/>
                <w:color w:val="auto"/>
                <w:lang w:val="en-US" w:eastAsia="zh-CN"/>
              </w:rPr>
              <w:t>对</w:t>
            </w:r>
            <w:r>
              <w:rPr>
                <w:rFonts w:hint="eastAsia"/>
                <w:color w:val="auto"/>
                <w:lang w:val="en-US" w:eastAsia="zh-CN"/>
              </w:rPr>
              <w:t>土壤、</w:t>
            </w:r>
            <w:r>
              <w:rPr>
                <w:rFonts w:hint="default"/>
                <w:color w:val="auto"/>
                <w:lang w:val="en-US" w:eastAsia="zh-CN"/>
              </w:rPr>
              <w:t>地下水的主要影响途径为</w:t>
            </w:r>
            <w:r>
              <w:rPr>
                <w:rFonts w:hint="eastAsia"/>
                <w:color w:val="auto"/>
                <w:lang w:val="en-US" w:eastAsia="zh-CN"/>
              </w:rPr>
              <w:t>非正常情况下的</w:t>
            </w:r>
            <w:r>
              <w:rPr>
                <w:rFonts w:hint="default"/>
                <w:color w:val="auto"/>
                <w:lang w:val="en-US" w:eastAsia="zh-CN"/>
              </w:rPr>
              <w:t>渗透污染。项目地下水及土壤主要污染源为：</w:t>
            </w:r>
            <w:r>
              <w:rPr>
                <w:rFonts w:hint="eastAsia"/>
                <w:color w:val="auto"/>
                <w:lang w:val="en-US" w:eastAsia="zh-CN"/>
              </w:rPr>
              <w:t>废矿物油</w:t>
            </w:r>
            <w:r>
              <w:rPr>
                <w:rFonts w:hint="default"/>
                <w:color w:val="auto"/>
                <w:lang w:val="en-US" w:eastAsia="zh-CN"/>
              </w:rPr>
              <w:t>渗漏</w:t>
            </w:r>
            <w:r>
              <w:rPr>
                <w:rFonts w:hint="eastAsia"/>
                <w:color w:val="auto"/>
                <w:lang w:val="en-US" w:eastAsia="zh-CN"/>
              </w:rPr>
              <w:t>、</w:t>
            </w:r>
            <w:r>
              <w:rPr>
                <w:rFonts w:hint="default"/>
                <w:color w:val="auto"/>
                <w:lang w:val="en-US" w:eastAsia="zh-CN"/>
              </w:rPr>
              <w:t>生活污水渗漏等，主要表现为危废暂存间、化粪池破损，</w:t>
            </w:r>
            <w:r>
              <w:rPr>
                <w:rFonts w:hint="eastAsia"/>
                <w:color w:val="auto"/>
                <w:lang w:val="en-US" w:eastAsia="zh-CN"/>
              </w:rPr>
              <w:t>或</w:t>
            </w:r>
            <w:r>
              <w:rPr>
                <w:rFonts w:hint="default"/>
                <w:color w:val="auto"/>
                <w:lang w:val="en-US" w:eastAsia="zh-CN"/>
              </w:rPr>
              <w:t>危废暂存间、化粪池防渗措施不到位、管理不到位</w:t>
            </w:r>
            <w:r>
              <w:rPr>
                <w:rFonts w:hint="eastAsia"/>
                <w:color w:val="auto"/>
                <w:lang w:val="en-US" w:eastAsia="zh-CN"/>
              </w:rPr>
              <w:t>等，导致其泄漏下渗污染土壤、地下水环境。</w:t>
            </w:r>
          </w:p>
          <w:p w14:paraId="4EC07AD3">
            <w:pPr>
              <w:pStyle w:val="51"/>
              <w:bidi w:val="0"/>
              <w:rPr>
                <w:rFonts w:hint="eastAsia"/>
                <w:color w:val="auto"/>
                <w:lang w:val="en-US" w:eastAsia="zh-CN"/>
              </w:rPr>
            </w:pPr>
            <w:r>
              <w:rPr>
                <w:rFonts w:cs="宋体"/>
                <w:color w:val="auto"/>
                <w:kern w:val="2"/>
                <w:lang w:val="en-US" w:eastAsia="zh-CN"/>
              </w:rPr>
              <w:t>本项目用地范围</w:t>
            </w:r>
            <w:r>
              <w:rPr>
                <w:color w:val="auto"/>
                <w:kern w:val="2"/>
                <w:szCs w:val="24"/>
                <w:lang w:val="en-US" w:eastAsia="zh-CN"/>
              </w:rPr>
              <w:t>内进行硬化，危险废物暂存间采用重点防渗，渗透系数不大于1×10</w:t>
            </w:r>
            <w:r>
              <w:rPr>
                <w:color w:val="auto"/>
                <w:kern w:val="2"/>
                <w:szCs w:val="24"/>
                <w:vertAlign w:val="superscript"/>
                <w:lang w:val="en-US" w:eastAsia="zh-CN"/>
              </w:rPr>
              <w:t>-7</w:t>
            </w:r>
            <w:r>
              <w:rPr>
                <w:color w:val="auto"/>
                <w:kern w:val="2"/>
                <w:szCs w:val="24"/>
                <w:lang w:val="en-US" w:eastAsia="zh-CN"/>
              </w:rPr>
              <w:t>cm/s，</w:t>
            </w:r>
            <w:r>
              <w:rPr>
                <w:rFonts w:hint="eastAsia"/>
                <w:color w:val="auto"/>
                <w:kern w:val="2"/>
                <w:szCs w:val="24"/>
                <w:lang w:val="en-US" w:eastAsia="zh-CN"/>
              </w:rPr>
              <w:t>正常情况下，</w:t>
            </w:r>
            <w:r>
              <w:rPr>
                <w:color w:val="auto"/>
                <w:kern w:val="2"/>
                <w:szCs w:val="24"/>
                <w:lang w:val="en-US" w:eastAsia="zh-CN"/>
              </w:rPr>
              <w:t>不存在地下水、土壤污染</w:t>
            </w:r>
            <w:r>
              <w:rPr>
                <w:rFonts w:hint="eastAsia"/>
                <w:color w:val="auto"/>
                <w:kern w:val="2"/>
                <w:szCs w:val="24"/>
                <w:lang w:val="en-US" w:eastAsia="zh-CN"/>
              </w:rPr>
              <w:t>途径；</w:t>
            </w:r>
            <w:r>
              <w:rPr>
                <w:rFonts w:hint="default"/>
                <w:color w:val="auto"/>
                <w:lang w:val="en-US" w:eastAsia="zh-CN"/>
              </w:rPr>
              <w:t>环评要求根据对地下水和土壤的影响</w:t>
            </w:r>
            <w:r>
              <w:rPr>
                <w:rFonts w:hint="eastAsia"/>
                <w:color w:val="auto"/>
                <w:lang w:val="en-US" w:eastAsia="zh-CN"/>
              </w:rPr>
              <w:t>，对</w:t>
            </w:r>
            <w:r>
              <w:rPr>
                <w:rFonts w:hint="default"/>
                <w:color w:val="auto"/>
                <w:lang w:val="en-US" w:eastAsia="zh-CN"/>
              </w:rPr>
              <w:t>项目区</w:t>
            </w:r>
            <w:r>
              <w:rPr>
                <w:rFonts w:hint="eastAsia"/>
                <w:color w:val="auto"/>
                <w:lang w:val="en-US" w:eastAsia="zh-CN"/>
              </w:rPr>
              <w:t>进行分区防渗</w:t>
            </w:r>
            <w:r>
              <w:rPr>
                <w:color w:val="auto"/>
              </w:rPr>
              <w:t>。</w:t>
            </w:r>
          </w:p>
          <w:p w14:paraId="479FA2D6">
            <w:pPr>
              <w:pStyle w:val="51"/>
              <w:bidi w:val="0"/>
              <w:rPr>
                <w:rFonts w:hint="eastAsia"/>
                <w:b/>
                <w:bCs/>
                <w:color w:val="auto"/>
                <w:lang w:val="en-US" w:eastAsia="zh-CN"/>
              </w:rPr>
            </w:pPr>
            <w:r>
              <w:rPr>
                <w:rFonts w:hint="eastAsia"/>
                <w:b/>
                <w:bCs/>
                <w:color w:val="auto"/>
                <w:lang w:val="en-US" w:eastAsia="zh-CN"/>
              </w:rPr>
              <w:t>2、防控措施</w:t>
            </w:r>
          </w:p>
          <w:p w14:paraId="28F011E1">
            <w:pPr>
              <w:pStyle w:val="51"/>
              <w:bidi w:val="0"/>
              <w:rPr>
                <w:rFonts w:hint="eastAsia"/>
                <w:color w:val="auto"/>
              </w:rPr>
            </w:pPr>
            <w:r>
              <w:rPr>
                <w:rFonts w:hint="eastAsia"/>
                <w:color w:val="auto"/>
                <w:lang w:val="en-US" w:eastAsia="zh-CN"/>
              </w:rPr>
              <w:t xml:space="preserve">①加强设备的维护和管理，保证厂区产生的污废水不流入外环境； </w:t>
            </w:r>
          </w:p>
          <w:p w14:paraId="6B78090C">
            <w:pPr>
              <w:pStyle w:val="51"/>
              <w:bidi w:val="0"/>
              <w:rPr>
                <w:rFonts w:hint="eastAsia"/>
                <w:color w:val="auto"/>
              </w:rPr>
            </w:pPr>
            <w:r>
              <w:rPr>
                <w:rFonts w:hint="eastAsia"/>
                <w:color w:val="auto"/>
                <w:lang w:val="en-US" w:eastAsia="zh-CN"/>
              </w:rPr>
              <w:t xml:space="preserve">②加强监管，禁止向地表水排入污废水、固体废物等； </w:t>
            </w:r>
          </w:p>
          <w:p w14:paraId="52CF7255">
            <w:pPr>
              <w:pStyle w:val="51"/>
              <w:bidi w:val="0"/>
              <w:rPr>
                <w:rFonts w:hint="default"/>
                <w:color w:val="auto"/>
              </w:rPr>
            </w:pPr>
            <w:r>
              <w:rPr>
                <w:rFonts w:hint="eastAsia"/>
                <w:color w:val="auto"/>
                <w:lang w:val="en-US" w:eastAsia="zh-CN"/>
              </w:rPr>
              <w:t>③厂区进行分区防渗：</w:t>
            </w:r>
          </w:p>
          <w:p w14:paraId="478442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sz w:val="24"/>
                <w:szCs w:val="32"/>
                <w:highlight w:val="none"/>
                <w:lang w:val="en-US" w:eastAsia="zh-CN"/>
              </w:rPr>
            </w:pPr>
            <w:r>
              <w:rPr>
                <w:rFonts w:hint="default" w:ascii="Times New Roman" w:hAnsi="Times New Roman" w:eastAsia="宋体" w:cs="Times New Roman"/>
                <w:color w:val="auto"/>
                <w:sz w:val="24"/>
                <w:szCs w:val="32"/>
                <w:highlight w:val="none"/>
              </w:rPr>
              <w:t>重点防渗区：</w:t>
            </w:r>
            <w:r>
              <w:rPr>
                <w:rFonts w:hint="eastAsia" w:ascii="Times New Roman" w:hAnsi="Times New Roman" w:eastAsia="宋体" w:cs="Times New Roman"/>
                <w:color w:val="auto"/>
                <w:sz w:val="24"/>
                <w:szCs w:val="32"/>
                <w:highlight w:val="none"/>
                <w:lang w:val="en-US" w:eastAsia="zh-CN"/>
              </w:rPr>
              <w:t>危险废物暂存间采用重点防渗，</w:t>
            </w:r>
            <w:r>
              <w:rPr>
                <w:rFonts w:hint="default" w:ascii="Times New Roman" w:hAnsi="Times New Roman" w:eastAsia="宋体" w:cs="Times New Roman"/>
                <w:color w:val="auto"/>
                <w:sz w:val="24"/>
                <w:szCs w:val="32"/>
                <w:highlight w:val="none"/>
              </w:rPr>
              <w:t>等效黏土防渗层厚度不小于6.0m，渗透系数不大于1×10</w:t>
            </w:r>
            <w:r>
              <w:rPr>
                <w:rFonts w:hint="default" w:ascii="Times New Roman" w:hAnsi="Times New Roman" w:eastAsia="宋体" w:cs="Times New Roman"/>
                <w:color w:val="auto"/>
                <w:sz w:val="24"/>
                <w:szCs w:val="32"/>
                <w:highlight w:val="none"/>
                <w:vertAlign w:val="superscript"/>
              </w:rPr>
              <w:t>-7</w:t>
            </w:r>
            <w:r>
              <w:rPr>
                <w:rFonts w:hint="default" w:ascii="Times New Roman" w:hAnsi="Times New Roman" w:eastAsia="宋体" w:cs="Times New Roman"/>
                <w:color w:val="auto"/>
                <w:sz w:val="24"/>
                <w:szCs w:val="32"/>
                <w:highlight w:val="none"/>
              </w:rPr>
              <w:t>cm/s，或参考《危险废物填埋污染控制标准》（GB18598-20</w:t>
            </w:r>
            <w:r>
              <w:rPr>
                <w:rFonts w:hint="eastAsia" w:ascii="Times New Roman" w:hAnsi="Times New Roman" w:eastAsia="宋体" w:cs="Times New Roman"/>
                <w:color w:val="auto"/>
                <w:sz w:val="24"/>
                <w:szCs w:val="32"/>
                <w:highlight w:val="none"/>
                <w:lang w:val="en-US" w:eastAsia="zh-CN"/>
              </w:rPr>
              <w:t>19</w:t>
            </w:r>
            <w:r>
              <w:rPr>
                <w:rFonts w:hint="default" w:ascii="Times New Roman" w:hAnsi="Times New Roman" w:eastAsia="宋体" w:cs="Times New Roman"/>
                <w:color w:val="auto"/>
                <w:sz w:val="24"/>
                <w:szCs w:val="32"/>
                <w:highlight w:val="none"/>
              </w:rPr>
              <w:t>）要求进行防渗</w:t>
            </w:r>
            <w:r>
              <w:rPr>
                <w:rFonts w:hint="eastAsia" w:cs="Times New Roman"/>
                <w:color w:val="auto"/>
                <w:sz w:val="24"/>
                <w:szCs w:val="32"/>
                <w:highlight w:val="none"/>
                <w:lang w:val="en-US" w:eastAsia="zh-CN"/>
              </w:rPr>
              <w:t>。</w:t>
            </w:r>
          </w:p>
          <w:p w14:paraId="29F483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color w:val="auto"/>
                <w:sz w:val="24"/>
                <w:szCs w:val="32"/>
                <w:highlight w:val="none"/>
                <w:lang w:eastAsia="zh-CN"/>
              </w:rPr>
            </w:pPr>
            <w:r>
              <w:rPr>
                <w:rFonts w:hint="default" w:ascii="Times New Roman" w:hAnsi="Times New Roman" w:eastAsia="宋体" w:cs="Times New Roman"/>
                <w:color w:val="auto"/>
                <w:sz w:val="24"/>
                <w:szCs w:val="32"/>
                <w:highlight w:val="none"/>
              </w:rPr>
              <w:t>一般防渗区：</w:t>
            </w:r>
            <w:r>
              <w:rPr>
                <w:rFonts w:hint="default" w:ascii="Times New Roman" w:hAnsi="Times New Roman" w:cs="Times New Roman"/>
                <w:color w:val="auto"/>
                <w:sz w:val="24"/>
                <w:szCs w:val="32"/>
                <w:highlight w:val="none"/>
                <w:lang w:val="en-US" w:eastAsia="zh-CN"/>
              </w:rPr>
              <w:t>化粪池</w:t>
            </w:r>
            <w:r>
              <w:rPr>
                <w:rFonts w:hint="eastAsia" w:cs="Times New Roman"/>
                <w:color w:val="auto"/>
                <w:sz w:val="24"/>
                <w:szCs w:val="32"/>
                <w:highlight w:val="none"/>
                <w:lang w:val="en-US" w:eastAsia="zh-CN"/>
              </w:rPr>
              <w:t>、</w:t>
            </w:r>
            <w:r>
              <w:rPr>
                <w:rFonts w:hint="eastAsia" w:ascii="Times New Roman" w:hAnsi="Times New Roman" w:cs="Times New Roman"/>
                <w:color w:val="auto"/>
                <w:sz w:val="24"/>
                <w:szCs w:val="32"/>
                <w:highlight w:val="none"/>
                <w:lang w:val="en-US" w:eastAsia="zh-CN"/>
              </w:rPr>
              <w:t>生产车间</w:t>
            </w:r>
            <w:r>
              <w:rPr>
                <w:rFonts w:hint="default" w:ascii="Times New Roman" w:hAnsi="Times New Roman" w:cs="Times New Roman"/>
                <w:color w:val="auto"/>
                <w:sz w:val="24"/>
                <w:szCs w:val="32"/>
                <w:highlight w:val="none"/>
                <w:lang w:val="en-US" w:eastAsia="zh-CN"/>
              </w:rPr>
              <w:t>等区域</w:t>
            </w:r>
            <w:r>
              <w:rPr>
                <w:rFonts w:hint="default" w:ascii="Times New Roman" w:hAnsi="Times New Roman" w:eastAsia="宋体" w:cs="Times New Roman"/>
                <w:color w:val="auto"/>
                <w:sz w:val="24"/>
                <w:szCs w:val="32"/>
                <w:highlight w:val="none"/>
              </w:rPr>
              <w:t>等效黏土防渗层厚度不小于1.5m，渗透系数不大于1×10</w:t>
            </w:r>
            <w:r>
              <w:rPr>
                <w:rFonts w:hint="default" w:ascii="Times New Roman" w:hAnsi="Times New Roman" w:eastAsia="宋体" w:cs="Times New Roman"/>
                <w:color w:val="auto"/>
                <w:sz w:val="24"/>
                <w:szCs w:val="32"/>
                <w:highlight w:val="none"/>
                <w:vertAlign w:val="superscript"/>
              </w:rPr>
              <w:t>-7</w:t>
            </w:r>
            <w:r>
              <w:rPr>
                <w:rFonts w:hint="default" w:ascii="Times New Roman" w:hAnsi="Times New Roman" w:eastAsia="宋体" w:cs="Times New Roman"/>
                <w:color w:val="auto"/>
                <w:sz w:val="24"/>
                <w:szCs w:val="32"/>
                <w:highlight w:val="none"/>
              </w:rPr>
              <w:t>cm/s，或参考《生活垃圾填埋场污染控制标准》（GB16889-2008）要求进行防渗</w:t>
            </w:r>
            <w:r>
              <w:rPr>
                <w:rFonts w:hint="eastAsia" w:ascii="Times New Roman" w:hAnsi="Times New Roman" w:eastAsia="宋体" w:cs="Times New Roman"/>
                <w:color w:val="auto"/>
                <w:sz w:val="24"/>
                <w:szCs w:val="32"/>
                <w:highlight w:val="none"/>
                <w:lang w:eastAsia="zh-CN"/>
              </w:rPr>
              <w:t>。</w:t>
            </w:r>
          </w:p>
          <w:p w14:paraId="76AA1A98">
            <w:pPr>
              <w:numPr>
                <w:ilvl w:val="0"/>
                <w:numId w:val="0"/>
              </w:numPr>
              <w:adjustRightInd w:val="0"/>
              <w:snapToGrid w:val="0"/>
              <w:spacing w:beforeLines="0" w:afterLines="0"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综上所述，</w:t>
            </w:r>
            <w:r>
              <w:rPr>
                <w:rFonts w:hint="default" w:ascii="Times New Roman" w:hAnsi="Times New Roman" w:eastAsia="宋体" w:cs="Times New Roman"/>
                <w:color w:val="auto"/>
                <w:kern w:val="0"/>
                <w:sz w:val="24"/>
                <w:szCs w:val="24"/>
                <w:lang w:val="en-US" w:eastAsia="zh-CN"/>
              </w:rPr>
              <w:t>本项目不涉及重金属及地下水开采，不属于土壤和地下水重点行业，</w:t>
            </w:r>
            <w:r>
              <w:rPr>
                <w:rFonts w:hint="eastAsia" w:ascii="Times New Roman" w:hAnsi="Times New Roman" w:eastAsia="宋体" w:cs="Times New Roman"/>
                <w:color w:val="auto"/>
                <w:kern w:val="0"/>
                <w:sz w:val="24"/>
                <w:szCs w:val="24"/>
                <w:lang w:val="en-US" w:eastAsia="zh-CN"/>
              </w:rPr>
              <w:t>项目场地硬化</w:t>
            </w:r>
            <w:r>
              <w:rPr>
                <w:rFonts w:hint="default" w:ascii="Times New Roman" w:hAnsi="Times New Roman" w:eastAsia="宋体" w:cs="Times New Roman"/>
                <w:color w:val="auto"/>
                <w:kern w:val="0"/>
                <w:sz w:val="24"/>
                <w:szCs w:val="24"/>
                <w:lang w:val="en-US" w:eastAsia="zh-CN"/>
              </w:rPr>
              <w:t>且落实上述防控措施后</w:t>
            </w:r>
            <w:r>
              <w:rPr>
                <w:rFonts w:hint="default" w:ascii="Times New Roman" w:hAnsi="Times New Roman" w:eastAsia="宋体" w:cs="Times New Roman"/>
                <w:color w:val="auto"/>
                <w:sz w:val="24"/>
                <w:szCs w:val="24"/>
              </w:rPr>
              <w:t>，项目建设对</w:t>
            </w:r>
            <w:r>
              <w:rPr>
                <w:rFonts w:hint="eastAsia" w:ascii="Times New Roman" w:hAnsi="Times New Roman" w:eastAsia="宋体" w:cs="Times New Roman"/>
                <w:color w:val="auto"/>
                <w:sz w:val="24"/>
                <w:szCs w:val="24"/>
                <w:lang w:eastAsia="zh-CN"/>
              </w:rPr>
              <w:t>土壤、</w:t>
            </w:r>
            <w:r>
              <w:rPr>
                <w:rFonts w:hint="default" w:ascii="Times New Roman" w:hAnsi="Times New Roman" w:eastAsia="宋体" w:cs="Times New Roman"/>
                <w:color w:val="auto"/>
                <w:sz w:val="24"/>
                <w:szCs w:val="24"/>
              </w:rPr>
              <w:t>地下水环境的影响</w:t>
            </w:r>
            <w:r>
              <w:rPr>
                <w:rFonts w:hint="eastAsia" w:ascii="Times New Roman" w:hAnsi="Times New Roman" w:eastAsia="宋体" w:cs="Times New Roman"/>
                <w:color w:val="auto"/>
                <w:sz w:val="24"/>
                <w:szCs w:val="24"/>
                <w:lang w:eastAsia="zh-CN"/>
              </w:rPr>
              <w:t>小</w:t>
            </w:r>
            <w:r>
              <w:rPr>
                <w:rFonts w:hint="default" w:ascii="Times New Roman" w:hAnsi="Times New Roman" w:eastAsia="宋体" w:cs="Times New Roman"/>
                <w:color w:val="auto"/>
                <w:sz w:val="24"/>
                <w:szCs w:val="24"/>
              </w:rPr>
              <w:t>。</w:t>
            </w:r>
          </w:p>
          <w:p w14:paraId="0305B26B">
            <w:pPr>
              <w:pStyle w:val="51"/>
              <w:ind w:firstLine="482"/>
              <w:rPr>
                <w:rFonts w:hAnsi="Times New Roman"/>
                <w:b/>
                <w:color w:val="auto"/>
              </w:rPr>
            </w:pPr>
            <w:r>
              <w:rPr>
                <w:rFonts w:hint="default" w:ascii="Times New Roman" w:hAnsi="Times New Roman" w:cs="Times New Roman"/>
                <w:b/>
                <w:color w:val="auto"/>
              </w:rPr>
              <w:t>六、</w:t>
            </w:r>
            <w:r>
              <w:rPr>
                <w:rFonts w:hint="eastAsia" w:hAnsi="Times New Roman"/>
                <w:b/>
                <w:color w:val="auto"/>
              </w:rPr>
              <w:t>项目“三本账”分析</w:t>
            </w:r>
          </w:p>
          <w:p w14:paraId="4F3C56F3">
            <w:pPr>
              <w:pStyle w:val="51"/>
              <w:ind w:firstLine="480"/>
              <w:rPr>
                <w:rFonts w:hAnsi="Times New Roman"/>
                <w:color w:val="auto"/>
              </w:rPr>
            </w:pPr>
            <w:r>
              <w:rPr>
                <w:rFonts w:hint="eastAsia" w:hAnsi="Times New Roman"/>
                <w:color w:val="auto"/>
                <w:lang w:val="en-US" w:eastAsia="zh-CN"/>
              </w:rPr>
              <w:t>现有项目产生的废气呈无组织排放</w:t>
            </w:r>
            <w:r>
              <w:rPr>
                <w:rFonts w:hint="eastAsia" w:hAnsi="Times New Roman"/>
                <w:color w:val="auto"/>
                <w:lang w:eastAsia="zh-CN"/>
              </w:rPr>
              <w:t>，</w:t>
            </w:r>
            <w:r>
              <w:rPr>
                <w:rFonts w:hint="eastAsia" w:hAnsi="Times New Roman"/>
                <w:color w:val="auto"/>
              </w:rPr>
              <w:t>生活污水经化粪池处理后</w:t>
            </w:r>
            <w:r>
              <w:rPr>
                <w:rFonts w:hint="eastAsia" w:hAnsi="Times New Roman"/>
                <w:color w:val="auto"/>
                <w:lang w:val="en-US" w:eastAsia="zh-CN"/>
              </w:rPr>
              <w:t>清掏作农肥</w:t>
            </w:r>
            <w:r>
              <w:rPr>
                <w:rFonts w:hint="eastAsia" w:hAnsi="Times New Roman"/>
                <w:color w:val="auto"/>
              </w:rPr>
              <w:t>。</w:t>
            </w:r>
            <w:r>
              <w:rPr>
                <w:rFonts w:hint="eastAsia"/>
                <w:color w:val="auto"/>
              </w:rPr>
              <w:t>根据对该项目产污环节及污染物排放情况分析，可得项目“三本账”情况，具体见下表。</w:t>
            </w:r>
          </w:p>
          <w:p w14:paraId="015F7850">
            <w:pPr>
              <w:pStyle w:val="52"/>
              <w:rPr>
                <w:color w:val="auto"/>
              </w:rPr>
            </w:pPr>
            <w:r>
              <w:rPr>
                <w:rFonts w:hint="eastAsia"/>
                <w:color w:val="auto"/>
              </w:rPr>
              <w:t>表4-12     扩建项目“三本账”情况    单位：t/a</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65"/>
              <w:gridCol w:w="851"/>
              <w:gridCol w:w="916"/>
              <w:gridCol w:w="1251"/>
              <w:gridCol w:w="817"/>
              <w:gridCol w:w="962"/>
              <w:gridCol w:w="816"/>
              <w:gridCol w:w="932"/>
            </w:tblGrid>
            <w:tr w14:paraId="5A61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Merge w:val="restart"/>
                  <w:vAlign w:val="center"/>
                </w:tcPr>
                <w:p w14:paraId="567430F0">
                  <w:pPr>
                    <w:pStyle w:val="53"/>
                    <w:bidi w:val="0"/>
                    <w:rPr>
                      <w:color w:val="auto"/>
                    </w:rPr>
                  </w:pPr>
                  <w:r>
                    <w:rPr>
                      <w:color w:val="auto"/>
                    </w:rPr>
                    <w:t>污染物种类</w:t>
                  </w:r>
                </w:p>
              </w:tc>
              <w:tc>
                <w:tcPr>
                  <w:tcW w:w="536" w:type="pct"/>
                  <w:vMerge w:val="restart"/>
                  <w:vAlign w:val="center"/>
                </w:tcPr>
                <w:p w14:paraId="186202F3">
                  <w:pPr>
                    <w:pStyle w:val="53"/>
                    <w:bidi w:val="0"/>
                    <w:rPr>
                      <w:color w:val="auto"/>
                    </w:rPr>
                  </w:pPr>
                  <w:r>
                    <w:rPr>
                      <w:color w:val="auto"/>
                    </w:rPr>
                    <w:t>原有排放量</w:t>
                  </w:r>
                </w:p>
              </w:tc>
              <w:tc>
                <w:tcPr>
                  <w:tcW w:w="1880" w:type="pct"/>
                  <w:gridSpan w:val="3"/>
                  <w:vAlign w:val="center"/>
                </w:tcPr>
                <w:p w14:paraId="1CE93EBD">
                  <w:pPr>
                    <w:pStyle w:val="53"/>
                    <w:bidi w:val="0"/>
                    <w:rPr>
                      <w:color w:val="auto"/>
                    </w:rPr>
                  </w:pPr>
                  <w:r>
                    <w:rPr>
                      <w:color w:val="auto"/>
                    </w:rPr>
                    <w:t>扩建</w:t>
                  </w:r>
                </w:p>
              </w:tc>
              <w:tc>
                <w:tcPr>
                  <w:tcW w:w="606" w:type="pct"/>
                  <w:vMerge w:val="restart"/>
                  <w:vAlign w:val="center"/>
                </w:tcPr>
                <w:p w14:paraId="3A8242CA">
                  <w:pPr>
                    <w:pStyle w:val="53"/>
                    <w:bidi w:val="0"/>
                    <w:rPr>
                      <w:color w:val="auto"/>
                    </w:rPr>
                  </w:pPr>
                  <w:r>
                    <w:rPr>
                      <w:color w:val="auto"/>
                    </w:rPr>
                    <w:t>“以新带老”削减量</w:t>
                  </w:r>
                </w:p>
              </w:tc>
              <w:tc>
                <w:tcPr>
                  <w:tcW w:w="514" w:type="pct"/>
                  <w:vMerge w:val="restart"/>
                  <w:vAlign w:val="center"/>
                </w:tcPr>
                <w:p w14:paraId="5EC8DB90">
                  <w:pPr>
                    <w:pStyle w:val="53"/>
                    <w:bidi w:val="0"/>
                    <w:rPr>
                      <w:color w:val="auto"/>
                    </w:rPr>
                  </w:pPr>
                  <w:r>
                    <w:rPr>
                      <w:rFonts w:hint="eastAsia"/>
                      <w:color w:val="auto"/>
                    </w:rPr>
                    <w:t>最终排放量</w:t>
                  </w:r>
                </w:p>
              </w:tc>
              <w:tc>
                <w:tcPr>
                  <w:tcW w:w="585" w:type="pct"/>
                  <w:vMerge w:val="restart"/>
                  <w:vAlign w:val="center"/>
                </w:tcPr>
                <w:p w14:paraId="46A20B47">
                  <w:pPr>
                    <w:pStyle w:val="53"/>
                    <w:bidi w:val="0"/>
                    <w:rPr>
                      <w:color w:val="auto"/>
                    </w:rPr>
                  </w:pPr>
                  <w:r>
                    <w:rPr>
                      <w:color w:val="auto"/>
                    </w:rPr>
                    <w:t>排放</w:t>
                  </w:r>
                </w:p>
                <w:p w14:paraId="5D5AA5F4">
                  <w:pPr>
                    <w:pStyle w:val="53"/>
                    <w:bidi w:val="0"/>
                    <w:rPr>
                      <w:color w:val="auto"/>
                    </w:rPr>
                  </w:pPr>
                  <w:r>
                    <w:rPr>
                      <w:color w:val="auto"/>
                    </w:rPr>
                    <w:t>增减量</w:t>
                  </w:r>
                </w:p>
              </w:tc>
            </w:tr>
            <w:tr w14:paraId="01F3C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Merge w:val="continue"/>
                  <w:vAlign w:val="center"/>
                </w:tcPr>
                <w:p w14:paraId="4523E116">
                  <w:pPr>
                    <w:pStyle w:val="53"/>
                    <w:bidi w:val="0"/>
                    <w:rPr>
                      <w:color w:val="auto"/>
                    </w:rPr>
                  </w:pPr>
                </w:p>
              </w:tc>
              <w:tc>
                <w:tcPr>
                  <w:tcW w:w="536" w:type="pct"/>
                  <w:vMerge w:val="continue"/>
                  <w:vAlign w:val="center"/>
                </w:tcPr>
                <w:p w14:paraId="3EACF7DE">
                  <w:pPr>
                    <w:pStyle w:val="53"/>
                    <w:bidi w:val="0"/>
                    <w:rPr>
                      <w:color w:val="auto"/>
                    </w:rPr>
                  </w:pPr>
                </w:p>
              </w:tc>
              <w:tc>
                <w:tcPr>
                  <w:tcW w:w="577" w:type="pct"/>
                  <w:vAlign w:val="center"/>
                </w:tcPr>
                <w:p w14:paraId="71353986">
                  <w:pPr>
                    <w:pStyle w:val="53"/>
                    <w:bidi w:val="0"/>
                    <w:rPr>
                      <w:color w:val="auto"/>
                    </w:rPr>
                  </w:pPr>
                  <w:r>
                    <w:rPr>
                      <w:color w:val="auto"/>
                    </w:rPr>
                    <w:t>产生量</w:t>
                  </w:r>
                </w:p>
              </w:tc>
              <w:tc>
                <w:tcPr>
                  <w:tcW w:w="788" w:type="pct"/>
                  <w:vAlign w:val="center"/>
                </w:tcPr>
                <w:p w14:paraId="06C038FD">
                  <w:pPr>
                    <w:pStyle w:val="53"/>
                    <w:bidi w:val="0"/>
                    <w:rPr>
                      <w:color w:val="auto"/>
                    </w:rPr>
                  </w:pPr>
                  <w:r>
                    <w:rPr>
                      <w:color w:val="auto"/>
                    </w:rPr>
                    <w:t>自身消减量</w:t>
                  </w:r>
                </w:p>
              </w:tc>
              <w:tc>
                <w:tcPr>
                  <w:tcW w:w="514" w:type="pct"/>
                  <w:vAlign w:val="center"/>
                </w:tcPr>
                <w:p w14:paraId="0621D55F">
                  <w:pPr>
                    <w:pStyle w:val="53"/>
                    <w:bidi w:val="0"/>
                    <w:rPr>
                      <w:color w:val="auto"/>
                    </w:rPr>
                  </w:pPr>
                  <w:r>
                    <w:rPr>
                      <w:color w:val="auto"/>
                    </w:rPr>
                    <w:t>排放量</w:t>
                  </w:r>
                </w:p>
              </w:tc>
              <w:tc>
                <w:tcPr>
                  <w:tcW w:w="606" w:type="pct"/>
                  <w:vMerge w:val="continue"/>
                  <w:vAlign w:val="center"/>
                </w:tcPr>
                <w:p w14:paraId="30B9F630">
                  <w:pPr>
                    <w:pStyle w:val="53"/>
                    <w:bidi w:val="0"/>
                    <w:rPr>
                      <w:color w:val="auto"/>
                    </w:rPr>
                  </w:pPr>
                </w:p>
              </w:tc>
              <w:tc>
                <w:tcPr>
                  <w:tcW w:w="514" w:type="pct"/>
                  <w:vMerge w:val="continue"/>
                  <w:vAlign w:val="center"/>
                </w:tcPr>
                <w:p w14:paraId="26F61C85">
                  <w:pPr>
                    <w:pStyle w:val="53"/>
                    <w:bidi w:val="0"/>
                    <w:rPr>
                      <w:color w:val="auto"/>
                    </w:rPr>
                  </w:pPr>
                </w:p>
              </w:tc>
              <w:tc>
                <w:tcPr>
                  <w:tcW w:w="585" w:type="pct"/>
                  <w:vMerge w:val="continue"/>
                  <w:vAlign w:val="center"/>
                </w:tcPr>
                <w:p w14:paraId="5F0AADBE">
                  <w:pPr>
                    <w:pStyle w:val="53"/>
                    <w:bidi w:val="0"/>
                    <w:rPr>
                      <w:color w:val="auto"/>
                    </w:rPr>
                  </w:pPr>
                </w:p>
              </w:tc>
            </w:tr>
            <w:tr w14:paraId="2E81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 w:hRule="atLeast"/>
                <w:jc w:val="center"/>
              </w:trPr>
              <w:tc>
                <w:tcPr>
                  <w:tcW w:w="877" w:type="pct"/>
                  <w:gridSpan w:val="2"/>
                  <w:vAlign w:val="center"/>
                </w:tcPr>
                <w:p w14:paraId="0287D8BE">
                  <w:pPr>
                    <w:pStyle w:val="53"/>
                    <w:bidi w:val="0"/>
                    <w:rPr>
                      <w:color w:val="auto"/>
                    </w:rPr>
                  </w:pPr>
                  <w:r>
                    <w:rPr>
                      <w:rFonts w:hint="eastAsia"/>
                      <w:color w:val="auto"/>
                    </w:rPr>
                    <w:t>颗粒物</w:t>
                  </w:r>
                </w:p>
              </w:tc>
              <w:tc>
                <w:tcPr>
                  <w:tcW w:w="536" w:type="pct"/>
                  <w:vAlign w:val="center"/>
                </w:tcPr>
                <w:p w14:paraId="7026C3C9">
                  <w:pPr>
                    <w:pStyle w:val="53"/>
                    <w:bidi w:val="0"/>
                    <w:rPr>
                      <w:rFonts w:hint="default" w:eastAsia="宋体"/>
                      <w:color w:val="auto"/>
                      <w:lang w:val="en-US" w:eastAsia="zh-CN"/>
                    </w:rPr>
                  </w:pPr>
                  <w:r>
                    <w:rPr>
                      <w:rFonts w:hint="eastAsia"/>
                      <w:color w:val="auto"/>
                      <w:lang w:val="en-US" w:eastAsia="zh-CN"/>
                    </w:rPr>
                    <w:t>0.938</w:t>
                  </w:r>
                </w:p>
              </w:tc>
              <w:tc>
                <w:tcPr>
                  <w:tcW w:w="577" w:type="pct"/>
                  <w:vAlign w:val="center"/>
                </w:tcPr>
                <w:p w14:paraId="4DDC751C">
                  <w:pPr>
                    <w:pStyle w:val="53"/>
                    <w:bidi w:val="0"/>
                    <w:rPr>
                      <w:rFonts w:hint="default" w:eastAsia="宋体"/>
                      <w:color w:val="auto"/>
                      <w:lang w:val="en-US" w:eastAsia="zh-CN"/>
                    </w:rPr>
                  </w:pPr>
                  <w:r>
                    <w:rPr>
                      <w:rFonts w:hint="eastAsia"/>
                      <w:color w:val="auto"/>
                      <w:lang w:val="en-US" w:eastAsia="zh-CN"/>
                    </w:rPr>
                    <w:t>1.5001</w:t>
                  </w:r>
                </w:p>
              </w:tc>
              <w:tc>
                <w:tcPr>
                  <w:tcW w:w="788" w:type="pct"/>
                  <w:vAlign w:val="center"/>
                </w:tcPr>
                <w:p w14:paraId="2D8EE2EA">
                  <w:pPr>
                    <w:pStyle w:val="53"/>
                    <w:bidi w:val="0"/>
                    <w:rPr>
                      <w:color w:val="auto"/>
                    </w:rPr>
                  </w:pPr>
                  <w:r>
                    <w:rPr>
                      <w:rFonts w:hint="eastAsia"/>
                      <w:color w:val="auto"/>
                    </w:rPr>
                    <w:t>0</w:t>
                  </w:r>
                </w:p>
              </w:tc>
              <w:tc>
                <w:tcPr>
                  <w:tcW w:w="514" w:type="pct"/>
                  <w:vAlign w:val="center"/>
                </w:tcPr>
                <w:p w14:paraId="52E379A0">
                  <w:pPr>
                    <w:pStyle w:val="53"/>
                    <w:bidi w:val="0"/>
                    <w:rPr>
                      <w:rFonts w:hint="default" w:eastAsia="宋体"/>
                      <w:color w:val="auto"/>
                      <w:lang w:val="en-US" w:eastAsia="zh-CN"/>
                    </w:rPr>
                  </w:pPr>
                  <w:r>
                    <w:rPr>
                      <w:rFonts w:hint="eastAsia"/>
                      <w:color w:val="auto"/>
                      <w:lang w:val="en-US" w:eastAsia="zh-CN"/>
                    </w:rPr>
                    <w:t>1.5001</w:t>
                  </w:r>
                </w:p>
              </w:tc>
              <w:tc>
                <w:tcPr>
                  <w:tcW w:w="606" w:type="pct"/>
                  <w:vAlign w:val="center"/>
                </w:tcPr>
                <w:p w14:paraId="37656058">
                  <w:pPr>
                    <w:pStyle w:val="53"/>
                    <w:bidi w:val="0"/>
                    <w:rPr>
                      <w:rFonts w:hint="eastAsia" w:eastAsia="宋体"/>
                      <w:color w:val="auto"/>
                      <w:lang w:val="en-US" w:eastAsia="zh-CN"/>
                    </w:rPr>
                  </w:pPr>
                  <w:r>
                    <w:rPr>
                      <w:rFonts w:hint="eastAsia"/>
                      <w:color w:val="auto"/>
                      <w:lang w:val="en-US" w:eastAsia="zh-CN"/>
                    </w:rPr>
                    <w:t>0</w:t>
                  </w:r>
                </w:p>
              </w:tc>
              <w:tc>
                <w:tcPr>
                  <w:tcW w:w="816" w:type="dxa"/>
                  <w:vAlign w:val="center"/>
                </w:tcPr>
                <w:p w14:paraId="52835CC5">
                  <w:pPr>
                    <w:pStyle w:val="53"/>
                    <w:bidi w:val="0"/>
                    <w:ind w:firstLine="0" w:firstLineChars="0"/>
                    <w:rPr>
                      <w:color w:val="auto"/>
                    </w:rPr>
                  </w:pPr>
                  <w:r>
                    <w:rPr>
                      <w:rFonts w:hint="eastAsia"/>
                      <w:color w:val="auto"/>
                      <w:lang w:val="en-US" w:eastAsia="zh-CN"/>
                    </w:rPr>
                    <w:t>1.5001</w:t>
                  </w:r>
                </w:p>
              </w:tc>
              <w:tc>
                <w:tcPr>
                  <w:tcW w:w="932" w:type="dxa"/>
                  <w:vAlign w:val="center"/>
                </w:tcPr>
                <w:p w14:paraId="37BE3400">
                  <w:pPr>
                    <w:pStyle w:val="53"/>
                    <w:bidi w:val="0"/>
                    <w:ind w:firstLine="0" w:firstLineChars="0"/>
                    <w:rPr>
                      <w:color w:val="auto"/>
                    </w:rPr>
                  </w:pPr>
                  <w:r>
                    <w:rPr>
                      <w:rFonts w:hint="eastAsia"/>
                      <w:color w:val="auto"/>
                      <w:lang w:val="en-US" w:eastAsia="zh-CN"/>
                    </w:rPr>
                    <w:t>+1.5001</w:t>
                  </w:r>
                </w:p>
              </w:tc>
            </w:tr>
            <w:tr w14:paraId="0CA1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Align w:val="center"/>
                </w:tcPr>
                <w:p w14:paraId="181588F5">
                  <w:pPr>
                    <w:pStyle w:val="53"/>
                    <w:bidi w:val="0"/>
                    <w:rPr>
                      <w:rFonts w:hint="eastAsia" w:eastAsia="宋体"/>
                      <w:color w:val="auto"/>
                      <w:lang w:eastAsia="zh-CN"/>
                    </w:rPr>
                  </w:pPr>
                  <w:r>
                    <w:rPr>
                      <w:rFonts w:hint="eastAsia"/>
                      <w:color w:val="auto"/>
                      <w:lang w:val="en-US" w:eastAsia="zh-CN"/>
                    </w:rPr>
                    <w:t>非甲烷总烃</w:t>
                  </w:r>
                </w:p>
              </w:tc>
              <w:tc>
                <w:tcPr>
                  <w:tcW w:w="536" w:type="pct"/>
                  <w:vAlign w:val="center"/>
                </w:tcPr>
                <w:p w14:paraId="58463859">
                  <w:pPr>
                    <w:pStyle w:val="53"/>
                    <w:bidi w:val="0"/>
                    <w:rPr>
                      <w:rFonts w:hint="eastAsia" w:eastAsia="宋体"/>
                      <w:color w:val="auto"/>
                      <w:lang w:val="en-US" w:eastAsia="zh-CN"/>
                    </w:rPr>
                  </w:pPr>
                  <w:r>
                    <w:rPr>
                      <w:rFonts w:hint="eastAsia"/>
                      <w:color w:val="auto"/>
                      <w:lang w:val="en-US" w:eastAsia="zh-CN"/>
                    </w:rPr>
                    <w:t>0</w:t>
                  </w:r>
                </w:p>
              </w:tc>
              <w:tc>
                <w:tcPr>
                  <w:tcW w:w="577" w:type="pct"/>
                  <w:vAlign w:val="center"/>
                </w:tcPr>
                <w:p w14:paraId="2716D22D">
                  <w:pPr>
                    <w:pStyle w:val="53"/>
                    <w:bidi w:val="0"/>
                    <w:rPr>
                      <w:rFonts w:hint="default" w:eastAsia="宋体"/>
                      <w:color w:val="auto"/>
                      <w:lang w:val="en-US" w:eastAsia="zh-CN"/>
                    </w:rPr>
                  </w:pPr>
                  <w:r>
                    <w:rPr>
                      <w:rFonts w:hint="eastAsia"/>
                      <w:color w:val="auto"/>
                      <w:lang w:val="en-US" w:eastAsia="zh-CN"/>
                    </w:rPr>
                    <w:t>3.5002</w:t>
                  </w:r>
                </w:p>
              </w:tc>
              <w:tc>
                <w:tcPr>
                  <w:tcW w:w="788" w:type="pct"/>
                  <w:vAlign w:val="center"/>
                </w:tcPr>
                <w:p w14:paraId="7348A43D">
                  <w:pPr>
                    <w:pStyle w:val="53"/>
                    <w:bidi w:val="0"/>
                    <w:rPr>
                      <w:rFonts w:hint="default" w:eastAsia="宋体"/>
                      <w:color w:val="auto"/>
                      <w:lang w:val="en-US" w:eastAsia="zh-CN"/>
                    </w:rPr>
                  </w:pPr>
                  <w:r>
                    <w:rPr>
                      <w:rFonts w:hint="eastAsia"/>
                      <w:color w:val="auto"/>
                      <w:lang w:val="en-US" w:eastAsia="zh-CN"/>
                    </w:rPr>
                    <w:t>1.54</w:t>
                  </w:r>
                </w:p>
              </w:tc>
              <w:tc>
                <w:tcPr>
                  <w:tcW w:w="514" w:type="pct"/>
                  <w:vAlign w:val="center"/>
                </w:tcPr>
                <w:p w14:paraId="28942431">
                  <w:pPr>
                    <w:pStyle w:val="53"/>
                    <w:bidi w:val="0"/>
                    <w:rPr>
                      <w:rFonts w:hint="default" w:eastAsia="宋体"/>
                      <w:color w:val="auto"/>
                      <w:lang w:val="en-US" w:eastAsia="zh-CN"/>
                    </w:rPr>
                  </w:pPr>
                  <w:r>
                    <w:rPr>
                      <w:rFonts w:hint="eastAsia"/>
                      <w:color w:val="auto"/>
                      <w:lang w:val="en-US" w:eastAsia="zh-CN"/>
                    </w:rPr>
                    <w:t>1.9602</w:t>
                  </w:r>
                </w:p>
              </w:tc>
              <w:tc>
                <w:tcPr>
                  <w:tcW w:w="606" w:type="pct"/>
                  <w:vAlign w:val="center"/>
                </w:tcPr>
                <w:p w14:paraId="04CE29B8">
                  <w:pPr>
                    <w:pStyle w:val="53"/>
                    <w:bidi w:val="0"/>
                    <w:rPr>
                      <w:rFonts w:hint="eastAsia" w:eastAsia="宋体"/>
                      <w:color w:val="auto"/>
                      <w:lang w:val="en-US" w:eastAsia="zh-CN"/>
                    </w:rPr>
                  </w:pPr>
                  <w:r>
                    <w:rPr>
                      <w:rFonts w:hint="eastAsia"/>
                      <w:color w:val="auto"/>
                      <w:lang w:val="en-US" w:eastAsia="zh-CN"/>
                    </w:rPr>
                    <w:t>0</w:t>
                  </w:r>
                </w:p>
              </w:tc>
              <w:tc>
                <w:tcPr>
                  <w:tcW w:w="816" w:type="dxa"/>
                  <w:vAlign w:val="center"/>
                </w:tcPr>
                <w:p w14:paraId="6AEA9E74">
                  <w:pPr>
                    <w:pStyle w:val="53"/>
                    <w:bidi w:val="0"/>
                    <w:ind w:firstLine="0" w:firstLineChars="0"/>
                    <w:rPr>
                      <w:rFonts w:hint="default"/>
                      <w:color w:val="auto"/>
                      <w:lang w:val="en-US"/>
                    </w:rPr>
                  </w:pPr>
                  <w:r>
                    <w:rPr>
                      <w:rFonts w:hint="eastAsia"/>
                      <w:color w:val="auto"/>
                      <w:lang w:val="en-US" w:eastAsia="zh-CN"/>
                    </w:rPr>
                    <w:t>1.9602</w:t>
                  </w:r>
                </w:p>
              </w:tc>
              <w:tc>
                <w:tcPr>
                  <w:tcW w:w="932" w:type="dxa"/>
                  <w:vAlign w:val="center"/>
                </w:tcPr>
                <w:p w14:paraId="796553AC">
                  <w:pPr>
                    <w:pStyle w:val="53"/>
                    <w:bidi w:val="0"/>
                    <w:ind w:firstLine="0" w:firstLineChars="0"/>
                    <w:rPr>
                      <w:rFonts w:hint="default"/>
                      <w:color w:val="auto"/>
                      <w:lang w:val="en-US"/>
                    </w:rPr>
                  </w:pPr>
                  <w:r>
                    <w:rPr>
                      <w:rFonts w:hint="eastAsia"/>
                      <w:color w:val="auto"/>
                      <w:lang w:val="en-US" w:eastAsia="zh-CN"/>
                    </w:rPr>
                    <w:t>+1.9602</w:t>
                  </w:r>
                </w:p>
              </w:tc>
            </w:tr>
            <w:tr w14:paraId="1A8A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877" w:type="pct"/>
                  <w:gridSpan w:val="2"/>
                  <w:vAlign w:val="center"/>
                </w:tcPr>
                <w:p w14:paraId="3732D116">
                  <w:pPr>
                    <w:pStyle w:val="53"/>
                    <w:bidi w:val="0"/>
                    <w:rPr>
                      <w:rFonts w:hint="eastAsia" w:eastAsia="宋体"/>
                      <w:color w:val="auto"/>
                      <w:lang w:eastAsia="zh-CN"/>
                    </w:rPr>
                  </w:pPr>
                  <w:r>
                    <w:rPr>
                      <w:rFonts w:hint="eastAsia"/>
                      <w:color w:val="auto"/>
                      <w:lang w:val="en-US" w:eastAsia="zh-CN"/>
                    </w:rPr>
                    <w:t>生活污水</w:t>
                  </w:r>
                </w:p>
              </w:tc>
              <w:tc>
                <w:tcPr>
                  <w:tcW w:w="536" w:type="pct"/>
                  <w:vAlign w:val="center"/>
                </w:tcPr>
                <w:p w14:paraId="607548F4">
                  <w:pPr>
                    <w:pStyle w:val="53"/>
                    <w:bidi w:val="0"/>
                    <w:rPr>
                      <w:color w:val="auto"/>
                    </w:rPr>
                  </w:pPr>
                  <w:r>
                    <w:rPr>
                      <w:rFonts w:hint="eastAsia"/>
                      <w:color w:val="auto"/>
                    </w:rPr>
                    <w:t>0</w:t>
                  </w:r>
                </w:p>
              </w:tc>
              <w:tc>
                <w:tcPr>
                  <w:tcW w:w="577" w:type="pct"/>
                  <w:vAlign w:val="center"/>
                </w:tcPr>
                <w:p w14:paraId="06986F9D">
                  <w:pPr>
                    <w:pStyle w:val="53"/>
                    <w:bidi w:val="0"/>
                    <w:rPr>
                      <w:rFonts w:hint="default" w:eastAsia="宋体"/>
                      <w:color w:val="auto"/>
                      <w:lang w:val="en-US" w:eastAsia="zh-CN"/>
                    </w:rPr>
                  </w:pPr>
                  <w:r>
                    <w:rPr>
                      <w:rFonts w:hint="eastAsia"/>
                      <w:color w:val="auto"/>
                      <w:lang w:val="en-US" w:eastAsia="zh-CN"/>
                    </w:rPr>
                    <w:t>29.88</w:t>
                  </w:r>
                </w:p>
              </w:tc>
              <w:tc>
                <w:tcPr>
                  <w:tcW w:w="788" w:type="pct"/>
                  <w:vAlign w:val="center"/>
                </w:tcPr>
                <w:p w14:paraId="7D3AE3A0">
                  <w:pPr>
                    <w:pStyle w:val="53"/>
                    <w:bidi w:val="0"/>
                    <w:rPr>
                      <w:rFonts w:hint="default" w:eastAsia="宋体"/>
                      <w:color w:val="auto"/>
                      <w:lang w:val="en-US" w:eastAsia="zh-CN"/>
                    </w:rPr>
                  </w:pPr>
                  <w:r>
                    <w:rPr>
                      <w:rFonts w:hint="eastAsia"/>
                      <w:color w:val="auto"/>
                      <w:lang w:val="en-US" w:eastAsia="zh-CN"/>
                    </w:rPr>
                    <w:t>29.88</w:t>
                  </w:r>
                </w:p>
              </w:tc>
              <w:tc>
                <w:tcPr>
                  <w:tcW w:w="514" w:type="pct"/>
                  <w:vAlign w:val="center"/>
                </w:tcPr>
                <w:p w14:paraId="41901038">
                  <w:pPr>
                    <w:pStyle w:val="53"/>
                    <w:bidi w:val="0"/>
                    <w:rPr>
                      <w:color w:val="auto"/>
                    </w:rPr>
                  </w:pPr>
                  <w:r>
                    <w:rPr>
                      <w:rFonts w:hint="eastAsia"/>
                      <w:color w:val="auto"/>
                    </w:rPr>
                    <w:t>0</w:t>
                  </w:r>
                </w:p>
              </w:tc>
              <w:tc>
                <w:tcPr>
                  <w:tcW w:w="606" w:type="pct"/>
                  <w:vAlign w:val="center"/>
                </w:tcPr>
                <w:p w14:paraId="71334D95">
                  <w:pPr>
                    <w:pStyle w:val="53"/>
                    <w:bidi w:val="0"/>
                    <w:rPr>
                      <w:color w:val="auto"/>
                    </w:rPr>
                  </w:pPr>
                  <w:r>
                    <w:rPr>
                      <w:rFonts w:hint="eastAsia"/>
                      <w:color w:val="auto"/>
                    </w:rPr>
                    <w:t>0</w:t>
                  </w:r>
                </w:p>
              </w:tc>
              <w:tc>
                <w:tcPr>
                  <w:tcW w:w="514" w:type="pct"/>
                  <w:vAlign w:val="center"/>
                </w:tcPr>
                <w:p w14:paraId="47F6D282">
                  <w:pPr>
                    <w:pStyle w:val="53"/>
                    <w:bidi w:val="0"/>
                    <w:rPr>
                      <w:color w:val="auto"/>
                    </w:rPr>
                  </w:pPr>
                  <w:r>
                    <w:rPr>
                      <w:rFonts w:hint="eastAsia"/>
                      <w:color w:val="auto"/>
                    </w:rPr>
                    <w:t>0</w:t>
                  </w:r>
                </w:p>
              </w:tc>
              <w:tc>
                <w:tcPr>
                  <w:tcW w:w="585" w:type="pct"/>
                  <w:vAlign w:val="center"/>
                </w:tcPr>
                <w:p w14:paraId="3DB6871A">
                  <w:pPr>
                    <w:pStyle w:val="53"/>
                    <w:bidi w:val="0"/>
                    <w:rPr>
                      <w:color w:val="auto"/>
                    </w:rPr>
                  </w:pPr>
                  <w:r>
                    <w:rPr>
                      <w:rFonts w:hint="eastAsia"/>
                      <w:color w:val="auto"/>
                    </w:rPr>
                    <w:t>0</w:t>
                  </w:r>
                </w:p>
              </w:tc>
            </w:tr>
            <w:tr w14:paraId="33FC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69" w:type="pct"/>
                  <w:vMerge w:val="restart"/>
                  <w:vAlign w:val="center"/>
                </w:tcPr>
                <w:p w14:paraId="137102DF">
                  <w:pPr>
                    <w:pStyle w:val="53"/>
                    <w:bidi w:val="0"/>
                    <w:rPr>
                      <w:color w:val="auto"/>
                    </w:rPr>
                  </w:pPr>
                  <w:r>
                    <w:rPr>
                      <w:rFonts w:hint="eastAsia"/>
                      <w:color w:val="auto"/>
                    </w:rPr>
                    <w:t>固体废物</w:t>
                  </w:r>
                </w:p>
              </w:tc>
              <w:tc>
                <w:tcPr>
                  <w:tcW w:w="607" w:type="pct"/>
                  <w:vAlign w:val="center"/>
                </w:tcPr>
                <w:p w14:paraId="78BEDBC1">
                  <w:pPr>
                    <w:pStyle w:val="53"/>
                    <w:bidi w:val="0"/>
                    <w:rPr>
                      <w:color w:val="auto"/>
                    </w:rPr>
                  </w:pPr>
                  <w:r>
                    <w:rPr>
                      <w:rFonts w:hint="eastAsia"/>
                      <w:color w:val="auto"/>
                    </w:rPr>
                    <w:t>废包装袋</w:t>
                  </w:r>
                </w:p>
              </w:tc>
              <w:tc>
                <w:tcPr>
                  <w:tcW w:w="536" w:type="pct"/>
                  <w:vAlign w:val="center"/>
                </w:tcPr>
                <w:p w14:paraId="5CB0BD2D">
                  <w:pPr>
                    <w:pStyle w:val="53"/>
                    <w:bidi w:val="0"/>
                    <w:rPr>
                      <w:color w:val="auto"/>
                    </w:rPr>
                  </w:pPr>
                  <w:r>
                    <w:rPr>
                      <w:rFonts w:hint="eastAsia"/>
                      <w:color w:val="auto"/>
                    </w:rPr>
                    <w:t>0</w:t>
                  </w:r>
                </w:p>
              </w:tc>
              <w:tc>
                <w:tcPr>
                  <w:tcW w:w="577" w:type="pct"/>
                  <w:vAlign w:val="center"/>
                </w:tcPr>
                <w:p w14:paraId="19BAF879">
                  <w:pPr>
                    <w:pStyle w:val="53"/>
                    <w:bidi w:val="0"/>
                    <w:rPr>
                      <w:rFonts w:hint="eastAsia"/>
                      <w:color w:val="auto"/>
                      <w:lang w:eastAsia="zh-CN"/>
                    </w:rPr>
                  </w:pPr>
                  <w:r>
                    <w:rPr>
                      <w:rFonts w:hint="eastAsia"/>
                      <w:color w:val="auto"/>
                    </w:rPr>
                    <w:t>0.</w:t>
                  </w:r>
                  <w:r>
                    <w:rPr>
                      <w:rFonts w:hint="eastAsia"/>
                      <w:color w:val="auto"/>
                      <w:lang w:val="en-US" w:eastAsia="zh-CN"/>
                    </w:rPr>
                    <w:t>5</w:t>
                  </w:r>
                </w:p>
              </w:tc>
              <w:tc>
                <w:tcPr>
                  <w:tcW w:w="788" w:type="pct"/>
                  <w:vAlign w:val="center"/>
                </w:tcPr>
                <w:p w14:paraId="368D9D5A">
                  <w:pPr>
                    <w:pStyle w:val="53"/>
                    <w:bidi w:val="0"/>
                    <w:rPr>
                      <w:color w:val="auto"/>
                    </w:rPr>
                  </w:pPr>
                  <w:r>
                    <w:rPr>
                      <w:rFonts w:hint="eastAsia"/>
                      <w:color w:val="auto"/>
                    </w:rPr>
                    <w:t>0.</w:t>
                  </w:r>
                  <w:r>
                    <w:rPr>
                      <w:rFonts w:hint="eastAsia"/>
                      <w:color w:val="auto"/>
                      <w:lang w:val="en-US" w:eastAsia="zh-CN"/>
                    </w:rPr>
                    <w:t>5</w:t>
                  </w:r>
                </w:p>
              </w:tc>
              <w:tc>
                <w:tcPr>
                  <w:tcW w:w="514" w:type="pct"/>
                  <w:vAlign w:val="center"/>
                </w:tcPr>
                <w:p w14:paraId="3015EF66">
                  <w:pPr>
                    <w:pStyle w:val="53"/>
                    <w:bidi w:val="0"/>
                    <w:rPr>
                      <w:color w:val="auto"/>
                    </w:rPr>
                  </w:pPr>
                  <w:r>
                    <w:rPr>
                      <w:rFonts w:hint="eastAsia"/>
                      <w:color w:val="auto"/>
                    </w:rPr>
                    <w:t>0</w:t>
                  </w:r>
                </w:p>
              </w:tc>
              <w:tc>
                <w:tcPr>
                  <w:tcW w:w="606" w:type="pct"/>
                  <w:vAlign w:val="center"/>
                </w:tcPr>
                <w:p w14:paraId="6AA290E4">
                  <w:pPr>
                    <w:pStyle w:val="53"/>
                    <w:bidi w:val="0"/>
                    <w:rPr>
                      <w:color w:val="auto"/>
                    </w:rPr>
                  </w:pPr>
                  <w:r>
                    <w:rPr>
                      <w:rFonts w:hint="eastAsia"/>
                      <w:color w:val="auto"/>
                    </w:rPr>
                    <w:t>0</w:t>
                  </w:r>
                </w:p>
              </w:tc>
              <w:tc>
                <w:tcPr>
                  <w:tcW w:w="514" w:type="pct"/>
                  <w:vAlign w:val="center"/>
                </w:tcPr>
                <w:p w14:paraId="4BBC7029">
                  <w:pPr>
                    <w:pStyle w:val="53"/>
                    <w:bidi w:val="0"/>
                    <w:rPr>
                      <w:color w:val="auto"/>
                    </w:rPr>
                  </w:pPr>
                  <w:r>
                    <w:rPr>
                      <w:rFonts w:hint="eastAsia"/>
                      <w:color w:val="auto"/>
                    </w:rPr>
                    <w:t>0</w:t>
                  </w:r>
                </w:p>
              </w:tc>
              <w:tc>
                <w:tcPr>
                  <w:tcW w:w="585" w:type="pct"/>
                  <w:vAlign w:val="center"/>
                </w:tcPr>
                <w:p w14:paraId="48A366BB">
                  <w:pPr>
                    <w:pStyle w:val="53"/>
                    <w:bidi w:val="0"/>
                    <w:rPr>
                      <w:color w:val="auto"/>
                    </w:rPr>
                  </w:pPr>
                  <w:r>
                    <w:rPr>
                      <w:rFonts w:hint="eastAsia"/>
                      <w:color w:val="auto"/>
                    </w:rPr>
                    <w:t>0</w:t>
                  </w:r>
                </w:p>
              </w:tc>
            </w:tr>
            <w:tr w14:paraId="2114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Merge w:val="continue"/>
                  <w:vAlign w:val="center"/>
                </w:tcPr>
                <w:p w14:paraId="13D5D8D2">
                  <w:pPr>
                    <w:pStyle w:val="53"/>
                    <w:bidi w:val="0"/>
                    <w:rPr>
                      <w:color w:val="auto"/>
                    </w:rPr>
                  </w:pPr>
                </w:p>
              </w:tc>
              <w:tc>
                <w:tcPr>
                  <w:tcW w:w="607" w:type="pct"/>
                  <w:vAlign w:val="center"/>
                </w:tcPr>
                <w:p w14:paraId="725D265D">
                  <w:pPr>
                    <w:pStyle w:val="53"/>
                    <w:ind w:firstLine="0" w:firstLineChars="0"/>
                    <w:rPr>
                      <w:color w:val="auto"/>
                    </w:rPr>
                  </w:pPr>
                  <w:r>
                    <w:rPr>
                      <w:rFonts w:hint="default"/>
                      <w:color w:val="auto"/>
                    </w:rPr>
                    <w:t>废活性炭</w:t>
                  </w:r>
                </w:p>
              </w:tc>
              <w:tc>
                <w:tcPr>
                  <w:tcW w:w="536" w:type="pct"/>
                  <w:vAlign w:val="center"/>
                </w:tcPr>
                <w:p w14:paraId="635FA431">
                  <w:pPr>
                    <w:pStyle w:val="53"/>
                    <w:bidi w:val="0"/>
                    <w:rPr>
                      <w:color w:val="auto"/>
                    </w:rPr>
                  </w:pPr>
                  <w:r>
                    <w:rPr>
                      <w:rFonts w:hint="eastAsia"/>
                      <w:color w:val="auto"/>
                    </w:rPr>
                    <w:t>0</w:t>
                  </w:r>
                </w:p>
              </w:tc>
              <w:tc>
                <w:tcPr>
                  <w:tcW w:w="577" w:type="pct"/>
                  <w:vAlign w:val="center"/>
                </w:tcPr>
                <w:p w14:paraId="40E165C6">
                  <w:pPr>
                    <w:pStyle w:val="53"/>
                    <w:bidi w:val="0"/>
                    <w:rPr>
                      <w:color w:val="auto"/>
                    </w:rPr>
                  </w:pPr>
                  <w:r>
                    <w:rPr>
                      <w:rFonts w:hint="eastAsia" w:cs="Times New Roman"/>
                      <w:color w:val="auto"/>
                      <w:szCs w:val="24"/>
                      <w:highlight w:val="none"/>
                      <w:lang w:val="en-US" w:eastAsia="zh-CN"/>
                    </w:rPr>
                    <w:t>3.85</w:t>
                  </w:r>
                </w:p>
              </w:tc>
              <w:tc>
                <w:tcPr>
                  <w:tcW w:w="788" w:type="pct"/>
                  <w:vAlign w:val="center"/>
                </w:tcPr>
                <w:p w14:paraId="5025D259">
                  <w:pPr>
                    <w:pStyle w:val="53"/>
                    <w:bidi w:val="0"/>
                    <w:rPr>
                      <w:color w:val="auto"/>
                    </w:rPr>
                  </w:pPr>
                  <w:r>
                    <w:rPr>
                      <w:rFonts w:hint="eastAsia"/>
                      <w:color w:val="auto"/>
                    </w:rPr>
                    <w:t>0</w:t>
                  </w:r>
                </w:p>
              </w:tc>
              <w:tc>
                <w:tcPr>
                  <w:tcW w:w="514" w:type="pct"/>
                  <w:vAlign w:val="center"/>
                </w:tcPr>
                <w:p w14:paraId="20540979">
                  <w:pPr>
                    <w:pStyle w:val="53"/>
                    <w:bidi w:val="0"/>
                    <w:rPr>
                      <w:color w:val="auto"/>
                    </w:rPr>
                  </w:pPr>
                  <w:r>
                    <w:rPr>
                      <w:rFonts w:hint="eastAsia"/>
                      <w:color w:val="auto"/>
                    </w:rPr>
                    <w:t>0</w:t>
                  </w:r>
                </w:p>
              </w:tc>
              <w:tc>
                <w:tcPr>
                  <w:tcW w:w="606" w:type="pct"/>
                  <w:vAlign w:val="center"/>
                </w:tcPr>
                <w:p w14:paraId="53D1F93D">
                  <w:pPr>
                    <w:pStyle w:val="53"/>
                    <w:bidi w:val="0"/>
                    <w:rPr>
                      <w:color w:val="auto"/>
                    </w:rPr>
                  </w:pPr>
                  <w:r>
                    <w:rPr>
                      <w:rFonts w:hint="eastAsia"/>
                      <w:color w:val="auto"/>
                    </w:rPr>
                    <w:t>0</w:t>
                  </w:r>
                </w:p>
              </w:tc>
              <w:tc>
                <w:tcPr>
                  <w:tcW w:w="514" w:type="pct"/>
                  <w:vAlign w:val="center"/>
                </w:tcPr>
                <w:p w14:paraId="5F0761C6">
                  <w:pPr>
                    <w:pStyle w:val="53"/>
                    <w:bidi w:val="0"/>
                    <w:ind w:firstLine="0" w:firstLineChars="0"/>
                    <w:rPr>
                      <w:color w:val="auto"/>
                    </w:rPr>
                  </w:pPr>
                  <w:r>
                    <w:rPr>
                      <w:rFonts w:hint="eastAsia" w:cs="Times New Roman"/>
                      <w:color w:val="auto"/>
                      <w:szCs w:val="24"/>
                      <w:highlight w:val="none"/>
                      <w:lang w:val="en-US" w:eastAsia="zh-CN"/>
                    </w:rPr>
                    <w:t>3.85</w:t>
                  </w:r>
                </w:p>
              </w:tc>
              <w:tc>
                <w:tcPr>
                  <w:tcW w:w="585" w:type="pct"/>
                  <w:vAlign w:val="center"/>
                </w:tcPr>
                <w:p w14:paraId="561AA7C0">
                  <w:pPr>
                    <w:pStyle w:val="53"/>
                    <w:bidi w:val="0"/>
                    <w:ind w:firstLine="0" w:firstLineChars="0"/>
                    <w:rPr>
                      <w:color w:val="auto"/>
                    </w:rPr>
                  </w:pPr>
                  <w:r>
                    <w:rPr>
                      <w:rFonts w:hint="eastAsia"/>
                      <w:color w:val="auto"/>
                      <w:lang w:val="en-US" w:eastAsia="zh-CN"/>
                    </w:rPr>
                    <w:t>+</w:t>
                  </w:r>
                  <w:r>
                    <w:rPr>
                      <w:rFonts w:hint="eastAsia" w:cs="Times New Roman"/>
                      <w:color w:val="auto"/>
                      <w:szCs w:val="24"/>
                      <w:highlight w:val="none"/>
                      <w:lang w:val="en-US" w:eastAsia="zh-CN"/>
                    </w:rPr>
                    <w:t>3.85</w:t>
                  </w:r>
                </w:p>
              </w:tc>
            </w:tr>
            <w:tr w14:paraId="5A27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vMerge w:val="continue"/>
                  <w:vAlign w:val="center"/>
                </w:tcPr>
                <w:p w14:paraId="5A37B09F">
                  <w:pPr>
                    <w:pStyle w:val="53"/>
                    <w:bidi w:val="0"/>
                    <w:rPr>
                      <w:color w:val="auto"/>
                    </w:rPr>
                  </w:pPr>
                </w:p>
              </w:tc>
              <w:tc>
                <w:tcPr>
                  <w:tcW w:w="607" w:type="pct"/>
                  <w:vAlign w:val="center"/>
                </w:tcPr>
                <w:p w14:paraId="223CF316">
                  <w:pPr>
                    <w:pStyle w:val="53"/>
                    <w:ind w:firstLine="0" w:firstLineChars="0"/>
                    <w:rPr>
                      <w:color w:val="auto"/>
                    </w:rPr>
                  </w:pPr>
                  <w:r>
                    <w:rPr>
                      <w:rFonts w:hint="eastAsia"/>
                      <w:color w:val="auto"/>
                      <w:lang w:val="en-US" w:eastAsia="zh-CN"/>
                    </w:rPr>
                    <w:t>过滤网残渣</w:t>
                  </w:r>
                </w:p>
              </w:tc>
              <w:tc>
                <w:tcPr>
                  <w:tcW w:w="536" w:type="pct"/>
                  <w:vAlign w:val="center"/>
                </w:tcPr>
                <w:p w14:paraId="2E568CF8">
                  <w:pPr>
                    <w:pStyle w:val="53"/>
                    <w:bidi w:val="0"/>
                    <w:rPr>
                      <w:rFonts w:hint="eastAsia"/>
                      <w:color w:val="auto"/>
                    </w:rPr>
                  </w:pPr>
                  <w:r>
                    <w:rPr>
                      <w:rFonts w:hint="eastAsia"/>
                      <w:color w:val="auto"/>
                    </w:rPr>
                    <w:t>0</w:t>
                  </w:r>
                </w:p>
              </w:tc>
              <w:tc>
                <w:tcPr>
                  <w:tcW w:w="577" w:type="pct"/>
                  <w:vAlign w:val="center"/>
                </w:tcPr>
                <w:p w14:paraId="04B221BC">
                  <w:pPr>
                    <w:pStyle w:val="53"/>
                    <w:bidi w:val="0"/>
                    <w:rPr>
                      <w:rFonts w:hint="eastAsia"/>
                      <w:color w:val="auto"/>
                    </w:rPr>
                  </w:pPr>
                  <w:r>
                    <w:rPr>
                      <w:rFonts w:hint="eastAsia"/>
                      <w:color w:val="auto"/>
                      <w:lang w:val="en-US" w:eastAsia="zh-CN"/>
                    </w:rPr>
                    <w:t>0.25</w:t>
                  </w:r>
                </w:p>
              </w:tc>
              <w:tc>
                <w:tcPr>
                  <w:tcW w:w="788" w:type="pct"/>
                  <w:vAlign w:val="center"/>
                </w:tcPr>
                <w:p w14:paraId="5F661E74">
                  <w:pPr>
                    <w:pStyle w:val="53"/>
                    <w:bidi w:val="0"/>
                    <w:rPr>
                      <w:rFonts w:hint="eastAsia"/>
                      <w:color w:val="auto"/>
                    </w:rPr>
                  </w:pPr>
                  <w:r>
                    <w:rPr>
                      <w:rFonts w:hint="eastAsia"/>
                      <w:color w:val="auto"/>
                    </w:rPr>
                    <w:t>0</w:t>
                  </w:r>
                </w:p>
              </w:tc>
              <w:tc>
                <w:tcPr>
                  <w:tcW w:w="514" w:type="pct"/>
                  <w:vAlign w:val="center"/>
                </w:tcPr>
                <w:p w14:paraId="54CB963C">
                  <w:pPr>
                    <w:pStyle w:val="53"/>
                    <w:bidi w:val="0"/>
                    <w:rPr>
                      <w:rFonts w:hint="eastAsia"/>
                      <w:color w:val="auto"/>
                    </w:rPr>
                  </w:pPr>
                  <w:r>
                    <w:rPr>
                      <w:rFonts w:hint="eastAsia"/>
                      <w:color w:val="auto"/>
                    </w:rPr>
                    <w:t>0</w:t>
                  </w:r>
                </w:p>
              </w:tc>
              <w:tc>
                <w:tcPr>
                  <w:tcW w:w="606" w:type="pct"/>
                  <w:vAlign w:val="center"/>
                </w:tcPr>
                <w:p w14:paraId="5D199494">
                  <w:pPr>
                    <w:pStyle w:val="53"/>
                    <w:bidi w:val="0"/>
                    <w:rPr>
                      <w:rFonts w:hint="eastAsia"/>
                      <w:color w:val="auto"/>
                    </w:rPr>
                  </w:pPr>
                  <w:r>
                    <w:rPr>
                      <w:rFonts w:hint="eastAsia"/>
                      <w:color w:val="auto"/>
                    </w:rPr>
                    <w:t>0</w:t>
                  </w:r>
                </w:p>
              </w:tc>
              <w:tc>
                <w:tcPr>
                  <w:tcW w:w="514" w:type="pct"/>
                  <w:vAlign w:val="center"/>
                </w:tcPr>
                <w:p w14:paraId="4702EC1F">
                  <w:pPr>
                    <w:pStyle w:val="53"/>
                    <w:bidi w:val="0"/>
                    <w:ind w:firstLine="0" w:firstLineChars="0"/>
                    <w:rPr>
                      <w:rFonts w:hint="eastAsia"/>
                      <w:color w:val="auto"/>
                    </w:rPr>
                  </w:pPr>
                  <w:r>
                    <w:rPr>
                      <w:rFonts w:hint="eastAsia"/>
                      <w:color w:val="auto"/>
                      <w:lang w:val="en-US" w:eastAsia="zh-CN"/>
                    </w:rPr>
                    <w:t>0.25</w:t>
                  </w:r>
                </w:p>
              </w:tc>
              <w:tc>
                <w:tcPr>
                  <w:tcW w:w="585" w:type="pct"/>
                  <w:vAlign w:val="center"/>
                </w:tcPr>
                <w:p w14:paraId="5202B8F3">
                  <w:pPr>
                    <w:pStyle w:val="53"/>
                    <w:bidi w:val="0"/>
                    <w:ind w:firstLine="0" w:firstLineChars="0"/>
                    <w:rPr>
                      <w:rFonts w:hint="eastAsia"/>
                      <w:color w:val="auto"/>
                    </w:rPr>
                  </w:pPr>
                  <w:r>
                    <w:rPr>
                      <w:rFonts w:hint="eastAsia"/>
                      <w:color w:val="auto"/>
                      <w:lang w:val="en-US" w:eastAsia="zh-CN"/>
                    </w:rPr>
                    <w:t>+0.25</w:t>
                  </w:r>
                </w:p>
              </w:tc>
            </w:tr>
            <w:tr w14:paraId="7968A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exact"/>
                <w:jc w:val="center"/>
              </w:trPr>
              <w:tc>
                <w:tcPr>
                  <w:tcW w:w="269" w:type="pct"/>
                  <w:vMerge w:val="continue"/>
                  <w:vAlign w:val="center"/>
                </w:tcPr>
                <w:p w14:paraId="4CAAC568">
                  <w:pPr>
                    <w:pStyle w:val="53"/>
                    <w:bidi w:val="0"/>
                    <w:rPr>
                      <w:color w:val="auto"/>
                    </w:rPr>
                  </w:pPr>
                </w:p>
              </w:tc>
              <w:tc>
                <w:tcPr>
                  <w:tcW w:w="607" w:type="pct"/>
                  <w:vAlign w:val="center"/>
                </w:tcPr>
                <w:p w14:paraId="07A81AA6">
                  <w:pPr>
                    <w:pStyle w:val="53"/>
                    <w:bidi w:val="0"/>
                    <w:rPr>
                      <w:color w:val="auto"/>
                    </w:rPr>
                  </w:pPr>
                  <w:r>
                    <w:rPr>
                      <w:color w:val="auto"/>
                    </w:rPr>
                    <w:t>生活垃圾</w:t>
                  </w:r>
                </w:p>
              </w:tc>
              <w:tc>
                <w:tcPr>
                  <w:tcW w:w="536" w:type="pct"/>
                  <w:vAlign w:val="center"/>
                </w:tcPr>
                <w:p w14:paraId="6EF93186">
                  <w:pPr>
                    <w:pStyle w:val="53"/>
                    <w:bidi w:val="0"/>
                    <w:rPr>
                      <w:color w:val="auto"/>
                    </w:rPr>
                  </w:pPr>
                  <w:r>
                    <w:rPr>
                      <w:rFonts w:hint="eastAsia"/>
                      <w:color w:val="auto"/>
                    </w:rPr>
                    <w:t>0</w:t>
                  </w:r>
                </w:p>
              </w:tc>
              <w:tc>
                <w:tcPr>
                  <w:tcW w:w="577" w:type="pct"/>
                  <w:vAlign w:val="center"/>
                </w:tcPr>
                <w:p w14:paraId="07331892">
                  <w:pPr>
                    <w:pStyle w:val="53"/>
                    <w:bidi w:val="0"/>
                    <w:rPr>
                      <w:color w:val="auto"/>
                    </w:rPr>
                  </w:pPr>
                  <w:r>
                    <w:rPr>
                      <w:rFonts w:hint="eastAsia"/>
                      <w:color w:val="auto"/>
                    </w:rPr>
                    <w:t>0</w:t>
                  </w:r>
                </w:p>
              </w:tc>
              <w:tc>
                <w:tcPr>
                  <w:tcW w:w="788" w:type="pct"/>
                  <w:vAlign w:val="center"/>
                </w:tcPr>
                <w:p w14:paraId="501BFC14">
                  <w:pPr>
                    <w:pStyle w:val="53"/>
                    <w:bidi w:val="0"/>
                    <w:rPr>
                      <w:color w:val="auto"/>
                    </w:rPr>
                  </w:pPr>
                  <w:r>
                    <w:rPr>
                      <w:rFonts w:hint="eastAsia"/>
                      <w:color w:val="auto"/>
                    </w:rPr>
                    <w:t>0</w:t>
                  </w:r>
                </w:p>
              </w:tc>
              <w:tc>
                <w:tcPr>
                  <w:tcW w:w="514" w:type="pct"/>
                  <w:vAlign w:val="center"/>
                </w:tcPr>
                <w:p w14:paraId="5978D1D4">
                  <w:pPr>
                    <w:pStyle w:val="53"/>
                    <w:bidi w:val="0"/>
                    <w:rPr>
                      <w:color w:val="auto"/>
                    </w:rPr>
                  </w:pPr>
                  <w:r>
                    <w:rPr>
                      <w:color w:val="auto"/>
                    </w:rPr>
                    <w:t>0</w:t>
                  </w:r>
                </w:p>
              </w:tc>
              <w:tc>
                <w:tcPr>
                  <w:tcW w:w="606" w:type="pct"/>
                  <w:vAlign w:val="center"/>
                </w:tcPr>
                <w:p w14:paraId="285672C8">
                  <w:pPr>
                    <w:pStyle w:val="53"/>
                    <w:bidi w:val="0"/>
                    <w:rPr>
                      <w:color w:val="auto"/>
                    </w:rPr>
                  </w:pPr>
                  <w:r>
                    <w:rPr>
                      <w:rFonts w:hint="eastAsia"/>
                      <w:color w:val="auto"/>
                    </w:rPr>
                    <w:t>0</w:t>
                  </w:r>
                </w:p>
              </w:tc>
              <w:tc>
                <w:tcPr>
                  <w:tcW w:w="514" w:type="pct"/>
                  <w:vAlign w:val="center"/>
                </w:tcPr>
                <w:p w14:paraId="28A160C0">
                  <w:pPr>
                    <w:pStyle w:val="53"/>
                    <w:bidi w:val="0"/>
                    <w:rPr>
                      <w:color w:val="auto"/>
                    </w:rPr>
                  </w:pPr>
                  <w:r>
                    <w:rPr>
                      <w:rFonts w:hint="eastAsia"/>
                      <w:color w:val="auto"/>
                    </w:rPr>
                    <w:t>0</w:t>
                  </w:r>
                </w:p>
              </w:tc>
              <w:tc>
                <w:tcPr>
                  <w:tcW w:w="585" w:type="pct"/>
                  <w:vAlign w:val="center"/>
                </w:tcPr>
                <w:p w14:paraId="3082A8A4">
                  <w:pPr>
                    <w:pStyle w:val="53"/>
                    <w:bidi w:val="0"/>
                    <w:rPr>
                      <w:color w:val="auto"/>
                    </w:rPr>
                  </w:pPr>
                  <w:r>
                    <w:rPr>
                      <w:rFonts w:hint="eastAsia"/>
                      <w:color w:val="auto"/>
                    </w:rPr>
                    <w:t>0</w:t>
                  </w:r>
                </w:p>
              </w:tc>
            </w:tr>
            <w:tr w14:paraId="2B8AE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5000" w:type="pct"/>
                  <w:gridSpan w:val="9"/>
                  <w:vAlign w:val="center"/>
                </w:tcPr>
                <w:p w14:paraId="65147F9A">
                  <w:pPr>
                    <w:pStyle w:val="53"/>
                    <w:bidi w:val="0"/>
                    <w:rPr>
                      <w:color w:val="auto"/>
                    </w:rPr>
                  </w:pPr>
                  <w:r>
                    <w:rPr>
                      <w:color w:val="auto"/>
                    </w:rPr>
                    <w:t>注：“+”代表增加，“-”代表减少</w:t>
                  </w:r>
                </w:p>
              </w:tc>
            </w:tr>
          </w:tbl>
          <w:p w14:paraId="141589B1">
            <w:pPr>
              <w:pStyle w:val="51"/>
              <w:ind w:firstLine="482"/>
              <w:rPr>
                <w:rFonts w:hint="default" w:ascii="Times New Roman" w:hAnsi="Times New Roman" w:cs="Times New Roman"/>
                <w:b/>
                <w:color w:val="auto"/>
              </w:rPr>
            </w:pPr>
            <w:r>
              <w:rPr>
                <w:rFonts w:hint="eastAsia" w:cs="Times New Roman"/>
                <w:b/>
                <w:color w:val="auto"/>
                <w:lang w:val="en-US" w:eastAsia="zh-CN"/>
              </w:rPr>
              <w:t>七、</w:t>
            </w:r>
            <w:r>
              <w:rPr>
                <w:rFonts w:hint="default" w:ascii="Times New Roman" w:hAnsi="Times New Roman" w:cs="Times New Roman"/>
                <w:b/>
                <w:color w:val="auto"/>
              </w:rPr>
              <w:t>环境风险分析</w:t>
            </w:r>
          </w:p>
          <w:p w14:paraId="16123537">
            <w:pPr>
              <w:pStyle w:val="51"/>
              <w:ind w:firstLine="480"/>
              <w:rPr>
                <w:rFonts w:hint="default" w:ascii="Times New Roman" w:hAnsi="Times New Roman" w:cs="Times New Roman"/>
                <w:color w:val="auto"/>
              </w:rPr>
            </w:pPr>
            <w:r>
              <w:rPr>
                <w:rFonts w:hint="default" w:ascii="Times New Roman" w:hAnsi="Times New Roman" w:cs="Times New Roman"/>
                <w:color w:val="auto"/>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5DC7E4A2">
            <w:pPr>
              <w:pStyle w:val="51"/>
              <w:bidi w:val="0"/>
              <w:rPr>
                <w:rFonts w:hint="default"/>
                <w:color w:val="auto"/>
              </w:rPr>
            </w:pPr>
            <w:r>
              <w:rPr>
                <w:rFonts w:hint="default" w:ascii="Times New Roman" w:hAnsi="Times New Roman" w:cs="Times New Roman"/>
                <w:color w:val="auto"/>
              </w:rPr>
              <w:t>项目环</w:t>
            </w:r>
            <w:r>
              <w:rPr>
                <w:rFonts w:hint="default"/>
                <w:color w:val="auto"/>
              </w:rPr>
              <w:t>境风险分析针对运行期间可能发生的突发性环境事故，评估其可能对环境造成的影响和损害，并且提出防范、减缓措施与应急预案。</w:t>
            </w:r>
          </w:p>
          <w:p w14:paraId="015655BC">
            <w:pPr>
              <w:pStyle w:val="51"/>
              <w:bidi w:val="0"/>
              <w:rPr>
                <w:rFonts w:hint="default"/>
                <w:b/>
                <w:bCs/>
                <w:color w:val="auto"/>
              </w:rPr>
            </w:pPr>
            <w:r>
              <w:rPr>
                <w:rFonts w:hint="default"/>
                <w:b/>
                <w:bCs/>
                <w:color w:val="auto"/>
              </w:rPr>
              <w:t>1、环境风险识别</w:t>
            </w:r>
          </w:p>
          <w:p w14:paraId="63AA3662">
            <w:pPr>
              <w:pStyle w:val="51"/>
              <w:bidi w:val="0"/>
              <w:rPr>
                <w:rFonts w:hint="default"/>
                <w:color w:val="auto"/>
              </w:rPr>
            </w:pPr>
            <w:r>
              <w:rPr>
                <w:rFonts w:hint="default"/>
                <w:color w:val="auto"/>
              </w:rPr>
              <w:t>按照《建设项目环境风险评价技术导则》（HJ169-2018）附录中附录B，本项目原辅材料</w:t>
            </w:r>
            <w:r>
              <w:rPr>
                <w:rFonts w:hint="eastAsia"/>
                <w:color w:val="auto"/>
                <w:lang w:val="en-US" w:eastAsia="zh-CN"/>
              </w:rPr>
              <w:t>为塑料片</w:t>
            </w:r>
            <w:r>
              <w:rPr>
                <w:rFonts w:hint="default"/>
                <w:color w:val="auto"/>
              </w:rPr>
              <w:t>，</w:t>
            </w:r>
            <w:r>
              <w:rPr>
                <w:rFonts w:hint="eastAsia"/>
                <w:color w:val="auto"/>
                <w:lang w:val="en-US" w:eastAsia="zh-CN"/>
              </w:rPr>
              <w:t>生产废气处理过程</w:t>
            </w:r>
            <w:r>
              <w:rPr>
                <w:rFonts w:hint="default"/>
                <w:color w:val="auto"/>
              </w:rPr>
              <w:t>涉及的危险物质为</w:t>
            </w:r>
            <w:r>
              <w:rPr>
                <w:rFonts w:hint="default"/>
                <w:color w:val="auto"/>
                <w:lang w:eastAsia="zh-CN"/>
              </w:rPr>
              <w:t>废活性炭</w:t>
            </w:r>
            <w:r>
              <w:rPr>
                <w:rFonts w:hint="eastAsia"/>
                <w:color w:val="auto"/>
                <w:lang w:eastAsia="zh-CN"/>
              </w:rPr>
              <w:t>、</w:t>
            </w:r>
            <w:r>
              <w:rPr>
                <w:rFonts w:hint="eastAsia"/>
                <w:color w:val="auto"/>
                <w:lang w:val="en-US" w:eastAsia="zh-CN"/>
              </w:rPr>
              <w:t>过滤网残渣</w:t>
            </w:r>
            <w:r>
              <w:rPr>
                <w:rFonts w:hint="eastAsia" w:cs="Times New Roman"/>
                <w:color w:val="auto"/>
                <w:lang w:val="en-US" w:eastAsia="zh-CN"/>
              </w:rPr>
              <w:t>（焦油）</w:t>
            </w:r>
            <w:r>
              <w:rPr>
                <w:rFonts w:hint="eastAsia"/>
                <w:color w:val="auto"/>
                <w:lang w:val="en-US" w:eastAsia="zh-CN"/>
              </w:rPr>
              <w:t>，但</w:t>
            </w:r>
            <w:r>
              <w:rPr>
                <w:rFonts w:hint="default"/>
                <w:color w:val="auto"/>
                <w:lang w:eastAsia="zh-CN"/>
              </w:rPr>
              <w:t>废活性炭</w:t>
            </w:r>
            <w:r>
              <w:rPr>
                <w:rFonts w:hint="eastAsia"/>
                <w:color w:val="auto"/>
                <w:lang w:val="en-US" w:eastAsia="zh-CN"/>
              </w:rPr>
              <w:t>不在项目区贮存，更换时由厂家带走</w:t>
            </w:r>
            <w:r>
              <w:rPr>
                <w:rFonts w:hint="default"/>
                <w:color w:val="auto"/>
              </w:rPr>
              <w:t>。</w:t>
            </w:r>
          </w:p>
          <w:p w14:paraId="1E7F01B1">
            <w:pPr>
              <w:pStyle w:val="68"/>
              <w:spacing w:line="360" w:lineRule="auto"/>
              <w:ind w:firstLine="480" w:firstLineChars="200"/>
              <w:rPr>
                <w:rFonts w:hint="eastAsia"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Cs/>
                <w:color w:val="auto"/>
                <w:sz w:val="24"/>
                <w:szCs w:val="24"/>
                <w:highlight w:val="none"/>
              </w:rPr>
              <w:t>项目风险物质识别</w:t>
            </w:r>
            <w:r>
              <w:rPr>
                <w:rFonts w:hint="default" w:ascii="Times New Roman" w:hAnsi="Times New Roman" w:eastAsia="宋体" w:cs="Times New Roman"/>
                <w:bCs/>
                <w:color w:val="auto"/>
                <w:sz w:val="24"/>
                <w:szCs w:val="24"/>
                <w:highlight w:val="none"/>
                <w:lang w:val="en-US" w:eastAsia="zh-CN"/>
              </w:rPr>
              <w:t>特征</w:t>
            </w:r>
            <w:r>
              <w:rPr>
                <w:rFonts w:hint="default" w:ascii="Times New Roman" w:hAnsi="Times New Roman" w:eastAsia="宋体" w:cs="Times New Roman"/>
                <w:bCs/>
                <w:color w:val="auto"/>
                <w:sz w:val="24"/>
                <w:szCs w:val="24"/>
                <w:highlight w:val="none"/>
              </w:rPr>
              <w:t>见下表</w:t>
            </w:r>
            <w:r>
              <w:rPr>
                <w:rFonts w:hint="eastAsia" w:ascii="Times New Roman" w:hAnsi="Times New Roman" w:cs="Times New Roman"/>
                <w:bCs/>
                <w:color w:val="auto"/>
                <w:sz w:val="24"/>
                <w:szCs w:val="24"/>
                <w:highlight w:val="none"/>
                <w:lang w:eastAsia="zh-CN"/>
              </w:rPr>
              <w:t>。</w:t>
            </w:r>
          </w:p>
          <w:p w14:paraId="294F5E0C">
            <w:pPr>
              <w:pStyle w:val="52"/>
              <w:bidi w:val="0"/>
              <w:rPr>
                <w:rFonts w:hint="default"/>
                <w:color w:val="auto"/>
                <w:lang w:val="en-US" w:eastAsia="zh-CN"/>
              </w:rPr>
            </w:pPr>
            <w:r>
              <w:rPr>
                <w:rFonts w:hint="default"/>
                <w:color w:val="auto"/>
                <w:lang w:val="en-US" w:eastAsia="zh-CN"/>
              </w:rPr>
              <w:t>表4-</w:t>
            </w:r>
            <w:r>
              <w:rPr>
                <w:rFonts w:hint="eastAsia"/>
                <w:color w:val="auto"/>
                <w:lang w:val="en-US" w:eastAsia="zh-CN"/>
              </w:rPr>
              <w:t xml:space="preserve">11  </w:t>
            </w:r>
            <w:r>
              <w:rPr>
                <w:rFonts w:hint="default"/>
                <w:color w:val="auto"/>
                <w:lang w:val="en-US" w:eastAsia="zh-CN"/>
              </w:rPr>
              <w:t xml:space="preserve">  项目危险物质理化性质及毒性特征一览表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875"/>
              <w:gridCol w:w="3095"/>
              <w:gridCol w:w="1650"/>
              <w:gridCol w:w="781"/>
              <w:gridCol w:w="755"/>
            </w:tblGrid>
            <w:tr w14:paraId="5D51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52C4CE76">
                  <w:pPr>
                    <w:pStyle w:val="53"/>
                    <w:bidi w:val="0"/>
                    <w:rPr>
                      <w:rFonts w:hint="default"/>
                      <w:color w:val="auto"/>
                    </w:rPr>
                  </w:pPr>
                  <w:r>
                    <w:rPr>
                      <w:rFonts w:hint="default"/>
                      <w:color w:val="auto"/>
                    </w:rPr>
                    <w:t>名称</w:t>
                  </w:r>
                </w:p>
              </w:tc>
              <w:tc>
                <w:tcPr>
                  <w:tcW w:w="551" w:type="pct"/>
                  <w:tcBorders>
                    <w:top w:val="single" w:color="auto" w:sz="4" w:space="0"/>
                    <w:left w:val="single" w:color="auto" w:sz="4" w:space="0"/>
                    <w:bottom w:val="single" w:color="auto" w:sz="4" w:space="0"/>
                    <w:right w:val="single" w:color="auto" w:sz="4" w:space="0"/>
                  </w:tcBorders>
                  <w:noWrap w:val="0"/>
                  <w:vAlign w:val="center"/>
                </w:tcPr>
                <w:p w14:paraId="69626914">
                  <w:pPr>
                    <w:pStyle w:val="53"/>
                    <w:bidi w:val="0"/>
                    <w:rPr>
                      <w:rFonts w:hint="default"/>
                      <w:color w:val="auto"/>
                    </w:rPr>
                  </w:pPr>
                  <w:r>
                    <w:rPr>
                      <w:rFonts w:hint="default"/>
                      <w:color w:val="auto"/>
                    </w:rPr>
                    <w:t>最大储量（t）</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4A05F1FF">
                  <w:pPr>
                    <w:pStyle w:val="53"/>
                    <w:bidi w:val="0"/>
                    <w:rPr>
                      <w:rFonts w:hint="default"/>
                      <w:color w:val="auto"/>
                    </w:rPr>
                  </w:pPr>
                  <w:r>
                    <w:rPr>
                      <w:rFonts w:hint="default"/>
                      <w:color w:val="auto"/>
                    </w:rPr>
                    <w:t>理化性质</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31FC7633">
                  <w:pPr>
                    <w:pStyle w:val="53"/>
                    <w:bidi w:val="0"/>
                    <w:rPr>
                      <w:rFonts w:hint="default"/>
                      <w:color w:val="auto"/>
                    </w:rPr>
                  </w:pPr>
                  <w:r>
                    <w:rPr>
                      <w:rFonts w:hint="default"/>
                      <w:color w:val="auto"/>
                    </w:rPr>
                    <w:t>危险特性</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12481D8A">
                  <w:pPr>
                    <w:pStyle w:val="53"/>
                    <w:bidi w:val="0"/>
                    <w:rPr>
                      <w:rFonts w:hint="default"/>
                      <w:color w:val="auto"/>
                    </w:rPr>
                  </w:pPr>
                  <w:r>
                    <w:rPr>
                      <w:rFonts w:hint="default"/>
                      <w:color w:val="auto"/>
                    </w:rPr>
                    <w:t>物质风险辨识</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41FB9CDF">
                  <w:pPr>
                    <w:pStyle w:val="53"/>
                    <w:bidi w:val="0"/>
                    <w:rPr>
                      <w:rFonts w:hint="default"/>
                      <w:color w:val="auto"/>
                      <w:lang w:val="en-US" w:eastAsia="zh-CN"/>
                    </w:rPr>
                  </w:pPr>
                  <w:r>
                    <w:rPr>
                      <w:rFonts w:hint="default"/>
                      <w:color w:val="auto"/>
                      <w:lang w:val="en-US" w:eastAsia="zh-CN"/>
                    </w:rPr>
                    <w:t>储存位置</w:t>
                  </w:r>
                </w:p>
              </w:tc>
            </w:tr>
            <w:tr w14:paraId="764C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23E5B31">
                  <w:pPr>
                    <w:pStyle w:val="53"/>
                    <w:bidi w:val="0"/>
                    <w:rPr>
                      <w:rFonts w:hint="default"/>
                      <w:color w:val="auto"/>
                      <w:highlight w:val="none"/>
                      <w:lang w:val="en-US" w:eastAsia="zh-CN"/>
                    </w:rPr>
                  </w:pPr>
                  <w:r>
                    <w:rPr>
                      <w:rFonts w:hint="eastAsia"/>
                      <w:color w:val="auto"/>
                      <w:highlight w:val="none"/>
                      <w:lang w:val="en-US" w:eastAsia="zh-CN"/>
                    </w:rPr>
                    <w:t>过滤网残渣（焦油）</w:t>
                  </w:r>
                </w:p>
              </w:tc>
              <w:tc>
                <w:tcPr>
                  <w:tcW w:w="551" w:type="pct"/>
                  <w:tcBorders>
                    <w:top w:val="single" w:color="auto" w:sz="4" w:space="0"/>
                    <w:left w:val="single" w:color="auto" w:sz="4" w:space="0"/>
                    <w:bottom w:val="single" w:color="auto" w:sz="4" w:space="0"/>
                    <w:right w:val="single" w:color="auto" w:sz="4" w:space="0"/>
                  </w:tcBorders>
                  <w:noWrap w:val="0"/>
                  <w:vAlign w:val="center"/>
                </w:tcPr>
                <w:p w14:paraId="5B4CD0AB">
                  <w:pPr>
                    <w:pStyle w:val="53"/>
                    <w:bidi w:val="0"/>
                    <w:rPr>
                      <w:rFonts w:hint="default"/>
                      <w:color w:val="auto"/>
                      <w:highlight w:val="none"/>
                      <w:lang w:val="en-US" w:eastAsia="zh-CN"/>
                    </w:rPr>
                  </w:pPr>
                  <w:r>
                    <w:rPr>
                      <w:rFonts w:hint="eastAsia"/>
                      <w:color w:val="auto"/>
                      <w:highlight w:val="none"/>
                      <w:lang w:val="en-US" w:eastAsia="zh-CN"/>
                    </w:rPr>
                    <w:t>0.25</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09D9F605">
                  <w:pPr>
                    <w:pStyle w:val="53"/>
                    <w:bidi w:val="0"/>
                    <w:rPr>
                      <w:rFonts w:hint="default"/>
                      <w:color w:val="auto"/>
                      <w:highlight w:val="none"/>
                      <w:lang w:val="en-US" w:eastAsia="zh-CN"/>
                    </w:rPr>
                  </w:pPr>
                  <w:r>
                    <w:rPr>
                      <w:rFonts w:hint="eastAsia"/>
                      <w:color w:val="auto"/>
                      <w:highlight w:val="none"/>
                      <w:lang w:val="en-US" w:eastAsia="zh-CN"/>
                    </w:rPr>
                    <w:t>比重范围是0.87-0.95g/ml；闪点范围是120-140℃。</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76CFF7D2">
                  <w:pPr>
                    <w:pStyle w:val="53"/>
                    <w:bidi w:val="0"/>
                    <w:rPr>
                      <w:rFonts w:hint="eastAsia"/>
                      <w:color w:val="auto"/>
                      <w:lang w:eastAsia="zh-CN"/>
                    </w:rPr>
                  </w:pPr>
                  <w:r>
                    <w:rPr>
                      <w:rFonts w:hint="default"/>
                      <w:color w:val="auto"/>
                    </w:rPr>
                    <w:t>可燃液体，遇明火、高热可燃。</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3A32EEF4">
                  <w:pPr>
                    <w:pStyle w:val="53"/>
                    <w:bidi w:val="0"/>
                    <w:rPr>
                      <w:rFonts w:hint="default"/>
                      <w:color w:val="auto"/>
                    </w:rPr>
                  </w:pPr>
                  <w:r>
                    <w:rPr>
                      <w:rFonts w:hint="default"/>
                      <w:color w:val="auto"/>
                    </w:rPr>
                    <w:t>燃烧、爆炸</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6057697D">
                  <w:pPr>
                    <w:pStyle w:val="53"/>
                    <w:bidi w:val="0"/>
                    <w:rPr>
                      <w:rFonts w:hint="default"/>
                      <w:color w:val="auto"/>
                      <w:lang w:val="en-US" w:eastAsia="zh-CN"/>
                    </w:rPr>
                  </w:pPr>
                  <w:r>
                    <w:rPr>
                      <w:rFonts w:hint="eastAsia"/>
                      <w:color w:val="auto"/>
                      <w:lang w:val="en-US" w:eastAsia="zh-CN"/>
                    </w:rPr>
                    <w:t>危废暂存间</w:t>
                  </w:r>
                </w:p>
              </w:tc>
            </w:tr>
            <w:tr w14:paraId="06A8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 w:type="pct"/>
                  <w:tcBorders>
                    <w:top w:val="single" w:color="auto" w:sz="4" w:space="0"/>
                    <w:left w:val="single" w:color="auto" w:sz="4" w:space="0"/>
                    <w:bottom w:val="single" w:color="auto" w:sz="4" w:space="0"/>
                    <w:right w:val="single" w:color="auto" w:sz="4" w:space="0"/>
                  </w:tcBorders>
                  <w:noWrap w:val="0"/>
                  <w:vAlign w:val="center"/>
                </w:tcPr>
                <w:p w14:paraId="4ED2FF91">
                  <w:pPr>
                    <w:pStyle w:val="53"/>
                    <w:bidi w:val="0"/>
                    <w:rPr>
                      <w:rFonts w:hint="default"/>
                      <w:color w:val="auto"/>
                      <w:lang w:val="en-US" w:eastAsia="zh-CN"/>
                    </w:rPr>
                  </w:pPr>
                  <w:r>
                    <w:rPr>
                      <w:rFonts w:hint="eastAsia"/>
                      <w:color w:val="auto"/>
                      <w:lang w:val="en-US" w:eastAsia="zh-CN"/>
                    </w:rPr>
                    <w:t>废活性炭</w:t>
                  </w:r>
                </w:p>
              </w:tc>
              <w:tc>
                <w:tcPr>
                  <w:tcW w:w="551" w:type="pct"/>
                  <w:tcBorders>
                    <w:top w:val="single" w:color="auto" w:sz="4" w:space="0"/>
                    <w:left w:val="single" w:color="auto" w:sz="4" w:space="0"/>
                    <w:bottom w:val="single" w:color="auto" w:sz="4" w:space="0"/>
                    <w:right w:val="single" w:color="auto" w:sz="4" w:space="0"/>
                  </w:tcBorders>
                  <w:noWrap w:val="0"/>
                  <w:vAlign w:val="center"/>
                </w:tcPr>
                <w:p w14:paraId="765F7A77">
                  <w:pPr>
                    <w:pStyle w:val="53"/>
                    <w:bidi w:val="0"/>
                    <w:rPr>
                      <w:rFonts w:hint="default"/>
                      <w:color w:val="auto"/>
                      <w:lang w:val="en-US" w:eastAsia="zh-CN"/>
                    </w:rPr>
                  </w:pPr>
                  <w:r>
                    <w:rPr>
                      <w:rFonts w:hint="eastAsia"/>
                      <w:color w:val="auto"/>
                      <w:lang w:val="en-US" w:eastAsia="zh-CN"/>
                    </w:rPr>
                    <w:t>/</w:t>
                  </w:r>
                </w:p>
              </w:tc>
              <w:tc>
                <w:tcPr>
                  <w:tcW w:w="1950" w:type="pct"/>
                  <w:tcBorders>
                    <w:top w:val="single" w:color="auto" w:sz="4" w:space="0"/>
                    <w:left w:val="single" w:color="auto" w:sz="4" w:space="0"/>
                    <w:bottom w:val="single" w:color="auto" w:sz="4" w:space="0"/>
                    <w:right w:val="single" w:color="auto" w:sz="4" w:space="0"/>
                  </w:tcBorders>
                  <w:noWrap w:val="0"/>
                  <w:vAlign w:val="center"/>
                </w:tcPr>
                <w:p w14:paraId="550BAD38">
                  <w:pPr>
                    <w:pStyle w:val="53"/>
                    <w:bidi w:val="0"/>
                    <w:rPr>
                      <w:rFonts w:hint="default"/>
                      <w:color w:val="auto"/>
                      <w:lang w:val="en-US" w:eastAsia="zh-CN"/>
                    </w:rPr>
                  </w:pPr>
                  <w:r>
                    <w:rPr>
                      <w:rFonts w:hint="eastAsia"/>
                      <w:color w:val="auto"/>
                      <w:lang w:val="en-US" w:eastAsia="zh-CN"/>
                    </w:rPr>
                    <w:t>黑色粉末或颗粒状，内部有极多的孔隙。熔点＞3500℃。</w:t>
                  </w:r>
                </w:p>
              </w:tc>
              <w:tc>
                <w:tcPr>
                  <w:tcW w:w="1039" w:type="pct"/>
                  <w:tcBorders>
                    <w:top w:val="single" w:color="auto" w:sz="4" w:space="0"/>
                    <w:left w:val="single" w:color="auto" w:sz="4" w:space="0"/>
                    <w:bottom w:val="single" w:color="auto" w:sz="4" w:space="0"/>
                    <w:right w:val="single" w:color="auto" w:sz="4" w:space="0"/>
                  </w:tcBorders>
                  <w:noWrap w:val="0"/>
                  <w:vAlign w:val="center"/>
                </w:tcPr>
                <w:p w14:paraId="135D610C">
                  <w:pPr>
                    <w:pStyle w:val="53"/>
                    <w:bidi w:val="0"/>
                    <w:rPr>
                      <w:rFonts w:hint="default"/>
                      <w:color w:val="auto"/>
                      <w:lang w:val="en-US" w:eastAsia="zh-CN"/>
                    </w:rPr>
                  </w:pPr>
                  <w:r>
                    <w:rPr>
                      <w:rFonts w:hint="eastAsia"/>
                      <w:color w:val="auto"/>
                      <w:lang w:val="en-US" w:eastAsia="zh-CN"/>
                    </w:rPr>
                    <w:t>粉末接触明火有轻度爆炸性，遇明火、高热可燃。</w:t>
                  </w:r>
                </w:p>
              </w:tc>
              <w:tc>
                <w:tcPr>
                  <w:tcW w:w="492" w:type="pct"/>
                  <w:tcBorders>
                    <w:top w:val="single" w:color="auto" w:sz="4" w:space="0"/>
                    <w:left w:val="single" w:color="auto" w:sz="4" w:space="0"/>
                    <w:bottom w:val="single" w:color="auto" w:sz="4" w:space="0"/>
                    <w:right w:val="single" w:color="auto" w:sz="4" w:space="0"/>
                  </w:tcBorders>
                  <w:noWrap w:val="0"/>
                  <w:vAlign w:val="center"/>
                </w:tcPr>
                <w:p w14:paraId="42731142">
                  <w:pPr>
                    <w:pStyle w:val="53"/>
                    <w:bidi w:val="0"/>
                    <w:rPr>
                      <w:rFonts w:hint="default"/>
                      <w:color w:val="auto"/>
                      <w:lang w:val="en-US" w:eastAsia="zh-CN"/>
                    </w:rPr>
                  </w:pPr>
                  <w:r>
                    <w:rPr>
                      <w:rFonts w:hint="eastAsia"/>
                      <w:color w:val="auto"/>
                      <w:lang w:val="en-US" w:eastAsia="zh-CN"/>
                    </w:rPr>
                    <w:t>燃烧、爆炸</w:t>
                  </w:r>
                </w:p>
              </w:tc>
              <w:tc>
                <w:tcPr>
                  <w:tcW w:w="475" w:type="pct"/>
                  <w:tcBorders>
                    <w:top w:val="single" w:color="auto" w:sz="4" w:space="0"/>
                    <w:left w:val="single" w:color="auto" w:sz="4" w:space="0"/>
                    <w:bottom w:val="single" w:color="auto" w:sz="4" w:space="0"/>
                    <w:right w:val="single" w:color="auto" w:sz="4" w:space="0"/>
                  </w:tcBorders>
                  <w:noWrap w:val="0"/>
                  <w:vAlign w:val="center"/>
                </w:tcPr>
                <w:p w14:paraId="7C905D10">
                  <w:pPr>
                    <w:pStyle w:val="53"/>
                    <w:bidi w:val="0"/>
                    <w:rPr>
                      <w:rFonts w:hint="default"/>
                      <w:color w:val="auto"/>
                      <w:lang w:val="en-US" w:eastAsia="zh-CN"/>
                    </w:rPr>
                  </w:pPr>
                  <w:r>
                    <w:rPr>
                      <w:rFonts w:hint="eastAsia"/>
                      <w:color w:val="auto"/>
                      <w:lang w:val="en-US" w:eastAsia="zh-CN"/>
                    </w:rPr>
                    <w:t>不贮存</w:t>
                  </w:r>
                </w:p>
              </w:tc>
            </w:tr>
          </w:tbl>
          <w:p w14:paraId="3AD02514">
            <w:pPr>
              <w:pStyle w:val="51"/>
              <w:bidi w:val="0"/>
              <w:rPr>
                <w:rFonts w:hint="default"/>
                <w:b/>
                <w:bCs/>
                <w:color w:val="auto"/>
              </w:rPr>
            </w:pPr>
            <w:r>
              <w:rPr>
                <w:rFonts w:hint="default"/>
                <w:b/>
                <w:bCs/>
                <w:color w:val="auto"/>
              </w:rPr>
              <w:t>2、本项目危险物质数量与临界量比值（Q）</w:t>
            </w:r>
          </w:p>
          <w:p w14:paraId="6A1D24E2">
            <w:pPr>
              <w:pStyle w:val="51"/>
              <w:bidi w:val="0"/>
              <w:rPr>
                <w:rFonts w:hint="default" w:ascii="Times New Roman" w:hAnsi="Times New Roman" w:cs="Times New Roman"/>
                <w:color w:val="auto"/>
              </w:rPr>
            </w:pPr>
            <w:r>
              <w:rPr>
                <w:rFonts w:hint="default"/>
                <w:color w:val="auto"/>
              </w:rPr>
              <w:t>当只涉及一种危</w:t>
            </w:r>
            <w:r>
              <w:rPr>
                <w:rFonts w:hint="default" w:ascii="Times New Roman" w:hAnsi="Times New Roman" w:cs="Times New Roman"/>
                <w:color w:val="auto"/>
              </w:rPr>
              <w:t>险物质时，计算该物质在厂界内的最大存在总量与其临界量比值，即为Q；当存在多种危险物质时，按下式计算物质总量与其临界量比值（Q）：</w:t>
            </w:r>
          </w:p>
          <w:p w14:paraId="2D757F87">
            <w:pPr>
              <w:pStyle w:val="51"/>
              <w:ind w:firstLine="480"/>
              <w:rPr>
                <w:rFonts w:hint="default" w:ascii="Times New Roman" w:hAnsi="Times New Roman" w:cs="Times New Roman"/>
                <w:color w:val="auto"/>
              </w:rPr>
            </w:pPr>
            <w:r>
              <w:rPr>
                <w:rFonts w:hint="default" w:ascii="Times New Roman" w:hAnsi="Times New Roman" w:cs="Times New Roman"/>
                <w:color w:val="auto"/>
              </w:rPr>
              <w:t>Q=q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default" w:ascii="Times New Roman" w:hAnsi="Times New Roman" w:cs="Times New Roman"/>
                <w:color w:val="auto"/>
              </w:rPr>
              <w:t>+</w:t>
            </w:r>
            <w:r>
              <w:rPr>
                <w:rFonts w:hint="eastAsia" w:cs="Times New Roman"/>
                <w:color w:val="auto"/>
                <w:lang w:eastAsia="zh-CN"/>
              </w:rPr>
              <w:t>……</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/Q</w:t>
            </w:r>
            <w:r>
              <w:rPr>
                <w:rFonts w:hint="default" w:ascii="Times New Roman" w:hAnsi="Times New Roman" w:cs="Times New Roman"/>
                <w:color w:val="auto"/>
                <w:vertAlign w:val="subscript"/>
              </w:rPr>
              <w:t>n</w:t>
            </w:r>
          </w:p>
          <w:p w14:paraId="5EE924FE">
            <w:pPr>
              <w:pStyle w:val="51"/>
              <w:ind w:firstLine="480"/>
              <w:rPr>
                <w:rFonts w:hint="default" w:ascii="Times New Roman" w:hAnsi="Times New Roman" w:cs="Times New Roman"/>
                <w:color w:val="auto"/>
              </w:rPr>
            </w:pPr>
            <w:r>
              <w:rPr>
                <w:rFonts w:hint="default" w:ascii="Times New Roman" w:hAnsi="Times New Roman" w:cs="Times New Roman"/>
                <w:color w:val="auto"/>
              </w:rPr>
              <w:t>式中：q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eastAsia" w:cs="Times New Roman"/>
                <w:color w:val="auto"/>
                <w:vertAlign w:val="subscript"/>
                <w:lang w:eastAsia="zh-CN"/>
              </w:rPr>
              <w:t>……</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——每种危险物质的最大存在量，t；</w:t>
            </w:r>
          </w:p>
          <w:p w14:paraId="347375E5">
            <w:pPr>
              <w:pStyle w:val="51"/>
              <w:ind w:firstLine="480"/>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、Q</w:t>
            </w:r>
            <w:r>
              <w:rPr>
                <w:rFonts w:hint="default" w:ascii="Times New Roman" w:hAnsi="Times New Roman" w:cs="Times New Roman"/>
                <w:color w:val="auto"/>
                <w:vertAlign w:val="subscript"/>
              </w:rPr>
              <w:t>2</w:t>
            </w:r>
            <w:r>
              <w:rPr>
                <w:rFonts w:hint="eastAsia" w:cs="Times New Roman"/>
                <w:color w:val="auto"/>
                <w:vertAlign w:val="subscript"/>
                <w:lang w:eastAsia="zh-CN"/>
              </w:rPr>
              <w:t>……</w:t>
            </w:r>
            <w:r>
              <w:rPr>
                <w:rFonts w:hint="default" w:ascii="Times New Roman" w:hAnsi="Times New Roman" w:cs="Times New Roman"/>
                <w:color w:val="auto"/>
              </w:rPr>
              <w:t>Q</w:t>
            </w:r>
            <w:r>
              <w:rPr>
                <w:rFonts w:hint="default" w:ascii="Times New Roman" w:hAnsi="Times New Roman" w:cs="Times New Roman"/>
                <w:color w:val="auto"/>
                <w:vertAlign w:val="subscript"/>
              </w:rPr>
              <w:t>n</w:t>
            </w:r>
            <w:r>
              <w:rPr>
                <w:rFonts w:hint="default" w:ascii="Times New Roman" w:hAnsi="Times New Roman" w:cs="Times New Roman"/>
                <w:color w:val="auto"/>
              </w:rPr>
              <w:t>——每种危险物质的临界量，t</w:t>
            </w:r>
          </w:p>
          <w:p w14:paraId="3D9AC66E">
            <w:pPr>
              <w:pStyle w:val="51"/>
              <w:ind w:firstLine="480"/>
              <w:rPr>
                <w:rFonts w:hint="default" w:ascii="Times New Roman" w:hAnsi="Times New Roman" w:cs="Times New Roman"/>
                <w:color w:val="auto"/>
              </w:rPr>
            </w:pPr>
            <w:r>
              <w:rPr>
                <w:rFonts w:hint="default" w:ascii="Times New Roman" w:hAnsi="Times New Roman" w:cs="Times New Roman"/>
                <w:color w:val="auto"/>
              </w:rPr>
              <w:t>当Q&lt;1时，该项目风险潜势为Ⅰ；</w:t>
            </w:r>
          </w:p>
          <w:p w14:paraId="1A3F11B3">
            <w:pPr>
              <w:pStyle w:val="51"/>
              <w:ind w:firstLine="480"/>
              <w:rPr>
                <w:rFonts w:hint="default" w:ascii="Times New Roman" w:hAnsi="Times New Roman" w:cs="Times New Roman"/>
                <w:color w:val="auto"/>
              </w:rPr>
            </w:pPr>
            <w:r>
              <w:rPr>
                <w:rFonts w:hint="default" w:ascii="Times New Roman" w:hAnsi="Times New Roman" w:cs="Times New Roman"/>
                <w:color w:val="auto"/>
              </w:rPr>
              <w:t>当Q≥1时，将Q值划分为：①Q≥100；②10&lt;Q&lt;100；③1&lt;Q&lt;10。</w:t>
            </w:r>
          </w:p>
          <w:p w14:paraId="186646AC">
            <w:pPr>
              <w:pStyle w:val="51"/>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根据《建设项目环境风险评价技术导则》（HJ/T169-2018）及其附录B，项目的重大危险源辨识见下表。</w:t>
            </w:r>
          </w:p>
          <w:p w14:paraId="57506F2D">
            <w:pPr>
              <w:pStyle w:val="52"/>
              <w:rPr>
                <w:rFonts w:hint="default" w:ascii="Times New Roman" w:hAnsi="Times New Roman" w:cs="Times New Roman"/>
                <w:color w:val="auto"/>
              </w:rPr>
            </w:pPr>
            <w:r>
              <w:rPr>
                <w:rFonts w:hint="default" w:ascii="Times New Roman" w:hAnsi="Times New Roman" w:cs="Times New Roman"/>
                <w:color w:val="auto"/>
              </w:rPr>
              <w:t>表4-1</w:t>
            </w:r>
            <w:r>
              <w:rPr>
                <w:rFonts w:hint="eastAsia" w:cs="Times New Roman"/>
                <w:color w:val="auto"/>
                <w:lang w:val="en-US" w:eastAsia="zh-CN"/>
              </w:rPr>
              <w:t>2</w:t>
            </w:r>
            <w:r>
              <w:rPr>
                <w:rFonts w:hint="default" w:ascii="Times New Roman" w:hAnsi="Times New Roman" w:cs="Times New Roman"/>
                <w:color w:val="auto"/>
              </w:rPr>
              <w:t xml:space="preserve">    重大危险源辨识表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292"/>
              <w:gridCol w:w="1294"/>
              <w:gridCol w:w="1237"/>
              <w:gridCol w:w="1354"/>
              <w:gridCol w:w="1467"/>
            </w:tblGrid>
            <w:tr w14:paraId="2D9A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tcBorders>
                    <w:tl2br w:val="nil"/>
                    <w:tr2bl w:val="nil"/>
                  </w:tcBorders>
                  <w:vAlign w:val="center"/>
                </w:tcPr>
                <w:p w14:paraId="11549AA6">
                  <w:pPr>
                    <w:pStyle w:val="53"/>
                    <w:rPr>
                      <w:rFonts w:hint="default" w:ascii="Times New Roman" w:hAnsi="Times New Roman" w:cs="Times New Roman"/>
                      <w:color w:val="auto"/>
                    </w:rPr>
                  </w:pPr>
                  <w:r>
                    <w:rPr>
                      <w:rFonts w:hint="default" w:ascii="Times New Roman" w:hAnsi="Times New Roman" w:cs="Times New Roman"/>
                      <w:color w:val="auto"/>
                    </w:rPr>
                    <w:t>危险单元名称</w:t>
                  </w:r>
                </w:p>
              </w:tc>
              <w:tc>
                <w:tcPr>
                  <w:tcW w:w="814" w:type="pct"/>
                  <w:tcBorders>
                    <w:tl2br w:val="nil"/>
                    <w:tr2bl w:val="nil"/>
                  </w:tcBorders>
                  <w:vAlign w:val="center"/>
                </w:tcPr>
                <w:p w14:paraId="1E7BDEC5">
                  <w:pPr>
                    <w:pStyle w:val="53"/>
                    <w:rPr>
                      <w:rFonts w:hint="default" w:ascii="Times New Roman" w:hAnsi="Times New Roman" w:cs="Times New Roman"/>
                      <w:color w:val="auto"/>
                    </w:rPr>
                  </w:pPr>
                  <w:r>
                    <w:rPr>
                      <w:rFonts w:hint="default" w:ascii="Times New Roman" w:hAnsi="Times New Roman" w:cs="Times New Roman"/>
                      <w:color w:val="auto"/>
                    </w:rPr>
                    <w:t>危险物质</w:t>
                  </w:r>
                </w:p>
              </w:tc>
              <w:tc>
                <w:tcPr>
                  <w:tcW w:w="815" w:type="pct"/>
                  <w:tcBorders>
                    <w:tl2br w:val="nil"/>
                    <w:tr2bl w:val="nil"/>
                  </w:tcBorders>
                  <w:vAlign w:val="center"/>
                </w:tcPr>
                <w:p w14:paraId="157987A5">
                  <w:pPr>
                    <w:pStyle w:val="53"/>
                    <w:rPr>
                      <w:rFonts w:hint="default" w:ascii="Times New Roman" w:hAnsi="Times New Roman" w:cs="Times New Roman"/>
                      <w:color w:val="auto"/>
                    </w:rPr>
                  </w:pPr>
                  <w:r>
                    <w:rPr>
                      <w:rFonts w:hint="default" w:ascii="Times New Roman" w:hAnsi="Times New Roman" w:cs="Times New Roman"/>
                      <w:color w:val="auto"/>
                    </w:rPr>
                    <w:t>最大储存量（t）</w:t>
                  </w:r>
                </w:p>
              </w:tc>
              <w:tc>
                <w:tcPr>
                  <w:tcW w:w="779" w:type="pct"/>
                  <w:tcBorders>
                    <w:tl2br w:val="nil"/>
                    <w:tr2bl w:val="nil"/>
                  </w:tcBorders>
                  <w:vAlign w:val="center"/>
                </w:tcPr>
                <w:p w14:paraId="2859F825">
                  <w:pPr>
                    <w:pStyle w:val="53"/>
                    <w:rPr>
                      <w:rFonts w:hint="default" w:ascii="Times New Roman" w:hAnsi="Times New Roman" w:cs="Times New Roman"/>
                      <w:color w:val="auto"/>
                    </w:rPr>
                  </w:pPr>
                  <w:r>
                    <w:rPr>
                      <w:rFonts w:hint="default" w:ascii="Times New Roman" w:hAnsi="Times New Roman" w:cs="Times New Roman"/>
                      <w:color w:val="auto"/>
                    </w:rPr>
                    <w:t>临界量（t）</w:t>
                  </w:r>
                </w:p>
              </w:tc>
              <w:tc>
                <w:tcPr>
                  <w:tcW w:w="853" w:type="pct"/>
                  <w:tcBorders>
                    <w:tl2br w:val="nil"/>
                    <w:tr2bl w:val="nil"/>
                  </w:tcBorders>
                  <w:vAlign w:val="center"/>
                </w:tcPr>
                <w:p w14:paraId="50586DC7">
                  <w:pPr>
                    <w:pStyle w:val="53"/>
                    <w:rPr>
                      <w:rFonts w:hint="default" w:ascii="Times New Roman" w:hAnsi="Times New Roman" w:cs="Times New Roman"/>
                      <w:color w:val="auto"/>
                    </w:rPr>
                  </w:pPr>
                  <w:r>
                    <w:rPr>
                      <w:rFonts w:hint="default" w:ascii="Times New Roman" w:hAnsi="Times New Roman" w:cs="Times New Roman"/>
                      <w:color w:val="auto"/>
                    </w:rPr>
                    <w:t>Q值</w:t>
                  </w:r>
                </w:p>
              </w:tc>
              <w:tc>
                <w:tcPr>
                  <w:tcW w:w="924" w:type="pct"/>
                  <w:tcBorders>
                    <w:tl2br w:val="nil"/>
                    <w:tr2bl w:val="nil"/>
                  </w:tcBorders>
                  <w:vAlign w:val="center"/>
                </w:tcPr>
                <w:p w14:paraId="4424C782">
                  <w:pPr>
                    <w:pStyle w:val="53"/>
                    <w:rPr>
                      <w:rFonts w:hint="default" w:ascii="Times New Roman" w:hAnsi="Times New Roman" w:cs="Times New Roman"/>
                      <w:color w:val="auto"/>
                    </w:rPr>
                  </w:pPr>
                  <w:r>
                    <w:rPr>
                      <w:rFonts w:hint="default" w:ascii="Times New Roman" w:hAnsi="Times New Roman" w:cs="Times New Roman"/>
                      <w:color w:val="auto"/>
                    </w:rPr>
                    <w:t>是否构成重大危险源</w:t>
                  </w:r>
                </w:p>
              </w:tc>
            </w:tr>
            <w:tr w14:paraId="5BD1B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4" w:type="pct"/>
                  <w:tcBorders>
                    <w:tl2br w:val="nil"/>
                    <w:tr2bl w:val="nil"/>
                  </w:tcBorders>
                  <w:vAlign w:val="center"/>
                </w:tcPr>
                <w:p w14:paraId="515A767A">
                  <w:pPr>
                    <w:pStyle w:val="53"/>
                    <w:rPr>
                      <w:rFonts w:hint="default" w:ascii="Times New Roman" w:hAnsi="Times New Roman" w:cs="Times New Roman"/>
                      <w:color w:val="auto"/>
                    </w:rPr>
                  </w:pPr>
                  <w:r>
                    <w:rPr>
                      <w:rFonts w:hint="default" w:ascii="Times New Roman" w:hAnsi="Times New Roman" w:cs="Times New Roman"/>
                      <w:color w:val="auto"/>
                    </w:rPr>
                    <w:t>危废暂存间</w:t>
                  </w:r>
                </w:p>
              </w:tc>
              <w:tc>
                <w:tcPr>
                  <w:tcW w:w="814" w:type="pct"/>
                  <w:tcBorders>
                    <w:tl2br w:val="nil"/>
                    <w:tr2bl w:val="nil"/>
                  </w:tcBorders>
                  <w:vAlign w:val="center"/>
                </w:tcPr>
                <w:p w14:paraId="722EA7EC">
                  <w:pPr>
                    <w:pStyle w:val="53"/>
                    <w:rPr>
                      <w:rFonts w:hint="eastAsia" w:ascii="Times New Roman" w:hAnsi="Times New Roman" w:eastAsia="宋体" w:cs="Times New Roman"/>
                      <w:color w:val="auto"/>
                      <w:lang w:val="en-US" w:eastAsia="zh-CN"/>
                    </w:rPr>
                  </w:pPr>
                  <w:r>
                    <w:rPr>
                      <w:rFonts w:hint="eastAsia" w:cs="Times New Roman"/>
                      <w:color w:val="auto"/>
                      <w:lang w:val="en-US" w:eastAsia="zh-CN"/>
                    </w:rPr>
                    <w:t>过滤网残渣（焦油）</w:t>
                  </w:r>
                </w:p>
              </w:tc>
              <w:tc>
                <w:tcPr>
                  <w:tcW w:w="815" w:type="pct"/>
                  <w:tcBorders>
                    <w:tl2br w:val="nil"/>
                    <w:tr2bl w:val="nil"/>
                  </w:tcBorders>
                  <w:vAlign w:val="center"/>
                </w:tcPr>
                <w:p w14:paraId="0627E368">
                  <w:pPr>
                    <w:pStyle w:val="53"/>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0.25</w:t>
                  </w:r>
                </w:p>
              </w:tc>
              <w:tc>
                <w:tcPr>
                  <w:tcW w:w="779" w:type="pct"/>
                  <w:tcBorders>
                    <w:tl2br w:val="nil"/>
                    <w:tr2bl w:val="nil"/>
                  </w:tcBorders>
                  <w:vAlign w:val="center"/>
                </w:tcPr>
                <w:p w14:paraId="64A0AC22">
                  <w:pPr>
                    <w:pStyle w:val="53"/>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2500</w:t>
                  </w:r>
                </w:p>
              </w:tc>
              <w:tc>
                <w:tcPr>
                  <w:tcW w:w="853" w:type="pct"/>
                  <w:tcBorders>
                    <w:tl2br w:val="nil"/>
                    <w:tr2bl w:val="nil"/>
                  </w:tcBorders>
                  <w:vAlign w:val="center"/>
                </w:tcPr>
                <w:p w14:paraId="53DFDF03">
                  <w:pPr>
                    <w:pStyle w:val="53"/>
                    <w:bidi w:val="0"/>
                    <w:rPr>
                      <w:rFonts w:hint="default"/>
                      <w:color w:val="auto"/>
                    </w:rPr>
                  </w:pPr>
                  <w:r>
                    <w:rPr>
                      <w:rFonts w:hint="eastAsia"/>
                      <w:color w:val="auto"/>
                      <w:lang w:val="en-US" w:eastAsia="zh-CN"/>
                    </w:rPr>
                    <w:t>0.0001</w:t>
                  </w:r>
                </w:p>
              </w:tc>
              <w:tc>
                <w:tcPr>
                  <w:tcW w:w="924" w:type="pct"/>
                  <w:tcBorders>
                    <w:tl2br w:val="nil"/>
                    <w:tr2bl w:val="nil"/>
                  </w:tcBorders>
                  <w:vAlign w:val="center"/>
                </w:tcPr>
                <w:p w14:paraId="15E1301B">
                  <w:pPr>
                    <w:pStyle w:val="53"/>
                    <w:rPr>
                      <w:rFonts w:hint="default" w:ascii="Times New Roman" w:hAnsi="Times New Roman" w:cs="Times New Roman"/>
                      <w:color w:val="auto"/>
                    </w:rPr>
                  </w:pPr>
                  <w:r>
                    <w:rPr>
                      <w:rFonts w:hint="default" w:ascii="Times New Roman" w:hAnsi="Times New Roman" w:cs="Times New Roman"/>
                      <w:color w:val="auto"/>
                    </w:rPr>
                    <w:t>否</w:t>
                  </w:r>
                </w:p>
              </w:tc>
            </w:tr>
            <w:tr w14:paraId="4F95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2" w:type="pct"/>
                  <w:gridSpan w:val="4"/>
                  <w:tcBorders>
                    <w:tl2br w:val="nil"/>
                    <w:tr2bl w:val="nil"/>
                  </w:tcBorders>
                  <w:vAlign w:val="center"/>
                </w:tcPr>
                <w:p w14:paraId="4FA8C80A">
                  <w:pPr>
                    <w:pStyle w:val="53"/>
                    <w:rPr>
                      <w:rFonts w:hint="default" w:ascii="Times New Roman" w:hAnsi="Times New Roman" w:cs="Times New Roman"/>
                      <w:color w:val="auto"/>
                    </w:rPr>
                  </w:pPr>
                  <w:r>
                    <w:rPr>
                      <w:rFonts w:hint="default" w:ascii="Times New Roman" w:hAnsi="Times New Roman" w:cs="Times New Roman"/>
                      <w:color w:val="auto"/>
                    </w:rPr>
                    <w:t>总计</w:t>
                  </w:r>
                </w:p>
              </w:tc>
              <w:tc>
                <w:tcPr>
                  <w:tcW w:w="853" w:type="pct"/>
                  <w:tcBorders>
                    <w:tl2br w:val="nil"/>
                    <w:tr2bl w:val="nil"/>
                  </w:tcBorders>
                  <w:vAlign w:val="center"/>
                </w:tcPr>
                <w:p w14:paraId="0DC8540E">
                  <w:pPr>
                    <w:pStyle w:val="53"/>
                    <w:bidi w:val="0"/>
                    <w:rPr>
                      <w:rFonts w:hint="default"/>
                      <w:color w:val="auto"/>
                    </w:rPr>
                  </w:pPr>
                  <w:r>
                    <w:rPr>
                      <w:rFonts w:hint="eastAsia"/>
                      <w:color w:val="auto"/>
                      <w:lang w:val="en-US" w:eastAsia="zh-CN"/>
                    </w:rPr>
                    <w:t>0.0001</w:t>
                  </w:r>
                </w:p>
              </w:tc>
              <w:tc>
                <w:tcPr>
                  <w:tcW w:w="924" w:type="pct"/>
                  <w:tcBorders>
                    <w:tl2br w:val="nil"/>
                    <w:tr2bl w:val="nil"/>
                  </w:tcBorders>
                  <w:vAlign w:val="center"/>
                </w:tcPr>
                <w:p w14:paraId="23C8DA19">
                  <w:pPr>
                    <w:pStyle w:val="53"/>
                    <w:rPr>
                      <w:rFonts w:hint="default" w:ascii="Times New Roman" w:hAnsi="Times New Roman" w:cs="Times New Roman"/>
                      <w:color w:val="auto"/>
                    </w:rPr>
                  </w:pPr>
                  <w:r>
                    <w:rPr>
                      <w:rFonts w:hint="default" w:ascii="Times New Roman" w:hAnsi="Times New Roman" w:cs="Times New Roman"/>
                      <w:color w:val="auto"/>
                    </w:rPr>
                    <w:t>/</w:t>
                  </w:r>
                </w:p>
              </w:tc>
            </w:tr>
          </w:tbl>
          <w:p w14:paraId="257244D1">
            <w:pPr>
              <w:pStyle w:val="51"/>
              <w:ind w:firstLine="480"/>
              <w:rPr>
                <w:rFonts w:hint="default" w:ascii="Times New Roman" w:hAnsi="Times New Roman" w:cs="Times New Roman"/>
                <w:color w:val="auto"/>
              </w:rPr>
            </w:pPr>
            <w:r>
              <w:rPr>
                <w:rFonts w:hint="default" w:ascii="Times New Roman" w:hAnsi="Times New Roman" w:cs="Times New Roman"/>
                <w:color w:val="auto"/>
              </w:rPr>
              <w:t>根据计算，项目Q值为0.000</w:t>
            </w:r>
            <w:r>
              <w:rPr>
                <w:rFonts w:hint="eastAsia" w:cs="Times New Roman"/>
                <w:color w:val="auto"/>
                <w:lang w:val="en-US" w:eastAsia="zh-CN"/>
              </w:rPr>
              <w:t>1</w:t>
            </w:r>
            <w:r>
              <w:rPr>
                <w:rFonts w:hint="default" w:ascii="Times New Roman" w:hAnsi="Times New Roman" w:cs="Times New Roman"/>
                <w:color w:val="auto"/>
              </w:rPr>
              <w:t>＜1，因此该项目环境风险潜势为I，根据《建设项目环境风险评价技术导则》（HJ169-2018）4.3评价工作等级划分方法，“风险潜势为Ⅰ，可开展简单分析”</w:t>
            </w:r>
            <w:r>
              <w:rPr>
                <w:rFonts w:hint="eastAsia" w:cs="Times New Roman"/>
                <w:color w:val="auto"/>
                <w:lang w:eastAsia="zh-CN"/>
              </w:rPr>
              <w:t>，</w:t>
            </w:r>
            <w:r>
              <w:rPr>
                <w:rFonts w:hint="default" w:ascii="Times New Roman" w:hAnsi="Times New Roman" w:cs="Times New Roman"/>
                <w:color w:val="auto"/>
              </w:rPr>
              <w:t>本项目风险潜势为Ⅰ，则不设评价等级，开展简单分析。</w:t>
            </w:r>
          </w:p>
          <w:p w14:paraId="0D1F3478">
            <w:pPr>
              <w:pStyle w:val="51"/>
              <w:ind w:firstLine="482"/>
              <w:rPr>
                <w:rFonts w:hint="default" w:ascii="Times New Roman" w:hAnsi="Times New Roman" w:cs="Times New Roman"/>
                <w:b/>
                <w:color w:val="auto"/>
              </w:rPr>
            </w:pPr>
            <w:r>
              <w:rPr>
                <w:rFonts w:hint="default" w:ascii="Times New Roman" w:hAnsi="Times New Roman" w:cs="Times New Roman"/>
                <w:b/>
                <w:color w:val="auto"/>
              </w:rPr>
              <w:t>3、环境风险分析</w:t>
            </w:r>
          </w:p>
          <w:p w14:paraId="3D52D4C5">
            <w:pPr>
              <w:pStyle w:val="51"/>
              <w:ind w:firstLine="480"/>
              <w:rPr>
                <w:rFonts w:hint="default" w:ascii="Times New Roman" w:hAnsi="Times New Roman" w:cs="Times New Roman"/>
                <w:color w:val="auto"/>
              </w:rPr>
            </w:pPr>
            <w:r>
              <w:rPr>
                <w:rFonts w:hint="eastAsia" w:cs="Times New Roman"/>
                <w:color w:val="auto"/>
                <w:lang w:val="en-US" w:eastAsia="zh-CN"/>
              </w:rPr>
              <w:t>焦油</w:t>
            </w:r>
            <w:r>
              <w:rPr>
                <w:rFonts w:hint="default" w:ascii="Times New Roman" w:hAnsi="Times New Roman" w:cs="Times New Roman"/>
                <w:color w:val="auto"/>
              </w:rPr>
              <w:t>泄漏后，将会下渗污染所处区域的潜水含水层。若遇到降雨天气，将会随着雨水进入项目区排水沟，可能造成排水沟内雨水水质石油类因子升高，含石油类污染物雨水部分随水流入周边水体，部分于排水沟内沉积，将产生严重的刺鼻性气味；其次，由于有机烃类物质难溶于水，大部分上浮在水层表面，形成一层油膜使空气隔离，造成水中溶解氧浓度降低，逐渐形成死水，致使水中生物死亡；</w:t>
            </w:r>
            <w:r>
              <w:rPr>
                <w:rFonts w:hint="eastAsia" w:cs="Times New Roman"/>
                <w:color w:val="auto"/>
                <w:lang w:val="en-US" w:eastAsia="zh-CN"/>
              </w:rPr>
              <w:t>焦油</w:t>
            </w:r>
            <w:r>
              <w:rPr>
                <w:rFonts w:hint="default" w:ascii="Times New Roman" w:hAnsi="Times New Roman" w:cs="Times New Roman"/>
                <w:color w:val="auto"/>
              </w:rPr>
              <w:t>的主要成分是C4～C9的烃类、芳烃类、醇酮类以及卤代烃类有机物，一旦进入水体环境，由于可生化性较差，造成被污染水体长时间得不到净化，完全恢复则需十几年</w:t>
            </w:r>
            <w:r>
              <w:rPr>
                <w:rFonts w:hint="eastAsia" w:cs="Times New Roman"/>
                <w:color w:val="auto"/>
                <w:lang w:eastAsia="zh-CN"/>
              </w:rPr>
              <w:t>，甚至</w:t>
            </w:r>
            <w:r>
              <w:rPr>
                <w:rFonts w:hint="default" w:ascii="Times New Roman" w:hAnsi="Times New Roman" w:cs="Times New Roman"/>
                <w:color w:val="auto"/>
              </w:rPr>
              <w:t>几十年的时间。本项目</w:t>
            </w:r>
            <w:r>
              <w:rPr>
                <w:rFonts w:hint="eastAsia" w:cs="Times New Roman"/>
                <w:color w:val="auto"/>
                <w:lang w:val="en-US" w:eastAsia="zh-CN"/>
              </w:rPr>
              <w:t>焦油</w:t>
            </w:r>
            <w:r>
              <w:rPr>
                <w:rFonts w:hint="default" w:ascii="Times New Roman" w:hAnsi="Times New Roman" w:cs="Times New Roman"/>
                <w:color w:val="auto"/>
              </w:rPr>
              <w:t>用油桶储存后放置在单独的废矿物油暂存间，暂存间</w:t>
            </w:r>
            <w:r>
              <w:rPr>
                <w:rFonts w:hint="eastAsia" w:cs="Times New Roman"/>
                <w:color w:val="auto"/>
                <w:lang w:val="en-US" w:eastAsia="zh-CN"/>
              </w:rPr>
              <w:t>进行防渗建设</w:t>
            </w:r>
            <w:r>
              <w:rPr>
                <w:rFonts w:hint="default" w:ascii="Times New Roman" w:hAnsi="Times New Roman" w:cs="Times New Roman"/>
                <w:color w:val="auto"/>
              </w:rPr>
              <w:t>，因此当</w:t>
            </w:r>
            <w:r>
              <w:rPr>
                <w:rFonts w:hint="eastAsia" w:cs="Times New Roman"/>
                <w:color w:val="auto"/>
                <w:lang w:val="en-US" w:eastAsia="zh-CN"/>
              </w:rPr>
              <w:t>焦油</w:t>
            </w:r>
            <w:r>
              <w:rPr>
                <w:rFonts w:hint="default" w:ascii="Times New Roman" w:hAnsi="Times New Roman" w:cs="Times New Roman"/>
                <w:color w:val="auto"/>
              </w:rPr>
              <w:t>发生渗漏与溢出事故时，油品将积聚在暂存间，溢出场区可能性小，也不会直接进入排水沟。</w:t>
            </w:r>
          </w:p>
          <w:p w14:paraId="3672F912">
            <w:pPr>
              <w:pStyle w:val="51"/>
              <w:ind w:firstLine="480"/>
              <w:rPr>
                <w:rFonts w:hint="default" w:ascii="Times New Roman" w:hAnsi="Times New Roman" w:cs="Times New Roman"/>
                <w:color w:val="auto"/>
              </w:rPr>
            </w:pPr>
            <w:r>
              <w:rPr>
                <w:rFonts w:hint="default" w:ascii="Times New Roman" w:hAnsi="Times New Roman" w:cs="Times New Roman"/>
                <w:color w:val="auto"/>
              </w:rPr>
              <w:t>综上所述，项目油品泄漏对地表水环境影响不大，</w:t>
            </w:r>
            <w:r>
              <w:rPr>
                <w:rFonts w:hint="eastAsia" w:cs="Times New Roman"/>
                <w:color w:val="auto"/>
                <w:lang w:val="en-US" w:eastAsia="zh-CN"/>
              </w:rPr>
              <w:t>焦油</w:t>
            </w:r>
            <w:r>
              <w:rPr>
                <w:rFonts w:hint="eastAsia" w:cs="Times New Roman"/>
                <w:color w:val="auto"/>
                <w:lang w:eastAsia="zh-CN"/>
              </w:rPr>
              <w:t>泄漏</w:t>
            </w:r>
            <w:r>
              <w:rPr>
                <w:rFonts w:hint="default" w:ascii="Times New Roman" w:hAnsi="Times New Roman" w:cs="Times New Roman"/>
                <w:color w:val="auto"/>
              </w:rPr>
              <w:t>后进入地下污染地下水的可能性小。</w:t>
            </w:r>
          </w:p>
          <w:p w14:paraId="54585E88">
            <w:pPr>
              <w:pStyle w:val="51"/>
              <w:ind w:firstLine="482"/>
              <w:rPr>
                <w:rFonts w:hint="default" w:ascii="Times New Roman" w:hAnsi="Times New Roman" w:cs="Times New Roman"/>
                <w:b/>
                <w:color w:val="auto"/>
              </w:rPr>
            </w:pPr>
            <w:r>
              <w:rPr>
                <w:rFonts w:hint="default" w:ascii="Times New Roman" w:hAnsi="Times New Roman" w:cs="Times New Roman"/>
                <w:b/>
                <w:color w:val="auto"/>
              </w:rPr>
              <w:t>4、环境风险防范措施</w:t>
            </w:r>
          </w:p>
          <w:p w14:paraId="017956CC">
            <w:pPr>
              <w:pStyle w:val="51"/>
              <w:ind w:firstLine="480"/>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焦油</w:t>
            </w:r>
            <w:r>
              <w:rPr>
                <w:rFonts w:hint="default" w:ascii="Times New Roman" w:hAnsi="Times New Roman" w:cs="Times New Roman"/>
                <w:color w:val="auto"/>
              </w:rPr>
              <w:t>收集送至暂存间由专职人员负责，</w:t>
            </w:r>
            <w:r>
              <w:rPr>
                <w:rFonts w:hint="eastAsia" w:cs="Times New Roman"/>
                <w:color w:val="auto"/>
                <w:lang w:val="en-US" w:eastAsia="zh-CN"/>
              </w:rPr>
              <w:t>焦油</w:t>
            </w:r>
            <w:r>
              <w:rPr>
                <w:rFonts w:hint="default" w:ascii="Times New Roman" w:hAnsi="Times New Roman" w:cs="Times New Roman"/>
                <w:color w:val="auto"/>
              </w:rPr>
              <w:t>产生及处置须记录有台账，定时进行暂存间的检查巡视。</w:t>
            </w:r>
          </w:p>
          <w:p w14:paraId="603EABB4">
            <w:pPr>
              <w:pStyle w:val="51"/>
              <w:ind w:firstLine="480"/>
              <w:rPr>
                <w:rFonts w:hint="default" w:ascii="Times New Roman" w:hAnsi="Times New Roman" w:cs="Times New Roman"/>
                <w:color w:val="auto"/>
              </w:rPr>
            </w:pPr>
            <w:r>
              <w:rPr>
                <w:rFonts w:hint="default" w:ascii="Times New Roman" w:hAnsi="Times New Roman" w:cs="Times New Roman"/>
                <w:color w:val="auto"/>
              </w:rPr>
              <w:t>（2）须配备有应急桶、铲子、沙子等应急物资</w:t>
            </w:r>
            <w:r>
              <w:rPr>
                <w:rFonts w:hint="eastAsia" w:cs="Times New Roman"/>
                <w:color w:val="auto"/>
                <w:lang w:eastAsia="zh-CN"/>
              </w:rPr>
              <w:t>，</w:t>
            </w:r>
            <w:r>
              <w:rPr>
                <w:rFonts w:hint="default" w:ascii="Times New Roman" w:hAnsi="Times New Roman" w:cs="Times New Roman"/>
                <w:color w:val="auto"/>
              </w:rPr>
              <w:t>发现</w:t>
            </w:r>
            <w:r>
              <w:rPr>
                <w:rFonts w:hint="eastAsia" w:cs="Times New Roman"/>
                <w:color w:val="auto"/>
                <w:lang w:val="en-US" w:eastAsia="zh-CN"/>
              </w:rPr>
              <w:t>焦油</w:t>
            </w:r>
            <w:r>
              <w:rPr>
                <w:rFonts w:hint="default" w:ascii="Times New Roman" w:hAnsi="Times New Roman" w:cs="Times New Roman"/>
                <w:color w:val="auto"/>
              </w:rPr>
              <w:t>泄漏后先进行溢流的围堵，用沙子吸收溢出的液体，然后用铲子铲装含油沙至应急桶，妥善放置；尽快找出</w:t>
            </w:r>
            <w:r>
              <w:rPr>
                <w:rFonts w:hint="eastAsia" w:cs="Times New Roman"/>
                <w:color w:val="auto"/>
                <w:lang w:eastAsia="zh-CN"/>
              </w:rPr>
              <w:t>泄漏</w:t>
            </w:r>
            <w:r>
              <w:rPr>
                <w:rFonts w:hint="default" w:ascii="Times New Roman" w:hAnsi="Times New Roman" w:cs="Times New Roman"/>
                <w:color w:val="auto"/>
              </w:rPr>
              <w:t>源并进行封堵处理，避免持续泄漏。</w:t>
            </w:r>
          </w:p>
          <w:p w14:paraId="2611CD92">
            <w:pPr>
              <w:pStyle w:val="51"/>
              <w:ind w:firstLine="480"/>
              <w:rPr>
                <w:rFonts w:hint="default" w:ascii="Times New Roman" w:hAnsi="Times New Roman" w:cs="Times New Roman"/>
                <w:color w:val="auto"/>
              </w:rPr>
            </w:pPr>
            <w:r>
              <w:rPr>
                <w:rFonts w:hint="default" w:ascii="Times New Roman" w:hAnsi="Times New Roman" w:cs="Times New Roman"/>
                <w:color w:val="auto"/>
                <w:szCs w:val="20"/>
              </w:rPr>
              <w:t>（3）</w:t>
            </w:r>
            <w:r>
              <w:rPr>
                <w:rFonts w:hint="default" w:ascii="Times New Roman" w:hAnsi="Times New Roman" w:cs="Times New Roman"/>
                <w:color w:val="auto"/>
              </w:rPr>
              <w:t>建立、健全安全管理机构，制定灾害预防和处理计划，编制全面、完善的突发环境事件应急预案并报当地环保部门备案。</w:t>
            </w:r>
          </w:p>
          <w:p w14:paraId="53C78FA9">
            <w:pPr>
              <w:pStyle w:val="51"/>
              <w:ind w:firstLine="482"/>
              <w:rPr>
                <w:rFonts w:hint="default" w:ascii="Times New Roman" w:hAnsi="Times New Roman" w:cs="Times New Roman"/>
                <w:b/>
                <w:color w:val="auto"/>
              </w:rPr>
            </w:pPr>
            <w:r>
              <w:rPr>
                <w:rFonts w:hint="default" w:ascii="Times New Roman" w:hAnsi="Times New Roman" w:cs="Times New Roman"/>
                <w:b/>
                <w:color w:val="auto"/>
              </w:rPr>
              <w:t>5、分析结论</w:t>
            </w:r>
          </w:p>
          <w:p w14:paraId="63880775">
            <w:pPr>
              <w:pStyle w:val="51"/>
              <w:ind w:firstLine="480"/>
              <w:rPr>
                <w:rFonts w:hint="default" w:ascii="Times New Roman" w:hAnsi="Times New Roman" w:cs="Times New Roman"/>
                <w:color w:val="auto"/>
                <w:szCs w:val="20"/>
              </w:rPr>
            </w:pPr>
            <w:r>
              <w:rPr>
                <w:rFonts w:hint="default" w:ascii="Times New Roman" w:hAnsi="Times New Roman" w:eastAsia="宋体" w:cs="Times New Roman"/>
                <w:color w:val="auto"/>
                <w:sz w:val="24"/>
                <w:lang w:val="en-US"/>
              </w:rPr>
              <w:t>项目运行过程中有</w:t>
            </w:r>
            <w:r>
              <w:rPr>
                <w:rFonts w:hint="eastAsia" w:cs="Times New Roman"/>
                <w:color w:val="auto"/>
                <w:sz w:val="24"/>
                <w:lang w:val="en-US" w:eastAsia="zh-CN"/>
              </w:rPr>
              <w:t>过滤网残渣（焦油）</w:t>
            </w:r>
            <w:r>
              <w:rPr>
                <w:rFonts w:hint="default" w:ascii="Times New Roman" w:hAnsi="Times New Roman" w:eastAsia="宋体" w:cs="Times New Roman"/>
                <w:color w:val="auto"/>
                <w:sz w:val="24"/>
                <w:lang w:val="en-US"/>
              </w:rPr>
              <w:t>泄漏风险，</w:t>
            </w:r>
            <w:r>
              <w:rPr>
                <w:rFonts w:hint="eastAsia" w:cs="Times New Roman"/>
                <w:color w:val="auto"/>
                <w:sz w:val="24"/>
                <w:lang w:val="en-US" w:eastAsia="zh-CN"/>
              </w:rPr>
              <w:t>过滤网残渣（焦油）</w:t>
            </w:r>
            <w:r>
              <w:rPr>
                <w:rFonts w:hint="default" w:ascii="Times New Roman" w:hAnsi="Times New Roman" w:eastAsia="宋体" w:cs="Times New Roman"/>
                <w:color w:val="auto"/>
                <w:sz w:val="24"/>
                <w:lang w:val="en-US"/>
              </w:rPr>
              <w:t>产生及处置须记录有台账；应急措施须配备有应急桶、铲子、沙子等应急物资。在认真落实项目拟提出的</w:t>
            </w:r>
            <w:r>
              <w:rPr>
                <w:rFonts w:hint="default" w:ascii="Times New Roman" w:hAnsi="Times New Roman" w:cs="Times New Roman"/>
                <w:color w:val="auto"/>
              </w:rPr>
              <w:t>风险防范措施后，项目环境风险影响水平是</w:t>
            </w:r>
            <w:r>
              <w:rPr>
                <w:rFonts w:hint="eastAsia" w:cs="Times New Roman"/>
                <w:color w:val="auto"/>
                <w:lang w:eastAsia="zh-CN"/>
              </w:rPr>
              <w:t>可以</w:t>
            </w:r>
            <w:r>
              <w:rPr>
                <w:rFonts w:hint="default" w:ascii="Times New Roman" w:hAnsi="Times New Roman" w:cs="Times New Roman"/>
                <w:color w:val="auto"/>
              </w:rPr>
              <w:t>接受的。</w:t>
            </w:r>
          </w:p>
          <w:p w14:paraId="2BB39A35">
            <w:pPr>
              <w:pStyle w:val="52"/>
              <w:rPr>
                <w:rFonts w:hint="default" w:ascii="Times New Roman" w:hAnsi="Times New Roman" w:cs="Times New Roman"/>
                <w:color w:val="auto"/>
              </w:rPr>
            </w:pPr>
            <w:r>
              <w:rPr>
                <w:rFonts w:hint="default" w:ascii="Times New Roman" w:hAnsi="Times New Roman" w:cs="Times New Roman"/>
                <w:color w:val="auto"/>
              </w:rPr>
              <w:t>表4-14     建设项目环境风险简单分析内容表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6684"/>
            </w:tblGrid>
            <w:tr w14:paraId="0CB5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4D857596">
                  <w:pPr>
                    <w:pStyle w:val="53"/>
                    <w:rPr>
                      <w:rFonts w:hint="default" w:ascii="Times New Roman" w:hAnsi="Times New Roman" w:cs="Times New Roman"/>
                      <w:color w:val="auto"/>
                    </w:rPr>
                  </w:pPr>
                  <w:r>
                    <w:rPr>
                      <w:rFonts w:hint="default" w:ascii="Times New Roman" w:hAnsi="Times New Roman" w:cs="Times New Roman"/>
                      <w:color w:val="auto"/>
                    </w:rPr>
                    <w:t>建设项目名称</w:t>
                  </w:r>
                </w:p>
              </w:tc>
              <w:tc>
                <w:tcPr>
                  <w:tcW w:w="4211" w:type="pct"/>
                  <w:tcBorders>
                    <w:tl2br w:val="nil"/>
                    <w:tr2bl w:val="nil"/>
                  </w:tcBorders>
                  <w:vAlign w:val="center"/>
                </w:tcPr>
                <w:p w14:paraId="19051261">
                  <w:pPr>
                    <w:pStyle w:val="53"/>
                    <w:rPr>
                      <w:rFonts w:hint="eastAsia" w:ascii="Times New Roman" w:hAnsi="Times New Roman" w:eastAsia="宋体" w:cs="Times New Roman"/>
                      <w:color w:val="auto"/>
                      <w:lang w:eastAsia="zh-CN"/>
                    </w:rPr>
                  </w:pPr>
                  <w:r>
                    <w:rPr>
                      <w:rFonts w:hint="eastAsia" w:cs="Times New Roman"/>
                      <w:color w:val="auto"/>
                      <w:lang w:eastAsia="zh-CN"/>
                    </w:rPr>
                    <w:t>曲靖银栖废旧物资回收利用有限公司10万吨/年废旧包装物回收利用扩建项目</w:t>
                  </w:r>
                </w:p>
              </w:tc>
            </w:tr>
            <w:tr w14:paraId="6FCA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7A83A9A6">
                  <w:pPr>
                    <w:pStyle w:val="53"/>
                    <w:rPr>
                      <w:rFonts w:hint="default" w:ascii="Times New Roman" w:hAnsi="Times New Roman" w:cs="Times New Roman"/>
                      <w:color w:val="auto"/>
                    </w:rPr>
                  </w:pPr>
                  <w:r>
                    <w:rPr>
                      <w:rFonts w:hint="default" w:ascii="Times New Roman" w:hAnsi="Times New Roman" w:cs="Times New Roman"/>
                      <w:color w:val="auto"/>
                    </w:rPr>
                    <w:t>建设地点</w:t>
                  </w:r>
                </w:p>
              </w:tc>
              <w:tc>
                <w:tcPr>
                  <w:tcW w:w="4211" w:type="pct"/>
                  <w:tcBorders>
                    <w:tl2br w:val="nil"/>
                    <w:tr2bl w:val="nil"/>
                  </w:tcBorders>
                  <w:vAlign w:val="center"/>
                </w:tcPr>
                <w:p w14:paraId="3967FF94">
                  <w:pPr>
                    <w:pStyle w:val="53"/>
                    <w:rPr>
                      <w:rFonts w:hint="eastAsia" w:ascii="Times New Roman" w:hAnsi="Times New Roman" w:eastAsia="宋体" w:cs="Times New Roman"/>
                      <w:color w:val="auto"/>
                      <w:lang w:eastAsia="zh-CN"/>
                    </w:rPr>
                  </w:pPr>
                  <w:r>
                    <w:rPr>
                      <w:rFonts w:hint="eastAsia" w:cs="Times New Roman"/>
                      <w:color w:val="auto"/>
                      <w:szCs w:val="21"/>
                      <w:lang w:eastAsia="zh-CN"/>
                    </w:rPr>
                    <w:t>曲靖市麒麟区越州镇老吴村委会（原平板玻璃厂内）</w:t>
                  </w:r>
                </w:p>
              </w:tc>
            </w:tr>
            <w:tr w14:paraId="624E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4EAD3E29">
                  <w:pPr>
                    <w:pStyle w:val="53"/>
                    <w:rPr>
                      <w:rFonts w:hint="default" w:ascii="Times New Roman" w:hAnsi="Times New Roman" w:cs="Times New Roman"/>
                      <w:color w:val="auto"/>
                    </w:rPr>
                  </w:pPr>
                  <w:r>
                    <w:rPr>
                      <w:rFonts w:hint="default" w:ascii="Times New Roman" w:hAnsi="Times New Roman" w:cs="Times New Roman"/>
                      <w:color w:val="auto"/>
                    </w:rPr>
                    <w:t>地理坐标</w:t>
                  </w:r>
                </w:p>
              </w:tc>
              <w:tc>
                <w:tcPr>
                  <w:tcW w:w="4211" w:type="pct"/>
                  <w:tcBorders>
                    <w:tl2br w:val="nil"/>
                    <w:tr2bl w:val="nil"/>
                  </w:tcBorders>
                  <w:vAlign w:val="center"/>
                </w:tcPr>
                <w:p w14:paraId="35B41E80">
                  <w:pPr>
                    <w:pStyle w:val="53"/>
                    <w:rPr>
                      <w:rFonts w:hint="default" w:ascii="Times New Roman" w:hAnsi="Times New Roman" w:cs="Times New Roman"/>
                      <w:color w:val="auto"/>
                    </w:rPr>
                  </w:pPr>
                  <w:r>
                    <w:rPr>
                      <w:rFonts w:hint="default" w:ascii="Times New Roman" w:hAnsi="Times New Roman" w:cs="Times New Roman"/>
                      <w:color w:val="auto"/>
                    </w:rPr>
                    <w:t>东经：10</w:t>
                  </w:r>
                  <w:r>
                    <w:rPr>
                      <w:rFonts w:hint="eastAsia" w:cs="Times New Roman"/>
                      <w:color w:val="auto"/>
                      <w:lang w:val="en-US" w:eastAsia="zh-CN"/>
                    </w:rPr>
                    <w:t>3</w:t>
                  </w:r>
                  <w:r>
                    <w:rPr>
                      <w:rFonts w:hint="default" w:ascii="Times New Roman" w:hAnsi="Times New Roman" w:cs="Times New Roman"/>
                      <w:color w:val="auto"/>
                    </w:rPr>
                    <w:t>°</w:t>
                  </w:r>
                  <w:r>
                    <w:rPr>
                      <w:rFonts w:hint="eastAsia" w:cs="Times New Roman"/>
                      <w:color w:val="auto"/>
                      <w:lang w:val="en-US" w:eastAsia="zh-CN"/>
                    </w:rPr>
                    <w:t>51</w:t>
                  </w:r>
                  <w:r>
                    <w:rPr>
                      <w:rFonts w:hint="default" w:ascii="Times New Roman" w:hAnsi="Times New Roman" w:cs="Times New Roman"/>
                      <w:color w:val="auto"/>
                    </w:rPr>
                    <w:t>'</w:t>
                  </w:r>
                  <w:r>
                    <w:rPr>
                      <w:rFonts w:hint="eastAsia" w:cs="Times New Roman"/>
                      <w:color w:val="auto"/>
                      <w:lang w:val="en-US" w:eastAsia="zh-CN"/>
                    </w:rPr>
                    <w:t>0.337</w:t>
                  </w:r>
                  <w:r>
                    <w:rPr>
                      <w:rFonts w:hint="default" w:ascii="Times New Roman" w:hAnsi="Times New Roman" w:cs="Times New Roman"/>
                      <w:color w:val="auto"/>
                    </w:rPr>
                    <w:t>＂，北纬：25°</w:t>
                  </w:r>
                  <w:r>
                    <w:rPr>
                      <w:rFonts w:hint="eastAsia" w:cs="Times New Roman"/>
                      <w:color w:val="auto"/>
                      <w:lang w:val="en-US" w:eastAsia="zh-CN"/>
                    </w:rPr>
                    <w:t>11</w:t>
                  </w:r>
                  <w:r>
                    <w:rPr>
                      <w:rFonts w:hint="default" w:ascii="Times New Roman" w:hAnsi="Times New Roman" w:cs="Times New Roman"/>
                      <w:color w:val="auto"/>
                    </w:rPr>
                    <w:t>'</w:t>
                  </w:r>
                  <w:r>
                    <w:rPr>
                      <w:rFonts w:hint="eastAsia" w:cs="Times New Roman"/>
                      <w:color w:val="auto"/>
                      <w:lang w:val="en-US" w:eastAsia="zh-CN"/>
                    </w:rPr>
                    <w:t>40.439</w:t>
                  </w:r>
                  <w:r>
                    <w:rPr>
                      <w:rFonts w:hint="default" w:ascii="Times New Roman" w:hAnsi="Times New Roman" w:cs="Times New Roman"/>
                      <w:color w:val="auto"/>
                    </w:rPr>
                    <w:t>＂</w:t>
                  </w:r>
                </w:p>
              </w:tc>
            </w:tr>
            <w:tr w14:paraId="04C7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44D4EFAF">
                  <w:pPr>
                    <w:pStyle w:val="53"/>
                    <w:rPr>
                      <w:rFonts w:hint="default" w:ascii="Times New Roman" w:hAnsi="Times New Roman" w:cs="Times New Roman"/>
                      <w:color w:val="auto"/>
                    </w:rPr>
                  </w:pPr>
                  <w:r>
                    <w:rPr>
                      <w:rFonts w:hint="default" w:ascii="Times New Roman" w:hAnsi="Times New Roman" w:cs="Times New Roman"/>
                      <w:color w:val="auto"/>
                    </w:rPr>
                    <w:t>主要危险物质及分布</w:t>
                  </w:r>
                </w:p>
              </w:tc>
              <w:tc>
                <w:tcPr>
                  <w:tcW w:w="4211" w:type="pct"/>
                  <w:tcBorders>
                    <w:tl2br w:val="nil"/>
                    <w:tr2bl w:val="nil"/>
                  </w:tcBorders>
                  <w:vAlign w:val="center"/>
                </w:tcPr>
                <w:p w14:paraId="430D4014">
                  <w:pPr>
                    <w:pStyle w:val="53"/>
                    <w:rPr>
                      <w:rFonts w:hint="default" w:ascii="Times New Roman" w:hAnsi="Times New Roman" w:cs="Times New Roman"/>
                      <w:color w:val="auto"/>
                    </w:rPr>
                  </w:pPr>
                  <w:r>
                    <w:rPr>
                      <w:rFonts w:hint="default" w:ascii="Times New Roman" w:hAnsi="Times New Roman" w:cs="Times New Roman"/>
                      <w:color w:val="auto"/>
                    </w:rPr>
                    <w:t>项目主要风险物质为</w:t>
                  </w:r>
                  <w:r>
                    <w:rPr>
                      <w:rFonts w:hint="eastAsia" w:ascii="Times New Roman" w:hAnsi="Times New Roman" w:eastAsia="宋体" w:cs="Times New Roman"/>
                      <w:color w:val="auto"/>
                      <w:lang w:val="en-US" w:eastAsia="zh-CN"/>
                    </w:rPr>
                    <w:t>过滤网残渣（焦油）</w:t>
                  </w:r>
                  <w:r>
                    <w:rPr>
                      <w:rFonts w:hint="default" w:ascii="Times New Roman" w:hAnsi="Times New Roman" w:cs="Times New Roman"/>
                      <w:color w:val="auto"/>
                    </w:rPr>
                    <w:t>，</w:t>
                  </w:r>
                  <w:r>
                    <w:rPr>
                      <w:rFonts w:hint="eastAsia" w:cs="Times New Roman"/>
                      <w:color w:val="auto"/>
                      <w:lang w:val="en-US" w:eastAsia="zh-CN"/>
                    </w:rPr>
                    <w:t>焦油</w:t>
                  </w:r>
                  <w:r>
                    <w:rPr>
                      <w:rFonts w:hint="default" w:ascii="Times New Roman" w:hAnsi="Times New Roman" w:cs="Times New Roman"/>
                      <w:color w:val="auto"/>
                    </w:rPr>
                    <w:t>最大储存量</w:t>
                  </w:r>
                  <w:r>
                    <w:rPr>
                      <w:rFonts w:hint="default" w:ascii="Times New Roman" w:hAnsi="Times New Roman" w:cs="Times New Roman"/>
                      <w:color w:val="auto"/>
                      <w:highlight w:val="none"/>
                    </w:rPr>
                    <w:t>为0.</w:t>
                  </w:r>
                  <w:r>
                    <w:rPr>
                      <w:rFonts w:hint="eastAsia" w:cs="Times New Roman"/>
                      <w:color w:val="auto"/>
                      <w:highlight w:val="none"/>
                      <w:lang w:val="en-US" w:eastAsia="zh-CN"/>
                    </w:rPr>
                    <w:t>25</w:t>
                  </w:r>
                  <w:r>
                    <w:rPr>
                      <w:rFonts w:hint="default" w:ascii="Times New Roman" w:hAnsi="Times New Roman" w:cs="Times New Roman"/>
                      <w:color w:val="auto"/>
                      <w:highlight w:val="none"/>
                    </w:rPr>
                    <w:t>t，</w:t>
                  </w:r>
                  <w:r>
                    <w:rPr>
                      <w:rFonts w:hint="default" w:ascii="Times New Roman" w:hAnsi="Times New Roman" w:cs="Times New Roman"/>
                      <w:color w:val="auto"/>
                    </w:rPr>
                    <w:t>经油桶收集后暂存于危废暂存间</w:t>
                  </w:r>
                </w:p>
              </w:tc>
            </w:tr>
            <w:tr w14:paraId="07FF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7633AAC6">
                  <w:pPr>
                    <w:pStyle w:val="53"/>
                    <w:rPr>
                      <w:rFonts w:hint="default" w:ascii="Times New Roman" w:hAnsi="Times New Roman" w:cs="Times New Roman"/>
                      <w:color w:val="auto"/>
                    </w:rPr>
                  </w:pPr>
                  <w:r>
                    <w:rPr>
                      <w:rFonts w:hint="default" w:ascii="Times New Roman" w:hAnsi="Times New Roman" w:cs="Times New Roman"/>
                      <w:color w:val="auto"/>
                    </w:rPr>
                    <w:t>环境影响</w:t>
                  </w:r>
                  <w:r>
                    <w:rPr>
                      <w:rFonts w:hint="default" w:ascii="Times New Roman" w:hAnsi="Times New Roman" w:cs="Times New Roman"/>
                      <w:color w:val="auto"/>
                      <w:lang w:val="en-US" w:eastAsia="zh-CN"/>
                    </w:rPr>
                    <w:t>途径</w:t>
                  </w:r>
                  <w:r>
                    <w:rPr>
                      <w:rFonts w:hint="default" w:ascii="Times New Roman" w:hAnsi="Times New Roman" w:cs="Times New Roman"/>
                      <w:color w:val="auto"/>
                    </w:rPr>
                    <w:t>及危险后果</w:t>
                  </w:r>
                </w:p>
              </w:tc>
              <w:tc>
                <w:tcPr>
                  <w:tcW w:w="4211" w:type="pct"/>
                  <w:tcBorders>
                    <w:tl2br w:val="nil"/>
                    <w:tr2bl w:val="nil"/>
                  </w:tcBorders>
                  <w:vAlign w:val="center"/>
                </w:tcPr>
                <w:p w14:paraId="7BB9F066">
                  <w:pPr>
                    <w:pStyle w:val="53"/>
                    <w:rPr>
                      <w:rFonts w:hint="default" w:ascii="Times New Roman" w:hAnsi="Times New Roman" w:cs="Times New Roman"/>
                      <w:color w:val="auto"/>
                    </w:rPr>
                  </w:pPr>
                  <w:r>
                    <w:rPr>
                      <w:rFonts w:hint="eastAsia" w:cs="Times New Roman"/>
                      <w:color w:val="auto"/>
                      <w:lang w:val="en-US" w:eastAsia="zh-CN"/>
                    </w:rPr>
                    <w:t>焦油</w:t>
                  </w:r>
                  <w:r>
                    <w:rPr>
                      <w:rFonts w:hint="default" w:ascii="Times New Roman" w:hAnsi="Times New Roman" w:cs="Times New Roman"/>
                      <w:color w:val="auto"/>
                    </w:rPr>
                    <w:t>泄漏后，将会下渗污染所处区域的潜水含水层，若遇到降雨天气，将会随着雨水进入周边地表水体，可能造成地表水体水质石油类因子升高。</w:t>
                  </w:r>
                </w:p>
              </w:tc>
            </w:tr>
            <w:tr w14:paraId="6916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89" w:type="pct"/>
                  <w:tcBorders>
                    <w:tl2br w:val="nil"/>
                    <w:tr2bl w:val="nil"/>
                  </w:tcBorders>
                  <w:vAlign w:val="center"/>
                </w:tcPr>
                <w:p w14:paraId="054B4CED">
                  <w:pPr>
                    <w:pStyle w:val="53"/>
                    <w:rPr>
                      <w:rFonts w:hint="default" w:ascii="Times New Roman" w:hAnsi="Times New Roman" w:cs="Times New Roman"/>
                      <w:color w:val="auto"/>
                    </w:rPr>
                  </w:pPr>
                  <w:r>
                    <w:rPr>
                      <w:rFonts w:hint="default" w:ascii="Times New Roman" w:hAnsi="Times New Roman" w:cs="Times New Roman"/>
                      <w:color w:val="auto"/>
                    </w:rPr>
                    <w:t>风险防范措施要求</w:t>
                  </w:r>
                </w:p>
              </w:tc>
              <w:tc>
                <w:tcPr>
                  <w:tcW w:w="4211" w:type="pct"/>
                  <w:tcBorders>
                    <w:tl2br w:val="nil"/>
                    <w:tr2bl w:val="nil"/>
                  </w:tcBorders>
                  <w:vAlign w:val="center"/>
                </w:tcPr>
                <w:p w14:paraId="147DC8E1">
                  <w:pPr>
                    <w:pStyle w:val="53"/>
                    <w:rPr>
                      <w:rFonts w:hint="default" w:ascii="Times New Roman" w:hAnsi="Times New Roman" w:cs="Times New Roman"/>
                      <w:color w:val="auto"/>
                    </w:rPr>
                  </w:pPr>
                  <w:r>
                    <w:rPr>
                      <w:rFonts w:hint="default" w:ascii="Times New Roman" w:hAnsi="Times New Roman" w:cs="Times New Roman"/>
                      <w:color w:val="auto"/>
                    </w:rPr>
                    <w:t>（1）</w:t>
                  </w:r>
                  <w:r>
                    <w:rPr>
                      <w:rFonts w:hint="eastAsia" w:cs="Times New Roman"/>
                      <w:color w:val="auto"/>
                      <w:lang w:val="en-US" w:eastAsia="zh-CN"/>
                    </w:rPr>
                    <w:t>焦油</w:t>
                  </w:r>
                  <w:r>
                    <w:rPr>
                      <w:rFonts w:hint="default" w:ascii="Times New Roman" w:hAnsi="Times New Roman" w:cs="Times New Roman"/>
                      <w:color w:val="auto"/>
                    </w:rPr>
                    <w:t>收集及送至暂存间由专职人员负责，</w:t>
                  </w:r>
                  <w:r>
                    <w:rPr>
                      <w:rFonts w:hint="eastAsia" w:cs="Times New Roman"/>
                      <w:color w:val="auto"/>
                      <w:lang w:val="en-US" w:eastAsia="zh-CN"/>
                    </w:rPr>
                    <w:t>焦油</w:t>
                  </w:r>
                  <w:r>
                    <w:rPr>
                      <w:rFonts w:hint="default" w:ascii="Times New Roman" w:hAnsi="Times New Roman" w:cs="Times New Roman"/>
                      <w:color w:val="auto"/>
                    </w:rPr>
                    <w:t>产生及处置须记录有台账，定时进行暂存间的检查巡视。</w:t>
                  </w:r>
                </w:p>
                <w:p w14:paraId="28F77CFA">
                  <w:pPr>
                    <w:pStyle w:val="53"/>
                    <w:rPr>
                      <w:rFonts w:hint="default" w:ascii="Times New Roman" w:hAnsi="Times New Roman" w:cs="Times New Roman"/>
                      <w:color w:val="auto"/>
                    </w:rPr>
                  </w:pPr>
                  <w:r>
                    <w:rPr>
                      <w:rFonts w:hint="default" w:ascii="Times New Roman" w:hAnsi="Times New Roman" w:cs="Times New Roman"/>
                      <w:color w:val="auto"/>
                    </w:rPr>
                    <w:t>（2）须配备有应急桶、铲子、沙子等应急物资</w:t>
                  </w:r>
                  <w:r>
                    <w:rPr>
                      <w:rFonts w:hint="eastAsia" w:cs="Times New Roman"/>
                      <w:color w:val="auto"/>
                      <w:lang w:eastAsia="zh-CN"/>
                    </w:rPr>
                    <w:t>；</w:t>
                  </w:r>
                  <w:r>
                    <w:rPr>
                      <w:rFonts w:hint="default" w:ascii="Times New Roman" w:hAnsi="Times New Roman" w:cs="Times New Roman"/>
                      <w:color w:val="auto"/>
                    </w:rPr>
                    <w:t>发现</w:t>
                  </w:r>
                  <w:r>
                    <w:rPr>
                      <w:rFonts w:hint="eastAsia" w:cs="Times New Roman"/>
                      <w:color w:val="auto"/>
                      <w:lang w:val="en-US" w:eastAsia="zh-CN"/>
                    </w:rPr>
                    <w:t>焦油</w:t>
                  </w:r>
                  <w:r>
                    <w:rPr>
                      <w:rFonts w:hint="default" w:ascii="Times New Roman" w:hAnsi="Times New Roman" w:cs="Times New Roman"/>
                      <w:color w:val="auto"/>
                    </w:rPr>
                    <w:t>泄漏后先进行溢流的围堵，用沙子吸收溢出的液体，然后用铲子铲装含油沙至应急桶，妥善放置；尽快找出</w:t>
                  </w:r>
                  <w:r>
                    <w:rPr>
                      <w:rFonts w:hint="eastAsia" w:cs="Times New Roman"/>
                      <w:color w:val="auto"/>
                      <w:lang w:eastAsia="zh-CN"/>
                    </w:rPr>
                    <w:t>泄漏</w:t>
                  </w:r>
                  <w:r>
                    <w:rPr>
                      <w:rFonts w:hint="default" w:ascii="Times New Roman" w:hAnsi="Times New Roman" w:cs="Times New Roman"/>
                      <w:color w:val="auto"/>
                    </w:rPr>
                    <w:t>源并进行封堵处理，避免持续泄漏。</w:t>
                  </w:r>
                </w:p>
                <w:p w14:paraId="2EFA1802">
                  <w:pPr>
                    <w:pStyle w:val="53"/>
                    <w:rPr>
                      <w:rFonts w:hint="default" w:ascii="Times New Roman" w:hAnsi="Times New Roman" w:cs="Times New Roman"/>
                      <w:color w:val="auto"/>
                    </w:rPr>
                  </w:pPr>
                  <w:r>
                    <w:rPr>
                      <w:rFonts w:hint="default" w:ascii="Times New Roman" w:hAnsi="Times New Roman" w:cs="Times New Roman"/>
                      <w:color w:val="auto"/>
                      <w:szCs w:val="20"/>
                    </w:rPr>
                    <w:t>（3）</w:t>
                  </w:r>
                  <w:r>
                    <w:rPr>
                      <w:rFonts w:hint="default" w:ascii="Times New Roman" w:hAnsi="Times New Roman" w:cs="Times New Roman"/>
                      <w:color w:val="auto"/>
                    </w:rPr>
                    <w:t>建立、健全安全管理机构，制定灾害预防和处理计划，编制全面、完善的突发环境事件应急预案并报当地环保部门备案。</w:t>
                  </w:r>
                </w:p>
              </w:tc>
            </w:tr>
            <w:tr w14:paraId="54ED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2" w:type="dxa"/>
                  <w:tcBorders>
                    <w:tl2br w:val="nil"/>
                    <w:tr2bl w:val="nil"/>
                  </w:tcBorders>
                  <w:vAlign w:val="center"/>
                </w:tcPr>
                <w:p w14:paraId="297FC211">
                  <w:pPr>
                    <w:pStyle w:val="53"/>
                    <w:bidi w:val="0"/>
                    <w:rPr>
                      <w:rFonts w:hint="default"/>
                      <w:color w:val="auto"/>
                    </w:rPr>
                  </w:pPr>
                  <w:r>
                    <w:rPr>
                      <w:rFonts w:hint="default"/>
                      <w:color w:val="auto"/>
                      <w:lang w:val="en-US" w:eastAsia="zh-CN"/>
                    </w:rPr>
                    <w:t>评价结论</w:t>
                  </w:r>
                  <w:r>
                    <w:rPr>
                      <w:rFonts w:hint="eastAsia"/>
                      <w:color w:val="auto"/>
                      <w:lang w:val="en-US" w:eastAsia="zh-CN"/>
                    </w:rPr>
                    <w:t>与</w:t>
                  </w:r>
                  <w:r>
                    <w:rPr>
                      <w:rFonts w:hint="default"/>
                      <w:color w:val="auto"/>
                      <w:lang w:val="en-US" w:eastAsia="zh-CN"/>
                    </w:rPr>
                    <w:t>建议</w:t>
                  </w:r>
                </w:p>
              </w:tc>
              <w:tc>
                <w:tcPr>
                  <w:tcW w:w="6684" w:type="dxa"/>
                  <w:tcBorders>
                    <w:tl2br w:val="nil"/>
                    <w:tr2bl w:val="nil"/>
                  </w:tcBorders>
                  <w:vAlign w:val="center"/>
                </w:tcPr>
                <w:p w14:paraId="43641F5A">
                  <w:pPr>
                    <w:pStyle w:val="53"/>
                    <w:bidi w:val="0"/>
                    <w:rPr>
                      <w:rFonts w:hint="default"/>
                      <w:color w:val="auto"/>
                    </w:rPr>
                  </w:pPr>
                  <w:r>
                    <w:rPr>
                      <w:rFonts w:hint="default"/>
                      <w:color w:val="auto"/>
                    </w:rPr>
                    <w:t>通过采取本报告中的一些措施后，可在较大程度上避免风险的产生。同时建设方应针对项目所涉及的环境风险，制定相应的突发环境事件应急预案，可在较短时间内控制风险对环境的影响范围和程度，项目环境风险为可控的。</w:t>
                  </w:r>
                </w:p>
              </w:tc>
            </w:tr>
            <w:tr w14:paraId="4363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tcBorders>
                    <w:tl2br w:val="nil"/>
                    <w:tr2bl w:val="nil"/>
                  </w:tcBorders>
                  <w:vAlign w:val="center"/>
                </w:tcPr>
                <w:p w14:paraId="2D469919">
                  <w:pPr>
                    <w:pStyle w:val="53"/>
                    <w:jc w:val="left"/>
                    <w:rPr>
                      <w:rFonts w:hint="default" w:ascii="Times New Roman" w:hAnsi="Times New Roman" w:cs="Times New Roman"/>
                      <w:color w:val="auto"/>
                    </w:rPr>
                  </w:pPr>
                  <w:r>
                    <w:rPr>
                      <w:rFonts w:hint="default" w:ascii="Times New Roman" w:hAnsi="Times New Roman" w:cs="Times New Roman"/>
                      <w:color w:val="auto"/>
                    </w:rPr>
                    <w:t>填表说明（列出项目相关信息及评价说明）：</w:t>
                  </w:r>
                </w:p>
                <w:p w14:paraId="6A108F12">
                  <w:pPr>
                    <w:pStyle w:val="53"/>
                    <w:jc w:val="left"/>
                    <w:rPr>
                      <w:rFonts w:hint="default" w:ascii="Times New Roman" w:hAnsi="Times New Roman" w:cs="Times New Roman"/>
                      <w:color w:val="auto"/>
                    </w:rPr>
                  </w:pPr>
                  <w:r>
                    <w:rPr>
                      <w:rFonts w:hint="default" w:ascii="Times New Roman" w:hAnsi="Times New Roman" w:cs="Times New Roman"/>
                      <w:color w:val="auto"/>
                    </w:rPr>
                    <w:t>项目通过建立完善的环境风险防范措施，并严格按照要求落实，项目的风险可控制在最低水平之下。从环保角度而言，项目环境风险影响水平是</w:t>
                  </w:r>
                  <w:r>
                    <w:rPr>
                      <w:rFonts w:hint="eastAsia" w:cs="Times New Roman"/>
                      <w:color w:val="auto"/>
                      <w:lang w:eastAsia="zh-CN"/>
                    </w:rPr>
                    <w:t>可以</w:t>
                  </w:r>
                  <w:r>
                    <w:rPr>
                      <w:rFonts w:hint="default" w:ascii="Times New Roman" w:hAnsi="Times New Roman" w:cs="Times New Roman"/>
                      <w:color w:val="auto"/>
                    </w:rPr>
                    <w:t>接受的。</w:t>
                  </w:r>
                </w:p>
              </w:tc>
            </w:tr>
          </w:tbl>
          <w:p w14:paraId="3C47A05D">
            <w:pPr>
              <w:pStyle w:val="51"/>
              <w:ind w:firstLine="0" w:firstLineChars="0"/>
              <w:rPr>
                <w:rFonts w:hint="default" w:ascii="Times New Roman" w:hAnsi="Times New Roman" w:cs="Times New Roman"/>
                <w:color w:val="auto"/>
              </w:rPr>
            </w:pPr>
          </w:p>
        </w:tc>
      </w:tr>
      <w:bookmarkEnd w:id="3"/>
    </w:tbl>
    <w:p w14:paraId="7987A66E">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374FF035">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6" w:name="_Hlk54167917"/>
      <w:r>
        <w:rPr>
          <w:rFonts w:hint="default" w:ascii="Times New Roman" w:hAnsi="Times New Roman" w:eastAsia="黑体" w:cs="Times New Roman"/>
          <w:snapToGrid w:val="0"/>
          <w:color w:val="auto"/>
          <w:sz w:val="30"/>
          <w:szCs w:val="30"/>
        </w:rPr>
        <w:t>环境保护措施监督检查清单</w:t>
      </w:r>
      <w:bookmarkEnd w:id="6"/>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475"/>
        <w:gridCol w:w="1312"/>
        <w:gridCol w:w="2350"/>
        <w:gridCol w:w="2405"/>
      </w:tblGrid>
      <w:tr w14:paraId="14872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tcBorders>
              <w:tl2br w:val="single" w:color="auto" w:sz="4" w:space="0"/>
            </w:tcBorders>
          </w:tcPr>
          <w:p w14:paraId="0EE7AB50">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内容</w:t>
            </w:r>
          </w:p>
          <w:p w14:paraId="37253372">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475" w:type="dxa"/>
            <w:vAlign w:val="center"/>
          </w:tcPr>
          <w:p w14:paraId="15DC3EE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w:t>
            </w:r>
            <w:r>
              <w:rPr>
                <w:rFonts w:hint="eastAsia" w:cs="Times New Roman"/>
                <w:color w:val="auto"/>
                <w:szCs w:val="21"/>
                <w:lang w:eastAsia="zh-CN"/>
              </w:rPr>
              <w:t>（</w:t>
            </w:r>
            <w:r>
              <w:rPr>
                <w:rFonts w:hint="default" w:ascii="Times New Roman" w:hAnsi="Times New Roman" w:cs="Times New Roman"/>
                <w:color w:val="auto"/>
                <w:szCs w:val="21"/>
              </w:rPr>
              <w:t>编号、</w:t>
            </w:r>
          </w:p>
          <w:p w14:paraId="59A24F3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r>
              <w:rPr>
                <w:rFonts w:hint="eastAsia" w:cs="Times New Roman"/>
                <w:color w:val="auto"/>
                <w:szCs w:val="21"/>
                <w:lang w:eastAsia="zh-CN"/>
              </w:rPr>
              <w:t>）</w:t>
            </w:r>
            <w:r>
              <w:rPr>
                <w:rFonts w:hint="default" w:ascii="Times New Roman" w:hAnsi="Times New Roman" w:cs="Times New Roman"/>
                <w:color w:val="auto"/>
                <w:szCs w:val="21"/>
              </w:rPr>
              <w:t>/污染源</w:t>
            </w:r>
          </w:p>
        </w:tc>
        <w:tc>
          <w:tcPr>
            <w:tcW w:w="1312" w:type="dxa"/>
            <w:vAlign w:val="center"/>
          </w:tcPr>
          <w:p w14:paraId="62E8148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2350" w:type="dxa"/>
            <w:vAlign w:val="center"/>
          </w:tcPr>
          <w:p w14:paraId="07D0CED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405" w:type="dxa"/>
            <w:vAlign w:val="center"/>
          </w:tcPr>
          <w:p w14:paraId="0E940F2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14:paraId="6382D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restart"/>
            <w:vAlign w:val="center"/>
          </w:tcPr>
          <w:p w14:paraId="518010C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475" w:type="dxa"/>
            <w:vAlign w:val="center"/>
          </w:tcPr>
          <w:p w14:paraId="44157038">
            <w:pPr>
              <w:spacing w:line="360"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DA001</w:t>
            </w:r>
          </w:p>
        </w:tc>
        <w:tc>
          <w:tcPr>
            <w:tcW w:w="1312" w:type="dxa"/>
            <w:vAlign w:val="center"/>
          </w:tcPr>
          <w:p w14:paraId="408F1D9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颗粒物、非甲烷总烃</w:t>
            </w:r>
          </w:p>
        </w:tc>
        <w:tc>
          <w:tcPr>
            <w:tcW w:w="2350" w:type="dxa"/>
            <w:vAlign w:val="center"/>
          </w:tcPr>
          <w:p w14:paraId="10CD76D8">
            <w:pPr>
              <w:pStyle w:val="53"/>
              <w:bidi w:val="0"/>
              <w:rPr>
                <w:rFonts w:hint="eastAsia" w:eastAsia="宋体"/>
                <w:color w:val="auto"/>
                <w:lang w:eastAsia="zh-CN"/>
              </w:rPr>
            </w:pPr>
            <w:r>
              <w:rPr>
                <w:rFonts w:hint="eastAsia"/>
                <w:color w:val="auto"/>
                <w:lang w:val="en-US" w:eastAsia="zh-CN"/>
              </w:rPr>
              <w:t>挤出机上方设置3个集气罩</w:t>
            </w:r>
            <w:r>
              <w:rPr>
                <w:rFonts w:hint="default"/>
                <w:color w:val="auto"/>
              </w:rPr>
              <w:t>收集</w:t>
            </w:r>
            <w:r>
              <w:rPr>
                <w:rFonts w:hint="eastAsia"/>
                <w:color w:val="auto"/>
                <w:lang w:val="en-US" w:eastAsia="zh-CN"/>
              </w:rPr>
              <w:t>挤出废气，挤出废气中的非甲烷总烃经一套</w:t>
            </w:r>
            <w:r>
              <w:rPr>
                <w:rFonts w:hint="eastAsia"/>
                <w:color w:val="auto"/>
                <w:lang w:eastAsia="zh-CN"/>
              </w:rPr>
              <w:t>三级活性炭</w:t>
            </w:r>
            <w:r>
              <w:rPr>
                <w:rFonts w:hint="default"/>
                <w:color w:val="auto"/>
              </w:rPr>
              <w:t>吸附装置处</w:t>
            </w:r>
            <w:r>
              <w:rPr>
                <w:rFonts w:hint="eastAsia"/>
                <w:color w:val="auto"/>
                <w:lang w:val="en-US" w:eastAsia="zh-CN"/>
              </w:rPr>
              <w:t>理</w:t>
            </w:r>
            <w:r>
              <w:rPr>
                <w:rFonts w:hint="default"/>
                <w:color w:val="auto"/>
              </w:rPr>
              <w:t>后</w:t>
            </w:r>
            <w:r>
              <w:rPr>
                <w:rFonts w:hint="eastAsia"/>
                <w:color w:val="auto"/>
                <w:lang w:eastAsia="zh-CN"/>
              </w:rPr>
              <w:t>，</w:t>
            </w:r>
            <w:r>
              <w:rPr>
                <w:rFonts w:hint="eastAsia"/>
                <w:color w:val="auto"/>
                <w:lang w:val="en-US" w:eastAsia="zh-CN"/>
              </w:rPr>
              <w:t>由一根</w:t>
            </w:r>
            <w:r>
              <w:rPr>
                <w:rFonts w:hint="default"/>
                <w:color w:val="auto"/>
              </w:rPr>
              <w:t>15m</w:t>
            </w:r>
            <w:r>
              <w:rPr>
                <w:rFonts w:hint="eastAsia"/>
                <w:color w:val="auto"/>
                <w:lang w:val="en-US" w:eastAsia="zh-CN"/>
              </w:rPr>
              <w:t>DA001</w:t>
            </w:r>
            <w:r>
              <w:rPr>
                <w:rFonts w:hint="default"/>
                <w:color w:val="auto"/>
              </w:rPr>
              <w:t>高排气筒排放</w:t>
            </w:r>
            <w:r>
              <w:rPr>
                <w:rFonts w:hint="eastAsia"/>
                <w:color w:val="auto"/>
                <w:lang w:eastAsia="zh-CN"/>
              </w:rPr>
              <w:t>；</w:t>
            </w:r>
            <w:r>
              <w:rPr>
                <w:rFonts w:hint="eastAsia"/>
                <w:color w:val="auto"/>
              </w:rPr>
              <w:t>按照《排污口规范化整治技术要求</w:t>
            </w:r>
            <w:r>
              <w:rPr>
                <w:rFonts w:hint="eastAsia"/>
                <w:color w:val="auto"/>
                <w:lang w:eastAsia="zh-CN"/>
              </w:rPr>
              <w:t>》《</w:t>
            </w:r>
            <w:r>
              <w:rPr>
                <w:rFonts w:hint="eastAsia" w:ascii="Times New Roman" w:hAnsi="Times New Roman" w:eastAsia="宋体" w:cs="宋体"/>
                <w:color w:val="auto"/>
                <w:u w:val="none"/>
              </w:rPr>
              <w:t>排污单位污染物排放口监测点位设置技术规范</w:t>
            </w:r>
            <w:r>
              <w:rPr>
                <w:rFonts w:hint="eastAsia"/>
                <w:color w:val="auto"/>
                <w:lang w:eastAsia="zh-CN"/>
              </w:rPr>
              <w:t>》</w:t>
            </w:r>
            <w:r>
              <w:rPr>
                <w:rFonts w:hint="eastAsia"/>
                <w:color w:val="auto"/>
              </w:rPr>
              <w:t>规范设置采样口及采样平台</w:t>
            </w:r>
            <w:r>
              <w:rPr>
                <w:rFonts w:hint="eastAsia"/>
                <w:color w:val="auto"/>
                <w:lang w:eastAsia="zh-CN"/>
              </w:rPr>
              <w:t>。</w:t>
            </w:r>
          </w:p>
        </w:tc>
        <w:tc>
          <w:tcPr>
            <w:tcW w:w="2405" w:type="dxa"/>
            <w:vAlign w:val="center"/>
          </w:tcPr>
          <w:p w14:paraId="5B72B0C5">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highlight w:val="none"/>
                <w:lang w:val="en-US" w:eastAsia="zh-CN"/>
              </w:rPr>
              <w:t>《大气污染物综合排放标准》GB16297—1996</w:t>
            </w:r>
            <w:r>
              <w:rPr>
                <w:rFonts w:hint="eastAsia" w:ascii="Times New Roman" w:hAnsi="Times New Roman" w:eastAsia="宋体" w:cs="Times New Roman"/>
                <w:color w:val="auto"/>
                <w:szCs w:val="21"/>
                <w:highlight w:val="none"/>
                <w:lang w:val="en-US" w:eastAsia="zh-CN"/>
              </w:rPr>
              <w:t>，即：非甲烷总烃排放浓度</w:t>
            </w:r>
            <w:r>
              <w:rPr>
                <w:rFonts w:hint="default" w:ascii="Arial" w:hAnsi="Arial" w:cs="Arial"/>
                <w:color w:val="auto"/>
                <w:szCs w:val="21"/>
                <w:highlight w:val="none"/>
                <w:lang w:val="en-US" w:eastAsia="zh-CN"/>
              </w:rPr>
              <w:t>≤</w:t>
            </w:r>
            <w:r>
              <w:rPr>
                <w:rFonts w:hint="eastAsia" w:ascii="Times New Roman" w:hAnsi="Times New Roman" w:cs="Times New Roman"/>
                <w:color w:val="auto"/>
                <w:szCs w:val="21"/>
                <w:highlight w:val="none"/>
                <w:lang w:val="en-US" w:eastAsia="zh-CN"/>
              </w:rPr>
              <w:t>1</w:t>
            </w:r>
            <w:r>
              <w:rPr>
                <w:rFonts w:hint="eastAsia" w:cs="Times New Roman"/>
                <w:color w:val="auto"/>
                <w:szCs w:val="21"/>
                <w:highlight w:val="none"/>
                <w:lang w:val="en-US" w:eastAsia="zh-CN"/>
              </w:rPr>
              <w:t>2</w:t>
            </w:r>
            <w:r>
              <w:rPr>
                <w:rFonts w:hint="eastAsia" w:ascii="Times New Roman" w:hAnsi="Times New Roman" w:cs="Times New Roman"/>
                <w:color w:val="auto"/>
                <w:szCs w:val="21"/>
                <w:highlight w:val="none"/>
                <w:lang w:val="en-US" w:eastAsia="zh-CN"/>
              </w:rPr>
              <w:t>0mg/m</w:t>
            </w:r>
            <w:r>
              <w:rPr>
                <w:rFonts w:hint="eastAsia" w:ascii="Times New Roman" w:hAnsi="Times New Roman" w:cs="Times New Roman"/>
                <w:color w:val="auto"/>
                <w:szCs w:val="21"/>
                <w:highlight w:val="none"/>
                <w:vertAlign w:val="superscript"/>
                <w:lang w:val="en-US" w:eastAsia="zh-CN"/>
              </w:rPr>
              <w:t>3</w:t>
            </w:r>
            <w:r>
              <w:rPr>
                <w:rFonts w:hint="eastAsia" w:ascii="Times New Roman" w:hAnsi="Times New Roman" w:cs="Times New Roman"/>
                <w:color w:val="auto"/>
                <w:szCs w:val="21"/>
                <w:highlight w:val="none"/>
                <w:lang w:val="en-US" w:eastAsia="zh-CN"/>
              </w:rPr>
              <w:t>，排放速率</w:t>
            </w:r>
            <w:r>
              <w:rPr>
                <w:rFonts w:hint="default" w:ascii="Arial" w:hAnsi="Arial"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10kg/h；颗粒物排放浓度</w:t>
            </w:r>
            <w:r>
              <w:rPr>
                <w:rFonts w:hint="default" w:ascii="Arial" w:hAnsi="Arial" w:cs="Arial"/>
                <w:color w:val="auto"/>
                <w:szCs w:val="21"/>
                <w:highlight w:val="none"/>
                <w:lang w:val="en-US" w:eastAsia="zh-CN"/>
              </w:rPr>
              <w:t>≤</w:t>
            </w:r>
            <w:r>
              <w:rPr>
                <w:rFonts w:hint="eastAsia" w:cs="Times New Roman"/>
                <w:color w:val="auto"/>
                <w:szCs w:val="21"/>
                <w:highlight w:val="none"/>
                <w:lang w:val="en-US" w:eastAsia="zh-CN"/>
              </w:rPr>
              <w:t>12</w:t>
            </w:r>
            <w:r>
              <w:rPr>
                <w:rFonts w:hint="eastAsia" w:ascii="Times New Roman" w:hAnsi="Times New Roman" w:eastAsia="宋体" w:cs="Times New Roman"/>
                <w:color w:val="auto"/>
                <w:szCs w:val="21"/>
                <w:highlight w:val="none"/>
                <w:lang w:val="en-US" w:eastAsia="zh-CN"/>
              </w:rPr>
              <w:t>0mg/m</w:t>
            </w:r>
            <w:r>
              <w:rPr>
                <w:rFonts w:hint="eastAsia" w:ascii="Times New Roman" w:hAnsi="Times New Roman" w:eastAsia="宋体" w:cs="Times New Roman"/>
                <w:color w:val="auto"/>
                <w:szCs w:val="21"/>
                <w:highlight w:val="none"/>
                <w:vertAlign w:val="superscript"/>
                <w:lang w:val="en-US" w:eastAsia="zh-CN"/>
              </w:rPr>
              <w:t>3</w:t>
            </w:r>
            <w:r>
              <w:rPr>
                <w:rFonts w:hint="eastAsia" w:ascii="Times New Roman" w:hAnsi="Times New Roman" w:eastAsia="宋体" w:cs="Times New Roman"/>
                <w:color w:val="auto"/>
                <w:szCs w:val="21"/>
                <w:highlight w:val="none"/>
                <w:lang w:val="en-US" w:eastAsia="zh-CN"/>
              </w:rPr>
              <w:t>，排放速率</w:t>
            </w:r>
            <w:r>
              <w:rPr>
                <w:rFonts w:hint="default" w:ascii="Arial" w:hAnsi="Arial" w:cs="Arial"/>
                <w:color w:val="auto"/>
                <w:szCs w:val="21"/>
                <w:highlight w:val="none"/>
                <w:lang w:val="en-US" w:eastAsia="zh-CN"/>
              </w:rPr>
              <w:t>≤</w:t>
            </w:r>
            <w:r>
              <w:rPr>
                <w:rFonts w:hint="eastAsia" w:ascii="Times New Roman" w:hAnsi="Times New Roman" w:eastAsia="宋体" w:cs="Times New Roman"/>
                <w:color w:val="auto"/>
                <w:szCs w:val="21"/>
                <w:highlight w:val="none"/>
                <w:lang w:val="en-US" w:eastAsia="zh-CN"/>
              </w:rPr>
              <w:t>3.5kg/h</w:t>
            </w:r>
            <w:r>
              <w:rPr>
                <w:rFonts w:hint="eastAsia" w:eastAsia="宋体" w:cs="Times New Roman"/>
                <w:color w:val="auto"/>
                <w:szCs w:val="21"/>
                <w:highlight w:val="none"/>
                <w:lang w:val="en-US" w:eastAsia="zh-CN"/>
              </w:rPr>
              <w:t>。</w:t>
            </w:r>
          </w:p>
        </w:tc>
      </w:tr>
      <w:tr w14:paraId="780E0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continue"/>
            <w:vAlign w:val="center"/>
          </w:tcPr>
          <w:p w14:paraId="7A7BE79B">
            <w:pPr>
              <w:adjustRightInd w:val="0"/>
              <w:snapToGrid w:val="0"/>
              <w:jc w:val="center"/>
              <w:rPr>
                <w:rFonts w:hint="default" w:ascii="Times New Roman" w:hAnsi="Times New Roman" w:cs="Times New Roman"/>
                <w:color w:val="auto"/>
                <w:szCs w:val="21"/>
              </w:rPr>
            </w:pPr>
          </w:p>
        </w:tc>
        <w:tc>
          <w:tcPr>
            <w:tcW w:w="1475" w:type="dxa"/>
            <w:vAlign w:val="center"/>
          </w:tcPr>
          <w:p w14:paraId="5F59C874">
            <w:pPr>
              <w:pStyle w:val="53"/>
              <w:bidi w:val="0"/>
              <w:rPr>
                <w:rFonts w:hint="default"/>
                <w:color w:val="auto"/>
              </w:rPr>
            </w:pPr>
            <w:r>
              <w:rPr>
                <w:rFonts w:hint="eastAsia"/>
                <w:color w:val="auto"/>
                <w:lang w:val="en-US" w:eastAsia="zh-CN"/>
              </w:rPr>
              <w:t>厂内非甲烷总烃排放</w:t>
            </w:r>
          </w:p>
        </w:tc>
        <w:tc>
          <w:tcPr>
            <w:tcW w:w="1312" w:type="dxa"/>
            <w:vAlign w:val="center"/>
          </w:tcPr>
          <w:p w14:paraId="3682D77C">
            <w:pPr>
              <w:pStyle w:val="53"/>
              <w:bidi w:val="0"/>
              <w:rPr>
                <w:rFonts w:hint="default"/>
                <w:color w:val="auto"/>
              </w:rPr>
            </w:pPr>
            <w:r>
              <w:rPr>
                <w:rFonts w:hint="eastAsia"/>
                <w:color w:val="auto"/>
                <w:lang w:val="en-US" w:eastAsia="zh-CN"/>
              </w:rPr>
              <w:t>非甲烷总烃</w:t>
            </w:r>
          </w:p>
        </w:tc>
        <w:tc>
          <w:tcPr>
            <w:tcW w:w="2350" w:type="dxa"/>
            <w:vAlign w:val="center"/>
          </w:tcPr>
          <w:p w14:paraId="06130930">
            <w:pPr>
              <w:pStyle w:val="53"/>
              <w:bidi w:val="0"/>
              <w:rPr>
                <w:rFonts w:hint="default"/>
                <w:color w:val="auto"/>
              </w:rPr>
            </w:pPr>
            <w:r>
              <w:rPr>
                <w:rFonts w:hint="eastAsia"/>
                <w:color w:val="auto"/>
                <w:lang w:val="en-US" w:eastAsia="zh-CN"/>
              </w:rPr>
              <w:t>生产车间密闭；自然扩散</w:t>
            </w:r>
          </w:p>
        </w:tc>
        <w:tc>
          <w:tcPr>
            <w:tcW w:w="2405" w:type="dxa"/>
            <w:vAlign w:val="center"/>
          </w:tcPr>
          <w:p w14:paraId="23A99D8C">
            <w:pPr>
              <w:pStyle w:val="53"/>
              <w:bidi w:val="0"/>
              <w:rPr>
                <w:rFonts w:hint="default"/>
                <w:color w:val="auto"/>
              </w:rPr>
            </w:pPr>
            <w:r>
              <w:rPr>
                <w:rFonts w:hint="eastAsia"/>
                <w:color w:val="auto"/>
                <w:lang w:eastAsia="zh-CN"/>
              </w:rPr>
              <w:t>《</w:t>
            </w:r>
            <w:r>
              <w:rPr>
                <w:rFonts w:hint="eastAsia"/>
                <w:color w:val="auto"/>
                <w:lang w:val="en-US" w:eastAsia="zh-CN"/>
              </w:rPr>
              <w:t>挥发性有机物无组织排放控制标准》（GB37822-2019）表A.1中厂区内VOCs无组织排放限值</w:t>
            </w:r>
          </w:p>
        </w:tc>
      </w:tr>
      <w:tr w14:paraId="76185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continue"/>
            <w:vAlign w:val="center"/>
          </w:tcPr>
          <w:p w14:paraId="4135518D">
            <w:pPr>
              <w:adjustRightInd w:val="0"/>
              <w:snapToGrid w:val="0"/>
              <w:jc w:val="center"/>
              <w:rPr>
                <w:rFonts w:hint="default" w:ascii="Times New Roman" w:hAnsi="Times New Roman" w:cs="Times New Roman"/>
                <w:color w:val="auto"/>
                <w:szCs w:val="21"/>
              </w:rPr>
            </w:pPr>
          </w:p>
        </w:tc>
        <w:tc>
          <w:tcPr>
            <w:tcW w:w="1475" w:type="dxa"/>
            <w:vMerge w:val="restart"/>
            <w:vAlign w:val="center"/>
          </w:tcPr>
          <w:p w14:paraId="4198CCE6">
            <w:pPr>
              <w:pStyle w:val="53"/>
              <w:bidi w:val="0"/>
              <w:rPr>
                <w:rFonts w:hint="eastAsia" w:eastAsia="宋体"/>
                <w:color w:val="auto"/>
                <w:lang w:val="en-US" w:eastAsia="zh-CN"/>
              </w:rPr>
            </w:pPr>
            <w:r>
              <w:rPr>
                <w:rFonts w:hint="default"/>
                <w:color w:val="auto"/>
              </w:rPr>
              <w:t>厂界无组织</w:t>
            </w:r>
            <w:r>
              <w:rPr>
                <w:rFonts w:hint="eastAsia"/>
                <w:color w:val="auto"/>
                <w:lang w:val="en-US" w:eastAsia="zh-CN"/>
              </w:rPr>
              <w:t>废气</w:t>
            </w:r>
          </w:p>
        </w:tc>
        <w:tc>
          <w:tcPr>
            <w:tcW w:w="1312" w:type="dxa"/>
            <w:vAlign w:val="center"/>
          </w:tcPr>
          <w:p w14:paraId="51D3A819">
            <w:pPr>
              <w:pStyle w:val="53"/>
              <w:bidi w:val="0"/>
              <w:rPr>
                <w:rFonts w:hint="default"/>
                <w:color w:val="auto"/>
                <w:lang w:val="en-US" w:eastAsia="zh-CN"/>
              </w:rPr>
            </w:pPr>
            <w:r>
              <w:rPr>
                <w:rFonts w:hint="default"/>
                <w:color w:val="auto"/>
              </w:rPr>
              <w:t>颗粒物、</w:t>
            </w:r>
            <w:r>
              <w:rPr>
                <w:rFonts w:hint="eastAsia"/>
                <w:color w:val="auto"/>
                <w:lang w:val="en-US" w:eastAsia="zh-CN"/>
              </w:rPr>
              <w:t>非甲烷总烃</w:t>
            </w:r>
          </w:p>
        </w:tc>
        <w:tc>
          <w:tcPr>
            <w:tcW w:w="2350" w:type="dxa"/>
            <w:vAlign w:val="center"/>
          </w:tcPr>
          <w:p w14:paraId="41ADCCE1">
            <w:pPr>
              <w:pStyle w:val="53"/>
              <w:bidi w:val="0"/>
              <w:rPr>
                <w:rFonts w:hint="default"/>
                <w:color w:val="auto"/>
              </w:rPr>
            </w:pPr>
            <w:r>
              <w:rPr>
                <w:rFonts w:hint="eastAsia"/>
                <w:color w:val="auto"/>
                <w:lang w:val="en-US" w:eastAsia="zh-CN"/>
              </w:rPr>
              <w:t>生产车间密闭；</w:t>
            </w:r>
            <w:r>
              <w:rPr>
                <w:rFonts w:hint="default"/>
                <w:color w:val="auto"/>
                <w:lang w:val="en-US" w:eastAsia="zh-CN"/>
              </w:rPr>
              <w:t>颗粒物经厂房阻隔和自然沉降后排放，</w:t>
            </w:r>
            <w:r>
              <w:rPr>
                <w:rFonts w:hint="eastAsia"/>
                <w:color w:val="auto"/>
                <w:lang w:val="en-US" w:eastAsia="zh-CN"/>
              </w:rPr>
              <w:t>自然</w:t>
            </w:r>
            <w:r>
              <w:rPr>
                <w:rFonts w:hint="default"/>
                <w:color w:val="auto"/>
                <w:lang w:val="en-US" w:eastAsia="zh-CN"/>
              </w:rPr>
              <w:t>扩散</w:t>
            </w:r>
          </w:p>
        </w:tc>
        <w:tc>
          <w:tcPr>
            <w:tcW w:w="2405" w:type="dxa"/>
            <w:vAlign w:val="center"/>
          </w:tcPr>
          <w:p w14:paraId="1F4F71DA">
            <w:pPr>
              <w:pStyle w:val="53"/>
              <w:bidi w:val="0"/>
              <w:rPr>
                <w:rFonts w:hint="default"/>
                <w:color w:val="auto"/>
              </w:rPr>
            </w:pPr>
            <w:r>
              <w:rPr>
                <w:rFonts w:hint="default"/>
                <w:color w:val="auto"/>
              </w:rPr>
              <w:t>《大气污染物综合排放标准》GB16297—1996表2标准</w:t>
            </w:r>
            <w:r>
              <w:rPr>
                <w:rFonts w:hint="eastAsia"/>
                <w:color w:val="auto"/>
                <w:lang w:val="en-US" w:eastAsia="zh-CN"/>
              </w:rPr>
              <w:t>即：颗粒物浓度</w:t>
            </w:r>
            <w:r>
              <w:rPr>
                <w:rFonts w:hint="default"/>
                <w:color w:val="auto"/>
              </w:rPr>
              <w:t>≤</w:t>
            </w:r>
            <w:r>
              <w:rPr>
                <w:rFonts w:hint="eastAsia"/>
                <w:color w:val="auto"/>
                <w:lang w:val="en-US" w:eastAsia="zh-CN"/>
              </w:rPr>
              <w:t>1.0mg/m</w:t>
            </w:r>
            <w:r>
              <w:rPr>
                <w:rFonts w:hint="eastAsia"/>
                <w:color w:val="auto"/>
                <w:vertAlign w:val="superscript"/>
                <w:lang w:val="en-US" w:eastAsia="zh-CN"/>
              </w:rPr>
              <w:t>3</w:t>
            </w:r>
            <w:r>
              <w:rPr>
                <w:rFonts w:hint="eastAsia"/>
                <w:color w:val="auto"/>
                <w:lang w:val="en-US" w:eastAsia="zh-CN"/>
              </w:rPr>
              <w:t>；非甲烷总烃浓度</w:t>
            </w:r>
            <w:r>
              <w:rPr>
                <w:rFonts w:hint="default"/>
                <w:color w:val="auto"/>
              </w:rPr>
              <w:t>≤</w:t>
            </w:r>
            <w:r>
              <w:rPr>
                <w:rFonts w:hint="eastAsia"/>
                <w:color w:val="auto"/>
                <w:lang w:val="en-US" w:eastAsia="zh-CN"/>
              </w:rPr>
              <w:t>4.0mg/m</w:t>
            </w:r>
            <w:r>
              <w:rPr>
                <w:rFonts w:hint="eastAsia"/>
                <w:color w:val="auto"/>
                <w:vertAlign w:val="superscript"/>
                <w:lang w:val="en-US" w:eastAsia="zh-CN"/>
              </w:rPr>
              <w:t>3</w:t>
            </w:r>
            <w:r>
              <w:rPr>
                <w:rFonts w:hint="eastAsia"/>
                <w:color w:val="auto"/>
                <w:vertAlign w:val="baseline"/>
                <w:lang w:val="en-US" w:eastAsia="zh-CN"/>
              </w:rPr>
              <w:t>。</w:t>
            </w:r>
          </w:p>
        </w:tc>
      </w:tr>
      <w:tr w14:paraId="71A08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continue"/>
            <w:vAlign w:val="center"/>
          </w:tcPr>
          <w:p w14:paraId="3660A367">
            <w:pPr>
              <w:adjustRightInd w:val="0"/>
              <w:snapToGrid w:val="0"/>
              <w:jc w:val="center"/>
              <w:rPr>
                <w:rFonts w:hint="default" w:ascii="Times New Roman" w:hAnsi="Times New Roman" w:cs="Times New Roman"/>
                <w:color w:val="auto"/>
                <w:szCs w:val="21"/>
              </w:rPr>
            </w:pPr>
          </w:p>
        </w:tc>
        <w:tc>
          <w:tcPr>
            <w:tcW w:w="1475" w:type="dxa"/>
            <w:vMerge w:val="continue"/>
            <w:vAlign w:val="center"/>
          </w:tcPr>
          <w:p w14:paraId="6C4F7F3A">
            <w:pPr>
              <w:pStyle w:val="53"/>
              <w:bidi w:val="0"/>
              <w:rPr>
                <w:rFonts w:hint="default"/>
                <w:color w:val="auto"/>
              </w:rPr>
            </w:pPr>
          </w:p>
        </w:tc>
        <w:tc>
          <w:tcPr>
            <w:tcW w:w="1312" w:type="dxa"/>
            <w:vAlign w:val="center"/>
          </w:tcPr>
          <w:p w14:paraId="7B6397EE">
            <w:pPr>
              <w:pStyle w:val="53"/>
              <w:bidi w:val="0"/>
              <w:rPr>
                <w:rFonts w:hint="default"/>
                <w:color w:val="auto"/>
              </w:rPr>
            </w:pPr>
            <w:r>
              <w:rPr>
                <w:rFonts w:hint="default"/>
                <w:color w:val="auto"/>
              </w:rPr>
              <w:t>臭气浓度</w:t>
            </w:r>
          </w:p>
        </w:tc>
        <w:tc>
          <w:tcPr>
            <w:tcW w:w="2350" w:type="dxa"/>
            <w:vAlign w:val="center"/>
          </w:tcPr>
          <w:p w14:paraId="11DCF644">
            <w:pPr>
              <w:pStyle w:val="53"/>
              <w:bidi w:val="0"/>
              <w:rPr>
                <w:rFonts w:hint="default"/>
                <w:color w:val="auto"/>
                <w:lang w:val="en-US"/>
              </w:rPr>
            </w:pPr>
            <w:r>
              <w:rPr>
                <w:rFonts w:hint="eastAsia"/>
                <w:color w:val="auto"/>
                <w:lang w:val="en-US" w:eastAsia="zh-CN"/>
              </w:rPr>
              <w:t>生产车间密闭；自然</w:t>
            </w:r>
            <w:r>
              <w:rPr>
                <w:rFonts w:hint="default"/>
                <w:color w:val="auto"/>
                <w:lang w:val="en-US" w:eastAsia="zh-CN"/>
              </w:rPr>
              <w:t>扩散</w:t>
            </w:r>
            <w:r>
              <w:rPr>
                <w:rFonts w:hint="eastAsia"/>
                <w:color w:val="auto"/>
                <w:lang w:eastAsia="zh-CN"/>
              </w:rPr>
              <w:t>、</w:t>
            </w:r>
            <w:r>
              <w:rPr>
                <w:rFonts w:hint="eastAsia"/>
                <w:color w:val="auto"/>
                <w:lang w:val="en-US" w:eastAsia="zh-CN"/>
              </w:rPr>
              <w:t>植物绿化吸附</w:t>
            </w:r>
          </w:p>
        </w:tc>
        <w:tc>
          <w:tcPr>
            <w:tcW w:w="2405" w:type="dxa"/>
            <w:vAlign w:val="center"/>
          </w:tcPr>
          <w:p w14:paraId="1A2669BE">
            <w:pPr>
              <w:pStyle w:val="53"/>
              <w:bidi w:val="0"/>
              <w:rPr>
                <w:rFonts w:hint="default"/>
                <w:color w:val="auto"/>
              </w:rPr>
            </w:pPr>
            <w:r>
              <w:rPr>
                <w:rFonts w:hint="default"/>
                <w:color w:val="auto"/>
              </w:rPr>
              <w:t>《恶臭污染物排放标准》（GB14544-93）即：臭气浓度≤20（无量纲）</w:t>
            </w:r>
          </w:p>
        </w:tc>
      </w:tr>
      <w:tr w14:paraId="3AA23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restart"/>
            <w:vAlign w:val="center"/>
          </w:tcPr>
          <w:p w14:paraId="5F221D1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475" w:type="dxa"/>
            <w:vAlign w:val="center"/>
          </w:tcPr>
          <w:p w14:paraId="62570800">
            <w:pPr>
              <w:spacing w:line="360" w:lineRule="auto"/>
              <w:jc w:val="center"/>
              <w:rPr>
                <w:rFonts w:hint="default" w:ascii="Times New Roman" w:hAnsi="Times New Roman" w:cs="Times New Roman"/>
                <w:color w:val="auto"/>
                <w:szCs w:val="21"/>
              </w:rPr>
            </w:pPr>
            <w:r>
              <w:rPr>
                <w:rFonts w:hint="default" w:ascii="Times New Roman" w:hAnsi="Times New Roman" w:cs="Times New Roman"/>
                <w:color w:val="auto"/>
                <w:kern w:val="1"/>
                <w:szCs w:val="21"/>
              </w:rPr>
              <w:t>生活污水</w:t>
            </w:r>
          </w:p>
        </w:tc>
        <w:tc>
          <w:tcPr>
            <w:tcW w:w="1312" w:type="dxa"/>
            <w:vAlign w:val="center"/>
          </w:tcPr>
          <w:p w14:paraId="440535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SS、COD</w:t>
            </w:r>
            <w:r>
              <w:rPr>
                <w:rFonts w:hint="default" w:ascii="Times New Roman" w:hAnsi="Times New Roman" w:cs="Times New Roman"/>
                <w:color w:val="auto"/>
                <w:szCs w:val="21"/>
                <w:vertAlign w:val="subscript"/>
              </w:rPr>
              <w:t>cr</w:t>
            </w: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、氨氮、动植物油</w:t>
            </w:r>
          </w:p>
        </w:tc>
        <w:tc>
          <w:tcPr>
            <w:tcW w:w="2350" w:type="dxa"/>
            <w:vAlign w:val="center"/>
          </w:tcPr>
          <w:p w14:paraId="31B7DB98">
            <w:pPr>
              <w:pStyle w:val="53"/>
              <w:bidi w:val="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进入化粪池处理，依托使用现有项目已建化粪池（</w:t>
            </w:r>
            <w:r>
              <w:rPr>
                <w:rFonts w:hint="eastAsia" w:ascii="Times New Roman" w:hAnsi="Times New Roman" w:eastAsia="宋体" w:cs="Times New Roman"/>
                <w:color w:val="auto"/>
                <w:szCs w:val="21"/>
                <w:lang w:val="en-US" w:eastAsia="zh-CN"/>
              </w:rPr>
              <w:t>设置3个化粪池、单个容积7.5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，总容积22.5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w:t>
            </w:r>
          </w:p>
        </w:tc>
        <w:tc>
          <w:tcPr>
            <w:tcW w:w="2405" w:type="dxa"/>
            <w:vAlign w:val="center"/>
          </w:tcPr>
          <w:p w14:paraId="1946F5F5">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化粪池每15天清掏一次作为农肥使用；废水不外排</w:t>
            </w:r>
          </w:p>
        </w:tc>
      </w:tr>
      <w:tr w14:paraId="19D79D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Merge w:val="continue"/>
            <w:vAlign w:val="center"/>
          </w:tcPr>
          <w:p w14:paraId="6876A306">
            <w:pPr>
              <w:adjustRightInd w:val="0"/>
              <w:snapToGrid w:val="0"/>
              <w:jc w:val="center"/>
              <w:rPr>
                <w:rFonts w:hint="default" w:ascii="Times New Roman" w:hAnsi="Times New Roman" w:cs="Times New Roman"/>
                <w:color w:val="auto"/>
                <w:szCs w:val="21"/>
              </w:rPr>
            </w:pPr>
          </w:p>
        </w:tc>
        <w:tc>
          <w:tcPr>
            <w:tcW w:w="1475" w:type="dxa"/>
            <w:vAlign w:val="center"/>
          </w:tcPr>
          <w:p w14:paraId="21A4AF96">
            <w:pPr>
              <w:spacing w:line="360" w:lineRule="auto"/>
              <w:jc w:val="center"/>
              <w:rPr>
                <w:rFonts w:hint="eastAsia" w:ascii="Times New Roman" w:hAnsi="Times New Roman" w:eastAsia="宋体" w:cs="Times New Roman"/>
                <w:color w:val="auto"/>
                <w:kern w:val="1"/>
                <w:szCs w:val="21"/>
                <w:lang w:val="en-US" w:eastAsia="zh-CN"/>
              </w:rPr>
            </w:pPr>
            <w:r>
              <w:rPr>
                <w:rFonts w:hint="eastAsia" w:cs="Times New Roman"/>
                <w:color w:val="auto"/>
                <w:kern w:val="1"/>
                <w:szCs w:val="21"/>
                <w:lang w:val="en-US" w:eastAsia="zh-CN"/>
              </w:rPr>
              <w:t>冷却塔</w:t>
            </w:r>
          </w:p>
        </w:tc>
        <w:tc>
          <w:tcPr>
            <w:tcW w:w="1312" w:type="dxa"/>
            <w:vAlign w:val="center"/>
          </w:tcPr>
          <w:p w14:paraId="71332359">
            <w:pPr>
              <w:spacing w:line="360" w:lineRule="auto"/>
              <w:jc w:val="center"/>
              <w:rPr>
                <w:rFonts w:hint="eastAsia" w:ascii="Times New Roman" w:hAnsi="Times New Roman" w:eastAsia="宋体" w:cs="Times New Roman"/>
                <w:color w:val="auto"/>
                <w:kern w:val="1"/>
                <w:szCs w:val="21"/>
                <w:lang w:val="en-US" w:eastAsia="zh-CN"/>
              </w:rPr>
            </w:pPr>
            <w:r>
              <w:rPr>
                <w:rFonts w:hint="eastAsia" w:cs="Times New Roman"/>
                <w:color w:val="auto"/>
                <w:kern w:val="1"/>
                <w:szCs w:val="21"/>
                <w:lang w:val="en-US" w:eastAsia="zh-CN"/>
              </w:rPr>
              <w:t>/</w:t>
            </w:r>
          </w:p>
        </w:tc>
        <w:tc>
          <w:tcPr>
            <w:tcW w:w="2350" w:type="dxa"/>
            <w:vAlign w:val="center"/>
          </w:tcPr>
          <w:p w14:paraId="72972ADC">
            <w:pPr>
              <w:pStyle w:val="53"/>
              <w:bidi w:val="0"/>
              <w:rPr>
                <w:rFonts w:hint="default"/>
                <w:color w:val="auto"/>
              </w:rPr>
            </w:pPr>
            <w:r>
              <w:rPr>
                <w:rFonts w:hint="eastAsia"/>
                <w:color w:val="auto"/>
                <w:lang w:val="en-US" w:eastAsia="zh-CN"/>
              </w:rPr>
              <w:t>设置5m</w:t>
            </w:r>
            <w:r>
              <w:rPr>
                <w:rFonts w:hint="eastAsia"/>
                <w:color w:val="auto"/>
                <w:vertAlign w:val="superscript"/>
                <w:lang w:val="en-US" w:eastAsia="zh-CN"/>
              </w:rPr>
              <w:t>3</w:t>
            </w:r>
            <w:r>
              <w:rPr>
                <w:rFonts w:hint="eastAsia"/>
                <w:color w:val="auto"/>
                <w:lang w:val="en-US" w:eastAsia="zh-CN"/>
              </w:rPr>
              <w:t>的循环水收集箱</w:t>
            </w:r>
          </w:p>
        </w:tc>
        <w:tc>
          <w:tcPr>
            <w:tcW w:w="2405" w:type="dxa"/>
            <w:vAlign w:val="center"/>
          </w:tcPr>
          <w:p w14:paraId="2D4EB5D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循环使用，不外排</w:t>
            </w:r>
          </w:p>
        </w:tc>
      </w:tr>
      <w:tr w14:paraId="4C1F9E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Align w:val="center"/>
          </w:tcPr>
          <w:p w14:paraId="23F95FB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475" w:type="dxa"/>
            <w:vAlign w:val="center"/>
          </w:tcPr>
          <w:p w14:paraId="07F3FE1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生产设备</w:t>
            </w:r>
          </w:p>
        </w:tc>
        <w:tc>
          <w:tcPr>
            <w:tcW w:w="1312" w:type="dxa"/>
            <w:vAlign w:val="center"/>
          </w:tcPr>
          <w:p w14:paraId="594E03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Leq</w:t>
            </w:r>
            <w:r>
              <w:rPr>
                <w:rFonts w:hint="eastAsia" w:cs="Times New Roman"/>
                <w:color w:val="auto"/>
                <w:szCs w:val="21"/>
                <w:lang w:eastAsia="zh-CN"/>
              </w:rPr>
              <w:t>(</w:t>
            </w:r>
            <w:r>
              <w:rPr>
                <w:rFonts w:hint="default" w:ascii="Times New Roman" w:hAnsi="Times New Roman" w:cs="Times New Roman"/>
                <w:color w:val="auto"/>
                <w:szCs w:val="21"/>
              </w:rPr>
              <w:t>dB</w:t>
            </w:r>
            <w:r>
              <w:rPr>
                <w:rFonts w:hint="eastAsia" w:cs="Times New Roman"/>
                <w:color w:val="auto"/>
                <w:szCs w:val="21"/>
                <w:lang w:eastAsia="zh-CN"/>
              </w:rPr>
              <w:t>(</w:t>
            </w:r>
            <w:r>
              <w:rPr>
                <w:rFonts w:hint="default" w:ascii="Times New Roman" w:hAnsi="Times New Roman" w:cs="Times New Roman"/>
                <w:color w:val="auto"/>
                <w:szCs w:val="21"/>
              </w:rPr>
              <w:t>A</w:t>
            </w:r>
            <w:r>
              <w:rPr>
                <w:rFonts w:hint="eastAsia" w:cs="Times New Roman"/>
                <w:color w:val="auto"/>
                <w:szCs w:val="21"/>
                <w:lang w:eastAsia="zh-CN"/>
              </w:rPr>
              <w:t>))</w:t>
            </w:r>
          </w:p>
        </w:tc>
        <w:tc>
          <w:tcPr>
            <w:tcW w:w="2350" w:type="dxa"/>
            <w:vAlign w:val="center"/>
          </w:tcPr>
          <w:p w14:paraId="00743AE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rPr>
              <w:t>产噪设备合理布局，设备基础减震</w:t>
            </w:r>
            <w:r>
              <w:rPr>
                <w:rFonts w:hint="eastAsia" w:cs="Times New Roman"/>
                <w:color w:val="auto"/>
                <w:szCs w:val="21"/>
                <w:highlight w:val="none"/>
                <w:lang w:eastAsia="zh-CN"/>
              </w:rPr>
              <w:t>；</w:t>
            </w:r>
            <w:r>
              <w:rPr>
                <w:rFonts w:hint="default" w:ascii="Times New Roman" w:hAnsi="Times New Roman" w:cs="Times New Roman"/>
                <w:color w:val="auto"/>
                <w:szCs w:val="21"/>
                <w:highlight w:val="none"/>
              </w:rPr>
              <w:t>定期检查，维修设备，使设备处于良好的运行状态</w:t>
            </w:r>
          </w:p>
        </w:tc>
        <w:tc>
          <w:tcPr>
            <w:tcW w:w="2405" w:type="dxa"/>
            <w:vAlign w:val="center"/>
          </w:tcPr>
          <w:p w14:paraId="340A0AC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《工业企业厂界环境噪声排放标准》（GB12348-2008）2类标准限值</w:t>
            </w:r>
          </w:p>
        </w:tc>
      </w:tr>
      <w:tr w14:paraId="2B0A2A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58" w:type="dxa"/>
            <w:vAlign w:val="center"/>
          </w:tcPr>
          <w:p w14:paraId="5B3076A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1475" w:type="dxa"/>
            <w:vAlign w:val="center"/>
          </w:tcPr>
          <w:p w14:paraId="1FE1AC1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312" w:type="dxa"/>
            <w:vAlign w:val="center"/>
          </w:tcPr>
          <w:p w14:paraId="7321CDF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350" w:type="dxa"/>
            <w:vAlign w:val="center"/>
          </w:tcPr>
          <w:p w14:paraId="4BB95C8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2405" w:type="dxa"/>
            <w:vAlign w:val="center"/>
          </w:tcPr>
          <w:p w14:paraId="053AB7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293DC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58" w:type="dxa"/>
            <w:vAlign w:val="center"/>
          </w:tcPr>
          <w:p w14:paraId="777EAF4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542" w:type="dxa"/>
            <w:gridSpan w:val="4"/>
            <w:vAlign w:val="center"/>
          </w:tcPr>
          <w:p w14:paraId="28C896E8">
            <w:pPr>
              <w:pStyle w:val="53"/>
              <w:bidi w:val="0"/>
              <w:ind w:firstLine="0" w:firstLineChars="0"/>
              <w:rPr>
                <w:rFonts w:hint="default" w:ascii="Times New Roman" w:hAnsi="Times New Roman" w:cs="Times New Roman"/>
                <w:color w:val="auto"/>
              </w:rPr>
            </w:pPr>
            <w:r>
              <w:rPr>
                <w:rFonts w:hint="eastAsia"/>
                <w:color w:val="auto"/>
                <w:lang w:eastAsia="zh-CN"/>
              </w:rPr>
              <w:t>项目产生的</w:t>
            </w:r>
            <w:r>
              <w:rPr>
                <w:rFonts w:hint="eastAsia"/>
                <w:color w:val="auto"/>
              </w:rPr>
              <w:t>固废</w:t>
            </w:r>
            <w:r>
              <w:rPr>
                <w:rFonts w:hint="eastAsia"/>
                <w:color w:val="auto"/>
                <w:lang w:eastAsia="zh-CN"/>
              </w:rPr>
              <w:t>包括</w:t>
            </w:r>
            <w:r>
              <w:rPr>
                <w:rFonts w:hint="default"/>
                <w:color w:val="auto"/>
              </w:rPr>
              <w:t>边角料和不合格产品</w:t>
            </w:r>
            <w:r>
              <w:rPr>
                <w:rFonts w:hint="eastAsia"/>
                <w:color w:val="auto"/>
                <w:lang w:eastAsia="zh-CN"/>
              </w:rPr>
              <w:t>、</w:t>
            </w:r>
            <w:r>
              <w:rPr>
                <w:rFonts w:hint="eastAsia" w:cs="Times New Roman"/>
                <w:color w:val="auto"/>
                <w:lang w:val="en-US" w:eastAsia="zh-CN"/>
              </w:rPr>
              <w:t>造粒固废</w:t>
            </w:r>
            <w:r>
              <w:rPr>
                <w:rFonts w:hint="eastAsia"/>
                <w:color w:val="auto"/>
                <w:lang w:eastAsia="zh-CN"/>
              </w:rPr>
              <w:t>、</w:t>
            </w:r>
            <w:r>
              <w:rPr>
                <w:rFonts w:hint="eastAsia"/>
                <w:color w:val="auto"/>
                <w:lang w:val="en-US" w:eastAsia="zh-CN"/>
              </w:rPr>
              <w:t>废包装袋</w:t>
            </w:r>
            <w:r>
              <w:rPr>
                <w:rFonts w:hint="eastAsia"/>
                <w:color w:val="auto"/>
                <w:lang w:eastAsia="zh-CN"/>
              </w:rPr>
              <w:t>、</w:t>
            </w:r>
            <w:r>
              <w:rPr>
                <w:rFonts w:hint="eastAsia"/>
                <w:color w:val="auto"/>
                <w:lang w:val="en-US" w:eastAsia="zh-CN"/>
              </w:rPr>
              <w:t>循环水收集箱沉渣、</w:t>
            </w:r>
            <w:r>
              <w:rPr>
                <w:rFonts w:hint="eastAsia"/>
                <w:color w:val="auto"/>
                <w:lang w:eastAsia="zh-CN"/>
              </w:rPr>
              <w:t>生活垃圾、</w:t>
            </w:r>
            <w:r>
              <w:rPr>
                <w:rFonts w:hint="default"/>
                <w:color w:val="auto"/>
              </w:rPr>
              <w:t>废活性炭</w:t>
            </w:r>
            <w:r>
              <w:rPr>
                <w:rFonts w:hint="eastAsia"/>
                <w:color w:val="auto"/>
                <w:lang w:eastAsia="zh-CN"/>
              </w:rPr>
              <w:t>、</w:t>
            </w:r>
            <w:r>
              <w:rPr>
                <w:rFonts w:hint="eastAsia"/>
                <w:color w:val="auto"/>
                <w:lang w:val="en-US" w:eastAsia="zh-CN"/>
              </w:rPr>
              <w:t>过滤网残渣</w:t>
            </w:r>
            <w:r>
              <w:rPr>
                <w:rFonts w:hint="eastAsia"/>
                <w:color w:val="auto"/>
                <w:lang w:eastAsia="zh-CN"/>
              </w:rPr>
              <w:t>，其中</w:t>
            </w:r>
            <w:r>
              <w:rPr>
                <w:rFonts w:hint="default"/>
                <w:color w:val="auto"/>
              </w:rPr>
              <w:t>边角料和不合格产品</w:t>
            </w:r>
            <w:r>
              <w:rPr>
                <w:rFonts w:hint="eastAsia"/>
                <w:color w:val="auto"/>
                <w:lang w:eastAsia="zh-CN"/>
              </w:rPr>
              <w:t>、</w:t>
            </w:r>
            <w:r>
              <w:rPr>
                <w:rFonts w:hint="eastAsia" w:cs="Times New Roman"/>
                <w:color w:val="auto"/>
                <w:lang w:val="en-US" w:eastAsia="zh-CN"/>
              </w:rPr>
              <w:t>造粒固废、</w:t>
            </w:r>
            <w:r>
              <w:rPr>
                <w:rFonts w:hint="eastAsia"/>
                <w:color w:val="auto"/>
                <w:lang w:val="en-US" w:eastAsia="zh-CN"/>
              </w:rPr>
              <w:t>循环水收集箱沉渣</w:t>
            </w:r>
            <w:r>
              <w:rPr>
                <w:rFonts w:hint="eastAsia"/>
                <w:color w:val="auto"/>
                <w:lang w:eastAsia="zh-CN"/>
              </w:rPr>
              <w:t>回用于生产，</w:t>
            </w:r>
            <w:r>
              <w:rPr>
                <w:rFonts w:hint="eastAsia"/>
                <w:color w:val="auto"/>
                <w:lang w:val="en-US" w:eastAsia="zh-CN"/>
              </w:rPr>
              <w:t>废包装袋</w:t>
            </w:r>
            <w:r>
              <w:rPr>
                <w:rFonts w:hint="eastAsia"/>
                <w:color w:val="auto"/>
                <w:lang w:eastAsia="zh-CN"/>
              </w:rPr>
              <w:t>外售；</w:t>
            </w:r>
            <w:r>
              <w:rPr>
                <w:rFonts w:hint="eastAsia"/>
                <w:color w:val="auto"/>
              </w:rPr>
              <w:t>生活垃圾</w:t>
            </w:r>
            <w:r>
              <w:rPr>
                <w:rFonts w:hint="eastAsia"/>
                <w:color w:val="auto"/>
                <w:lang w:eastAsia="zh-CN"/>
              </w:rPr>
              <w:t>经</w:t>
            </w:r>
            <w:r>
              <w:rPr>
                <w:rFonts w:hint="eastAsia"/>
                <w:color w:val="auto"/>
                <w:lang w:val="en-US" w:eastAsia="zh-CN"/>
              </w:rPr>
              <w:t>垃圾桶</w:t>
            </w:r>
            <w:r>
              <w:rPr>
                <w:rFonts w:hint="eastAsia"/>
                <w:color w:val="auto"/>
                <w:lang w:eastAsia="zh-CN"/>
              </w:rPr>
              <w:t>集中收集后，</w:t>
            </w:r>
            <w:r>
              <w:rPr>
                <w:rFonts w:hint="eastAsia"/>
                <w:color w:val="auto"/>
                <w:lang w:val="en-US" w:eastAsia="zh-CN"/>
              </w:rPr>
              <w:t>清运至附近生活垃圾集中收集点，由当地环卫部门统一清运处置；废活性炭由厂家更换带走；过滤网残渣利用专用容器收集后暂存危废暂存间，委托资质单位定期清运处置。</w:t>
            </w:r>
          </w:p>
        </w:tc>
      </w:tr>
      <w:tr w14:paraId="49791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258" w:type="dxa"/>
            <w:vAlign w:val="center"/>
          </w:tcPr>
          <w:p w14:paraId="5333A35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土壤及地下水污染防治措施</w:t>
            </w:r>
          </w:p>
        </w:tc>
        <w:tc>
          <w:tcPr>
            <w:tcW w:w="7542" w:type="dxa"/>
            <w:gridSpan w:val="4"/>
            <w:vAlign w:val="center"/>
          </w:tcPr>
          <w:p w14:paraId="49F4166D">
            <w:pPr>
              <w:pStyle w:val="53"/>
              <w:bidi w:val="0"/>
              <w:ind w:firstLine="0" w:firstLineChars="0"/>
              <w:rPr>
                <w:rFonts w:hint="default" w:ascii="Times New Roman" w:hAnsi="Times New Roman" w:cs="Times New Roman"/>
                <w:color w:val="auto"/>
                <w:szCs w:val="21"/>
              </w:rPr>
            </w:pPr>
            <w:r>
              <w:rPr>
                <w:rFonts w:hint="default" w:ascii="Times New Roman" w:hAnsi="Times New Roman" w:eastAsia="宋体" w:cs="Times New Roman"/>
                <w:color w:val="auto"/>
                <w:sz w:val="21"/>
                <w:szCs w:val="21"/>
              </w:rPr>
              <w:t>分区防渗，</w:t>
            </w:r>
            <w:r>
              <w:rPr>
                <w:rFonts w:hint="eastAsia" w:ascii="Times New Roman" w:hAnsi="Times New Roman" w:eastAsia="宋体" w:cs="Times New Roman"/>
                <w:color w:val="auto"/>
                <w:sz w:val="21"/>
                <w:szCs w:val="21"/>
                <w:lang w:val="en-US" w:eastAsia="zh-CN"/>
              </w:rPr>
              <w:t>危废暂存间为重点防渗区，</w:t>
            </w:r>
            <w:r>
              <w:rPr>
                <w:rFonts w:hint="default" w:ascii="Times New Roman" w:hAnsi="Times New Roman" w:eastAsia="宋体" w:cs="Times New Roman"/>
                <w:color w:val="auto"/>
                <w:sz w:val="21"/>
                <w:szCs w:val="21"/>
                <w:lang w:val="en-US" w:eastAsia="zh-CN"/>
              </w:rPr>
              <w:t>生产车间</w:t>
            </w:r>
            <w:r>
              <w:rPr>
                <w:rFonts w:hint="default" w:ascii="Times New Roman" w:hAnsi="Times New Roman" w:eastAsia="宋体" w:cs="Times New Roman"/>
                <w:color w:val="auto"/>
                <w:sz w:val="21"/>
                <w:szCs w:val="21"/>
              </w:rPr>
              <w:t>为一般防渗区</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val="en-US" w:eastAsia="zh-CN"/>
              </w:rPr>
              <w:t>重点防渗区：</w:t>
            </w:r>
            <w:r>
              <w:rPr>
                <w:rFonts w:hint="default" w:ascii="Times New Roman" w:hAnsi="Times New Roman" w:eastAsia="宋体" w:cs="Times New Roman"/>
                <w:color w:val="auto"/>
                <w:highlight w:val="none"/>
                <w:lang w:val="en-US" w:eastAsia="zh-CN"/>
              </w:rPr>
              <w:t>防渗层按等效黏土防渗层</w:t>
            </w:r>
            <w:r>
              <w:rPr>
                <w:rFonts w:hint="default" w:ascii="Times New Roman" w:hAnsi="Times New Roman" w:eastAsia="宋体" w:cs="Times New Roman"/>
                <w:b w:val="0"/>
                <w:bCs w:val="0"/>
                <w:color w:val="auto"/>
                <w:lang w:eastAsia="zh-CN"/>
              </w:rPr>
              <w:t>厚度≥6m，渗透系数≤1.0×10</w:t>
            </w:r>
            <w:r>
              <w:rPr>
                <w:rFonts w:hint="default" w:ascii="Times New Roman" w:hAnsi="Times New Roman" w:eastAsia="宋体" w:cs="Times New Roman"/>
                <w:b w:val="0"/>
                <w:bCs w:val="0"/>
                <w:color w:val="auto"/>
                <w:vertAlign w:val="superscript"/>
                <w:lang w:eastAsia="zh-CN"/>
              </w:rPr>
              <w:t>-7</w:t>
            </w:r>
            <w:r>
              <w:rPr>
                <w:rFonts w:hint="default" w:ascii="Times New Roman" w:hAnsi="Times New Roman" w:eastAsia="宋体" w:cs="Times New Roman"/>
                <w:b w:val="0"/>
                <w:bCs w:val="0"/>
                <w:color w:val="auto"/>
                <w:lang w:eastAsia="zh-CN"/>
              </w:rPr>
              <w:t>cm/s</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b w:val="0"/>
                <w:bCs w:val="0"/>
                <w:color w:val="auto"/>
                <w:lang w:eastAsia="zh-CN"/>
              </w:rPr>
              <w:t>危废暂存间严格按照《危险废物贮存污染控制标准》（GB18597-2023）要求进行建设</w:t>
            </w:r>
            <w:r>
              <w:rPr>
                <w:rFonts w:hint="eastAsia" w:ascii="Times New Roman" w:hAnsi="Times New Roman" w:eastAsia="宋体" w:cs="Times New Roman"/>
                <w:b w:val="0"/>
                <w:bCs w:val="0"/>
                <w:color w:val="auto"/>
                <w:lang w:eastAsia="zh-CN"/>
              </w:rPr>
              <w:t>；</w:t>
            </w:r>
            <w:r>
              <w:rPr>
                <w:rFonts w:hint="default" w:ascii="Times New Roman" w:hAnsi="Times New Roman" w:eastAsia="宋体" w:cs="Times New Roman"/>
                <w:color w:val="auto"/>
                <w:highlight w:val="none"/>
                <w:lang w:eastAsia="zh-CN"/>
              </w:rPr>
              <w:t>一般防渗区：</w:t>
            </w:r>
            <w:r>
              <w:rPr>
                <w:rFonts w:hint="default" w:ascii="Times New Roman" w:hAnsi="Times New Roman" w:eastAsia="宋体" w:cs="Times New Roman"/>
                <w:color w:val="auto"/>
                <w:highlight w:val="none"/>
                <w:lang w:val="en-US" w:eastAsia="zh-CN"/>
              </w:rPr>
              <w:t>防渗层按等效黏土防渗层厚度</w:t>
            </w:r>
            <w:r>
              <w:rPr>
                <w:rFonts w:hint="default" w:ascii="Times New Roman" w:hAnsi="Times New Roman" w:eastAsia="宋体" w:cs="Times New Roman"/>
                <w:b w:val="0"/>
                <w:bCs w:val="0"/>
                <w:color w:val="auto"/>
                <w:lang w:eastAsia="zh-CN"/>
              </w:rPr>
              <w:t>≥</w:t>
            </w:r>
            <w:r>
              <w:rPr>
                <w:rFonts w:hint="default" w:ascii="Times New Roman" w:hAnsi="Times New Roman" w:eastAsia="宋体" w:cs="Times New Roman"/>
                <w:color w:val="auto"/>
                <w:highlight w:val="none"/>
                <w:lang w:val="en-US" w:eastAsia="zh-CN"/>
              </w:rPr>
              <w:t>1.5m，渗透系数≤1×10</w:t>
            </w:r>
            <w:r>
              <w:rPr>
                <w:rFonts w:hint="eastAsia" w:cs="Times New Roman"/>
                <w:color w:val="auto"/>
                <w:highlight w:val="none"/>
                <w:lang w:val="en-US" w:eastAsia="zh-CN"/>
              </w:rPr>
              <w:t>～</w:t>
            </w:r>
            <w:r>
              <w:rPr>
                <w:rFonts w:hint="default" w:ascii="Times New Roman" w:hAnsi="Times New Roman" w:eastAsia="宋体" w:cs="Times New Roman"/>
                <w:color w:val="auto"/>
                <w:highlight w:val="none"/>
                <w:vertAlign w:val="superscript"/>
                <w:lang w:val="en-US" w:eastAsia="zh-CN"/>
              </w:rPr>
              <w:t>7</w:t>
            </w:r>
            <w:r>
              <w:rPr>
                <w:rFonts w:hint="default" w:ascii="Times New Roman" w:hAnsi="Times New Roman" w:eastAsia="宋体" w:cs="Times New Roman"/>
                <w:color w:val="auto"/>
                <w:highlight w:val="none"/>
                <w:lang w:val="en-US" w:eastAsia="zh-CN"/>
              </w:rPr>
              <w:t>cm/s，或参考《生活垃圾填埋场污染控制标准》（GB16 889-2008）要求进行防渗</w:t>
            </w:r>
            <w:r>
              <w:rPr>
                <w:rFonts w:hint="default" w:ascii="Times New Roman" w:hAnsi="Times New Roman" w:eastAsia="宋体" w:cs="Times New Roman"/>
                <w:color w:val="auto"/>
              </w:rPr>
              <w:t>。</w:t>
            </w:r>
          </w:p>
        </w:tc>
      </w:tr>
      <w:tr w14:paraId="09194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258" w:type="dxa"/>
            <w:vAlign w:val="center"/>
          </w:tcPr>
          <w:p w14:paraId="7250A1D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542" w:type="dxa"/>
            <w:gridSpan w:val="4"/>
            <w:vAlign w:val="center"/>
          </w:tcPr>
          <w:p w14:paraId="175DCE3B">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7041D6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258" w:type="dxa"/>
            <w:vAlign w:val="center"/>
          </w:tcPr>
          <w:p w14:paraId="7BE5F39A">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74312AC6">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542" w:type="dxa"/>
            <w:gridSpan w:val="4"/>
            <w:vAlign w:val="center"/>
          </w:tcPr>
          <w:p w14:paraId="367F1239">
            <w:pPr>
              <w:pStyle w:val="53"/>
              <w:jc w:val="both"/>
              <w:rPr>
                <w:rFonts w:hint="default" w:ascii="Times New Roman" w:hAnsi="Times New Roman" w:cs="Times New Roman"/>
                <w:color w:val="auto"/>
              </w:rPr>
            </w:pPr>
            <w:r>
              <w:rPr>
                <w:rFonts w:hint="default" w:ascii="Times New Roman" w:hAnsi="Times New Roman" w:cs="Times New Roman"/>
                <w:color w:val="auto"/>
              </w:rPr>
              <w:t>加强企业的管理，可有效避免环境风险事故的发生；成立事故应急小组，建立应急措施，</w:t>
            </w:r>
            <w:r>
              <w:rPr>
                <w:rFonts w:hint="eastAsia" w:cs="Times New Roman"/>
                <w:color w:val="auto"/>
                <w:lang w:val="en-US" w:eastAsia="zh-CN"/>
              </w:rPr>
              <w:t>制定</w:t>
            </w:r>
            <w:r>
              <w:rPr>
                <w:rFonts w:hint="default" w:ascii="Times New Roman" w:hAnsi="Times New Roman" w:cs="Times New Roman"/>
                <w:color w:val="auto"/>
              </w:rPr>
              <w:t>应急状态下的联络通讯方式，一旦出现事故，及时作出反应，避免事故扩大化；组织训练单位的灾害事故应急救援队伍，配备必要的防护，救援器材和设备，指定专人管理，并定期进行检查和维护保养，确保完好；加强各相关部门之间的联络，一旦出现环境风险事故，马上联络各相关部门，可迅速作出反应；人员培训与演习：应急计划制定以后，平时安排有关人员培训与演习；配备及相关应急设施、设备、器材与材料；编制突发环境事件应急预案并报当地环保部门备案。</w:t>
            </w:r>
          </w:p>
        </w:tc>
      </w:tr>
      <w:tr w14:paraId="2CA15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258" w:type="dxa"/>
            <w:vAlign w:val="center"/>
          </w:tcPr>
          <w:p w14:paraId="538E666B">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6BCF3225">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542" w:type="dxa"/>
            <w:gridSpan w:val="4"/>
            <w:vAlign w:val="center"/>
          </w:tcPr>
          <w:p w14:paraId="476347C8">
            <w:pPr>
              <w:pStyle w:val="53"/>
              <w:jc w:val="left"/>
              <w:rPr>
                <w:rFonts w:hint="default" w:ascii="Times New Roman" w:hAnsi="Times New Roman" w:cs="Times New Roman"/>
                <w:b/>
                <w:color w:val="auto"/>
              </w:rPr>
            </w:pPr>
            <w:r>
              <w:rPr>
                <w:rFonts w:hint="default" w:ascii="Times New Roman" w:hAnsi="Times New Roman" w:cs="Times New Roman"/>
                <w:b/>
                <w:color w:val="auto"/>
              </w:rPr>
              <w:t>1、运营期环境管理</w:t>
            </w:r>
          </w:p>
          <w:p w14:paraId="58164305">
            <w:pPr>
              <w:pStyle w:val="53"/>
              <w:bidi w:val="0"/>
              <w:jc w:val="left"/>
              <w:rPr>
                <w:rFonts w:hint="default"/>
                <w:color w:val="auto"/>
              </w:rPr>
            </w:pPr>
            <w:r>
              <w:rPr>
                <w:rFonts w:hint="default"/>
                <w:color w:val="auto"/>
              </w:rPr>
              <w:t>①根据国家环保政策、标准及环境监测要求，制定该项目运行期环境管理规章制度、各种污染物排放指标。</w:t>
            </w:r>
          </w:p>
          <w:p w14:paraId="66869BF2">
            <w:pPr>
              <w:pStyle w:val="53"/>
              <w:bidi w:val="0"/>
              <w:jc w:val="left"/>
              <w:rPr>
                <w:rFonts w:hint="default"/>
                <w:color w:val="auto"/>
              </w:rPr>
            </w:pPr>
            <w:r>
              <w:rPr>
                <w:rFonts w:hint="default"/>
                <w:color w:val="auto"/>
              </w:rPr>
              <w:t>②项目建成投产前建设单位应自行组织项目竣工环境保护验收工作，检查环保设施是否达到“三同时”要求。</w:t>
            </w:r>
          </w:p>
          <w:p w14:paraId="46348D7D">
            <w:pPr>
              <w:pStyle w:val="53"/>
              <w:bidi w:val="0"/>
              <w:jc w:val="left"/>
              <w:rPr>
                <w:rFonts w:hint="default"/>
                <w:color w:val="auto"/>
              </w:rPr>
            </w:pPr>
            <w:r>
              <w:rPr>
                <w:rFonts w:hint="default"/>
                <w:color w:val="auto"/>
              </w:rPr>
              <w:t>③加强环保设施的管理，定期检查厂内环保设施运行情况。</w:t>
            </w:r>
          </w:p>
          <w:p w14:paraId="1575B0A5">
            <w:pPr>
              <w:pStyle w:val="53"/>
              <w:bidi w:val="0"/>
              <w:jc w:val="left"/>
              <w:rPr>
                <w:rFonts w:hint="default"/>
                <w:color w:val="auto"/>
              </w:rPr>
            </w:pPr>
            <w:r>
              <w:rPr>
                <w:rFonts w:hint="default"/>
                <w:color w:val="auto"/>
              </w:rPr>
              <w:t>④生活垃圾、一般工业固体废物和危险废物的收集管理应由专人负责，分类收集。</w:t>
            </w:r>
          </w:p>
          <w:p w14:paraId="630D5A56">
            <w:pPr>
              <w:pStyle w:val="53"/>
              <w:bidi w:val="0"/>
              <w:jc w:val="left"/>
              <w:rPr>
                <w:rFonts w:hint="default"/>
                <w:color w:val="auto"/>
              </w:rPr>
            </w:pPr>
            <w:r>
              <w:rPr>
                <w:rFonts w:hint="default"/>
                <w:color w:val="auto"/>
              </w:rPr>
              <w:t>⑤运用经济、教育、行政、法律</w:t>
            </w:r>
            <w:r>
              <w:rPr>
                <w:rFonts w:hint="eastAsia"/>
                <w:color w:val="auto"/>
                <w:lang w:eastAsia="zh-CN"/>
              </w:rPr>
              <w:t>及其他</w:t>
            </w:r>
            <w:r>
              <w:rPr>
                <w:rFonts w:hint="default"/>
                <w:color w:val="auto"/>
              </w:rPr>
              <w:t>手段，加强项目区内人员的环保意识，加强环境保护的自觉性，不断提高环境管理水平。</w:t>
            </w:r>
          </w:p>
          <w:p w14:paraId="439A6633">
            <w:pPr>
              <w:pStyle w:val="53"/>
              <w:bidi w:val="0"/>
              <w:jc w:val="left"/>
              <w:rPr>
                <w:rFonts w:hint="default"/>
                <w:color w:val="auto"/>
              </w:rPr>
            </w:pPr>
            <w:r>
              <w:rPr>
                <w:rFonts w:hint="default"/>
                <w:color w:val="auto"/>
              </w:rPr>
              <w:t>⑥委托有资质的环境监测单位，实施环境监测计划。</w:t>
            </w:r>
          </w:p>
          <w:p w14:paraId="3194678B">
            <w:pPr>
              <w:pStyle w:val="53"/>
              <w:jc w:val="left"/>
              <w:rPr>
                <w:rFonts w:hint="default" w:ascii="Times New Roman" w:hAnsi="Times New Roman" w:cs="Times New Roman"/>
                <w:b/>
                <w:color w:val="auto"/>
              </w:rPr>
            </w:pPr>
            <w:r>
              <w:rPr>
                <w:rFonts w:hint="default" w:ascii="Times New Roman" w:hAnsi="Times New Roman" w:cs="Times New Roman"/>
                <w:b/>
                <w:color w:val="auto"/>
              </w:rPr>
              <w:t>2、环境监测计划</w:t>
            </w:r>
          </w:p>
          <w:p w14:paraId="0D72D858">
            <w:pPr>
              <w:pStyle w:val="53"/>
              <w:spacing w:line="36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项目环境监测的目的是为了解建设项目运营期对所在区域的环境质量变化及影响范围，及时向主管部门反馈信息，为项目的环境管理提供科学依据。在项目运营期应建立完整的监测制度，按规定的监测时段、监测频率进行监测。建议委托有资质的地方环境监测单位进行；项目所有监测方法与分析方法采用现行国家或行业的有关标准或规范进行。</w:t>
            </w:r>
          </w:p>
          <w:p w14:paraId="45000E3D">
            <w:pPr>
              <w:pStyle w:val="53"/>
              <w:spacing w:line="360" w:lineRule="exact"/>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根据《排污单位自行监测技术指南 总则》（HJ 819-2017）</w:t>
            </w:r>
            <w:r>
              <w:rPr>
                <w:rFonts w:hint="eastAsia" w:cs="Times New Roman"/>
                <w:color w:val="auto"/>
                <w:lang w:eastAsia="zh-CN"/>
              </w:rPr>
              <w:t>、</w:t>
            </w:r>
            <w:r>
              <w:rPr>
                <w:rFonts w:hint="default" w:ascii="Times New Roman" w:hAnsi="Times New Roman" w:eastAsia="宋体" w:cs="Times New Roman"/>
                <w:color w:val="auto"/>
                <w:lang w:val="en-US" w:eastAsia="zh-CN"/>
              </w:rPr>
              <w:t>《排污许可证申请与核发技术规范 废弃资源加工工业》（HJ 1034—2019）</w:t>
            </w:r>
            <w:r>
              <w:rPr>
                <w:rFonts w:hint="default" w:ascii="Times New Roman" w:hAnsi="Times New Roman" w:cs="Times New Roman"/>
                <w:color w:val="auto"/>
              </w:rPr>
              <w:t>，项目监测计划如下。</w:t>
            </w:r>
          </w:p>
          <w:p w14:paraId="55969CA5">
            <w:pPr>
              <w:pStyle w:val="52"/>
              <w:rPr>
                <w:rFonts w:hint="default" w:ascii="Times New Roman" w:hAnsi="Times New Roman" w:cs="Times New Roman"/>
                <w:color w:val="auto"/>
              </w:rPr>
            </w:pPr>
            <w:r>
              <w:rPr>
                <w:rFonts w:hint="default" w:ascii="Times New Roman" w:hAnsi="Times New Roman" w:cs="Times New Roman"/>
                <w:color w:val="auto"/>
              </w:rPr>
              <w:t>表5-1    运营期监测计划一览表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446"/>
              <w:gridCol w:w="1199"/>
              <w:gridCol w:w="1257"/>
              <w:gridCol w:w="2663"/>
            </w:tblGrid>
            <w:tr w14:paraId="00FE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13" w:type="pct"/>
                  <w:vAlign w:val="center"/>
                </w:tcPr>
                <w:p w14:paraId="6D5822AD">
                  <w:pPr>
                    <w:pStyle w:val="53"/>
                    <w:rPr>
                      <w:rFonts w:hint="default" w:ascii="Times New Roman" w:hAnsi="Times New Roman" w:cs="Times New Roman"/>
                      <w:color w:val="auto"/>
                    </w:rPr>
                  </w:pPr>
                  <w:r>
                    <w:rPr>
                      <w:rFonts w:hint="default" w:ascii="Times New Roman" w:hAnsi="Times New Roman" w:cs="Times New Roman"/>
                      <w:color w:val="auto"/>
                    </w:rPr>
                    <w:t>类别</w:t>
                  </w:r>
                </w:p>
              </w:tc>
              <w:tc>
                <w:tcPr>
                  <w:tcW w:w="988" w:type="pct"/>
                  <w:vAlign w:val="center"/>
                </w:tcPr>
                <w:p w14:paraId="1D0222B6">
                  <w:pPr>
                    <w:pStyle w:val="53"/>
                    <w:rPr>
                      <w:rFonts w:hint="default" w:ascii="Times New Roman" w:hAnsi="Times New Roman" w:cs="Times New Roman"/>
                      <w:color w:val="auto"/>
                    </w:rPr>
                  </w:pPr>
                  <w:r>
                    <w:rPr>
                      <w:rFonts w:hint="default" w:ascii="Times New Roman" w:hAnsi="Times New Roman" w:cs="Times New Roman"/>
                      <w:color w:val="auto"/>
                    </w:rPr>
                    <w:t>监测点位</w:t>
                  </w:r>
                </w:p>
              </w:tc>
              <w:tc>
                <w:tcPr>
                  <w:tcW w:w="1678" w:type="pct"/>
                  <w:gridSpan w:val="2"/>
                  <w:vAlign w:val="center"/>
                </w:tcPr>
                <w:p w14:paraId="07B9C11B">
                  <w:pPr>
                    <w:pStyle w:val="53"/>
                    <w:rPr>
                      <w:rFonts w:hint="default" w:ascii="Times New Roman" w:hAnsi="Times New Roman" w:cs="Times New Roman"/>
                      <w:color w:val="auto"/>
                    </w:rPr>
                  </w:pPr>
                  <w:r>
                    <w:rPr>
                      <w:rFonts w:hint="default" w:ascii="Times New Roman" w:hAnsi="Times New Roman" w:cs="Times New Roman"/>
                      <w:color w:val="auto"/>
                    </w:rPr>
                    <w:t>监测因子</w:t>
                  </w:r>
                </w:p>
              </w:tc>
              <w:tc>
                <w:tcPr>
                  <w:tcW w:w="1819" w:type="pct"/>
                  <w:vAlign w:val="center"/>
                </w:tcPr>
                <w:p w14:paraId="47D17C1E">
                  <w:pPr>
                    <w:pStyle w:val="53"/>
                    <w:rPr>
                      <w:rFonts w:hint="default" w:ascii="Times New Roman" w:hAnsi="Times New Roman" w:cs="Times New Roman"/>
                      <w:color w:val="auto"/>
                    </w:rPr>
                  </w:pPr>
                  <w:r>
                    <w:rPr>
                      <w:rFonts w:hint="default" w:ascii="Times New Roman" w:hAnsi="Times New Roman" w:cs="Times New Roman"/>
                      <w:color w:val="auto"/>
                    </w:rPr>
                    <w:t>监测频率</w:t>
                  </w:r>
                </w:p>
              </w:tc>
            </w:tr>
            <w:tr w14:paraId="4504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13" w:type="pct"/>
                  <w:vMerge w:val="restart"/>
                  <w:vAlign w:val="center"/>
                </w:tcPr>
                <w:p w14:paraId="0909EB76">
                  <w:pPr>
                    <w:pStyle w:val="53"/>
                    <w:rPr>
                      <w:rFonts w:hint="default" w:ascii="Times New Roman" w:hAnsi="Times New Roman" w:cs="Times New Roman"/>
                      <w:color w:val="auto"/>
                    </w:rPr>
                  </w:pPr>
                  <w:r>
                    <w:rPr>
                      <w:rFonts w:hint="default" w:ascii="Times New Roman" w:hAnsi="Times New Roman" w:cs="Times New Roman"/>
                      <w:color w:val="auto"/>
                    </w:rPr>
                    <w:t>废气</w:t>
                  </w:r>
                </w:p>
              </w:tc>
              <w:tc>
                <w:tcPr>
                  <w:tcW w:w="988" w:type="pct"/>
                  <w:vAlign w:val="center"/>
                </w:tcPr>
                <w:p w14:paraId="6AE071A7">
                  <w:pPr>
                    <w:pStyle w:val="53"/>
                    <w:rPr>
                      <w:rFonts w:hint="default" w:ascii="Times New Roman" w:hAnsi="Times New Roman" w:cs="Times New Roman"/>
                      <w:color w:val="auto"/>
                    </w:rPr>
                  </w:pPr>
                  <w:r>
                    <w:rPr>
                      <w:rFonts w:hint="default"/>
                      <w:color w:val="auto"/>
                      <w:lang w:val="en-US" w:eastAsia="zh-CN"/>
                    </w:rPr>
                    <w:t>DA001排气筒</w:t>
                  </w:r>
                </w:p>
              </w:tc>
              <w:tc>
                <w:tcPr>
                  <w:tcW w:w="1678" w:type="pct"/>
                  <w:gridSpan w:val="2"/>
                  <w:vAlign w:val="center"/>
                </w:tcPr>
                <w:p w14:paraId="452A3CC6">
                  <w:pPr>
                    <w:pStyle w:val="53"/>
                    <w:bidi w:val="0"/>
                    <w:ind w:firstLine="0" w:firstLineChars="0"/>
                    <w:rPr>
                      <w:rFonts w:hint="default" w:ascii="Times New Roman" w:hAnsi="Times New Roman" w:cs="Times New Roman"/>
                      <w:color w:val="auto"/>
                    </w:rPr>
                  </w:pPr>
                  <w:r>
                    <w:rPr>
                      <w:rFonts w:hint="default"/>
                      <w:color w:val="auto"/>
                      <w:lang w:val="en-US" w:eastAsia="zh-CN"/>
                    </w:rPr>
                    <w:t>非甲烷总烃、</w:t>
                  </w:r>
                  <w:r>
                    <w:rPr>
                      <w:rFonts w:hint="eastAsia"/>
                      <w:color w:val="auto"/>
                      <w:lang w:val="en-US" w:eastAsia="zh-CN"/>
                    </w:rPr>
                    <w:t>颗粒物</w:t>
                  </w:r>
                </w:p>
              </w:tc>
              <w:tc>
                <w:tcPr>
                  <w:tcW w:w="1819" w:type="pct"/>
                  <w:vAlign w:val="center"/>
                </w:tcPr>
                <w:p w14:paraId="603F70CE">
                  <w:pPr>
                    <w:pStyle w:val="53"/>
                    <w:bidi w:val="0"/>
                    <w:ind w:firstLine="0" w:firstLineChars="0"/>
                    <w:rPr>
                      <w:rFonts w:hint="eastAsia" w:ascii="Times New Roman" w:hAnsi="Times New Roman" w:eastAsia="宋体" w:cs="Times New Roman"/>
                      <w:color w:val="auto"/>
                      <w:lang w:val="en-US" w:eastAsia="zh-CN"/>
                    </w:rPr>
                  </w:pPr>
                  <w:r>
                    <w:rPr>
                      <w:rFonts w:hint="default"/>
                      <w:color w:val="auto"/>
                      <w:lang w:val="en-US" w:eastAsia="zh-CN"/>
                    </w:rPr>
                    <w:t>1次/半年</w:t>
                  </w:r>
                </w:p>
              </w:tc>
            </w:tr>
            <w:tr w14:paraId="4A1F2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13" w:type="pct"/>
                  <w:vMerge w:val="continue"/>
                  <w:vAlign w:val="center"/>
                </w:tcPr>
                <w:p w14:paraId="6275834A">
                  <w:pPr>
                    <w:pStyle w:val="53"/>
                    <w:rPr>
                      <w:rFonts w:hint="default" w:ascii="Times New Roman" w:hAnsi="Times New Roman" w:cs="Times New Roman"/>
                      <w:color w:val="auto"/>
                    </w:rPr>
                  </w:pPr>
                </w:p>
              </w:tc>
              <w:tc>
                <w:tcPr>
                  <w:tcW w:w="1446" w:type="dxa"/>
                  <w:vAlign w:val="center"/>
                </w:tcPr>
                <w:p w14:paraId="299E2ABA">
                  <w:pPr>
                    <w:pStyle w:val="53"/>
                    <w:bidi w:val="0"/>
                    <w:ind w:firstLine="0" w:firstLineChars="0"/>
                    <w:rPr>
                      <w:rFonts w:hint="default" w:ascii="Times New Roman" w:hAnsi="Times New Roman" w:cs="Times New Roman"/>
                      <w:color w:val="auto"/>
                    </w:rPr>
                  </w:pPr>
                  <w:r>
                    <w:rPr>
                      <w:rFonts w:hint="eastAsia"/>
                      <w:color w:val="auto"/>
                      <w:lang w:val="en-US" w:eastAsia="zh-CN"/>
                    </w:rPr>
                    <w:t>企业边界</w:t>
                  </w:r>
                </w:p>
              </w:tc>
              <w:tc>
                <w:tcPr>
                  <w:tcW w:w="2456" w:type="dxa"/>
                  <w:gridSpan w:val="2"/>
                  <w:vAlign w:val="center"/>
                </w:tcPr>
                <w:p w14:paraId="25F52C12">
                  <w:pPr>
                    <w:pStyle w:val="53"/>
                    <w:bidi w:val="0"/>
                    <w:ind w:firstLine="0" w:firstLineChars="0"/>
                    <w:rPr>
                      <w:rFonts w:hint="default" w:ascii="Times New Roman" w:hAnsi="Times New Roman" w:cs="Times New Roman"/>
                      <w:color w:val="auto"/>
                    </w:rPr>
                  </w:pPr>
                  <w:r>
                    <w:rPr>
                      <w:rFonts w:hint="default"/>
                      <w:color w:val="auto"/>
                      <w:lang w:val="en-US" w:eastAsia="zh-CN"/>
                    </w:rPr>
                    <w:t>非甲烷总烃、颗粒物</w:t>
                  </w:r>
                </w:p>
              </w:tc>
              <w:tc>
                <w:tcPr>
                  <w:tcW w:w="2663" w:type="dxa"/>
                  <w:vAlign w:val="center"/>
                </w:tcPr>
                <w:p w14:paraId="5B9AB65D">
                  <w:pPr>
                    <w:pStyle w:val="53"/>
                    <w:bidi w:val="0"/>
                    <w:ind w:firstLine="0" w:firstLineChars="0"/>
                    <w:rPr>
                      <w:rFonts w:hint="default" w:ascii="Times New Roman" w:hAnsi="Times New Roman" w:cs="Times New Roman"/>
                      <w:color w:val="auto"/>
                    </w:rPr>
                  </w:pPr>
                  <w:r>
                    <w:rPr>
                      <w:rFonts w:hint="default"/>
                      <w:color w:val="auto"/>
                      <w:lang w:val="en-US" w:eastAsia="zh-CN"/>
                    </w:rPr>
                    <w:t>1次/年</w:t>
                  </w:r>
                </w:p>
              </w:tc>
            </w:tr>
            <w:tr w14:paraId="06F4F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13" w:type="pct"/>
                  <w:vMerge w:val="continue"/>
                  <w:vAlign w:val="center"/>
                </w:tcPr>
                <w:p w14:paraId="508BEF23">
                  <w:pPr>
                    <w:pStyle w:val="53"/>
                    <w:rPr>
                      <w:rFonts w:hint="default" w:ascii="Times New Roman" w:hAnsi="Times New Roman" w:cs="Times New Roman"/>
                      <w:color w:val="auto"/>
                    </w:rPr>
                  </w:pPr>
                </w:p>
              </w:tc>
              <w:tc>
                <w:tcPr>
                  <w:tcW w:w="1446" w:type="dxa"/>
                  <w:vAlign w:val="center"/>
                </w:tcPr>
                <w:p w14:paraId="261C3303">
                  <w:pPr>
                    <w:pStyle w:val="53"/>
                    <w:bidi w:val="0"/>
                    <w:ind w:firstLine="0" w:firstLineChars="0"/>
                    <w:rPr>
                      <w:rFonts w:hint="default" w:ascii="Times New Roman" w:hAnsi="Times New Roman" w:cs="Times New Roman"/>
                      <w:color w:val="auto"/>
                    </w:rPr>
                  </w:pPr>
                  <w:r>
                    <w:rPr>
                      <w:rFonts w:hint="default"/>
                      <w:color w:val="auto"/>
                      <w:lang w:val="en-US" w:eastAsia="zh-CN"/>
                    </w:rPr>
                    <w:t>厂区内</w:t>
                  </w:r>
                </w:p>
              </w:tc>
              <w:tc>
                <w:tcPr>
                  <w:tcW w:w="2456" w:type="dxa"/>
                  <w:gridSpan w:val="2"/>
                  <w:vAlign w:val="center"/>
                </w:tcPr>
                <w:p w14:paraId="16AC8A4F">
                  <w:pPr>
                    <w:pStyle w:val="53"/>
                    <w:bidi w:val="0"/>
                    <w:ind w:firstLine="0" w:firstLineChars="0"/>
                    <w:rPr>
                      <w:rFonts w:hint="default" w:ascii="Times New Roman" w:hAnsi="Times New Roman" w:cs="Times New Roman"/>
                      <w:color w:val="auto"/>
                    </w:rPr>
                  </w:pPr>
                  <w:r>
                    <w:rPr>
                      <w:rFonts w:hint="default"/>
                      <w:color w:val="auto"/>
                      <w:lang w:val="en-US" w:eastAsia="zh-CN"/>
                    </w:rPr>
                    <w:t>非甲烷总烃</w:t>
                  </w:r>
                </w:p>
              </w:tc>
              <w:tc>
                <w:tcPr>
                  <w:tcW w:w="2663" w:type="dxa"/>
                  <w:vAlign w:val="center"/>
                </w:tcPr>
                <w:p w14:paraId="7619EC54">
                  <w:pPr>
                    <w:pStyle w:val="53"/>
                    <w:bidi w:val="0"/>
                    <w:ind w:firstLine="0" w:firstLineChars="0"/>
                    <w:rPr>
                      <w:rFonts w:hint="default" w:ascii="Times New Roman" w:hAnsi="Times New Roman" w:cs="Times New Roman"/>
                      <w:color w:val="auto"/>
                    </w:rPr>
                  </w:pPr>
                  <w:r>
                    <w:rPr>
                      <w:rFonts w:hint="default"/>
                      <w:color w:val="auto"/>
                      <w:lang w:val="en-US" w:eastAsia="zh-CN"/>
                    </w:rPr>
                    <w:t>1次/年</w:t>
                  </w:r>
                </w:p>
              </w:tc>
            </w:tr>
            <w:tr w14:paraId="0459BD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5" w:hRule="atLeast"/>
                <w:jc w:val="center"/>
              </w:trPr>
              <w:tc>
                <w:tcPr>
                  <w:tcW w:w="513" w:type="pct"/>
                  <w:vAlign w:val="center"/>
                </w:tcPr>
                <w:p w14:paraId="1C5940FB">
                  <w:pPr>
                    <w:pStyle w:val="53"/>
                    <w:rPr>
                      <w:rFonts w:hint="default" w:ascii="Times New Roman" w:hAnsi="Times New Roman" w:cs="Times New Roman"/>
                      <w:color w:val="auto"/>
                    </w:rPr>
                  </w:pPr>
                  <w:r>
                    <w:rPr>
                      <w:rFonts w:hint="default" w:ascii="Times New Roman" w:hAnsi="Times New Roman" w:cs="Times New Roman"/>
                      <w:color w:val="auto"/>
                    </w:rPr>
                    <w:t>类别</w:t>
                  </w:r>
                </w:p>
              </w:tc>
              <w:tc>
                <w:tcPr>
                  <w:tcW w:w="988" w:type="pct"/>
                  <w:vAlign w:val="center"/>
                </w:tcPr>
                <w:p w14:paraId="407B3CDA">
                  <w:pPr>
                    <w:pStyle w:val="53"/>
                    <w:rPr>
                      <w:rFonts w:hint="default" w:ascii="Times New Roman" w:hAnsi="Times New Roman" w:cs="Times New Roman"/>
                      <w:color w:val="auto"/>
                    </w:rPr>
                  </w:pPr>
                  <w:r>
                    <w:rPr>
                      <w:rFonts w:hint="default" w:ascii="Times New Roman" w:hAnsi="Times New Roman" w:cs="Times New Roman"/>
                      <w:color w:val="auto"/>
                    </w:rPr>
                    <w:t>监测位置</w:t>
                  </w:r>
                </w:p>
              </w:tc>
              <w:tc>
                <w:tcPr>
                  <w:tcW w:w="819" w:type="pct"/>
                  <w:vAlign w:val="center"/>
                </w:tcPr>
                <w:p w14:paraId="71FF4B2A">
                  <w:pPr>
                    <w:pStyle w:val="53"/>
                    <w:rPr>
                      <w:rFonts w:hint="default" w:ascii="Times New Roman" w:hAnsi="Times New Roman" w:cs="Times New Roman"/>
                      <w:color w:val="auto"/>
                    </w:rPr>
                  </w:pPr>
                  <w:r>
                    <w:rPr>
                      <w:rFonts w:hint="default" w:ascii="Times New Roman" w:hAnsi="Times New Roman" w:cs="Times New Roman"/>
                      <w:color w:val="auto"/>
                    </w:rPr>
                    <w:t>监测因子</w:t>
                  </w:r>
                </w:p>
              </w:tc>
              <w:tc>
                <w:tcPr>
                  <w:tcW w:w="859" w:type="pct"/>
                  <w:vAlign w:val="center"/>
                </w:tcPr>
                <w:p w14:paraId="049BE5A1">
                  <w:pPr>
                    <w:pStyle w:val="53"/>
                    <w:rPr>
                      <w:rFonts w:hint="default" w:ascii="Times New Roman" w:hAnsi="Times New Roman" w:cs="Times New Roman"/>
                      <w:color w:val="auto"/>
                    </w:rPr>
                  </w:pPr>
                  <w:r>
                    <w:rPr>
                      <w:rFonts w:hint="default" w:ascii="Times New Roman" w:hAnsi="Times New Roman" w:cs="Times New Roman"/>
                      <w:color w:val="auto"/>
                    </w:rPr>
                    <w:t>监测频率</w:t>
                  </w:r>
                </w:p>
              </w:tc>
              <w:tc>
                <w:tcPr>
                  <w:tcW w:w="1819" w:type="pct"/>
                  <w:vAlign w:val="center"/>
                </w:tcPr>
                <w:p w14:paraId="29CC4228">
                  <w:pPr>
                    <w:pStyle w:val="53"/>
                    <w:rPr>
                      <w:rFonts w:hint="default" w:ascii="Times New Roman" w:hAnsi="Times New Roman" w:cs="Times New Roman"/>
                      <w:color w:val="auto"/>
                    </w:rPr>
                  </w:pPr>
                  <w:r>
                    <w:rPr>
                      <w:rFonts w:hint="default" w:ascii="Times New Roman" w:hAnsi="Times New Roman" w:cs="Times New Roman"/>
                      <w:color w:val="auto"/>
                    </w:rPr>
                    <w:t>执行标准</w:t>
                  </w:r>
                </w:p>
              </w:tc>
            </w:tr>
            <w:tr w14:paraId="79BADB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18" w:hRule="atLeast"/>
                <w:jc w:val="center"/>
              </w:trPr>
              <w:tc>
                <w:tcPr>
                  <w:tcW w:w="513" w:type="pct"/>
                  <w:vAlign w:val="center"/>
                </w:tcPr>
                <w:p w14:paraId="0FD84F56">
                  <w:pPr>
                    <w:pStyle w:val="53"/>
                    <w:rPr>
                      <w:rFonts w:hint="default" w:ascii="Times New Roman" w:hAnsi="Times New Roman" w:cs="Times New Roman"/>
                      <w:color w:val="auto"/>
                    </w:rPr>
                  </w:pPr>
                  <w:r>
                    <w:rPr>
                      <w:rFonts w:hint="default" w:ascii="Times New Roman" w:hAnsi="Times New Roman" w:cs="Times New Roman"/>
                      <w:color w:val="auto"/>
                    </w:rPr>
                    <w:t>噪声</w:t>
                  </w:r>
                </w:p>
              </w:tc>
              <w:tc>
                <w:tcPr>
                  <w:tcW w:w="988" w:type="pct"/>
                  <w:vAlign w:val="center"/>
                </w:tcPr>
                <w:p w14:paraId="1BE6B691">
                  <w:pPr>
                    <w:pStyle w:val="53"/>
                    <w:rPr>
                      <w:rFonts w:hint="default" w:ascii="Times New Roman" w:hAnsi="Times New Roman" w:cs="Times New Roman"/>
                      <w:color w:val="auto"/>
                    </w:rPr>
                  </w:pPr>
                  <w:r>
                    <w:rPr>
                      <w:rFonts w:hint="default" w:ascii="Times New Roman" w:hAnsi="Times New Roman" w:cs="Times New Roman"/>
                      <w:color w:val="auto"/>
                    </w:rPr>
                    <w:t>东、南、西、北厂界外1m</w:t>
                  </w:r>
                </w:p>
              </w:tc>
              <w:tc>
                <w:tcPr>
                  <w:tcW w:w="819" w:type="pct"/>
                  <w:vAlign w:val="center"/>
                </w:tcPr>
                <w:p w14:paraId="4DFAE3A8">
                  <w:pPr>
                    <w:pStyle w:val="53"/>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859" w:type="pct"/>
                  <w:vAlign w:val="center"/>
                </w:tcPr>
                <w:p w14:paraId="54DFF9EB">
                  <w:pPr>
                    <w:pStyle w:val="53"/>
                    <w:rPr>
                      <w:rFonts w:hint="default" w:ascii="Times New Roman" w:hAnsi="Times New Roman" w:cs="Times New Roman"/>
                      <w:color w:val="auto"/>
                    </w:rPr>
                  </w:pPr>
                  <w:r>
                    <w:rPr>
                      <w:rFonts w:hint="default" w:ascii="Times New Roman" w:hAnsi="Times New Roman" w:cs="Times New Roman"/>
                      <w:color w:val="auto"/>
                    </w:rPr>
                    <w:t>1次/季度，昼</w:t>
                  </w:r>
                  <w:r>
                    <w:rPr>
                      <w:rFonts w:hint="eastAsia" w:cs="Times New Roman"/>
                      <w:color w:val="auto"/>
                      <w:lang w:val="en-US" w:eastAsia="zh-CN"/>
                    </w:rPr>
                    <w:t>间</w:t>
                  </w:r>
                  <w:r>
                    <w:rPr>
                      <w:rFonts w:hint="default" w:ascii="Times New Roman" w:hAnsi="Times New Roman" w:cs="Times New Roman"/>
                      <w:color w:val="auto"/>
                    </w:rPr>
                    <w:t>1次</w:t>
                  </w:r>
                </w:p>
              </w:tc>
              <w:tc>
                <w:tcPr>
                  <w:tcW w:w="1819" w:type="pct"/>
                  <w:vAlign w:val="center"/>
                </w:tcPr>
                <w:p w14:paraId="2D61A9B1">
                  <w:pPr>
                    <w:pStyle w:val="53"/>
                    <w:rPr>
                      <w:rFonts w:hint="default" w:ascii="Times New Roman" w:hAnsi="Times New Roman" w:cs="Times New Roman"/>
                      <w:color w:val="auto"/>
                    </w:rPr>
                  </w:pPr>
                  <w:r>
                    <w:rPr>
                      <w:rFonts w:hint="default" w:ascii="Times New Roman" w:hAnsi="Times New Roman" w:cs="Times New Roman"/>
                      <w:color w:val="auto"/>
                    </w:rPr>
                    <w:t>《工业企业厂界环境噪声排放标准》</w:t>
                  </w:r>
                  <w:r>
                    <w:rPr>
                      <w:rFonts w:hint="eastAsia" w:cs="Times New Roman"/>
                      <w:color w:val="auto"/>
                      <w:lang w:eastAsia="zh-CN"/>
                    </w:rPr>
                    <w:t>（</w:t>
                  </w:r>
                  <w:r>
                    <w:rPr>
                      <w:rFonts w:hint="default" w:ascii="Times New Roman" w:hAnsi="Times New Roman" w:cs="Times New Roman"/>
                      <w:color w:val="auto"/>
                    </w:rPr>
                    <w:t>GB12348-2008</w:t>
                  </w:r>
                  <w:r>
                    <w:rPr>
                      <w:rFonts w:hint="eastAsia" w:cs="Times New Roman"/>
                      <w:color w:val="auto"/>
                      <w:lang w:eastAsia="zh-CN"/>
                    </w:rPr>
                    <w:t>）</w:t>
                  </w:r>
                  <w:r>
                    <w:rPr>
                      <w:rFonts w:hint="default" w:ascii="Times New Roman" w:hAnsi="Times New Roman" w:cs="Times New Roman"/>
                      <w:color w:val="auto"/>
                    </w:rPr>
                    <w:t>中的2类标准</w:t>
                  </w:r>
                </w:p>
              </w:tc>
            </w:tr>
          </w:tbl>
          <w:p w14:paraId="13865A5A">
            <w:pPr>
              <w:pStyle w:val="53"/>
              <w:jc w:val="left"/>
              <w:rPr>
                <w:rFonts w:hint="default" w:ascii="Times New Roman" w:hAnsi="Times New Roman" w:cs="Times New Roman"/>
                <w:b/>
                <w:color w:val="auto"/>
              </w:rPr>
            </w:pPr>
            <w:r>
              <w:rPr>
                <w:rFonts w:hint="default" w:ascii="Times New Roman" w:hAnsi="Times New Roman" w:cs="Times New Roman"/>
                <w:b/>
                <w:color w:val="auto"/>
              </w:rPr>
              <w:t>3、排污许可申请</w:t>
            </w:r>
          </w:p>
          <w:p w14:paraId="308474F1">
            <w:pPr>
              <w:pStyle w:val="53"/>
              <w:ind w:firstLine="420" w:firstLineChars="200"/>
              <w:jc w:val="both"/>
              <w:rPr>
                <w:rFonts w:hint="default" w:ascii="Times New Roman" w:hAnsi="Times New Roman" w:cs="Times New Roman"/>
                <w:color w:val="auto"/>
              </w:rPr>
            </w:pPr>
            <w:r>
              <w:rPr>
                <w:rFonts w:hint="default" w:ascii="Times New Roman" w:hAnsi="Times New Roman" w:cs="Times New Roman"/>
                <w:color w:val="auto"/>
              </w:rPr>
              <w:t>项目建设完成后投入运营前须依法依规进行排污许可申报，不得无证排污。项目为</w:t>
            </w:r>
            <w:r>
              <w:rPr>
                <w:rFonts w:hint="eastAsia" w:cs="Times New Roman"/>
                <w:color w:val="auto"/>
                <w:lang w:val="en-US" w:eastAsia="zh-CN"/>
              </w:rPr>
              <w:t>塑料颗粒生产</w:t>
            </w:r>
            <w:r>
              <w:rPr>
                <w:rFonts w:hint="default" w:ascii="Times New Roman" w:hAnsi="Times New Roman" w:cs="Times New Roman"/>
                <w:color w:val="auto"/>
              </w:rPr>
              <w:t>项目，根据《固定污染源排污许可分类管理名录（2019 年版）》</w:t>
            </w:r>
            <w:r>
              <w:rPr>
                <w:rFonts w:hint="eastAsia" w:cs="Times New Roman"/>
                <w:color w:val="auto"/>
                <w:lang w:eastAsia="zh-CN"/>
              </w:rPr>
              <w:t>，</w:t>
            </w:r>
            <w:r>
              <w:rPr>
                <w:rFonts w:hint="eastAsia" w:cs="Times New Roman"/>
                <w:color w:val="auto"/>
                <w:lang w:val="en-US" w:eastAsia="zh-CN"/>
              </w:rPr>
              <w:t>本项目为非金属废料和碎屑加工处理422为简化管理，</w:t>
            </w:r>
            <w:r>
              <w:rPr>
                <w:rFonts w:hint="eastAsia"/>
                <w:color w:val="auto"/>
                <w:lang w:val="en-US" w:eastAsia="zh-CN"/>
              </w:rPr>
              <w:t>企业进行</w:t>
            </w:r>
            <w:r>
              <w:rPr>
                <w:rFonts w:hint="eastAsia" w:cs="Times New Roman"/>
                <w:color w:val="auto"/>
                <w:lang w:val="en-US" w:eastAsia="zh-CN"/>
              </w:rPr>
              <w:t>简化</w:t>
            </w:r>
            <w:r>
              <w:rPr>
                <w:rFonts w:hint="eastAsia"/>
                <w:color w:val="auto"/>
                <w:lang w:val="en-US" w:eastAsia="zh-CN"/>
              </w:rPr>
              <w:t>管理</w:t>
            </w:r>
            <w:r>
              <w:rPr>
                <w:rFonts w:hint="default" w:ascii="Times New Roman" w:hAnsi="Times New Roman" w:cs="Times New Roman"/>
                <w:color w:val="auto"/>
              </w:rPr>
              <w:t>。</w:t>
            </w:r>
          </w:p>
          <w:p w14:paraId="53870297">
            <w:pPr>
              <w:pStyle w:val="53"/>
              <w:jc w:val="left"/>
              <w:rPr>
                <w:rFonts w:hint="default" w:ascii="Times New Roman" w:hAnsi="Times New Roman" w:cs="Times New Roman"/>
                <w:b/>
                <w:color w:val="auto"/>
              </w:rPr>
            </w:pPr>
            <w:r>
              <w:rPr>
                <w:rFonts w:hint="default" w:ascii="Times New Roman" w:hAnsi="Times New Roman" w:cs="Times New Roman"/>
                <w:b/>
                <w:color w:val="auto"/>
              </w:rPr>
              <w:t>4、排污口规范化管理</w:t>
            </w:r>
          </w:p>
          <w:p w14:paraId="5F582C07">
            <w:pPr>
              <w:pStyle w:val="53"/>
              <w:jc w:val="left"/>
              <w:rPr>
                <w:rFonts w:hint="default" w:ascii="Times New Roman" w:hAnsi="Times New Roman" w:cs="Times New Roman"/>
                <w:color w:val="auto"/>
              </w:rPr>
            </w:pPr>
            <w:r>
              <w:rPr>
                <w:rFonts w:hint="default" w:ascii="Times New Roman" w:hAnsi="Times New Roman" w:cs="Times New Roman"/>
                <w:color w:val="auto"/>
              </w:rPr>
              <w:t>（1）按《排放污染物申报登记管理办法》的规定，如实向环境管理部门申报排污口数量、位置及所排放的主要污染物或产生公害的种类、数量、浓度、排放去向等情况。</w:t>
            </w:r>
          </w:p>
          <w:p w14:paraId="62309344">
            <w:pPr>
              <w:pStyle w:val="53"/>
              <w:jc w:val="left"/>
              <w:rPr>
                <w:rFonts w:hint="default" w:ascii="Times New Roman" w:hAnsi="Times New Roman" w:cs="Times New Roman"/>
                <w:color w:val="auto"/>
              </w:rPr>
            </w:pPr>
            <w:r>
              <w:rPr>
                <w:rFonts w:hint="default" w:ascii="Times New Roman" w:hAnsi="Times New Roman" w:cs="Times New Roman"/>
                <w:color w:val="auto"/>
              </w:rPr>
              <w:t>（2）建设单位需在废气排放口、噪声源和固体废物堆场附近设置环境保护图形标志牌，并根据《环境保护图形标志》实施细则来填写本项目的主要污染物；环境保护图形标志详见下图：</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1"/>
              <w:gridCol w:w="3625"/>
            </w:tblGrid>
            <w:tr w14:paraId="29B3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tcPr>
                <w:p w14:paraId="64EADCCC">
                  <w:pPr>
                    <w:jc w:val="left"/>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223770" cy="1111885"/>
                        <wp:effectExtent l="19050" t="0" r="508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1"/>
                                <a:srcRect l="49750" b="49814"/>
                                <a:stretch>
                                  <a:fillRect/>
                                </a:stretch>
                              </pic:blipFill>
                              <pic:spPr>
                                <a:xfrm>
                                  <a:off x="0" y="0"/>
                                  <a:ext cx="2223770" cy="1111885"/>
                                </a:xfrm>
                                <a:prstGeom prst="rect">
                                  <a:avLst/>
                                </a:prstGeom>
                                <a:noFill/>
                                <a:ln w="9525">
                                  <a:noFill/>
                                  <a:miter lim="800000"/>
                                  <a:headEnd/>
                                  <a:tailEnd/>
                                </a:ln>
                              </pic:spPr>
                            </pic:pic>
                          </a:graphicData>
                        </a:graphic>
                      </wp:inline>
                    </w:drawing>
                  </w:r>
                </w:p>
              </w:tc>
              <w:tc>
                <w:tcPr>
                  <w:tcW w:w="2478" w:type="pct"/>
                </w:tcPr>
                <w:p w14:paraId="7DDBD9A1">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1858010" cy="1199515"/>
                        <wp:effectExtent l="1905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2" cstate="print"/>
                                <a:srcRect/>
                                <a:stretch>
                                  <a:fillRect/>
                                </a:stretch>
                              </pic:blipFill>
                              <pic:spPr>
                                <a:xfrm>
                                  <a:off x="0" y="0"/>
                                  <a:ext cx="1858010" cy="1199515"/>
                                </a:xfrm>
                                <a:prstGeom prst="rect">
                                  <a:avLst/>
                                </a:prstGeom>
                                <a:noFill/>
                                <a:ln w="9525">
                                  <a:noFill/>
                                  <a:miter lim="800000"/>
                                  <a:headEnd/>
                                  <a:tailEnd/>
                                </a:ln>
                              </pic:spPr>
                            </pic:pic>
                          </a:graphicData>
                        </a:graphic>
                      </wp:inline>
                    </w:drawing>
                  </w:r>
                </w:p>
              </w:tc>
            </w:tr>
            <w:tr w14:paraId="791A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tcPr>
                <w:p w14:paraId="2106741D">
                  <w:pPr>
                    <w:jc w:val="center"/>
                    <w:rPr>
                      <w:rFonts w:hint="default" w:ascii="Times New Roman" w:hAnsi="Times New Roman" w:cs="Times New Roman"/>
                      <w:color w:val="auto"/>
                    </w:rPr>
                  </w:pPr>
                  <w:r>
                    <w:rPr>
                      <w:rFonts w:hint="default" w:ascii="Times New Roman" w:hAnsi="Times New Roman" w:cs="Times New Roman"/>
                      <w:color w:val="auto"/>
                    </w:rPr>
                    <w:t>噪声源标识牌</w:t>
                  </w:r>
                </w:p>
              </w:tc>
              <w:tc>
                <w:tcPr>
                  <w:tcW w:w="2478" w:type="pct"/>
                </w:tcPr>
                <w:p w14:paraId="4E8B7F9A">
                  <w:pPr>
                    <w:jc w:val="center"/>
                    <w:rPr>
                      <w:rFonts w:hint="default" w:ascii="Times New Roman" w:hAnsi="Times New Roman" w:cs="Times New Roman"/>
                      <w:color w:val="auto"/>
                    </w:rPr>
                  </w:pPr>
                  <w:r>
                    <w:rPr>
                      <w:rFonts w:hint="default" w:ascii="Times New Roman" w:hAnsi="Times New Roman" w:cs="Times New Roman"/>
                      <w:color w:val="auto"/>
                    </w:rPr>
                    <w:t>危险废物暂存间标识牌</w:t>
                  </w:r>
                </w:p>
              </w:tc>
            </w:tr>
            <w:tr w14:paraId="7AF4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tcPr>
                <w:p w14:paraId="18AFAE32">
                  <w:pP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223770" cy="1119505"/>
                        <wp:effectExtent l="1905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a:srcRect r="49835" b="49327"/>
                                <a:stretch>
                                  <a:fillRect/>
                                </a:stretch>
                              </pic:blipFill>
                              <pic:spPr>
                                <a:xfrm>
                                  <a:off x="0" y="0"/>
                                  <a:ext cx="2223770" cy="1119505"/>
                                </a:xfrm>
                                <a:prstGeom prst="rect">
                                  <a:avLst/>
                                </a:prstGeom>
                                <a:noFill/>
                                <a:ln w="9525">
                                  <a:noFill/>
                                  <a:miter lim="800000"/>
                                  <a:headEnd/>
                                  <a:tailEnd/>
                                </a:ln>
                              </pic:spPr>
                            </pic:pic>
                          </a:graphicData>
                        </a:graphic>
                      </wp:inline>
                    </w:drawing>
                  </w:r>
                </w:p>
              </w:tc>
              <w:tc>
                <w:tcPr>
                  <w:tcW w:w="2478" w:type="pct"/>
                </w:tcPr>
                <w:p w14:paraId="04FDDCD7">
                  <w:pPr>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kern w:val="0"/>
                      <w:szCs w:val="21"/>
                    </w:rPr>
                    <w:drawing>
                      <wp:inline distT="0" distB="0" distL="0" distR="0">
                        <wp:extent cx="1170305" cy="1170305"/>
                        <wp:effectExtent l="0" t="0" r="10795" b="10795"/>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noChangeArrowheads="1"/>
                                </pic:cNvPicPr>
                              </pic:nvPicPr>
                              <pic:blipFill>
                                <a:blip r:embed="rId23"/>
                                <a:srcRect/>
                                <a:stretch>
                                  <a:fillRect/>
                                </a:stretch>
                              </pic:blipFill>
                              <pic:spPr>
                                <a:xfrm>
                                  <a:off x="0" y="0"/>
                                  <a:ext cx="1170305" cy="1170305"/>
                                </a:xfrm>
                                <a:prstGeom prst="rect">
                                  <a:avLst/>
                                </a:prstGeom>
                                <a:noFill/>
                                <a:ln w="9525">
                                  <a:noFill/>
                                  <a:miter lim="800000"/>
                                  <a:headEnd/>
                                  <a:tailEnd/>
                                </a:ln>
                              </pic:spPr>
                            </pic:pic>
                          </a:graphicData>
                        </a:graphic>
                      </wp:inline>
                    </w:drawing>
                  </w:r>
                </w:p>
              </w:tc>
            </w:tr>
            <w:tr w14:paraId="22E7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2" w:type="pct"/>
                </w:tcPr>
                <w:p w14:paraId="6645ECBC">
                  <w:pPr>
                    <w:jc w:val="center"/>
                    <w:rPr>
                      <w:rFonts w:hint="default" w:ascii="Times New Roman" w:hAnsi="Times New Roman" w:cs="Times New Roman"/>
                      <w:color w:val="auto"/>
                    </w:rPr>
                  </w:pPr>
                  <w:r>
                    <w:rPr>
                      <w:rFonts w:hint="default" w:ascii="Times New Roman" w:hAnsi="Times New Roman" w:cs="Times New Roman"/>
                      <w:color w:val="auto"/>
                    </w:rPr>
                    <w:t>废气排放口标识标牌</w:t>
                  </w:r>
                </w:p>
              </w:tc>
              <w:tc>
                <w:tcPr>
                  <w:tcW w:w="2478" w:type="pct"/>
                </w:tcPr>
                <w:p w14:paraId="5DAE313E">
                  <w:pPr>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rPr>
                    <w:t>一般固废暂存区标识标牌</w:t>
                  </w:r>
                </w:p>
              </w:tc>
            </w:tr>
          </w:tbl>
          <w:p w14:paraId="2AA58934">
            <w:pPr>
              <w:pStyle w:val="52"/>
              <w:rPr>
                <w:rFonts w:hint="default" w:ascii="Times New Roman" w:hAnsi="Times New Roman" w:cs="Times New Roman"/>
                <w:color w:val="auto"/>
              </w:rPr>
            </w:pPr>
            <w:r>
              <w:rPr>
                <w:rFonts w:hint="default" w:ascii="Times New Roman" w:hAnsi="Times New Roman" w:cs="Times New Roman"/>
                <w:color w:val="auto"/>
              </w:rPr>
              <w:t>图5-1    环境保护图形标志牌</w:t>
            </w:r>
          </w:p>
          <w:p w14:paraId="1694E802">
            <w:pPr>
              <w:pStyle w:val="53"/>
              <w:jc w:val="left"/>
              <w:rPr>
                <w:rFonts w:hint="default" w:ascii="Times New Roman" w:hAnsi="Times New Roman" w:cs="Times New Roman"/>
                <w:b/>
                <w:color w:val="auto"/>
              </w:rPr>
            </w:pPr>
            <w:r>
              <w:rPr>
                <w:rFonts w:hint="default" w:ascii="Times New Roman" w:hAnsi="Times New Roman" w:cs="Times New Roman"/>
                <w:b/>
                <w:color w:val="auto"/>
              </w:rPr>
              <w:t>5、竣工环境保护验收计划</w:t>
            </w:r>
          </w:p>
          <w:p w14:paraId="6656E603">
            <w:pPr>
              <w:pStyle w:val="53"/>
              <w:keepNext w:val="0"/>
              <w:keepLines w:val="0"/>
              <w:pageBreakBefore w:val="0"/>
              <w:widowControl w:val="0"/>
              <w:kinsoku/>
              <w:wordWrap/>
              <w:overflowPunct/>
              <w:topLinePunct w:val="0"/>
              <w:autoSpaceDE/>
              <w:autoSpaceDN/>
              <w:bidi w:val="0"/>
              <w:adjustRightInd w:val="0"/>
              <w:snapToGrid w:val="0"/>
              <w:ind w:firstLine="420" w:firstLineChars="200"/>
              <w:jc w:val="both"/>
              <w:textAlignment w:val="auto"/>
              <w:rPr>
                <w:rFonts w:hint="default" w:ascii="Times New Roman" w:hAnsi="Times New Roman" w:cs="Times New Roman"/>
                <w:color w:val="auto"/>
              </w:rPr>
            </w:pPr>
            <w:r>
              <w:rPr>
                <w:rFonts w:hint="default" w:ascii="Times New Roman" w:hAnsi="Times New Roman" w:cs="Times New Roman"/>
                <w:color w:val="auto"/>
              </w:rPr>
              <w:t>根据《建设项目竣工环境保护验收暂行办法》的公告“国环规环评〔2017〕4号”，第四条 建设单位是建设项目竣工环境保护验收的责任主体，应当按照本办法规定的程序和标准，组织对配套建设的环境保护设施进行竣工环境保护验收，编制竣工环境保护验收报告，公开相关信息，接受社会监督，确保新建项目需要配套建设的环境保护设施与主体工程同时投产或者使用，并对验收内容、结论和所公开信息的真实性、准确性和完整性负责，不得在验收过程中弄虚作假。</w:t>
            </w:r>
          </w:p>
        </w:tc>
      </w:tr>
    </w:tbl>
    <w:p w14:paraId="2D42BACA">
      <w:pPr>
        <w:pStyle w:val="16"/>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8443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14:paraId="29DC0653">
            <w:pPr>
              <w:pStyle w:val="51"/>
              <w:ind w:firstLine="480"/>
              <w:rPr>
                <w:rFonts w:hint="default" w:ascii="Times New Roman" w:hAnsi="Times New Roman" w:cs="Times New Roman"/>
                <w:color w:val="auto"/>
              </w:rPr>
            </w:pPr>
            <w:r>
              <w:rPr>
                <w:rFonts w:hint="default" w:ascii="Times New Roman" w:hAnsi="Times New Roman" w:cs="Times New Roman"/>
                <w:color w:val="auto"/>
              </w:rPr>
              <w:t>本项目符合国家和地方相关产业政策；项目建成有利于当地的经济发展和增加就业机会；项目产生的环境影响包括废气、废水、噪声、固体废物等，在采取环评提出的防治措施后，这些环境影响可以得到有效控制，废气、噪声可以做到达标排放，</w:t>
            </w:r>
            <w:r>
              <w:rPr>
                <w:rFonts w:hint="eastAsia" w:cs="Times New Roman"/>
                <w:color w:val="auto"/>
                <w:lang w:val="en-US" w:eastAsia="zh-CN"/>
              </w:rPr>
              <w:t>废水不外排，固废处置率100%，</w:t>
            </w:r>
            <w:r>
              <w:rPr>
                <w:rFonts w:hint="default" w:ascii="Times New Roman" w:hAnsi="Times New Roman" w:cs="Times New Roman"/>
                <w:color w:val="auto"/>
              </w:rPr>
              <w:t>不会对周围环境产生显著的影响；项目选址合理；项目建设不会降低所在区域环境功能。</w:t>
            </w:r>
          </w:p>
          <w:p w14:paraId="1287679B">
            <w:pPr>
              <w:pStyle w:val="51"/>
              <w:ind w:firstLine="480"/>
              <w:rPr>
                <w:rFonts w:hint="default" w:ascii="Times New Roman" w:hAnsi="Times New Roman" w:cs="Times New Roman"/>
                <w:color w:val="auto"/>
              </w:rPr>
            </w:pPr>
            <w:r>
              <w:rPr>
                <w:rFonts w:hint="default" w:ascii="Times New Roman" w:hAnsi="Times New Roman" w:cs="Times New Roman"/>
                <w:color w:val="auto"/>
              </w:rPr>
              <w:t>项目采取的污染防治措施经济、技术可行，项目建成后满足当地环境质量要求。只要本项目严格</w:t>
            </w:r>
            <w:r>
              <w:rPr>
                <w:rFonts w:hint="eastAsia" w:cs="Times New Roman"/>
                <w:color w:val="auto"/>
                <w:lang w:val="en-US" w:eastAsia="zh-CN"/>
              </w:rPr>
              <w:t>执行本报告</w:t>
            </w:r>
            <w:r>
              <w:rPr>
                <w:rFonts w:hint="default" w:ascii="Times New Roman" w:hAnsi="Times New Roman" w:cs="Times New Roman"/>
                <w:color w:val="auto"/>
              </w:rPr>
              <w:t>提出的</w:t>
            </w:r>
            <w:r>
              <w:rPr>
                <w:rFonts w:hint="eastAsia" w:cs="Times New Roman"/>
                <w:color w:val="auto"/>
                <w:lang w:val="en-US" w:eastAsia="zh-CN"/>
              </w:rPr>
              <w:t>污染防治</w:t>
            </w:r>
            <w:r>
              <w:rPr>
                <w:rFonts w:hint="default" w:ascii="Times New Roman" w:hAnsi="Times New Roman" w:cs="Times New Roman"/>
                <w:color w:val="auto"/>
              </w:rPr>
              <w:t>措施，在执行“三同时”和污染物达标排放的前提下，本项目的建设从环保角度是可行的。</w:t>
            </w:r>
          </w:p>
          <w:p w14:paraId="2773E684">
            <w:pPr>
              <w:pStyle w:val="51"/>
              <w:ind w:firstLine="480"/>
              <w:rPr>
                <w:rFonts w:hint="default" w:ascii="Times New Roman" w:hAnsi="Times New Roman" w:cs="Times New Roman"/>
                <w:color w:val="auto"/>
              </w:rPr>
            </w:pPr>
          </w:p>
          <w:p w14:paraId="35CA2AEB">
            <w:pPr>
              <w:pStyle w:val="51"/>
              <w:ind w:firstLine="480"/>
              <w:rPr>
                <w:rFonts w:hint="default" w:ascii="Times New Roman" w:hAnsi="Times New Roman" w:cs="Times New Roman"/>
                <w:color w:val="auto"/>
              </w:rPr>
            </w:pPr>
          </w:p>
          <w:p w14:paraId="585C789B">
            <w:pPr>
              <w:pStyle w:val="51"/>
              <w:ind w:firstLine="480"/>
              <w:rPr>
                <w:rFonts w:hint="default" w:ascii="Times New Roman" w:hAnsi="Times New Roman" w:cs="Times New Roman"/>
                <w:color w:val="auto"/>
              </w:rPr>
            </w:pPr>
          </w:p>
          <w:p w14:paraId="793A6C2C">
            <w:pPr>
              <w:pStyle w:val="51"/>
              <w:ind w:firstLine="480"/>
              <w:rPr>
                <w:rFonts w:hint="default" w:ascii="Times New Roman" w:hAnsi="Times New Roman" w:cs="Times New Roman"/>
                <w:color w:val="auto"/>
              </w:rPr>
            </w:pPr>
          </w:p>
          <w:p w14:paraId="1BA57240">
            <w:pPr>
              <w:pStyle w:val="51"/>
              <w:ind w:firstLine="480"/>
              <w:rPr>
                <w:rFonts w:hint="default" w:ascii="Times New Roman" w:hAnsi="Times New Roman" w:cs="Times New Roman"/>
                <w:color w:val="auto"/>
              </w:rPr>
            </w:pPr>
          </w:p>
          <w:p w14:paraId="1DEFA9F2">
            <w:pPr>
              <w:pStyle w:val="51"/>
              <w:ind w:firstLine="480"/>
              <w:rPr>
                <w:rFonts w:hint="default" w:ascii="Times New Roman" w:hAnsi="Times New Roman" w:cs="Times New Roman"/>
                <w:color w:val="auto"/>
              </w:rPr>
            </w:pPr>
          </w:p>
          <w:p w14:paraId="0FBC8F80">
            <w:pPr>
              <w:pStyle w:val="51"/>
              <w:ind w:firstLine="480"/>
              <w:rPr>
                <w:rFonts w:hint="default" w:ascii="Times New Roman" w:hAnsi="Times New Roman" w:cs="Times New Roman"/>
                <w:color w:val="auto"/>
              </w:rPr>
            </w:pPr>
          </w:p>
          <w:p w14:paraId="062B8A9C">
            <w:pPr>
              <w:pStyle w:val="51"/>
              <w:ind w:firstLine="480"/>
              <w:rPr>
                <w:rFonts w:hint="default" w:ascii="Times New Roman" w:hAnsi="Times New Roman" w:cs="Times New Roman"/>
                <w:color w:val="auto"/>
              </w:rPr>
            </w:pPr>
          </w:p>
          <w:p w14:paraId="28FE0EF2">
            <w:pPr>
              <w:pStyle w:val="51"/>
              <w:ind w:firstLine="480"/>
              <w:rPr>
                <w:rFonts w:hint="default" w:ascii="Times New Roman" w:hAnsi="Times New Roman" w:cs="Times New Roman"/>
                <w:color w:val="auto"/>
              </w:rPr>
            </w:pPr>
          </w:p>
          <w:p w14:paraId="0A1C68CD">
            <w:pPr>
              <w:spacing w:line="360" w:lineRule="auto"/>
              <w:rPr>
                <w:rFonts w:hint="default" w:ascii="Times New Roman" w:hAnsi="Times New Roman" w:cs="Times New Roman"/>
                <w:color w:val="auto"/>
                <w:sz w:val="24"/>
              </w:rPr>
            </w:pPr>
          </w:p>
          <w:p w14:paraId="2A31E455">
            <w:pPr>
              <w:spacing w:line="360" w:lineRule="auto"/>
              <w:rPr>
                <w:rFonts w:hint="default" w:ascii="Times New Roman" w:hAnsi="Times New Roman" w:cs="Times New Roman"/>
                <w:color w:val="auto"/>
                <w:sz w:val="24"/>
              </w:rPr>
            </w:pPr>
          </w:p>
          <w:p w14:paraId="758A4EC6">
            <w:pPr>
              <w:spacing w:line="360" w:lineRule="auto"/>
              <w:rPr>
                <w:rFonts w:hint="default" w:ascii="Times New Roman" w:hAnsi="Times New Roman" w:cs="Times New Roman"/>
                <w:color w:val="auto"/>
                <w:sz w:val="24"/>
              </w:rPr>
            </w:pPr>
          </w:p>
          <w:p w14:paraId="4A5DFD58">
            <w:pPr>
              <w:spacing w:line="360" w:lineRule="auto"/>
              <w:rPr>
                <w:rFonts w:hint="default" w:ascii="Times New Roman" w:hAnsi="Times New Roman" w:cs="Times New Roman"/>
                <w:color w:val="auto"/>
                <w:sz w:val="24"/>
              </w:rPr>
            </w:pPr>
          </w:p>
          <w:p w14:paraId="34F97A17">
            <w:pPr>
              <w:spacing w:line="360" w:lineRule="auto"/>
              <w:rPr>
                <w:rFonts w:hint="default" w:ascii="Times New Roman" w:hAnsi="Times New Roman" w:cs="Times New Roman"/>
                <w:color w:val="auto"/>
                <w:sz w:val="24"/>
              </w:rPr>
            </w:pPr>
          </w:p>
          <w:p w14:paraId="60843CDE">
            <w:pPr>
              <w:spacing w:line="360" w:lineRule="auto"/>
              <w:rPr>
                <w:rFonts w:hint="default" w:ascii="Times New Roman" w:hAnsi="Times New Roman" w:cs="Times New Roman"/>
                <w:color w:val="auto"/>
                <w:sz w:val="24"/>
              </w:rPr>
            </w:pPr>
          </w:p>
          <w:p w14:paraId="16454ACA">
            <w:pPr>
              <w:spacing w:line="360" w:lineRule="auto"/>
              <w:rPr>
                <w:rFonts w:hint="default" w:ascii="Times New Roman" w:hAnsi="Times New Roman" w:cs="Times New Roman"/>
                <w:color w:val="auto"/>
                <w:sz w:val="24"/>
              </w:rPr>
            </w:pPr>
          </w:p>
          <w:p w14:paraId="6FBF06BF">
            <w:pPr>
              <w:spacing w:line="360" w:lineRule="auto"/>
              <w:rPr>
                <w:rFonts w:hint="default" w:ascii="Times New Roman" w:hAnsi="Times New Roman" w:cs="Times New Roman"/>
                <w:color w:val="auto"/>
                <w:sz w:val="24"/>
              </w:rPr>
            </w:pPr>
          </w:p>
          <w:p w14:paraId="4806BDCB">
            <w:pPr>
              <w:spacing w:line="360" w:lineRule="auto"/>
              <w:rPr>
                <w:rFonts w:hint="default" w:ascii="Times New Roman" w:hAnsi="Times New Roman" w:cs="Times New Roman"/>
                <w:color w:val="auto"/>
                <w:sz w:val="24"/>
              </w:rPr>
            </w:pPr>
          </w:p>
          <w:p w14:paraId="62D38504">
            <w:pPr>
              <w:spacing w:line="360" w:lineRule="auto"/>
              <w:rPr>
                <w:rFonts w:hint="default" w:ascii="Times New Roman" w:hAnsi="Times New Roman" w:cs="Times New Roman"/>
                <w:color w:val="auto"/>
                <w:sz w:val="24"/>
              </w:rPr>
            </w:pPr>
          </w:p>
          <w:p w14:paraId="26CABAAE">
            <w:pPr>
              <w:spacing w:line="360" w:lineRule="auto"/>
              <w:rPr>
                <w:rFonts w:hint="default" w:ascii="Times New Roman" w:hAnsi="Times New Roman" w:cs="Times New Roman"/>
                <w:color w:val="auto"/>
                <w:sz w:val="24"/>
              </w:rPr>
            </w:pPr>
          </w:p>
        </w:tc>
      </w:tr>
    </w:tbl>
    <w:p w14:paraId="0DB8B2F3">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8CA119D">
      <w:pPr>
        <w:pStyle w:val="16"/>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14:paraId="22CDE8BF">
      <w:pPr>
        <w:pStyle w:val="16"/>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2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2126"/>
        <w:gridCol w:w="1418"/>
        <w:gridCol w:w="1134"/>
        <w:gridCol w:w="1559"/>
        <w:gridCol w:w="1559"/>
        <w:gridCol w:w="1701"/>
        <w:gridCol w:w="2126"/>
        <w:gridCol w:w="1286"/>
      </w:tblGrid>
      <w:tr w14:paraId="561E7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79" w:type="dxa"/>
            <w:tcBorders>
              <w:tl2br w:val="single" w:color="auto" w:sz="4" w:space="0"/>
            </w:tcBorders>
            <w:tcMar>
              <w:left w:w="28" w:type="dxa"/>
              <w:right w:w="28" w:type="dxa"/>
            </w:tcMar>
            <w:vAlign w:val="center"/>
          </w:tcPr>
          <w:p w14:paraId="101EF10F">
            <w:pPr>
              <w:pStyle w:val="50"/>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47A11405">
            <w:pPr>
              <w:pStyle w:val="50"/>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2126" w:type="dxa"/>
            <w:tcMar>
              <w:left w:w="28" w:type="dxa"/>
              <w:right w:w="28" w:type="dxa"/>
            </w:tcMar>
            <w:vAlign w:val="center"/>
          </w:tcPr>
          <w:p w14:paraId="5B211B22">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418" w:type="dxa"/>
            <w:tcMar>
              <w:left w:w="28" w:type="dxa"/>
              <w:right w:w="28" w:type="dxa"/>
            </w:tcMar>
            <w:vAlign w:val="center"/>
          </w:tcPr>
          <w:p w14:paraId="19538DB7">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43CCF22A">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134" w:type="dxa"/>
            <w:tcMar>
              <w:left w:w="28" w:type="dxa"/>
              <w:right w:w="28" w:type="dxa"/>
            </w:tcMar>
            <w:vAlign w:val="center"/>
          </w:tcPr>
          <w:p w14:paraId="09AD936D">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6F058977">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162A8587">
            <w:pPr>
              <w:pStyle w:val="50"/>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14:paraId="32D8AD64">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7E361080">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tcMar>
              <w:left w:w="28" w:type="dxa"/>
              <w:right w:w="28" w:type="dxa"/>
            </w:tcMar>
            <w:vAlign w:val="center"/>
          </w:tcPr>
          <w:p w14:paraId="530F2581">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5BC53C4C">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01" w:type="dxa"/>
            <w:tcMar>
              <w:left w:w="28" w:type="dxa"/>
              <w:right w:w="28" w:type="dxa"/>
            </w:tcMar>
            <w:vAlign w:val="center"/>
          </w:tcPr>
          <w:p w14:paraId="65286AFF">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78DF77CF">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2126" w:type="dxa"/>
            <w:tcMar>
              <w:left w:w="28" w:type="dxa"/>
              <w:right w:w="28" w:type="dxa"/>
            </w:tcMar>
            <w:vAlign w:val="center"/>
          </w:tcPr>
          <w:p w14:paraId="5484814E">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3BEF8933">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286" w:type="dxa"/>
            <w:tcMar>
              <w:left w:w="28" w:type="dxa"/>
              <w:right w:w="28" w:type="dxa"/>
            </w:tcMar>
            <w:vAlign w:val="center"/>
          </w:tcPr>
          <w:p w14:paraId="73F8BA18">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34AB1ABB">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2A4806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restart"/>
            <w:vAlign w:val="center"/>
          </w:tcPr>
          <w:p w14:paraId="1BAE1DC3">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2126" w:type="dxa"/>
            <w:vAlign w:val="center"/>
          </w:tcPr>
          <w:p w14:paraId="1B933E97">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颗粒物</w:t>
            </w:r>
          </w:p>
        </w:tc>
        <w:tc>
          <w:tcPr>
            <w:tcW w:w="1418" w:type="dxa"/>
            <w:vAlign w:val="center"/>
          </w:tcPr>
          <w:p w14:paraId="4E5F2090">
            <w:pPr>
              <w:pStyle w:val="50"/>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0.938t/a</w:t>
            </w:r>
          </w:p>
        </w:tc>
        <w:tc>
          <w:tcPr>
            <w:tcW w:w="1134" w:type="dxa"/>
            <w:vAlign w:val="center"/>
          </w:tcPr>
          <w:p w14:paraId="7CC80D5F">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lang w:val="en-US" w:eastAsia="zh-CN"/>
              </w:rPr>
              <w:t>0</w:t>
            </w:r>
          </w:p>
        </w:tc>
        <w:tc>
          <w:tcPr>
            <w:tcW w:w="1559" w:type="dxa"/>
            <w:vAlign w:val="center"/>
          </w:tcPr>
          <w:p w14:paraId="37C3CDB1">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default" w:ascii="Times New Roman" w:hAnsi="Times New Roman" w:cs="Times New Roman"/>
                <w:snapToGrid w:val="0"/>
                <w:color w:val="auto"/>
                <w:kern w:val="21"/>
                <w:szCs w:val="21"/>
                <w:highlight w:val="none"/>
              </w:rPr>
              <w:t>/</w:t>
            </w:r>
          </w:p>
        </w:tc>
        <w:tc>
          <w:tcPr>
            <w:tcW w:w="1559" w:type="dxa"/>
            <w:vAlign w:val="center"/>
          </w:tcPr>
          <w:p w14:paraId="227F91A5">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1.5001</w:t>
            </w:r>
            <w:r>
              <w:rPr>
                <w:rFonts w:hint="default" w:ascii="Times New Roman" w:cs="Times New Roman"/>
                <w:snapToGrid w:val="0"/>
                <w:color w:val="auto"/>
                <w:kern w:val="21"/>
                <w:szCs w:val="21"/>
                <w:highlight w:val="none"/>
                <w:lang w:val="en-US" w:eastAsia="zh-CN"/>
              </w:rPr>
              <w:t>t/a</w:t>
            </w:r>
          </w:p>
        </w:tc>
        <w:tc>
          <w:tcPr>
            <w:tcW w:w="1701" w:type="dxa"/>
            <w:vAlign w:val="center"/>
          </w:tcPr>
          <w:p w14:paraId="62395869">
            <w:pPr>
              <w:pStyle w:val="50"/>
              <w:spacing w:beforeLines="0" w:afterLines="0" w:line="240" w:lineRule="auto"/>
              <w:rPr>
                <w:rFonts w:hint="default" w:ascii="Times New Roman" w:hAnsi="Times New Roman" w:eastAsia="宋体" w:cs="Times New Roman"/>
                <w:snapToGrid w:val="0"/>
                <w:color w:val="auto"/>
                <w:kern w:val="21"/>
                <w:szCs w:val="21"/>
                <w:highlight w:val="none"/>
                <w:lang w:eastAsia="zh-CN"/>
              </w:rPr>
            </w:pPr>
            <w:r>
              <w:rPr>
                <w:rFonts w:hint="default" w:ascii="Times New Roman" w:hAnsi="Times New Roman" w:cs="Times New Roman"/>
                <w:snapToGrid w:val="0"/>
                <w:color w:val="auto"/>
                <w:kern w:val="21"/>
                <w:szCs w:val="21"/>
                <w:highlight w:val="none"/>
                <w:lang w:val="en-US" w:eastAsia="zh-CN"/>
              </w:rPr>
              <w:t>0</w:t>
            </w:r>
          </w:p>
        </w:tc>
        <w:tc>
          <w:tcPr>
            <w:tcW w:w="2126" w:type="dxa"/>
            <w:vAlign w:val="center"/>
          </w:tcPr>
          <w:p w14:paraId="686EED4E">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2.4381</w:t>
            </w:r>
            <w:r>
              <w:rPr>
                <w:rFonts w:hint="default" w:ascii="Times New Roman" w:cs="Times New Roman"/>
                <w:snapToGrid w:val="0"/>
                <w:color w:val="auto"/>
                <w:kern w:val="21"/>
                <w:szCs w:val="21"/>
                <w:highlight w:val="none"/>
                <w:lang w:val="en-US" w:eastAsia="zh-CN"/>
              </w:rPr>
              <w:t>t/a</w:t>
            </w:r>
          </w:p>
        </w:tc>
        <w:tc>
          <w:tcPr>
            <w:tcW w:w="1286" w:type="dxa"/>
            <w:vAlign w:val="center"/>
          </w:tcPr>
          <w:p w14:paraId="7F8F6198">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+1.5001</w:t>
            </w:r>
            <w:r>
              <w:rPr>
                <w:rFonts w:hint="default" w:ascii="Times New Roman" w:cs="Times New Roman"/>
                <w:snapToGrid w:val="0"/>
                <w:color w:val="auto"/>
                <w:kern w:val="21"/>
                <w:szCs w:val="21"/>
                <w:highlight w:val="none"/>
                <w:lang w:val="en-US" w:eastAsia="zh-CN"/>
              </w:rPr>
              <w:t>t/a</w:t>
            </w:r>
          </w:p>
        </w:tc>
      </w:tr>
      <w:tr w14:paraId="6EFEDB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continue"/>
            <w:vAlign w:val="center"/>
          </w:tcPr>
          <w:p w14:paraId="180B6635">
            <w:pPr>
              <w:pStyle w:val="50"/>
              <w:spacing w:beforeLines="0" w:afterLines="0" w:line="240" w:lineRule="auto"/>
              <w:rPr>
                <w:rFonts w:hint="default" w:ascii="Times New Roman" w:hAnsi="Times New Roman" w:cs="Times New Roman"/>
                <w:snapToGrid w:val="0"/>
                <w:color w:val="auto"/>
                <w:kern w:val="21"/>
                <w:szCs w:val="21"/>
              </w:rPr>
            </w:pPr>
          </w:p>
        </w:tc>
        <w:tc>
          <w:tcPr>
            <w:tcW w:w="2126" w:type="dxa"/>
            <w:vAlign w:val="center"/>
          </w:tcPr>
          <w:p w14:paraId="5E97CAE0">
            <w:pPr>
              <w:pStyle w:val="50"/>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非甲烷总烃</w:t>
            </w:r>
          </w:p>
        </w:tc>
        <w:tc>
          <w:tcPr>
            <w:tcW w:w="1418" w:type="dxa"/>
            <w:vAlign w:val="center"/>
          </w:tcPr>
          <w:p w14:paraId="25584477">
            <w:pPr>
              <w:pStyle w:val="50"/>
              <w:spacing w:beforeLines="0" w:afterLines="0" w:line="240" w:lineRule="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1134" w:type="dxa"/>
            <w:vAlign w:val="center"/>
          </w:tcPr>
          <w:p w14:paraId="516BD0E5">
            <w:pPr>
              <w:pStyle w:val="50"/>
              <w:spacing w:beforeLines="0" w:afterLines="0" w:line="240" w:lineRule="auto"/>
              <w:rPr>
                <w:rFonts w:hint="default" w:ascii="Times New Roman" w:hAnsi="Times New Roman"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0</w:t>
            </w:r>
          </w:p>
        </w:tc>
        <w:tc>
          <w:tcPr>
            <w:tcW w:w="1559" w:type="dxa"/>
            <w:vAlign w:val="center"/>
          </w:tcPr>
          <w:p w14:paraId="364372AD">
            <w:pPr>
              <w:pStyle w:val="50"/>
              <w:spacing w:beforeLines="0" w:afterLines="0" w:line="240" w:lineRule="auto"/>
              <w:rPr>
                <w:rFonts w:hint="eastAsia"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w:t>
            </w:r>
          </w:p>
        </w:tc>
        <w:tc>
          <w:tcPr>
            <w:tcW w:w="1559" w:type="dxa"/>
            <w:vAlign w:val="center"/>
          </w:tcPr>
          <w:p w14:paraId="47BCBD44">
            <w:pPr>
              <w:pStyle w:val="50"/>
              <w:spacing w:beforeLines="0" w:afterLines="0" w:line="240" w:lineRule="auto"/>
              <w:rPr>
                <w:rFonts w:hint="default" w:ascii="Times New Roman" w:hAnsi="Times New Roman" w:eastAsia="宋体" w:cs="Times New Roman"/>
                <w:snapToGrid w:val="0"/>
                <w:color w:val="auto"/>
                <w:kern w:val="21"/>
                <w:szCs w:val="21"/>
                <w:highlight w:val="none"/>
                <w:lang w:val="en-US" w:eastAsia="zh-CN"/>
              </w:rPr>
            </w:pPr>
            <w:r>
              <w:rPr>
                <w:rFonts w:hint="eastAsia" w:ascii="Times New Roman" w:cs="Times New Roman"/>
                <w:snapToGrid w:val="0"/>
                <w:color w:val="auto"/>
                <w:kern w:val="21"/>
                <w:szCs w:val="21"/>
                <w:highlight w:val="none"/>
                <w:lang w:val="en-US" w:eastAsia="zh-CN"/>
              </w:rPr>
              <w:t>1.9602t/a</w:t>
            </w:r>
          </w:p>
        </w:tc>
        <w:tc>
          <w:tcPr>
            <w:tcW w:w="1701" w:type="dxa"/>
            <w:vAlign w:val="center"/>
          </w:tcPr>
          <w:p w14:paraId="0450A963">
            <w:pPr>
              <w:pStyle w:val="50"/>
              <w:spacing w:beforeLines="0" w:afterLines="0" w:line="240" w:lineRule="auto"/>
              <w:rPr>
                <w:rFonts w:hint="default" w:ascii="Times New Roman" w:hAnsi="Times New Roman" w:cs="Times New Roman"/>
                <w:snapToGrid w:val="0"/>
                <w:color w:val="auto"/>
                <w:kern w:val="21"/>
                <w:szCs w:val="21"/>
                <w:highlight w:val="none"/>
                <w:lang w:val="en-US" w:eastAsia="zh-CN"/>
              </w:rPr>
            </w:pPr>
          </w:p>
        </w:tc>
        <w:tc>
          <w:tcPr>
            <w:tcW w:w="2126" w:type="dxa"/>
            <w:vAlign w:val="center"/>
          </w:tcPr>
          <w:p w14:paraId="608A1D04">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1.9602t/a</w:t>
            </w:r>
          </w:p>
        </w:tc>
        <w:tc>
          <w:tcPr>
            <w:tcW w:w="1286" w:type="dxa"/>
            <w:vAlign w:val="center"/>
          </w:tcPr>
          <w:p w14:paraId="6A01568D">
            <w:pPr>
              <w:pStyle w:val="50"/>
              <w:spacing w:beforeLines="0" w:afterLines="0" w:line="240" w:lineRule="auto"/>
              <w:rPr>
                <w:rFonts w:hint="default" w:ascii="Times New Roman" w:hAnsi="Times New Roman" w:cs="Times New Roman"/>
                <w:snapToGrid w:val="0"/>
                <w:color w:val="auto"/>
                <w:kern w:val="21"/>
                <w:szCs w:val="21"/>
                <w:highlight w:val="none"/>
              </w:rPr>
            </w:pPr>
            <w:r>
              <w:rPr>
                <w:rFonts w:hint="eastAsia" w:ascii="Times New Roman" w:cs="Times New Roman"/>
                <w:snapToGrid w:val="0"/>
                <w:color w:val="auto"/>
                <w:kern w:val="21"/>
                <w:szCs w:val="21"/>
                <w:highlight w:val="none"/>
                <w:lang w:val="en-US" w:eastAsia="zh-CN"/>
              </w:rPr>
              <w:t>+1.9602t/a</w:t>
            </w:r>
          </w:p>
        </w:tc>
      </w:tr>
      <w:tr w14:paraId="135EE8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79" w:type="dxa"/>
            <w:vAlign w:val="center"/>
          </w:tcPr>
          <w:p w14:paraId="0EF87450">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2126" w:type="dxa"/>
            <w:vAlign w:val="center"/>
          </w:tcPr>
          <w:p w14:paraId="53BED8CD">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生活污水</w:t>
            </w:r>
          </w:p>
        </w:tc>
        <w:tc>
          <w:tcPr>
            <w:tcW w:w="1418" w:type="dxa"/>
          </w:tcPr>
          <w:p w14:paraId="05F7DF76">
            <w:pPr>
              <w:pStyle w:val="53"/>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1134" w:type="dxa"/>
            <w:vAlign w:val="top"/>
          </w:tcPr>
          <w:p w14:paraId="6AC0EE0B">
            <w:pPr>
              <w:pStyle w:val="53"/>
              <w:ind w:firstLine="0" w:firstLineChars="0"/>
              <w:rPr>
                <w:rFonts w:hint="default" w:ascii="Times New Roman" w:hAnsi="Times New Roman" w:cs="Times New Roman"/>
                <w:color w:val="auto"/>
              </w:rPr>
            </w:pPr>
            <w:r>
              <w:rPr>
                <w:rFonts w:hint="default" w:ascii="Times New Roman" w:hAnsi="Times New Roman" w:cs="Times New Roman"/>
                <w:snapToGrid w:val="0"/>
                <w:color w:val="auto"/>
                <w:kern w:val="21"/>
                <w:lang w:val="en-US" w:eastAsia="zh-CN"/>
              </w:rPr>
              <w:t>0</w:t>
            </w:r>
          </w:p>
        </w:tc>
        <w:tc>
          <w:tcPr>
            <w:tcW w:w="1559" w:type="dxa"/>
          </w:tcPr>
          <w:p w14:paraId="6B11AF4B">
            <w:pPr>
              <w:pStyle w:val="53"/>
              <w:rPr>
                <w:rFonts w:hint="default" w:ascii="Times New Roman" w:hAnsi="Times New Roman" w:cs="Times New Roman"/>
                <w:color w:val="auto"/>
              </w:rPr>
            </w:pPr>
            <w:r>
              <w:rPr>
                <w:rFonts w:hint="default" w:ascii="Times New Roman" w:hAnsi="Times New Roman" w:cs="Times New Roman"/>
                <w:snapToGrid w:val="0"/>
                <w:color w:val="auto"/>
                <w:kern w:val="21"/>
              </w:rPr>
              <w:t>/</w:t>
            </w:r>
          </w:p>
        </w:tc>
        <w:tc>
          <w:tcPr>
            <w:tcW w:w="1559" w:type="dxa"/>
            <w:vAlign w:val="center"/>
          </w:tcPr>
          <w:p w14:paraId="2E3E0D74">
            <w:pPr>
              <w:pStyle w:val="50"/>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0</w:t>
            </w:r>
          </w:p>
        </w:tc>
        <w:tc>
          <w:tcPr>
            <w:tcW w:w="1701" w:type="dxa"/>
          </w:tcPr>
          <w:p w14:paraId="0F40D94A">
            <w:pPr>
              <w:pStyle w:val="53"/>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2126" w:type="dxa"/>
            <w:vAlign w:val="center"/>
          </w:tcPr>
          <w:p w14:paraId="7023CD16">
            <w:pPr>
              <w:pStyle w:val="50"/>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0</w:t>
            </w:r>
          </w:p>
        </w:tc>
        <w:tc>
          <w:tcPr>
            <w:tcW w:w="1286" w:type="dxa"/>
            <w:vAlign w:val="center"/>
          </w:tcPr>
          <w:p w14:paraId="35A84676">
            <w:pPr>
              <w:pStyle w:val="50"/>
              <w:spacing w:beforeLines="0" w:afterLines="0" w:line="240" w:lineRule="auto"/>
              <w:rPr>
                <w:rFonts w:hint="eastAsia" w:ascii="Times New Roman" w:hAnsi="Times New Roman" w:eastAsia="宋体" w:cs="Times New Roman"/>
                <w:snapToGrid w:val="0"/>
                <w:color w:val="auto"/>
                <w:kern w:val="21"/>
                <w:szCs w:val="21"/>
                <w:lang w:eastAsia="zh-CN"/>
              </w:rPr>
            </w:pPr>
            <w:r>
              <w:rPr>
                <w:rFonts w:hint="eastAsia" w:ascii="Times New Roman" w:cs="Times New Roman"/>
                <w:snapToGrid w:val="0"/>
                <w:color w:val="auto"/>
                <w:kern w:val="21"/>
                <w:szCs w:val="21"/>
                <w:lang w:val="en-US" w:eastAsia="zh-CN"/>
              </w:rPr>
              <w:t>0</w:t>
            </w:r>
          </w:p>
        </w:tc>
      </w:tr>
      <w:tr w14:paraId="7B208B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restart"/>
            <w:vAlign w:val="center"/>
          </w:tcPr>
          <w:p w14:paraId="21385C76">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一般工业固体废物</w:t>
            </w:r>
          </w:p>
        </w:tc>
        <w:tc>
          <w:tcPr>
            <w:tcW w:w="2126" w:type="dxa"/>
            <w:vAlign w:val="center"/>
          </w:tcPr>
          <w:p w14:paraId="14F9373A">
            <w:pPr>
              <w:pStyle w:val="53"/>
              <w:jc w:val="center"/>
              <w:rPr>
                <w:rFonts w:hint="default" w:ascii="Times New Roman" w:hAnsi="Times New Roman" w:cs="Times New Roman"/>
                <w:color w:val="auto"/>
              </w:rPr>
            </w:pPr>
            <w:r>
              <w:rPr>
                <w:rFonts w:hint="eastAsia"/>
                <w:color w:val="auto"/>
                <w:lang w:val="en-US" w:eastAsia="zh-CN"/>
              </w:rPr>
              <w:t>废包装袋</w:t>
            </w:r>
          </w:p>
        </w:tc>
        <w:tc>
          <w:tcPr>
            <w:tcW w:w="1418" w:type="dxa"/>
            <w:vAlign w:val="center"/>
          </w:tcPr>
          <w:p w14:paraId="09665E61">
            <w:pPr>
              <w:pStyle w:val="53"/>
              <w:jc w:val="center"/>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1134" w:type="dxa"/>
            <w:vAlign w:val="center"/>
          </w:tcPr>
          <w:p w14:paraId="15AB1370">
            <w:pPr>
              <w:pStyle w:val="53"/>
              <w:ind w:firstLine="0" w:firstLineChars="0"/>
              <w:jc w:val="center"/>
              <w:rPr>
                <w:rFonts w:hint="default" w:ascii="Times New Roman" w:hAnsi="Times New Roman" w:cs="Times New Roman"/>
                <w:color w:val="auto"/>
              </w:rPr>
            </w:pPr>
            <w:r>
              <w:rPr>
                <w:rFonts w:hint="default" w:ascii="Times New Roman" w:hAnsi="Times New Roman" w:cs="Times New Roman"/>
                <w:snapToGrid w:val="0"/>
                <w:color w:val="auto"/>
                <w:kern w:val="21"/>
                <w:lang w:val="en-US" w:eastAsia="zh-CN"/>
              </w:rPr>
              <w:t>0</w:t>
            </w:r>
          </w:p>
        </w:tc>
        <w:tc>
          <w:tcPr>
            <w:tcW w:w="1559" w:type="dxa"/>
            <w:vAlign w:val="center"/>
          </w:tcPr>
          <w:p w14:paraId="7FEF9068">
            <w:pPr>
              <w:pStyle w:val="53"/>
              <w:jc w:val="center"/>
              <w:rPr>
                <w:rFonts w:hint="default" w:ascii="Times New Roman" w:hAnsi="Times New Roman" w:cs="Times New Roman"/>
                <w:color w:val="auto"/>
              </w:rPr>
            </w:pPr>
            <w:r>
              <w:rPr>
                <w:rFonts w:hint="default" w:ascii="Times New Roman" w:hAnsi="Times New Roman" w:cs="Times New Roman"/>
                <w:snapToGrid w:val="0"/>
                <w:color w:val="auto"/>
                <w:kern w:val="21"/>
              </w:rPr>
              <w:t>/</w:t>
            </w:r>
          </w:p>
        </w:tc>
        <w:tc>
          <w:tcPr>
            <w:tcW w:w="1559" w:type="dxa"/>
            <w:vAlign w:val="center"/>
          </w:tcPr>
          <w:p w14:paraId="3297E8A6">
            <w:pPr>
              <w:pStyle w:val="53"/>
              <w:bidi w:val="0"/>
              <w:jc w:val="center"/>
              <w:rPr>
                <w:rFonts w:hint="default"/>
                <w:color w:val="auto"/>
                <w:lang w:val="en-US"/>
              </w:rPr>
            </w:pPr>
            <w:r>
              <w:rPr>
                <w:rFonts w:hint="eastAsia"/>
                <w:color w:val="auto"/>
                <w:lang w:val="en-US" w:eastAsia="zh-CN"/>
              </w:rPr>
              <w:t>0.5t/a</w:t>
            </w:r>
          </w:p>
        </w:tc>
        <w:tc>
          <w:tcPr>
            <w:tcW w:w="1701" w:type="dxa"/>
            <w:vAlign w:val="center"/>
          </w:tcPr>
          <w:p w14:paraId="037DC970">
            <w:pPr>
              <w:pStyle w:val="53"/>
              <w:jc w:val="center"/>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2126" w:type="dxa"/>
            <w:vAlign w:val="center"/>
          </w:tcPr>
          <w:p w14:paraId="5581C3FD">
            <w:pPr>
              <w:pStyle w:val="53"/>
              <w:bidi w:val="0"/>
              <w:jc w:val="center"/>
              <w:rPr>
                <w:rFonts w:hint="default"/>
                <w:color w:val="auto"/>
              </w:rPr>
            </w:pPr>
            <w:r>
              <w:rPr>
                <w:rFonts w:hint="eastAsia"/>
                <w:color w:val="auto"/>
                <w:lang w:val="en-US" w:eastAsia="zh-CN"/>
              </w:rPr>
              <w:t>0.5t/a</w:t>
            </w:r>
          </w:p>
        </w:tc>
        <w:tc>
          <w:tcPr>
            <w:tcW w:w="1286" w:type="dxa"/>
            <w:vAlign w:val="center"/>
          </w:tcPr>
          <w:p w14:paraId="6B11EE69">
            <w:pPr>
              <w:pStyle w:val="53"/>
              <w:bidi w:val="0"/>
              <w:jc w:val="center"/>
              <w:rPr>
                <w:rFonts w:hint="default"/>
                <w:color w:val="auto"/>
              </w:rPr>
            </w:pPr>
            <w:r>
              <w:rPr>
                <w:rFonts w:hint="eastAsia"/>
                <w:color w:val="auto"/>
                <w:lang w:val="en-US" w:eastAsia="zh-CN"/>
              </w:rPr>
              <w:t>+0.5t/a</w:t>
            </w:r>
          </w:p>
        </w:tc>
      </w:tr>
      <w:tr w14:paraId="031E9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continue"/>
            <w:vAlign w:val="center"/>
          </w:tcPr>
          <w:p w14:paraId="23C35875">
            <w:pPr>
              <w:pStyle w:val="50"/>
              <w:spacing w:beforeLines="0" w:afterLines="0" w:line="240" w:lineRule="auto"/>
              <w:rPr>
                <w:rFonts w:hint="default" w:ascii="Times New Roman" w:hAnsi="Times New Roman" w:cs="Times New Roman"/>
                <w:snapToGrid w:val="0"/>
                <w:color w:val="auto"/>
                <w:kern w:val="21"/>
                <w:szCs w:val="21"/>
              </w:rPr>
            </w:pPr>
          </w:p>
        </w:tc>
        <w:tc>
          <w:tcPr>
            <w:tcW w:w="2126" w:type="dxa"/>
            <w:vAlign w:val="center"/>
          </w:tcPr>
          <w:p w14:paraId="0DE23884">
            <w:pPr>
              <w:pStyle w:val="53"/>
              <w:jc w:val="center"/>
              <w:rPr>
                <w:rFonts w:hint="eastAsia"/>
                <w:color w:val="auto"/>
                <w:lang w:val="en-US" w:eastAsia="zh-CN"/>
              </w:rPr>
            </w:pPr>
            <w:r>
              <w:rPr>
                <w:rFonts w:hint="eastAsia"/>
                <w:color w:val="auto"/>
                <w:lang w:val="en-US" w:eastAsia="zh-CN"/>
              </w:rPr>
              <w:t>循环水收集箱沉渣</w:t>
            </w:r>
          </w:p>
        </w:tc>
        <w:tc>
          <w:tcPr>
            <w:tcW w:w="1418" w:type="dxa"/>
            <w:vAlign w:val="center"/>
          </w:tcPr>
          <w:p w14:paraId="41C77113">
            <w:pPr>
              <w:pStyle w:val="53"/>
              <w:jc w:val="center"/>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1134" w:type="dxa"/>
            <w:vAlign w:val="center"/>
          </w:tcPr>
          <w:p w14:paraId="6B03B3D1">
            <w:pPr>
              <w:pStyle w:val="53"/>
              <w:ind w:firstLine="0" w:firstLineChars="0"/>
              <w:jc w:val="center"/>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1559" w:type="dxa"/>
            <w:vAlign w:val="center"/>
          </w:tcPr>
          <w:p w14:paraId="678B1FA1">
            <w:pPr>
              <w:pStyle w:val="53"/>
              <w:jc w:val="center"/>
              <w:rPr>
                <w:rFonts w:hint="eastAsia" w:ascii="Times New Roman" w:hAnsi="Times New Roman" w:eastAsia="宋体" w:cs="Times New Roman"/>
                <w:snapToGrid w:val="0"/>
                <w:color w:val="auto"/>
                <w:kern w:val="21"/>
                <w:lang w:val="en-US" w:eastAsia="zh-CN"/>
              </w:rPr>
            </w:pPr>
            <w:r>
              <w:rPr>
                <w:rFonts w:hint="eastAsia" w:cs="Times New Roman"/>
                <w:snapToGrid w:val="0"/>
                <w:color w:val="auto"/>
                <w:kern w:val="21"/>
                <w:lang w:val="en-US" w:eastAsia="zh-CN"/>
              </w:rPr>
              <w:t>/</w:t>
            </w:r>
          </w:p>
        </w:tc>
        <w:tc>
          <w:tcPr>
            <w:tcW w:w="1559" w:type="dxa"/>
            <w:vAlign w:val="center"/>
          </w:tcPr>
          <w:p w14:paraId="6B31F540">
            <w:pPr>
              <w:pStyle w:val="53"/>
              <w:bidi w:val="0"/>
              <w:jc w:val="center"/>
              <w:rPr>
                <w:rFonts w:hint="default"/>
                <w:color w:val="auto"/>
                <w:lang w:val="en-US" w:eastAsia="zh-CN"/>
              </w:rPr>
            </w:pPr>
            <w:r>
              <w:rPr>
                <w:rFonts w:hint="eastAsia"/>
                <w:color w:val="auto"/>
                <w:lang w:val="en-US" w:eastAsia="zh-CN"/>
              </w:rPr>
              <w:t>0.005t/a</w:t>
            </w:r>
          </w:p>
        </w:tc>
        <w:tc>
          <w:tcPr>
            <w:tcW w:w="1701" w:type="dxa"/>
            <w:vAlign w:val="center"/>
          </w:tcPr>
          <w:p w14:paraId="749C6B95">
            <w:pPr>
              <w:pStyle w:val="53"/>
              <w:jc w:val="center"/>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2126" w:type="dxa"/>
            <w:vAlign w:val="center"/>
          </w:tcPr>
          <w:p w14:paraId="77D2F3AE">
            <w:pPr>
              <w:pStyle w:val="53"/>
              <w:bidi w:val="0"/>
              <w:jc w:val="center"/>
              <w:rPr>
                <w:rFonts w:hint="eastAsia"/>
                <w:color w:val="auto"/>
                <w:lang w:val="en-US" w:eastAsia="zh-CN"/>
              </w:rPr>
            </w:pPr>
            <w:r>
              <w:rPr>
                <w:rFonts w:hint="eastAsia"/>
                <w:color w:val="auto"/>
                <w:lang w:val="en-US" w:eastAsia="zh-CN"/>
              </w:rPr>
              <w:t>0.005t/a</w:t>
            </w:r>
          </w:p>
        </w:tc>
        <w:tc>
          <w:tcPr>
            <w:tcW w:w="1286" w:type="dxa"/>
            <w:vAlign w:val="center"/>
          </w:tcPr>
          <w:p w14:paraId="3280B1C7">
            <w:pPr>
              <w:pStyle w:val="53"/>
              <w:bidi w:val="0"/>
              <w:jc w:val="center"/>
              <w:rPr>
                <w:rFonts w:hint="default"/>
                <w:color w:val="auto"/>
                <w:lang w:val="en-US" w:eastAsia="zh-CN"/>
              </w:rPr>
            </w:pPr>
            <w:r>
              <w:rPr>
                <w:rFonts w:hint="eastAsia"/>
                <w:color w:val="auto"/>
                <w:lang w:val="en-US" w:eastAsia="zh-CN"/>
              </w:rPr>
              <w:t>+0.005t/a</w:t>
            </w:r>
          </w:p>
        </w:tc>
      </w:tr>
      <w:tr w14:paraId="4AD02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restart"/>
            <w:vAlign w:val="center"/>
          </w:tcPr>
          <w:p w14:paraId="5E5A2637">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2126" w:type="dxa"/>
            <w:vAlign w:val="center"/>
          </w:tcPr>
          <w:p w14:paraId="4F317DCC">
            <w:pPr>
              <w:pStyle w:val="53"/>
              <w:ind w:firstLine="0" w:firstLineChars="0"/>
              <w:rPr>
                <w:rFonts w:hint="default" w:ascii="Times New Roman" w:hAnsi="Times New Roman" w:cs="Times New Roman"/>
                <w:color w:val="auto"/>
              </w:rPr>
            </w:pPr>
            <w:r>
              <w:rPr>
                <w:rFonts w:hint="default"/>
                <w:color w:val="auto"/>
              </w:rPr>
              <w:t>废活性炭</w:t>
            </w:r>
          </w:p>
        </w:tc>
        <w:tc>
          <w:tcPr>
            <w:tcW w:w="1418" w:type="dxa"/>
          </w:tcPr>
          <w:p w14:paraId="6C888D58">
            <w:pPr>
              <w:pStyle w:val="53"/>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1134" w:type="dxa"/>
            <w:vAlign w:val="top"/>
          </w:tcPr>
          <w:p w14:paraId="36E0B08B">
            <w:pPr>
              <w:pStyle w:val="53"/>
              <w:ind w:firstLine="0" w:firstLineChars="0"/>
              <w:rPr>
                <w:rFonts w:hint="default" w:ascii="Times New Roman" w:hAnsi="Times New Roman" w:cs="Times New Roman"/>
                <w:color w:val="auto"/>
              </w:rPr>
            </w:pPr>
            <w:r>
              <w:rPr>
                <w:rFonts w:hint="default" w:ascii="Times New Roman" w:hAnsi="Times New Roman" w:cs="Times New Roman"/>
                <w:snapToGrid w:val="0"/>
                <w:color w:val="auto"/>
                <w:kern w:val="21"/>
                <w:lang w:val="en-US" w:eastAsia="zh-CN"/>
              </w:rPr>
              <w:t>0</w:t>
            </w:r>
          </w:p>
        </w:tc>
        <w:tc>
          <w:tcPr>
            <w:tcW w:w="1559" w:type="dxa"/>
          </w:tcPr>
          <w:p w14:paraId="3F025D38">
            <w:pPr>
              <w:pStyle w:val="53"/>
              <w:rPr>
                <w:rFonts w:hint="default" w:ascii="Times New Roman" w:hAnsi="Times New Roman" w:cs="Times New Roman"/>
                <w:color w:val="auto"/>
              </w:rPr>
            </w:pPr>
            <w:r>
              <w:rPr>
                <w:rFonts w:hint="default" w:ascii="Times New Roman" w:hAnsi="Times New Roman" w:cs="Times New Roman"/>
                <w:snapToGrid w:val="0"/>
                <w:color w:val="auto"/>
                <w:kern w:val="21"/>
              </w:rPr>
              <w:t>/</w:t>
            </w:r>
          </w:p>
        </w:tc>
        <w:tc>
          <w:tcPr>
            <w:tcW w:w="1559" w:type="dxa"/>
            <w:vAlign w:val="center"/>
          </w:tcPr>
          <w:p w14:paraId="7C819E93">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szCs w:val="24"/>
                <w:highlight w:val="none"/>
                <w:lang w:val="en-US" w:eastAsia="zh-CN"/>
              </w:rPr>
              <w:t>3.85</w:t>
            </w:r>
            <w:r>
              <w:rPr>
                <w:rFonts w:hint="eastAsia"/>
                <w:color w:val="auto"/>
                <w:lang w:val="en-US" w:eastAsia="zh-CN"/>
              </w:rPr>
              <w:t>t/a</w:t>
            </w:r>
          </w:p>
        </w:tc>
        <w:tc>
          <w:tcPr>
            <w:tcW w:w="1701" w:type="dxa"/>
          </w:tcPr>
          <w:p w14:paraId="2D78D802">
            <w:pPr>
              <w:pStyle w:val="53"/>
              <w:rPr>
                <w:rFonts w:hint="default" w:ascii="Times New Roman" w:hAnsi="Times New Roman" w:eastAsia="宋体" w:cs="Times New Roman"/>
                <w:color w:val="auto"/>
                <w:lang w:eastAsia="zh-CN"/>
              </w:rPr>
            </w:pPr>
            <w:r>
              <w:rPr>
                <w:rFonts w:hint="default" w:ascii="Times New Roman" w:hAnsi="Times New Roman" w:cs="Times New Roman"/>
                <w:snapToGrid w:val="0"/>
                <w:color w:val="auto"/>
                <w:kern w:val="21"/>
                <w:lang w:val="en-US" w:eastAsia="zh-CN"/>
              </w:rPr>
              <w:t>0</w:t>
            </w:r>
          </w:p>
        </w:tc>
        <w:tc>
          <w:tcPr>
            <w:tcW w:w="2126" w:type="dxa"/>
            <w:vAlign w:val="center"/>
          </w:tcPr>
          <w:p w14:paraId="3FED2325">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szCs w:val="24"/>
                <w:highlight w:val="none"/>
                <w:lang w:val="en-US" w:eastAsia="zh-CN"/>
              </w:rPr>
              <w:t>3.85</w:t>
            </w:r>
            <w:r>
              <w:rPr>
                <w:rFonts w:hint="eastAsia"/>
                <w:color w:val="auto"/>
                <w:lang w:val="en-US" w:eastAsia="zh-CN"/>
              </w:rPr>
              <w:t>t/a</w:t>
            </w:r>
          </w:p>
        </w:tc>
        <w:tc>
          <w:tcPr>
            <w:tcW w:w="1286" w:type="dxa"/>
            <w:vAlign w:val="center"/>
          </w:tcPr>
          <w:p w14:paraId="7CDCE449">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lang w:val="en-US" w:eastAsia="zh-CN"/>
              </w:rPr>
              <w:t>+</w:t>
            </w:r>
            <w:r>
              <w:rPr>
                <w:rFonts w:hint="eastAsia" w:cs="Times New Roman"/>
                <w:color w:val="auto"/>
                <w:szCs w:val="24"/>
                <w:highlight w:val="none"/>
                <w:lang w:val="en-US" w:eastAsia="zh-CN"/>
              </w:rPr>
              <w:t>3.85</w:t>
            </w:r>
            <w:r>
              <w:rPr>
                <w:rFonts w:hint="eastAsia"/>
                <w:color w:val="auto"/>
                <w:lang w:val="en-US" w:eastAsia="zh-CN"/>
              </w:rPr>
              <w:t>t/a</w:t>
            </w:r>
          </w:p>
        </w:tc>
      </w:tr>
      <w:tr w14:paraId="18422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879" w:type="dxa"/>
            <w:vMerge w:val="continue"/>
            <w:vAlign w:val="center"/>
          </w:tcPr>
          <w:p w14:paraId="12FB6F48">
            <w:pPr>
              <w:pStyle w:val="50"/>
              <w:spacing w:beforeLines="0" w:afterLines="0" w:line="240" w:lineRule="auto"/>
              <w:rPr>
                <w:rFonts w:hint="default" w:ascii="Times New Roman" w:hAnsi="Times New Roman" w:cs="Times New Roman"/>
                <w:snapToGrid w:val="0"/>
                <w:color w:val="auto"/>
                <w:kern w:val="21"/>
                <w:szCs w:val="21"/>
              </w:rPr>
            </w:pPr>
          </w:p>
        </w:tc>
        <w:tc>
          <w:tcPr>
            <w:tcW w:w="2126" w:type="dxa"/>
            <w:vAlign w:val="center"/>
          </w:tcPr>
          <w:p w14:paraId="39FF0394">
            <w:pPr>
              <w:pStyle w:val="53"/>
              <w:ind w:firstLine="0" w:firstLineChars="0"/>
              <w:rPr>
                <w:rFonts w:hint="default" w:ascii="Times New Roman" w:hAnsi="Times New Roman" w:cs="Times New Roman"/>
                <w:color w:val="auto"/>
              </w:rPr>
            </w:pPr>
            <w:r>
              <w:rPr>
                <w:rFonts w:hint="eastAsia"/>
                <w:color w:val="auto"/>
                <w:lang w:val="en-US" w:eastAsia="zh-CN"/>
              </w:rPr>
              <w:t>过滤网残渣</w:t>
            </w:r>
          </w:p>
        </w:tc>
        <w:tc>
          <w:tcPr>
            <w:tcW w:w="1418" w:type="dxa"/>
          </w:tcPr>
          <w:p w14:paraId="5DBC05A4">
            <w:pPr>
              <w:pStyle w:val="53"/>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1134" w:type="dxa"/>
            <w:vAlign w:val="top"/>
          </w:tcPr>
          <w:p w14:paraId="4054A3BB">
            <w:pPr>
              <w:pStyle w:val="53"/>
              <w:ind w:firstLine="0" w:firstLineChars="0"/>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1559" w:type="dxa"/>
          </w:tcPr>
          <w:p w14:paraId="6ECD9481">
            <w:pPr>
              <w:pStyle w:val="53"/>
              <w:rPr>
                <w:rFonts w:hint="eastAsia" w:ascii="Times New Roman" w:hAnsi="Times New Roman" w:eastAsia="宋体" w:cs="Times New Roman"/>
                <w:snapToGrid w:val="0"/>
                <w:color w:val="auto"/>
                <w:kern w:val="21"/>
                <w:lang w:val="en-US" w:eastAsia="zh-CN"/>
              </w:rPr>
            </w:pPr>
            <w:r>
              <w:rPr>
                <w:rFonts w:hint="eastAsia" w:cs="Times New Roman"/>
                <w:snapToGrid w:val="0"/>
                <w:color w:val="auto"/>
                <w:kern w:val="21"/>
                <w:lang w:val="en-US" w:eastAsia="zh-CN"/>
              </w:rPr>
              <w:t>/</w:t>
            </w:r>
          </w:p>
        </w:tc>
        <w:tc>
          <w:tcPr>
            <w:tcW w:w="1559" w:type="dxa"/>
            <w:vAlign w:val="center"/>
          </w:tcPr>
          <w:p w14:paraId="7DD74286">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lang w:val="en-US" w:eastAsia="zh-CN"/>
              </w:rPr>
              <w:t>0.25</w:t>
            </w:r>
            <w:r>
              <w:rPr>
                <w:rFonts w:hint="eastAsia"/>
                <w:color w:val="auto"/>
                <w:lang w:val="en-US" w:eastAsia="zh-CN"/>
              </w:rPr>
              <w:t>t/a</w:t>
            </w:r>
          </w:p>
        </w:tc>
        <w:tc>
          <w:tcPr>
            <w:tcW w:w="1701" w:type="dxa"/>
          </w:tcPr>
          <w:p w14:paraId="3B327006">
            <w:pPr>
              <w:pStyle w:val="53"/>
              <w:rPr>
                <w:rFonts w:hint="default" w:ascii="Times New Roman" w:hAnsi="Times New Roman" w:cs="Times New Roman"/>
                <w:snapToGrid w:val="0"/>
                <w:color w:val="auto"/>
                <w:kern w:val="21"/>
                <w:lang w:val="en-US" w:eastAsia="zh-CN"/>
              </w:rPr>
            </w:pPr>
            <w:r>
              <w:rPr>
                <w:rFonts w:hint="eastAsia" w:cs="Times New Roman"/>
                <w:snapToGrid w:val="0"/>
                <w:color w:val="auto"/>
                <w:kern w:val="21"/>
                <w:lang w:val="en-US" w:eastAsia="zh-CN"/>
              </w:rPr>
              <w:t>0</w:t>
            </w:r>
          </w:p>
        </w:tc>
        <w:tc>
          <w:tcPr>
            <w:tcW w:w="2126" w:type="dxa"/>
            <w:vAlign w:val="center"/>
          </w:tcPr>
          <w:p w14:paraId="020B35DE">
            <w:pPr>
              <w:pStyle w:val="53"/>
              <w:ind w:firstLine="0" w:firstLineChars="0"/>
              <w:rPr>
                <w:rFonts w:hint="default" w:ascii="Times New Roman" w:hAnsi="Times New Roman" w:cs="Times New Roman"/>
                <w:snapToGrid w:val="0"/>
                <w:color w:val="auto"/>
                <w:kern w:val="21"/>
                <w:szCs w:val="21"/>
              </w:rPr>
            </w:pPr>
            <w:r>
              <w:rPr>
                <w:rFonts w:hint="eastAsia" w:cs="Times New Roman"/>
                <w:color w:val="auto"/>
                <w:lang w:val="en-US" w:eastAsia="zh-CN"/>
              </w:rPr>
              <w:t>0.25</w:t>
            </w:r>
            <w:r>
              <w:rPr>
                <w:rFonts w:hint="eastAsia"/>
                <w:color w:val="auto"/>
                <w:lang w:val="en-US" w:eastAsia="zh-CN"/>
              </w:rPr>
              <w:t>t/a</w:t>
            </w:r>
          </w:p>
        </w:tc>
        <w:tc>
          <w:tcPr>
            <w:tcW w:w="1286" w:type="dxa"/>
            <w:vAlign w:val="center"/>
          </w:tcPr>
          <w:p w14:paraId="68673ED8">
            <w:pPr>
              <w:pStyle w:val="53"/>
              <w:ind w:firstLine="0" w:firstLineChars="0"/>
              <w:rPr>
                <w:rFonts w:hint="default" w:ascii="Times New Roman" w:hAnsi="Times New Roman" w:cs="Times New Roman"/>
                <w:snapToGrid w:val="0"/>
                <w:color w:val="auto"/>
                <w:kern w:val="21"/>
                <w:szCs w:val="21"/>
                <w:lang w:val="en-US" w:eastAsia="zh-CN"/>
              </w:rPr>
            </w:pPr>
            <w:r>
              <w:rPr>
                <w:rFonts w:hint="eastAsia" w:cs="Times New Roman"/>
                <w:color w:val="auto"/>
                <w:lang w:val="en-US" w:eastAsia="zh-CN"/>
              </w:rPr>
              <w:t>+0.25</w:t>
            </w:r>
            <w:r>
              <w:rPr>
                <w:rFonts w:hint="eastAsia"/>
                <w:color w:val="auto"/>
                <w:lang w:val="en-US" w:eastAsia="zh-CN"/>
              </w:rPr>
              <w:t>t/a</w:t>
            </w:r>
          </w:p>
        </w:tc>
      </w:tr>
    </w:tbl>
    <w:p w14:paraId="44AF4E15">
      <w:pPr>
        <w:pStyle w:val="50"/>
        <w:spacing w:before="192" w:beforeLines="80" w:after="24" w:line="240" w:lineRule="auto"/>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新宋体-18030">
    <w:altName w:val="微软雅黑"/>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方正仿宋_GBK">
    <w:panose1 w:val="02000000000000000000"/>
    <w:charset w:val="86"/>
    <w:family w:val="auto"/>
    <w:pitch w:val="default"/>
    <w:sig w:usb0="00000001" w:usb1="080E0000" w:usb2="00000000" w:usb3="00000000" w:csb0="00040000" w:csb1="00000000"/>
  </w:font>
  <w:font w:name="Kingsoft Symbol">
    <w:panose1 w:val="0500010001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53F43">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27D77">
    <w:pPr>
      <w:pStyle w:val="14"/>
      <w:framePr w:wrap="around" w:vAnchor="text" w:hAnchor="margin" w:xAlign="center" w:y="1"/>
      <w:rPr>
        <w:rStyle w:val="24"/>
      </w:rPr>
    </w:pPr>
    <w:r>
      <w:fldChar w:fldCharType="begin"/>
    </w:r>
    <w:r>
      <w:rPr>
        <w:rStyle w:val="24"/>
      </w:rPr>
      <w:instrText xml:space="preserve">PAGE  </w:instrText>
    </w:r>
    <w:r>
      <w:fldChar w:fldCharType="end"/>
    </w:r>
  </w:p>
  <w:p w14:paraId="6BF392EC">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A335B">
    <w:pPr>
      <w:pStyle w:val="14"/>
      <w:framePr w:wrap="around" w:vAnchor="text" w:hAnchor="margin" w:xAlign="outside" w:y="1"/>
      <w:rPr>
        <w:rStyle w:val="24"/>
        <w:sz w:val="28"/>
        <w:szCs w:val="28"/>
      </w:rPr>
    </w:pPr>
    <w:r>
      <w:rPr>
        <w:rStyle w:val="24"/>
        <w:sz w:val="28"/>
        <w:szCs w:val="28"/>
      </w:rPr>
      <w:t>—</w:t>
    </w:r>
    <w:r>
      <w:rPr>
        <w:rStyle w:val="24"/>
        <w:sz w:val="20"/>
      </w:rPr>
      <w:t xml:space="preserve">  </w:t>
    </w:r>
    <w:r>
      <w:rPr>
        <w:rStyle w:val="24"/>
        <w:sz w:val="26"/>
        <w:szCs w:val="26"/>
      </w:rPr>
      <w:fldChar w:fldCharType="begin"/>
    </w:r>
    <w:r>
      <w:rPr>
        <w:rStyle w:val="24"/>
        <w:sz w:val="26"/>
        <w:szCs w:val="26"/>
      </w:rPr>
      <w:instrText xml:space="preserve">PAGE  </w:instrText>
    </w:r>
    <w:r>
      <w:rPr>
        <w:rStyle w:val="24"/>
        <w:sz w:val="26"/>
        <w:szCs w:val="26"/>
      </w:rPr>
      <w:fldChar w:fldCharType="separate"/>
    </w:r>
    <w:r>
      <w:rPr>
        <w:rStyle w:val="24"/>
        <w:sz w:val="26"/>
        <w:szCs w:val="26"/>
      </w:rPr>
      <w:t>65</w:t>
    </w:r>
    <w:r>
      <w:rPr>
        <w:rStyle w:val="24"/>
        <w:sz w:val="26"/>
        <w:szCs w:val="26"/>
      </w:rPr>
      <w:fldChar w:fldCharType="end"/>
    </w:r>
    <w:r>
      <w:rPr>
        <w:rStyle w:val="24"/>
        <w:sz w:val="20"/>
      </w:rPr>
      <w:t xml:space="preserve">  </w:t>
    </w:r>
    <w:r>
      <w:rPr>
        <w:rStyle w:val="24"/>
        <w:sz w:val="28"/>
        <w:szCs w:val="28"/>
      </w:rPr>
      <w:t>—</w:t>
    </w:r>
  </w:p>
  <w:p w14:paraId="4C0CE5CA">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7F2C">
    <w:pPr>
      <w:pStyle w:val="14"/>
      <w:framePr w:wrap="around" w:vAnchor="text" w:hAnchor="margin" w:xAlign="outside" w:y="1"/>
      <w:rPr>
        <w:rStyle w:val="24"/>
        <w:sz w:val="28"/>
        <w:szCs w:val="28"/>
      </w:rPr>
    </w:pPr>
    <w:r>
      <w:rPr>
        <w:rStyle w:val="24"/>
        <w:rFonts w:hint="eastAsia" w:ascii="宋体" w:hAnsi="宋体"/>
        <w:sz w:val="28"/>
        <w:szCs w:val="28"/>
      </w:rPr>
      <w:t>—</w:t>
    </w:r>
    <w:r>
      <w:rPr>
        <w:rStyle w:val="24"/>
        <w:sz w:val="20"/>
      </w:rPr>
      <w:t xml:space="preserve">  </w:t>
    </w:r>
    <w:r>
      <w:rPr>
        <w:rStyle w:val="24"/>
        <w:sz w:val="26"/>
        <w:szCs w:val="26"/>
      </w:rPr>
      <w:fldChar w:fldCharType="begin"/>
    </w:r>
    <w:r>
      <w:rPr>
        <w:rStyle w:val="24"/>
        <w:sz w:val="26"/>
        <w:szCs w:val="26"/>
      </w:rPr>
      <w:instrText xml:space="preserve">PAGE  </w:instrText>
    </w:r>
    <w:r>
      <w:rPr>
        <w:rStyle w:val="24"/>
        <w:sz w:val="26"/>
        <w:szCs w:val="26"/>
      </w:rPr>
      <w:fldChar w:fldCharType="separate"/>
    </w:r>
    <w:r>
      <w:rPr>
        <w:rStyle w:val="24"/>
        <w:sz w:val="26"/>
        <w:szCs w:val="26"/>
      </w:rPr>
      <w:t>66</w:t>
    </w:r>
    <w:r>
      <w:rPr>
        <w:rStyle w:val="24"/>
        <w:sz w:val="26"/>
        <w:szCs w:val="26"/>
      </w:rPr>
      <w:fldChar w:fldCharType="end"/>
    </w:r>
    <w:r>
      <w:rPr>
        <w:rStyle w:val="24"/>
        <w:sz w:val="20"/>
      </w:rPr>
      <w:t xml:space="preserve">  </w:t>
    </w:r>
    <w:r>
      <w:rPr>
        <w:rStyle w:val="24"/>
        <w:sz w:val="28"/>
        <w:szCs w:val="28"/>
      </w:rPr>
      <w:t>—</w:t>
    </w:r>
  </w:p>
  <w:p w14:paraId="4B0F465B">
    <w:pPr>
      <w:pStyle w:val="14"/>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yMGRiMWUwYjA3MzY5NTdhNzY5OThmYmY4MjlhYjgifQ=="/>
  </w:docVars>
  <w:rsids>
    <w:rsidRoot w:val="00A14947"/>
    <w:rsid w:val="000060B3"/>
    <w:rsid w:val="0001200C"/>
    <w:rsid w:val="0001647A"/>
    <w:rsid w:val="00023430"/>
    <w:rsid w:val="00031C16"/>
    <w:rsid w:val="00040944"/>
    <w:rsid w:val="0004364B"/>
    <w:rsid w:val="00044248"/>
    <w:rsid w:val="00057661"/>
    <w:rsid w:val="00061B1F"/>
    <w:rsid w:val="00063B0A"/>
    <w:rsid w:val="00067245"/>
    <w:rsid w:val="000733C4"/>
    <w:rsid w:val="000734F4"/>
    <w:rsid w:val="00073DD6"/>
    <w:rsid w:val="00074783"/>
    <w:rsid w:val="00077DDA"/>
    <w:rsid w:val="0008070B"/>
    <w:rsid w:val="000810AC"/>
    <w:rsid w:val="00081A02"/>
    <w:rsid w:val="00082231"/>
    <w:rsid w:val="00092D38"/>
    <w:rsid w:val="0009377B"/>
    <w:rsid w:val="00096060"/>
    <w:rsid w:val="000A20C9"/>
    <w:rsid w:val="000A3FA5"/>
    <w:rsid w:val="000A7998"/>
    <w:rsid w:val="000B058F"/>
    <w:rsid w:val="000B3A36"/>
    <w:rsid w:val="000B4467"/>
    <w:rsid w:val="000B4DB9"/>
    <w:rsid w:val="000B657F"/>
    <w:rsid w:val="000B65C6"/>
    <w:rsid w:val="000C09AC"/>
    <w:rsid w:val="000C4FB8"/>
    <w:rsid w:val="000C767F"/>
    <w:rsid w:val="000D5A44"/>
    <w:rsid w:val="000D6567"/>
    <w:rsid w:val="000E000B"/>
    <w:rsid w:val="000E3ED2"/>
    <w:rsid w:val="000E42A0"/>
    <w:rsid w:val="000E6B46"/>
    <w:rsid w:val="000F1628"/>
    <w:rsid w:val="000F56C8"/>
    <w:rsid w:val="001134B2"/>
    <w:rsid w:val="00130723"/>
    <w:rsid w:val="00131F42"/>
    <w:rsid w:val="00135046"/>
    <w:rsid w:val="001357F1"/>
    <w:rsid w:val="00140FA8"/>
    <w:rsid w:val="00142FEB"/>
    <w:rsid w:val="00143A2D"/>
    <w:rsid w:val="00145A41"/>
    <w:rsid w:val="00151675"/>
    <w:rsid w:val="0015274B"/>
    <w:rsid w:val="001558DD"/>
    <w:rsid w:val="00157435"/>
    <w:rsid w:val="00167286"/>
    <w:rsid w:val="0017504D"/>
    <w:rsid w:val="001756BB"/>
    <w:rsid w:val="0017671A"/>
    <w:rsid w:val="00177422"/>
    <w:rsid w:val="001820AB"/>
    <w:rsid w:val="001838D1"/>
    <w:rsid w:val="00184590"/>
    <w:rsid w:val="00185203"/>
    <w:rsid w:val="001870D1"/>
    <w:rsid w:val="0018781E"/>
    <w:rsid w:val="001922FE"/>
    <w:rsid w:val="0019262D"/>
    <w:rsid w:val="001943C7"/>
    <w:rsid w:val="00196D49"/>
    <w:rsid w:val="001A13F4"/>
    <w:rsid w:val="001A1B35"/>
    <w:rsid w:val="001A48A2"/>
    <w:rsid w:val="001A4CC1"/>
    <w:rsid w:val="001A5094"/>
    <w:rsid w:val="001A6F61"/>
    <w:rsid w:val="001B4FD8"/>
    <w:rsid w:val="001B6403"/>
    <w:rsid w:val="001B67DD"/>
    <w:rsid w:val="001B6C8E"/>
    <w:rsid w:val="001B72B8"/>
    <w:rsid w:val="001C1B73"/>
    <w:rsid w:val="001C69B3"/>
    <w:rsid w:val="001D36F1"/>
    <w:rsid w:val="001D4206"/>
    <w:rsid w:val="001D5595"/>
    <w:rsid w:val="001D7874"/>
    <w:rsid w:val="001D7F22"/>
    <w:rsid w:val="001F0F17"/>
    <w:rsid w:val="001F3347"/>
    <w:rsid w:val="001F45BC"/>
    <w:rsid w:val="001F5544"/>
    <w:rsid w:val="001F69E4"/>
    <w:rsid w:val="002124A2"/>
    <w:rsid w:val="002125B4"/>
    <w:rsid w:val="00212E8F"/>
    <w:rsid w:val="00213CF6"/>
    <w:rsid w:val="00213E84"/>
    <w:rsid w:val="002155B8"/>
    <w:rsid w:val="002208EE"/>
    <w:rsid w:val="00223D72"/>
    <w:rsid w:val="00224839"/>
    <w:rsid w:val="002249B2"/>
    <w:rsid w:val="00226574"/>
    <w:rsid w:val="002278EC"/>
    <w:rsid w:val="00227EEF"/>
    <w:rsid w:val="0023280E"/>
    <w:rsid w:val="002377D1"/>
    <w:rsid w:val="002409EF"/>
    <w:rsid w:val="002428C7"/>
    <w:rsid w:val="00242BB7"/>
    <w:rsid w:val="00244342"/>
    <w:rsid w:val="00245E30"/>
    <w:rsid w:val="0024758E"/>
    <w:rsid w:val="002503FF"/>
    <w:rsid w:val="002506BC"/>
    <w:rsid w:val="00254345"/>
    <w:rsid w:val="00256CF5"/>
    <w:rsid w:val="0026296B"/>
    <w:rsid w:val="00264557"/>
    <w:rsid w:val="00266563"/>
    <w:rsid w:val="0027081D"/>
    <w:rsid w:val="002768B3"/>
    <w:rsid w:val="002805AB"/>
    <w:rsid w:val="00280F64"/>
    <w:rsid w:val="00284204"/>
    <w:rsid w:val="00291187"/>
    <w:rsid w:val="00291773"/>
    <w:rsid w:val="002A168C"/>
    <w:rsid w:val="002A3DC7"/>
    <w:rsid w:val="002B49E2"/>
    <w:rsid w:val="002B7B00"/>
    <w:rsid w:val="002B7C44"/>
    <w:rsid w:val="002C2B17"/>
    <w:rsid w:val="002C361F"/>
    <w:rsid w:val="002C4047"/>
    <w:rsid w:val="002C5243"/>
    <w:rsid w:val="002D091A"/>
    <w:rsid w:val="002D2DEB"/>
    <w:rsid w:val="002D3DD0"/>
    <w:rsid w:val="002E1F3A"/>
    <w:rsid w:val="002E298A"/>
    <w:rsid w:val="002E300F"/>
    <w:rsid w:val="002E5C58"/>
    <w:rsid w:val="002F72EB"/>
    <w:rsid w:val="00300C71"/>
    <w:rsid w:val="00301978"/>
    <w:rsid w:val="003024E0"/>
    <w:rsid w:val="0030332C"/>
    <w:rsid w:val="003051C2"/>
    <w:rsid w:val="00312296"/>
    <w:rsid w:val="00314F0E"/>
    <w:rsid w:val="00320047"/>
    <w:rsid w:val="00321D8E"/>
    <w:rsid w:val="003236D3"/>
    <w:rsid w:val="00325928"/>
    <w:rsid w:val="00330A20"/>
    <w:rsid w:val="00332863"/>
    <w:rsid w:val="0033684D"/>
    <w:rsid w:val="00336AE5"/>
    <w:rsid w:val="00337B42"/>
    <w:rsid w:val="00341B42"/>
    <w:rsid w:val="0034348F"/>
    <w:rsid w:val="00344027"/>
    <w:rsid w:val="00351184"/>
    <w:rsid w:val="003518B8"/>
    <w:rsid w:val="0035599C"/>
    <w:rsid w:val="00356653"/>
    <w:rsid w:val="0035743F"/>
    <w:rsid w:val="00357BE2"/>
    <w:rsid w:val="0036170C"/>
    <w:rsid w:val="00363002"/>
    <w:rsid w:val="00363AC2"/>
    <w:rsid w:val="00363F21"/>
    <w:rsid w:val="00366E0F"/>
    <w:rsid w:val="00374350"/>
    <w:rsid w:val="00375EF7"/>
    <w:rsid w:val="003806AC"/>
    <w:rsid w:val="00381A72"/>
    <w:rsid w:val="00384676"/>
    <w:rsid w:val="0038640A"/>
    <w:rsid w:val="00390857"/>
    <w:rsid w:val="00391E08"/>
    <w:rsid w:val="003A493B"/>
    <w:rsid w:val="003A4BF3"/>
    <w:rsid w:val="003B420D"/>
    <w:rsid w:val="003B6925"/>
    <w:rsid w:val="003B7448"/>
    <w:rsid w:val="003C2656"/>
    <w:rsid w:val="003C3A7F"/>
    <w:rsid w:val="003C6C16"/>
    <w:rsid w:val="003D0F9D"/>
    <w:rsid w:val="003D36CD"/>
    <w:rsid w:val="003D4291"/>
    <w:rsid w:val="003D7674"/>
    <w:rsid w:val="003D794D"/>
    <w:rsid w:val="003E1168"/>
    <w:rsid w:val="003E3058"/>
    <w:rsid w:val="003E7097"/>
    <w:rsid w:val="003E76A9"/>
    <w:rsid w:val="003F0809"/>
    <w:rsid w:val="003F2C04"/>
    <w:rsid w:val="003F2DC2"/>
    <w:rsid w:val="003F5A58"/>
    <w:rsid w:val="003F6A8C"/>
    <w:rsid w:val="003F755C"/>
    <w:rsid w:val="00401735"/>
    <w:rsid w:val="0040195F"/>
    <w:rsid w:val="004041D5"/>
    <w:rsid w:val="00406F01"/>
    <w:rsid w:val="00407815"/>
    <w:rsid w:val="00414E27"/>
    <w:rsid w:val="00416D50"/>
    <w:rsid w:val="00416FD5"/>
    <w:rsid w:val="00417772"/>
    <w:rsid w:val="00420E6A"/>
    <w:rsid w:val="00421B0B"/>
    <w:rsid w:val="00425A9E"/>
    <w:rsid w:val="00426D6B"/>
    <w:rsid w:val="00431E6C"/>
    <w:rsid w:val="00433CE7"/>
    <w:rsid w:val="00440AF0"/>
    <w:rsid w:val="00443246"/>
    <w:rsid w:val="004439ED"/>
    <w:rsid w:val="004479E5"/>
    <w:rsid w:val="00452738"/>
    <w:rsid w:val="0045349B"/>
    <w:rsid w:val="0045528E"/>
    <w:rsid w:val="00456091"/>
    <w:rsid w:val="00466321"/>
    <w:rsid w:val="00467328"/>
    <w:rsid w:val="004675B6"/>
    <w:rsid w:val="0047654B"/>
    <w:rsid w:val="00484B9B"/>
    <w:rsid w:val="004855F6"/>
    <w:rsid w:val="0048661E"/>
    <w:rsid w:val="00494670"/>
    <w:rsid w:val="004979DE"/>
    <w:rsid w:val="004A0A28"/>
    <w:rsid w:val="004A1DD5"/>
    <w:rsid w:val="004A26E4"/>
    <w:rsid w:val="004A2B99"/>
    <w:rsid w:val="004A3823"/>
    <w:rsid w:val="004B53CD"/>
    <w:rsid w:val="004B5D48"/>
    <w:rsid w:val="004C049F"/>
    <w:rsid w:val="004C404F"/>
    <w:rsid w:val="004C4091"/>
    <w:rsid w:val="004C42B8"/>
    <w:rsid w:val="004D0E55"/>
    <w:rsid w:val="004D67E5"/>
    <w:rsid w:val="004D7944"/>
    <w:rsid w:val="004E4D89"/>
    <w:rsid w:val="004E6946"/>
    <w:rsid w:val="004F1540"/>
    <w:rsid w:val="004F1AD8"/>
    <w:rsid w:val="005039CB"/>
    <w:rsid w:val="0050558F"/>
    <w:rsid w:val="00506000"/>
    <w:rsid w:val="00506286"/>
    <w:rsid w:val="00510813"/>
    <w:rsid w:val="00511990"/>
    <w:rsid w:val="00511DE0"/>
    <w:rsid w:val="00513352"/>
    <w:rsid w:val="00514870"/>
    <w:rsid w:val="00514B9B"/>
    <w:rsid w:val="00517F02"/>
    <w:rsid w:val="00524303"/>
    <w:rsid w:val="00524B8F"/>
    <w:rsid w:val="005258A2"/>
    <w:rsid w:val="00533102"/>
    <w:rsid w:val="005401AE"/>
    <w:rsid w:val="0054025B"/>
    <w:rsid w:val="00540AA3"/>
    <w:rsid w:val="00542E07"/>
    <w:rsid w:val="00544424"/>
    <w:rsid w:val="00545424"/>
    <w:rsid w:val="00546993"/>
    <w:rsid w:val="0055468E"/>
    <w:rsid w:val="00554A7B"/>
    <w:rsid w:val="0055572C"/>
    <w:rsid w:val="00560255"/>
    <w:rsid w:val="005605FF"/>
    <w:rsid w:val="00560CB8"/>
    <w:rsid w:val="0056106A"/>
    <w:rsid w:val="00563BB0"/>
    <w:rsid w:val="005720AE"/>
    <w:rsid w:val="00576C2D"/>
    <w:rsid w:val="00580072"/>
    <w:rsid w:val="005906C1"/>
    <w:rsid w:val="00591C2A"/>
    <w:rsid w:val="00593718"/>
    <w:rsid w:val="00593800"/>
    <w:rsid w:val="00594D77"/>
    <w:rsid w:val="005969E4"/>
    <w:rsid w:val="005A06B7"/>
    <w:rsid w:val="005A1759"/>
    <w:rsid w:val="005A68A7"/>
    <w:rsid w:val="005B24B1"/>
    <w:rsid w:val="005C714D"/>
    <w:rsid w:val="005D128F"/>
    <w:rsid w:val="005D14C1"/>
    <w:rsid w:val="005D32FB"/>
    <w:rsid w:val="005D36AB"/>
    <w:rsid w:val="005D5553"/>
    <w:rsid w:val="005E1AA5"/>
    <w:rsid w:val="005E3999"/>
    <w:rsid w:val="005F0ED9"/>
    <w:rsid w:val="005F509A"/>
    <w:rsid w:val="005F7CD5"/>
    <w:rsid w:val="00603EC2"/>
    <w:rsid w:val="00610106"/>
    <w:rsid w:val="00611F4B"/>
    <w:rsid w:val="00613857"/>
    <w:rsid w:val="00615B43"/>
    <w:rsid w:val="00617CC3"/>
    <w:rsid w:val="00624944"/>
    <w:rsid w:val="006377A6"/>
    <w:rsid w:val="00637A3D"/>
    <w:rsid w:val="006411EF"/>
    <w:rsid w:val="00651086"/>
    <w:rsid w:val="00653B3D"/>
    <w:rsid w:val="00655B0D"/>
    <w:rsid w:val="00664278"/>
    <w:rsid w:val="00666451"/>
    <w:rsid w:val="00667D00"/>
    <w:rsid w:val="00671214"/>
    <w:rsid w:val="006748B8"/>
    <w:rsid w:val="00677391"/>
    <w:rsid w:val="006775C3"/>
    <w:rsid w:val="00685C0F"/>
    <w:rsid w:val="0069173A"/>
    <w:rsid w:val="00691D42"/>
    <w:rsid w:val="0069290A"/>
    <w:rsid w:val="006968FC"/>
    <w:rsid w:val="00696EE5"/>
    <w:rsid w:val="0069735D"/>
    <w:rsid w:val="0069775A"/>
    <w:rsid w:val="00697813"/>
    <w:rsid w:val="006A0FB5"/>
    <w:rsid w:val="006A3EE8"/>
    <w:rsid w:val="006A72BF"/>
    <w:rsid w:val="006B03F2"/>
    <w:rsid w:val="006B3001"/>
    <w:rsid w:val="006B37DC"/>
    <w:rsid w:val="006B4F68"/>
    <w:rsid w:val="006B7C29"/>
    <w:rsid w:val="006C0592"/>
    <w:rsid w:val="006C22DF"/>
    <w:rsid w:val="006C272E"/>
    <w:rsid w:val="006C5479"/>
    <w:rsid w:val="006C760F"/>
    <w:rsid w:val="006D13B5"/>
    <w:rsid w:val="006E05DD"/>
    <w:rsid w:val="006E12FF"/>
    <w:rsid w:val="006E607E"/>
    <w:rsid w:val="00703CC8"/>
    <w:rsid w:val="00704994"/>
    <w:rsid w:val="00705101"/>
    <w:rsid w:val="00706C5D"/>
    <w:rsid w:val="00714FD6"/>
    <w:rsid w:val="00715E4F"/>
    <w:rsid w:val="0072740F"/>
    <w:rsid w:val="00732922"/>
    <w:rsid w:val="00732EB6"/>
    <w:rsid w:val="00733FED"/>
    <w:rsid w:val="00735FC7"/>
    <w:rsid w:val="00740B78"/>
    <w:rsid w:val="00744C7E"/>
    <w:rsid w:val="0075049F"/>
    <w:rsid w:val="0075162E"/>
    <w:rsid w:val="00753D7A"/>
    <w:rsid w:val="00754034"/>
    <w:rsid w:val="00756556"/>
    <w:rsid w:val="00756E2C"/>
    <w:rsid w:val="007577AA"/>
    <w:rsid w:val="00757B9E"/>
    <w:rsid w:val="007618C4"/>
    <w:rsid w:val="00767980"/>
    <w:rsid w:val="00770B19"/>
    <w:rsid w:val="00770B4F"/>
    <w:rsid w:val="007734FC"/>
    <w:rsid w:val="0077463F"/>
    <w:rsid w:val="00775B97"/>
    <w:rsid w:val="0077752C"/>
    <w:rsid w:val="00781115"/>
    <w:rsid w:val="007836EA"/>
    <w:rsid w:val="007841A8"/>
    <w:rsid w:val="00784CDA"/>
    <w:rsid w:val="007906C4"/>
    <w:rsid w:val="0079194E"/>
    <w:rsid w:val="007940EA"/>
    <w:rsid w:val="00795275"/>
    <w:rsid w:val="007967E8"/>
    <w:rsid w:val="007A2170"/>
    <w:rsid w:val="007A22BF"/>
    <w:rsid w:val="007A3323"/>
    <w:rsid w:val="007B5C35"/>
    <w:rsid w:val="007B72B8"/>
    <w:rsid w:val="007B7A58"/>
    <w:rsid w:val="007C21B5"/>
    <w:rsid w:val="007C3AE8"/>
    <w:rsid w:val="007C6CCA"/>
    <w:rsid w:val="007D1A27"/>
    <w:rsid w:val="007D30F4"/>
    <w:rsid w:val="007D552C"/>
    <w:rsid w:val="007D61F2"/>
    <w:rsid w:val="007E3623"/>
    <w:rsid w:val="007E4BD2"/>
    <w:rsid w:val="007E6F27"/>
    <w:rsid w:val="007F2330"/>
    <w:rsid w:val="007F6946"/>
    <w:rsid w:val="00801393"/>
    <w:rsid w:val="0080185E"/>
    <w:rsid w:val="00802843"/>
    <w:rsid w:val="00802F88"/>
    <w:rsid w:val="0081044A"/>
    <w:rsid w:val="0081293E"/>
    <w:rsid w:val="00815465"/>
    <w:rsid w:val="00817E9A"/>
    <w:rsid w:val="00817FD5"/>
    <w:rsid w:val="0082169F"/>
    <w:rsid w:val="008306BD"/>
    <w:rsid w:val="00831A80"/>
    <w:rsid w:val="00833743"/>
    <w:rsid w:val="008340A4"/>
    <w:rsid w:val="00835F1A"/>
    <w:rsid w:val="00837BDF"/>
    <w:rsid w:val="0084277E"/>
    <w:rsid w:val="00842DD1"/>
    <w:rsid w:val="008453E0"/>
    <w:rsid w:val="008505DE"/>
    <w:rsid w:val="0086662A"/>
    <w:rsid w:val="0087135F"/>
    <w:rsid w:val="00871E3B"/>
    <w:rsid w:val="00872D94"/>
    <w:rsid w:val="008734D5"/>
    <w:rsid w:val="008739E2"/>
    <w:rsid w:val="00875D14"/>
    <w:rsid w:val="00876623"/>
    <w:rsid w:val="00880364"/>
    <w:rsid w:val="00887E54"/>
    <w:rsid w:val="008911A9"/>
    <w:rsid w:val="00891592"/>
    <w:rsid w:val="00891E9E"/>
    <w:rsid w:val="00895F3B"/>
    <w:rsid w:val="008A213E"/>
    <w:rsid w:val="008A2F68"/>
    <w:rsid w:val="008B2193"/>
    <w:rsid w:val="008B4FA6"/>
    <w:rsid w:val="008B5282"/>
    <w:rsid w:val="008B7C17"/>
    <w:rsid w:val="008C0FB8"/>
    <w:rsid w:val="008C2D01"/>
    <w:rsid w:val="008C40E6"/>
    <w:rsid w:val="008D0F7A"/>
    <w:rsid w:val="008D3EB6"/>
    <w:rsid w:val="008D4B5E"/>
    <w:rsid w:val="008D68E4"/>
    <w:rsid w:val="008E0506"/>
    <w:rsid w:val="008E0CFF"/>
    <w:rsid w:val="008E2549"/>
    <w:rsid w:val="008E4C2F"/>
    <w:rsid w:val="008E5D6B"/>
    <w:rsid w:val="008E6A8A"/>
    <w:rsid w:val="008E76F0"/>
    <w:rsid w:val="008F00C0"/>
    <w:rsid w:val="008F15FE"/>
    <w:rsid w:val="008F1ECB"/>
    <w:rsid w:val="008F2D29"/>
    <w:rsid w:val="008F5187"/>
    <w:rsid w:val="008F60D8"/>
    <w:rsid w:val="008F69B5"/>
    <w:rsid w:val="00900C57"/>
    <w:rsid w:val="00902727"/>
    <w:rsid w:val="0090290C"/>
    <w:rsid w:val="0090312B"/>
    <w:rsid w:val="009077F8"/>
    <w:rsid w:val="009078D1"/>
    <w:rsid w:val="00914D8F"/>
    <w:rsid w:val="0091736D"/>
    <w:rsid w:val="0091759A"/>
    <w:rsid w:val="00922F97"/>
    <w:rsid w:val="00923726"/>
    <w:rsid w:val="00927D9C"/>
    <w:rsid w:val="0093037A"/>
    <w:rsid w:val="0094154D"/>
    <w:rsid w:val="0094652C"/>
    <w:rsid w:val="0095155F"/>
    <w:rsid w:val="00954429"/>
    <w:rsid w:val="009563CE"/>
    <w:rsid w:val="00963E9B"/>
    <w:rsid w:val="00964570"/>
    <w:rsid w:val="00965693"/>
    <w:rsid w:val="00967218"/>
    <w:rsid w:val="0096776E"/>
    <w:rsid w:val="00971BD8"/>
    <w:rsid w:val="00976328"/>
    <w:rsid w:val="0097680D"/>
    <w:rsid w:val="00980D94"/>
    <w:rsid w:val="00982438"/>
    <w:rsid w:val="00982565"/>
    <w:rsid w:val="0098404C"/>
    <w:rsid w:val="00985283"/>
    <w:rsid w:val="009862D4"/>
    <w:rsid w:val="00995992"/>
    <w:rsid w:val="009A013A"/>
    <w:rsid w:val="009A03E5"/>
    <w:rsid w:val="009A0F3B"/>
    <w:rsid w:val="009A1BB4"/>
    <w:rsid w:val="009A2628"/>
    <w:rsid w:val="009A3200"/>
    <w:rsid w:val="009A510B"/>
    <w:rsid w:val="009A7005"/>
    <w:rsid w:val="009B0897"/>
    <w:rsid w:val="009B7796"/>
    <w:rsid w:val="009B7BD9"/>
    <w:rsid w:val="009C0516"/>
    <w:rsid w:val="009C0F15"/>
    <w:rsid w:val="009C7DD5"/>
    <w:rsid w:val="009D0F78"/>
    <w:rsid w:val="009E0505"/>
    <w:rsid w:val="009E227D"/>
    <w:rsid w:val="009E5019"/>
    <w:rsid w:val="009E5FAA"/>
    <w:rsid w:val="009F77FE"/>
    <w:rsid w:val="00A04F1B"/>
    <w:rsid w:val="00A0501B"/>
    <w:rsid w:val="00A07130"/>
    <w:rsid w:val="00A073B1"/>
    <w:rsid w:val="00A11DB0"/>
    <w:rsid w:val="00A1313C"/>
    <w:rsid w:val="00A14947"/>
    <w:rsid w:val="00A2094F"/>
    <w:rsid w:val="00A21E3A"/>
    <w:rsid w:val="00A32249"/>
    <w:rsid w:val="00A32A83"/>
    <w:rsid w:val="00A368DB"/>
    <w:rsid w:val="00A423AA"/>
    <w:rsid w:val="00A423BD"/>
    <w:rsid w:val="00A43376"/>
    <w:rsid w:val="00A47D01"/>
    <w:rsid w:val="00A53EC6"/>
    <w:rsid w:val="00A5542D"/>
    <w:rsid w:val="00A55C0F"/>
    <w:rsid w:val="00A567E7"/>
    <w:rsid w:val="00A62135"/>
    <w:rsid w:val="00A63C4A"/>
    <w:rsid w:val="00A75CFE"/>
    <w:rsid w:val="00A764B4"/>
    <w:rsid w:val="00A7756D"/>
    <w:rsid w:val="00A817E4"/>
    <w:rsid w:val="00A81D64"/>
    <w:rsid w:val="00A830DD"/>
    <w:rsid w:val="00A837AA"/>
    <w:rsid w:val="00A8565C"/>
    <w:rsid w:val="00A8713F"/>
    <w:rsid w:val="00A900BD"/>
    <w:rsid w:val="00A90BA1"/>
    <w:rsid w:val="00A97A9A"/>
    <w:rsid w:val="00AA0671"/>
    <w:rsid w:val="00AA2531"/>
    <w:rsid w:val="00AA333A"/>
    <w:rsid w:val="00AB1E09"/>
    <w:rsid w:val="00AB28DC"/>
    <w:rsid w:val="00AB5330"/>
    <w:rsid w:val="00AB6F70"/>
    <w:rsid w:val="00AB7747"/>
    <w:rsid w:val="00AC14CE"/>
    <w:rsid w:val="00AC2A56"/>
    <w:rsid w:val="00AC7BEC"/>
    <w:rsid w:val="00AD055E"/>
    <w:rsid w:val="00AD47A7"/>
    <w:rsid w:val="00AD77F2"/>
    <w:rsid w:val="00AE00F5"/>
    <w:rsid w:val="00AF0AE7"/>
    <w:rsid w:val="00AF0CBF"/>
    <w:rsid w:val="00AF14A2"/>
    <w:rsid w:val="00AF257F"/>
    <w:rsid w:val="00AF33CF"/>
    <w:rsid w:val="00AF4D50"/>
    <w:rsid w:val="00AF6179"/>
    <w:rsid w:val="00AF6EAE"/>
    <w:rsid w:val="00B11D21"/>
    <w:rsid w:val="00B12213"/>
    <w:rsid w:val="00B1295A"/>
    <w:rsid w:val="00B158CC"/>
    <w:rsid w:val="00B16612"/>
    <w:rsid w:val="00B17686"/>
    <w:rsid w:val="00B209C5"/>
    <w:rsid w:val="00B20A45"/>
    <w:rsid w:val="00B22C5C"/>
    <w:rsid w:val="00B24F30"/>
    <w:rsid w:val="00B31ABF"/>
    <w:rsid w:val="00B33BE3"/>
    <w:rsid w:val="00B45BDE"/>
    <w:rsid w:val="00B53B5D"/>
    <w:rsid w:val="00B54F74"/>
    <w:rsid w:val="00B6055E"/>
    <w:rsid w:val="00B611AB"/>
    <w:rsid w:val="00B6317D"/>
    <w:rsid w:val="00B64D12"/>
    <w:rsid w:val="00B75D4C"/>
    <w:rsid w:val="00B7723F"/>
    <w:rsid w:val="00B80534"/>
    <w:rsid w:val="00B8433C"/>
    <w:rsid w:val="00B87491"/>
    <w:rsid w:val="00B95719"/>
    <w:rsid w:val="00BA027F"/>
    <w:rsid w:val="00BA29E9"/>
    <w:rsid w:val="00BA4272"/>
    <w:rsid w:val="00BA4B93"/>
    <w:rsid w:val="00BA7142"/>
    <w:rsid w:val="00BB237C"/>
    <w:rsid w:val="00BB41A3"/>
    <w:rsid w:val="00BC32DC"/>
    <w:rsid w:val="00BC35B6"/>
    <w:rsid w:val="00BC3DF3"/>
    <w:rsid w:val="00BD0449"/>
    <w:rsid w:val="00BD1B51"/>
    <w:rsid w:val="00BD4596"/>
    <w:rsid w:val="00BE1405"/>
    <w:rsid w:val="00BE29C3"/>
    <w:rsid w:val="00BE312D"/>
    <w:rsid w:val="00BE5B08"/>
    <w:rsid w:val="00BE6DE8"/>
    <w:rsid w:val="00BF0A87"/>
    <w:rsid w:val="00BF1C20"/>
    <w:rsid w:val="00BF4820"/>
    <w:rsid w:val="00C03D14"/>
    <w:rsid w:val="00C10578"/>
    <w:rsid w:val="00C135BC"/>
    <w:rsid w:val="00C15C95"/>
    <w:rsid w:val="00C16700"/>
    <w:rsid w:val="00C17BAA"/>
    <w:rsid w:val="00C24DBC"/>
    <w:rsid w:val="00C25916"/>
    <w:rsid w:val="00C2596A"/>
    <w:rsid w:val="00C27537"/>
    <w:rsid w:val="00C328FE"/>
    <w:rsid w:val="00C33507"/>
    <w:rsid w:val="00C37524"/>
    <w:rsid w:val="00C4409D"/>
    <w:rsid w:val="00C44E72"/>
    <w:rsid w:val="00C45A06"/>
    <w:rsid w:val="00C47D32"/>
    <w:rsid w:val="00C47E5B"/>
    <w:rsid w:val="00C60A79"/>
    <w:rsid w:val="00C614CD"/>
    <w:rsid w:val="00C61E4B"/>
    <w:rsid w:val="00C6233E"/>
    <w:rsid w:val="00C64BFF"/>
    <w:rsid w:val="00C65AC6"/>
    <w:rsid w:val="00C704E9"/>
    <w:rsid w:val="00C74037"/>
    <w:rsid w:val="00C74C72"/>
    <w:rsid w:val="00C75BA9"/>
    <w:rsid w:val="00C75EAF"/>
    <w:rsid w:val="00C763C9"/>
    <w:rsid w:val="00C80057"/>
    <w:rsid w:val="00C80CEC"/>
    <w:rsid w:val="00C81564"/>
    <w:rsid w:val="00C82232"/>
    <w:rsid w:val="00C82913"/>
    <w:rsid w:val="00C914E5"/>
    <w:rsid w:val="00C92643"/>
    <w:rsid w:val="00C92AFF"/>
    <w:rsid w:val="00C94C13"/>
    <w:rsid w:val="00C96D4A"/>
    <w:rsid w:val="00C972B1"/>
    <w:rsid w:val="00CA1AE0"/>
    <w:rsid w:val="00CA2CCE"/>
    <w:rsid w:val="00CA43FD"/>
    <w:rsid w:val="00CA559A"/>
    <w:rsid w:val="00CA7EF8"/>
    <w:rsid w:val="00CB00BB"/>
    <w:rsid w:val="00CB1BCA"/>
    <w:rsid w:val="00CB2E86"/>
    <w:rsid w:val="00CC489B"/>
    <w:rsid w:val="00CC6459"/>
    <w:rsid w:val="00CC6A22"/>
    <w:rsid w:val="00CD2BCD"/>
    <w:rsid w:val="00CD3A4C"/>
    <w:rsid w:val="00CD6902"/>
    <w:rsid w:val="00CE10E9"/>
    <w:rsid w:val="00CE1663"/>
    <w:rsid w:val="00CE199B"/>
    <w:rsid w:val="00CE2910"/>
    <w:rsid w:val="00CE5393"/>
    <w:rsid w:val="00CE7244"/>
    <w:rsid w:val="00CF36BE"/>
    <w:rsid w:val="00CF56F8"/>
    <w:rsid w:val="00CF6000"/>
    <w:rsid w:val="00D003F3"/>
    <w:rsid w:val="00D0364F"/>
    <w:rsid w:val="00D04B43"/>
    <w:rsid w:val="00D06834"/>
    <w:rsid w:val="00D12A7F"/>
    <w:rsid w:val="00D148E7"/>
    <w:rsid w:val="00D23AF6"/>
    <w:rsid w:val="00D266EC"/>
    <w:rsid w:val="00D268D9"/>
    <w:rsid w:val="00D308ED"/>
    <w:rsid w:val="00D3183D"/>
    <w:rsid w:val="00D31D84"/>
    <w:rsid w:val="00D32A7D"/>
    <w:rsid w:val="00D36D86"/>
    <w:rsid w:val="00D428AA"/>
    <w:rsid w:val="00D450AF"/>
    <w:rsid w:val="00D50A34"/>
    <w:rsid w:val="00D510C5"/>
    <w:rsid w:val="00D53CFF"/>
    <w:rsid w:val="00D53DA2"/>
    <w:rsid w:val="00D53EFA"/>
    <w:rsid w:val="00D55B87"/>
    <w:rsid w:val="00D56694"/>
    <w:rsid w:val="00D56EF8"/>
    <w:rsid w:val="00D571F7"/>
    <w:rsid w:val="00D64CBE"/>
    <w:rsid w:val="00D65816"/>
    <w:rsid w:val="00D741F0"/>
    <w:rsid w:val="00D746A3"/>
    <w:rsid w:val="00D8322A"/>
    <w:rsid w:val="00D83BE5"/>
    <w:rsid w:val="00D8493D"/>
    <w:rsid w:val="00D85695"/>
    <w:rsid w:val="00D85D30"/>
    <w:rsid w:val="00D86E29"/>
    <w:rsid w:val="00D94A7C"/>
    <w:rsid w:val="00D95896"/>
    <w:rsid w:val="00D9764A"/>
    <w:rsid w:val="00DA275C"/>
    <w:rsid w:val="00DA54A4"/>
    <w:rsid w:val="00DA72E1"/>
    <w:rsid w:val="00DB08AC"/>
    <w:rsid w:val="00DB2075"/>
    <w:rsid w:val="00DB2983"/>
    <w:rsid w:val="00DB34B1"/>
    <w:rsid w:val="00DB4289"/>
    <w:rsid w:val="00DC1257"/>
    <w:rsid w:val="00DC2D8F"/>
    <w:rsid w:val="00DC3DC0"/>
    <w:rsid w:val="00DC5B2B"/>
    <w:rsid w:val="00DD00A9"/>
    <w:rsid w:val="00DD318D"/>
    <w:rsid w:val="00DE5602"/>
    <w:rsid w:val="00DF2CDF"/>
    <w:rsid w:val="00DF2E12"/>
    <w:rsid w:val="00DF514A"/>
    <w:rsid w:val="00DF6690"/>
    <w:rsid w:val="00DF6804"/>
    <w:rsid w:val="00E0358D"/>
    <w:rsid w:val="00E04323"/>
    <w:rsid w:val="00E04E11"/>
    <w:rsid w:val="00E056AA"/>
    <w:rsid w:val="00E06F95"/>
    <w:rsid w:val="00E070A2"/>
    <w:rsid w:val="00E10D9A"/>
    <w:rsid w:val="00E11EB2"/>
    <w:rsid w:val="00E15B5F"/>
    <w:rsid w:val="00E20890"/>
    <w:rsid w:val="00E2656A"/>
    <w:rsid w:val="00E412D0"/>
    <w:rsid w:val="00E4328A"/>
    <w:rsid w:val="00E43BC5"/>
    <w:rsid w:val="00E47260"/>
    <w:rsid w:val="00E55C39"/>
    <w:rsid w:val="00E56322"/>
    <w:rsid w:val="00E60982"/>
    <w:rsid w:val="00E62C62"/>
    <w:rsid w:val="00E654C1"/>
    <w:rsid w:val="00E65D97"/>
    <w:rsid w:val="00E664D0"/>
    <w:rsid w:val="00E72A5A"/>
    <w:rsid w:val="00E732F0"/>
    <w:rsid w:val="00E73354"/>
    <w:rsid w:val="00E85CA3"/>
    <w:rsid w:val="00E86786"/>
    <w:rsid w:val="00E9242D"/>
    <w:rsid w:val="00E95279"/>
    <w:rsid w:val="00EA057B"/>
    <w:rsid w:val="00EA333E"/>
    <w:rsid w:val="00EA47C1"/>
    <w:rsid w:val="00EB2B3A"/>
    <w:rsid w:val="00EB36AB"/>
    <w:rsid w:val="00EB520C"/>
    <w:rsid w:val="00EB5255"/>
    <w:rsid w:val="00EB5C47"/>
    <w:rsid w:val="00EC53D0"/>
    <w:rsid w:val="00EC6ED0"/>
    <w:rsid w:val="00ED0639"/>
    <w:rsid w:val="00ED1113"/>
    <w:rsid w:val="00ED4338"/>
    <w:rsid w:val="00EE5B20"/>
    <w:rsid w:val="00EE6FBE"/>
    <w:rsid w:val="00EF4755"/>
    <w:rsid w:val="00EF671E"/>
    <w:rsid w:val="00EF7135"/>
    <w:rsid w:val="00F027DB"/>
    <w:rsid w:val="00F14A7A"/>
    <w:rsid w:val="00F14E0E"/>
    <w:rsid w:val="00F1625D"/>
    <w:rsid w:val="00F170E1"/>
    <w:rsid w:val="00F22985"/>
    <w:rsid w:val="00F30819"/>
    <w:rsid w:val="00F314B5"/>
    <w:rsid w:val="00F3383E"/>
    <w:rsid w:val="00F36B96"/>
    <w:rsid w:val="00F417B1"/>
    <w:rsid w:val="00F465A7"/>
    <w:rsid w:val="00F476CB"/>
    <w:rsid w:val="00F50B7C"/>
    <w:rsid w:val="00F550E6"/>
    <w:rsid w:val="00F576EB"/>
    <w:rsid w:val="00F6246F"/>
    <w:rsid w:val="00F70C51"/>
    <w:rsid w:val="00F74345"/>
    <w:rsid w:val="00F770B1"/>
    <w:rsid w:val="00F80A0A"/>
    <w:rsid w:val="00F82B19"/>
    <w:rsid w:val="00F84096"/>
    <w:rsid w:val="00F87FFE"/>
    <w:rsid w:val="00F90CA8"/>
    <w:rsid w:val="00F91F63"/>
    <w:rsid w:val="00F9212D"/>
    <w:rsid w:val="00F965DA"/>
    <w:rsid w:val="00F97311"/>
    <w:rsid w:val="00FA406A"/>
    <w:rsid w:val="00FA55D2"/>
    <w:rsid w:val="00FB4B83"/>
    <w:rsid w:val="00FB503A"/>
    <w:rsid w:val="00FB516C"/>
    <w:rsid w:val="00FB69C0"/>
    <w:rsid w:val="00FB6C5E"/>
    <w:rsid w:val="00FD0236"/>
    <w:rsid w:val="00FD18F4"/>
    <w:rsid w:val="00FD54DB"/>
    <w:rsid w:val="00FD619F"/>
    <w:rsid w:val="00FE45DC"/>
    <w:rsid w:val="00FE6096"/>
    <w:rsid w:val="00FF2689"/>
    <w:rsid w:val="00FF561C"/>
    <w:rsid w:val="00FF593B"/>
    <w:rsid w:val="00FF5B9C"/>
    <w:rsid w:val="01063DB1"/>
    <w:rsid w:val="01290F7E"/>
    <w:rsid w:val="015D1E09"/>
    <w:rsid w:val="018C0C9E"/>
    <w:rsid w:val="01C150E0"/>
    <w:rsid w:val="01F36FCC"/>
    <w:rsid w:val="020A2568"/>
    <w:rsid w:val="022A5D8D"/>
    <w:rsid w:val="022E28D7"/>
    <w:rsid w:val="02697903"/>
    <w:rsid w:val="02783976"/>
    <w:rsid w:val="02C72207"/>
    <w:rsid w:val="02ED1C6E"/>
    <w:rsid w:val="02F96569"/>
    <w:rsid w:val="02FA25DD"/>
    <w:rsid w:val="0309741E"/>
    <w:rsid w:val="032B3DE1"/>
    <w:rsid w:val="038732E9"/>
    <w:rsid w:val="03A91CC4"/>
    <w:rsid w:val="03BE185C"/>
    <w:rsid w:val="03BF1D9B"/>
    <w:rsid w:val="03E27089"/>
    <w:rsid w:val="03E44DBA"/>
    <w:rsid w:val="03EA7B21"/>
    <w:rsid w:val="03F40677"/>
    <w:rsid w:val="04386ADC"/>
    <w:rsid w:val="046C5A66"/>
    <w:rsid w:val="046E5030"/>
    <w:rsid w:val="04AD1CFE"/>
    <w:rsid w:val="04D0408C"/>
    <w:rsid w:val="051D2E34"/>
    <w:rsid w:val="058351E5"/>
    <w:rsid w:val="059B4EEA"/>
    <w:rsid w:val="05C0366A"/>
    <w:rsid w:val="05F83EAE"/>
    <w:rsid w:val="061B2F96"/>
    <w:rsid w:val="06357615"/>
    <w:rsid w:val="063E7D85"/>
    <w:rsid w:val="06502334"/>
    <w:rsid w:val="068C6DFC"/>
    <w:rsid w:val="06CD3D72"/>
    <w:rsid w:val="06D82C35"/>
    <w:rsid w:val="07293586"/>
    <w:rsid w:val="07295285"/>
    <w:rsid w:val="07636392"/>
    <w:rsid w:val="076723AE"/>
    <w:rsid w:val="07770C56"/>
    <w:rsid w:val="0793653D"/>
    <w:rsid w:val="07A66CE2"/>
    <w:rsid w:val="0845192C"/>
    <w:rsid w:val="0858402D"/>
    <w:rsid w:val="08624EAC"/>
    <w:rsid w:val="08D238CD"/>
    <w:rsid w:val="08F31FA8"/>
    <w:rsid w:val="08F33D56"/>
    <w:rsid w:val="0900752E"/>
    <w:rsid w:val="09214397"/>
    <w:rsid w:val="092217DD"/>
    <w:rsid w:val="093A7294"/>
    <w:rsid w:val="09BF6801"/>
    <w:rsid w:val="09E629BF"/>
    <w:rsid w:val="0A243DF6"/>
    <w:rsid w:val="0A263993"/>
    <w:rsid w:val="0A2B694C"/>
    <w:rsid w:val="0A2C4F6D"/>
    <w:rsid w:val="0A2D3AC2"/>
    <w:rsid w:val="0A445AA6"/>
    <w:rsid w:val="0A717628"/>
    <w:rsid w:val="0A916FC2"/>
    <w:rsid w:val="0AA755DF"/>
    <w:rsid w:val="0AAF0151"/>
    <w:rsid w:val="0AC7549A"/>
    <w:rsid w:val="0AD97ACD"/>
    <w:rsid w:val="0B120D44"/>
    <w:rsid w:val="0BCB720C"/>
    <w:rsid w:val="0BCD6AE0"/>
    <w:rsid w:val="0BD27BF6"/>
    <w:rsid w:val="0C011857"/>
    <w:rsid w:val="0C047522"/>
    <w:rsid w:val="0C3B3C7D"/>
    <w:rsid w:val="0C540FF0"/>
    <w:rsid w:val="0C9615C8"/>
    <w:rsid w:val="0CA82105"/>
    <w:rsid w:val="0CAB2EAE"/>
    <w:rsid w:val="0CB0417A"/>
    <w:rsid w:val="0D244E26"/>
    <w:rsid w:val="0D2664BA"/>
    <w:rsid w:val="0D621C7D"/>
    <w:rsid w:val="0D857BA7"/>
    <w:rsid w:val="0E191376"/>
    <w:rsid w:val="0E330B72"/>
    <w:rsid w:val="0E3C1EA1"/>
    <w:rsid w:val="0E73034D"/>
    <w:rsid w:val="0E875F9E"/>
    <w:rsid w:val="0EA1179D"/>
    <w:rsid w:val="0EC56195"/>
    <w:rsid w:val="0EC635B7"/>
    <w:rsid w:val="0ECC12D1"/>
    <w:rsid w:val="0EE83C31"/>
    <w:rsid w:val="0F13775A"/>
    <w:rsid w:val="0F587009"/>
    <w:rsid w:val="0F5F45FE"/>
    <w:rsid w:val="0F626533"/>
    <w:rsid w:val="0F6A2898"/>
    <w:rsid w:val="0F7C4E82"/>
    <w:rsid w:val="0F8102EB"/>
    <w:rsid w:val="0F9A112B"/>
    <w:rsid w:val="0FD503B3"/>
    <w:rsid w:val="0FD50868"/>
    <w:rsid w:val="0FDC412F"/>
    <w:rsid w:val="1053332C"/>
    <w:rsid w:val="106D2F64"/>
    <w:rsid w:val="109A6BC7"/>
    <w:rsid w:val="10B63710"/>
    <w:rsid w:val="10C77FA2"/>
    <w:rsid w:val="10CD7582"/>
    <w:rsid w:val="10DC66D4"/>
    <w:rsid w:val="10F10820"/>
    <w:rsid w:val="110218CF"/>
    <w:rsid w:val="111C2F7A"/>
    <w:rsid w:val="11290C5D"/>
    <w:rsid w:val="11665CA1"/>
    <w:rsid w:val="11AE2F10"/>
    <w:rsid w:val="11B8089B"/>
    <w:rsid w:val="123F000C"/>
    <w:rsid w:val="12797821"/>
    <w:rsid w:val="12983683"/>
    <w:rsid w:val="12B44CDF"/>
    <w:rsid w:val="13185F29"/>
    <w:rsid w:val="13541895"/>
    <w:rsid w:val="1355753D"/>
    <w:rsid w:val="13854144"/>
    <w:rsid w:val="13951726"/>
    <w:rsid w:val="1424570B"/>
    <w:rsid w:val="14396509"/>
    <w:rsid w:val="14711F94"/>
    <w:rsid w:val="147F0EA7"/>
    <w:rsid w:val="149C34F4"/>
    <w:rsid w:val="14B95E54"/>
    <w:rsid w:val="14DD2C3C"/>
    <w:rsid w:val="153B2D0D"/>
    <w:rsid w:val="15A308B2"/>
    <w:rsid w:val="15EB5B02"/>
    <w:rsid w:val="15F15893"/>
    <w:rsid w:val="16087E1D"/>
    <w:rsid w:val="16663DD9"/>
    <w:rsid w:val="167C4E98"/>
    <w:rsid w:val="16D728CD"/>
    <w:rsid w:val="16E82A20"/>
    <w:rsid w:val="16EA144F"/>
    <w:rsid w:val="16F56C5C"/>
    <w:rsid w:val="1703785A"/>
    <w:rsid w:val="171E35E1"/>
    <w:rsid w:val="17701D14"/>
    <w:rsid w:val="17735226"/>
    <w:rsid w:val="17832749"/>
    <w:rsid w:val="17D76A7E"/>
    <w:rsid w:val="17FB4494"/>
    <w:rsid w:val="17FE0021"/>
    <w:rsid w:val="18273A1C"/>
    <w:rsid w:val="18822A00"/>
    <w:rsid w:val="189251AA"/>
    <w:rsid w:val="189F624C"/>
    <w:rsid w:val="18A22F08"/>
    <w:rsid w:val="18AC2587"/>
    <w:rsid w:val="18B903B2"/>
    <w:rsid w:val="194F6D87"/>
    <w:rsid w:val="19FB6F0E"/>
    <w:rsid w:val="1A0C3C44"/>
    <w:rsid w:val="1A186501"/>
    <w:rsid w:val="1A1C66C0"/>
    <w:rsid w:val="1A42393B"/>
    <w:rsid w:val="1A48443B"/>
    <w:rsid w:val="1A4D1A2F"/>
    <w:rsid w:val="1AAD45DE"/>
    <w:rsid w:val="1ADC700B"/>
    <w:rsid w:val="1B046F80"/>
    <w:rsid w:val="1B300E3A"/>
    <w:rsid w:val="1B3267B5"/>
    <w:rsid w:val="1B40161D"/>
    <w:rsid w:val="1B441859"/>
    <w:rsid w:val="1B6606B1"/>
    <w:rsid w:val="1B80632D"/>
    <w:rsid w:val="1B8076CB"/>
    <w:rsid w:val="1C5E1BBD"/>
    <w:rsid w:val="1C5E7925"/>
    <w:rsid w:val="1C6D20FE"/>
    <w:rsid w:val="1C9D2DB3"/>
    <w:rsid w:val="1CA2751E"/>
    <w:rsid w:val="1CC66919"/>
    <w:rsid w:val="1CFD070F"/>
    <w:rsid w:val="1D132287"/>
    <w:rsid w:val="1D44297A"/>
    <w:rsid w:val="1D4F0E60"/>
    <w:rsid w:val="1D5F6196"/>
    <w:rsid w:val="1D6132A5"/>
    <w:rsid w:val="1D8E56D5"/>
    <w:rsid w:val="1DB67D1C"/>
    <w:rsid w:val="1DEA1774"/>
    <w:rsid w:val="1E650DFA"/>
    <w:rsid w:val="1E7A43DA"/>
    <w:rsid w:val="1EF85A72"/>
    <w:rsid w:val="1F0C74C8"/>
    <w:rsid w:val="1F204D21"/>
    <w:rsid w:val="1F66307C"/>
    <w:rsid w:val="1F7033A3"/>
    <w:rsid w:val="1FA60B48"/>
    <w:rsid w:val="1FB77ACF"/>
    <w:rsid w:val="1FC23283"/>
    <w:rsid w:val="1FCF7C65"/>
    <w:rsid w:val="1FE7539E"/>
    <w:rsid w:val="205403C0"/>
    <w:rsid w:val="20671BE0"/>
    <w:rsid w:val="206B1AB6"/>
    <w:rsid w:val="20784E15"/>
    <w:rsid w:val="208D2876"/>
    <w:rsid w:val="20963CB8"/>
    <w:rsid w:val="20A47F19"/>
    <w:rsid w:val="20A81A1B"/>
    <w:rsid w:val="20B07FB6"/>
    <w:rsid w:val="20B646FB"/>
    <w:rsid w:val="20C6170B"/>
    <w:rsid w:val="20E850E2"/>
    <w:rsid w:val="21246D4B"/>
    <w:rsid w:val="213B74B1"/>
    <w:rsid w:val="21494A03"/>
    <w:rsid w:val="215A2310"/>
    <w:rsid w:val="217001E2"/>
    <w:rsid w:val="21BC3427"/>
    <w:rsid w:val="21DB545A"/>
    <w:rsid w:val="21DE318A"/>
    <w:rsid w:val="21EA2CC9"/>
    <w:rsid w:val="21EB1616"/>
    <w:rsid w:val="21EF5B80"/>
    <w:rsid w:val="222B4109"/>
    <w:rsid w:val="22576990"/>
    <w:rsid w:val="22C5052F"/>
    <w:rsid w:val="22D55036"/>
    <w:rsid w:val="22E74CBD"/>
    <w:rsid w:val="22F47480"/>
    <w:rsid w:val="22FE6D0D"/>
    <w:rsid w:val="23720241"/>
    <w:rsid w:val="23B8421E"/>
    <w:rsid w:val="23DE1C48"/>
    <w:rsid w:val="23F5677C"/>
    <w:rsid w:val="240210CD"/>
    <w:rsid w:val="24192E54"/>
    <w:rsid w:val="241A2687"/>
    <w:rsid w:val="242A6C51"/>
    <w:rsid w:val="24431BDE"/>
    <w:rsid w:val="245931AF"/>
    <w:rsid w:val="24901342"/>
    <w:rsid w:val="24966645"/>
    <w:rsid w:val="24BF09F7"/>
    <w:rsid w:val="24E60E8D"/>
    <w:rsid w:val="24FF2AA0"/>
    <w:rsid w:val="252A1604"/>
    <w:rsid w:val="252B4B4C"/>
    <w:rsid w:val="252D53FE"/>
    <w:rsid w:val="25387269"/>
    <w:rsid w:val="25513E86"/>
    <w:rsid w:val="257B0F03"/>
    <w:rsid w:val="259E175B"/>
    <w:rsid w:val="25E400CD"/>
    <w:rsid w:val="25EC2D81"/>
    <w:rsid w:val="2652258B"/>
    <w:rsid w:val="26597496"/>
    <w:rsid w:val="2662721E"/>
    <w:rsid w:val="269F008F"/>
    <w:rsid w:val="26C54B2C"/>
    <w:rsid w:val="26D20FF7"/>
    <w:rsid w:val="26E61FC0"/>
    <w:rsid w:val="270F24C5"/>
    <w:rsid w:val="275F6D2E"/>
    <w:rsid w:val="277057A2"/>
    <w:rsid w:val="27707B10"/>
    <w:rsid w:val="27A26C1B"/>
    <w:rsid w:val="27EA3965"/>
    <w:rsid w:val="27FF7BCA"/>
    <w:rsid w:val="28716ED4"/>
    <w:rsid w:val="288325A9"/>
    <w:rsid w:val="29206EB8"/>
    <w:rsid w:val="29595666"/>
    <w:rsid w:val="29833707"/>
    <w:rsid w:val="29874881"/>
    <w:rsid w:val="2991078C"/>
    <w:rsid w:val="29B478DD"/>
    <w:rsid w:val="29C4731D"/>
    <w:rsid w:val="29E325E0"/>
    <w:rsid w:val="2A006359"/>
    <w:rsid w:val="2A1C0F07"/>
    <w:rsid w:val="2A3224C5"/>
    <w:rsid w:val="2A452503"/>
    <w:rsid w:val="2A701253"/>
    <w:rsid w:val="2A73489F"/>
    <w:rsid w:val="2A801F23"/>
    <w:rsid w:val="2ABB2F7D"/>
    <w:rsid w:val="2B2F6A18"/>
    <w:rsid w:val="2BA936A8"/>
    <w:rsid w:val="2BE57E6D"/>
    <w:rsid w:val="2C1005F7"/>
    <w:rsid w:val="2C2858E4"/>
    <w:rsid w:val="2C315A5A"/>
    <w:rsid w:val="2C4B1C25"/>
    <w:rsid w:val="2C581F9E"/>
    <w:rsid w:val="2C657E08"/>
    <w:rsid w:val="2CC43D47"/>
    <w:rsid w:val="2D9E56F5"/>
    <w:rsid w:val="2DA52FC1"/>
    <w:rsid w:val="2DB23B1E"/>
    <w:rsid w:val="2DEB15EF"/>
    <w:rsid w:val="2DF67CC1"/>
    <w:rsid w:val="2E667F96"/>
    <w:rsid w:val="2E734E6D"/>
    <w:rsid w:val="2E8226AB"/>
    <w:rsid w:val="2E8250B1"/>
    <w:rsid w:val="2E967AF4"/>
    <w:rsid w:val="2EAB4607"/>
    <w:rsid w:val="2F35554E"/>
    <w:rsid w:val="2F6173BC"/>
    <w:rsid w:val="2FC43258"/>
    <w:rsid w:val="2FD065E6"/>
    <w:rsid w:val="2FD96870"/>
    <w:rsid w:val="2FDB0284"/>
    <w:rsid w:val="2FEB6D20"/>
    <w:rsid w:val="30412E8C"/>
    <w:rsid w:val="30580BC9"/>
    <w:rsid w:val="30642630"/>
    <w:rsid w:val="311E2ED7"/>
    <w:rsid w:val="315619EE"/>
    <w:rsid w:val="315C449C"/>
    <w:rsid w:val="31B82709"/>
    <w:rsid w:val="31D05482"/>
    <w:rsid w:val="3204466B"/>
    <w:rsid w:val="320A3E08"/>
    <w:rsid w:val="32116E77"/>
    <w:rsid w:val="32137DAD"/>
    <w:rsid w:val="32400B34"/>
    <w:rsid w:val="32513718"/>
    <w:rsid w:val="329E6876"/>
    <w:rsid w:val="32A510FC"/>
    <w:rsid w:val="32A56B90"/>
    <w:rsid w:val="32B02F09"/>
    <w:rsid w:val="32BB5035"/>
    <w:rsid w:val="32C739DA"/>
    <w:rsid w:val="32EA3BB0"/>
    <w:rsid w:val="33250A81"/>
    <w:rsid w:val="333015F2"/>
    <w:rsid w:val="333971DA"/>
    <w:rsid w:val="334B6320"/>
    <w:rsid w:val="336B19F0"/>
    <w:rsid w:val="337B4EF0"/>
    <w:rsid w:val="338C34A7"/>
    <w:rsid w:val="3391259D"/>
    <w:rsid w:val="33B162B6"/>
    <w:rsid w:val="33CE1A76"/>
    <w:rsid w:val="33D934D4"/>
    <w:rsid w:val="33FE2F6A"/>
    <w:rsid w:val="340E07E5"/>
    <w:rsid w:val="34235BF7"/>
    <w:rsid w:val="34377663"/>
    <w:rsid w:val="35571F7E"/>
    <w:rsid w:val="356E73DC"/>
    <w:rsid w:val="358C5FA8"/>
    <w:rsid w:val="35C15DF1"/>
    <w:rsid w:val="35F5424C"/>
    <w:rsid w:val="36074A7F"/>
    <w:rsid w:val="36834B2D"/>
    <w:rsid w:val="36923549"/>
    <w:rsid w:val="36AC3612"/>
    <w:rsid w:val="36B75FBF"/>
    <w:rsid w:val="36BD0C45"/>
    <w:rsid w:val="36BE06ED"/>
    <w:rsid w:val="36D51457"/>
    <w:rsid w:val="36F308D9"/>
    <w:rsid w:val="370C013B"/>
    <w:rsid w:val="371428E5"/>
    <w:rsid w:val="371F5B92"/>
    <w:rsid w:val="375810F8"/>
    <w:rsid w:val="379D12D9"/>
    <w:rsid w:val="37BC6C6C"/>
    <w:rsid w:val="37BE184F"/>
    <w:rsid w:val="37E00298"/>
    <w:rsid w:val="37E40B8A"/>
    <w:rsid w:val="37F45271"/>
    <w:rsid w:val="37FD76D3"/>
    <w:rsid w:val="382673F4"/>
    <w:rsid w:val="385C2E16"/>
    <w:rsid w:val="38B302F9"/>
    <w:rsid w:val="38C27618"/>
    <w:rsid w:val="38DD3F57"/>
    <w:rsid w:val="38F12CD3"/>
    <w:rsid w:val="38F94775"/>
    <w:rsid w:val="392971ED"/>
    <w:rsid w:val="39325651"/>
    <w:rsid w:val="39335AE0"/>
    <w:rsid w:val="397F6215"/>
    <w:rsid w:val="39B051C8"/>
    <w:rsid w:val="39CE38A0"/>
    <w:rsid w:val="3A10210A"/>
    <w:rsid w:val="3A457C03"/>
    <w:rsid w:val="3A48445D"/>
    <w:rsid w:val="3A781144"/>
    <w:rsid w:val="3A872856"/>
    <w:rsid w:val="3A9E0B85"/>
    <w:rsid w:val="3AE525C7"/>
    <w:rsid w:val="3AFA0DF0"/>
    <w:rsid w:val="3B181276"/>
    <w:rsid w:val="3B3763D1"/>
    <w:rsid w:val="3B826751"/>
    <w:rsid w:val="3B883444"/>
    <w:rsid w:val="3BFB4082"/>
    <w:rsid w:val="3C2E6878"/>
    <w:rsid w:val="3C2F6E1E"/>
    <w:rsid w:val="3C3E64A9"/>
    <w:rsid w:val="3C4F64BA"/>
    <w:rsid w:val="3CA8662A"/>
    <w:rsid w:val="3CCF1E09"/>
    <w:rsid w:val="3CDA245A"/>
    <w:rsid w:val="3CDD29C1"/>
    <w:rsid w:val="3D16A054"/>
    <w:rsid w:val="3D1E06B7"/>
    <w:rsid w:val="3DA67B41"/>
    <w:rsid w:val="3E171A07"/>
    <w:rsid w:val="3E441026"/>
    <w:rsid w:val="3E5C147A"/>
    <w:rsid w:val="3EA6228B"/>
    <w:rsid w:val="3EB934C9"/>
    <w:rsid w:val="3ED62768"/>
    <w:rsid w:val="3EDA0523"/>
    <w:rsid w:val="3EFF0B61"/>
    <w:rsid w:val="3F6E3B5B"/>
    <w:rsid w:val="40152228"/>
    <w:rsid w:val="404843AC"/>
    <w:rsid w:val="40590DB9"/>
    <w:rsid w:val="406E7B8B"/>
    <w:rsid w:val="407A6407"/>
    <w:rsid w:val="40827A78"/>
    <w:rsid w:val="40F76B5F"/>
    <w:rsid w:val="411029F0"/>
    <w:rsid w:val="41397843"/>
    <w:rsid w:val="413B5B86"/>
    <w:rsid w:val="413F18BA"/>
    <w:rsid w:val="41457EDD"/>
    <w:rsid w:val="41670862"/>
    <w:rsid w:val="41AA4FC6"/>
    <w:rsid w:val="4200449D"/>
    <w:rsid w:val="42075CE5"/>
    <w:rsid w:val="423A3BCC"/>
    <w:rsid w:val="424E57D2"/>
    <w:rsid w:val="425D3445"/>
    <w:rsid w:val="42B26C49"/>
    <w:rsid w:val="42F366BF"/>
    <w:rsid w:val="43012B66"/>
    <w:rsid w:val="43253071"/>
    <w:rsid w:val="433A6FE6"/>
    <w:rsid w:val="433C7ACC"/>
    <w:rsid w:val="43430E5B"/>
    <w:rsid w:val="43480868"/>
    <w:rsid w:val="4350713C"/>
    <w:rsid w:val="436653E0"/>
    <w:rsid w:val="436C03B1"/>
    <w:rsid w:val="43C4431A"/>
    <w:rsid w:val="4447497A"/>
    <w:rsid w:val="444800D1"/>
    <w:rsid w:val="448259B3"/>
    <w:rsid w:val="44A82D5F"/>
    <w:rsid w:val="44B951CC"/>
    <w:rsid w:val="44CD14E0"/>
    <w:rsid w:val="44E43D50"/>
    <w:rsid w:val="44EB3AD2"/>
    <w:rsid w:val="44F20B0B"/>
    <w:rsid w:val="44FB2489"/>
    <w:rsid w:val="451A208F"/>
    <w:rsid w:val="452E5F4C"/>
    <w:rsid w:val="45612018"/>
    <w:rsid w:val="45886FF9"/>
    <w:rsid w:val="458946E9"/>
    <w:rsid w:val="459A5452"/>
    <w:rsid w:val="45A47C0E"/>
    <w:rsid w:val="45A73923"/>
    <w:rsid w:val="45C25319"/>
    <w:rsid w:val="45D93085"/>
    <w:rsid w:val="45F9564B"/>
    <w:rsid w:val="46073C6D"/>
    <w:rsid w:val="46117658"/>
    <w:rsid w:val="461E170B"/>
    <w:rsid w:val="462253BD"/>
    <w:rsid w:val="462E17EC"/>
    <w:rsid w:val="46577FD6"/>
    <w:rsid w:val="46955E71"/>
    <w:rsid w:val="46A32B27"/>
    <w:rsid w:val="46D9460B"/>
    <w:rsid w:val="46D955A7"/>
    <w:rsid w:val="47133957"/>
    <w:rsid w:val="474B4782"/>
    <w:rsid w:val="47680266"/>
    <w:rsid w:val="47905A6E"/>
    <w:rsid w:val="47A07E0C"/>
    <w:rsid w:val="47F646ED"/>
    <w:rsid w:val="482334C5"/>
    <w:rsid w:val="4870272E"/>
    <w:rsid w:val="48923588"/>
    <w:rsid w:val="489D6267"/>
    <w:rsid w:val="489E3D34"/>
    <w:rsid w:val="489F232B"/>
    <w:rsid w:val="48BC5937"/>
    <w:rsid w:val="48BF249D"/>
    <w:rsid w:val="48CE566A"/>
    <w:rsid w:val="48DB1B35"/>
    <w:rsid w:val="491158A5"/>
    <w:rsid w:val="49310C32"/>
    <w:rsid w:val="493D1FC9"/>
    <w:rsid w:val="49DC7715"/>
    <w:rsid w:val="4A023139"/>
    <w:rsid w:val="4A71390E"/>
    <w:rsid w:val="4A7B35D0"/>
    <w:rsid w:val="4A7B47CC"/>
    <w:rsid w:val="4A7B576F"/>
    <w:rsid w:val="4AF561A9"/>
    <w:rsid w:val="4B294DDA"/>
    <w:rsid w:val="4B3F7DCA"/>
    <w:rsid w:val="4B895879"/>
    <w:rsid w:val="4B9A1834"/>
    <w:rsid w:val="4BEC2EE5"/>
    <w:rsid w:val="4C084225"/>
    <w:rsid w:val="4C392DFB"/>
    <w:rsid w:val="4C4431C9"/>
    <w:rsid w:val="4C4A0649"/>
    <w:rsid w:val="4C6924C1"/>
    <w:rsid w:val="4C7D53DD"/>
    <w:rsid w:val="4C7E5ECA"/>
    <w:rsid w:val="4C876AA5"/>
    <w:rsid w:val="4C9C0ED5"/>
    <w:rsid w:val="4CCC0113"/>
    <w:rsid w:val="4D0E00FB"/>
    <w:rsid w:val="4D176606"/>
    <w:rsid w:val="4D386F9E"/>
    <w:rsid w:val="4D4376C6"/>
    <w:rsid w:val="4DA4699A"/>
    <w:rsid w:val="4DE70CBB"/>
    <w:rsid w:val="4DEC4FB0"/>
    <w:rsid w:val="4DF64584"/>
    <w:rsid w:val="4E075D8A"/>
    <w:rsid w:val="4E133D67"/>
    <w:rsid w:val="4E2776C4"/>
    <w:rsid w:val="4E661EA1"/>
    <w:rsid w:val="4E681508"/>
    <w:rsid w:val="4E7B594C"/>
    <w:rsid w:val="4E912082"/>
    <w:rsid w:val="4EC00FAD"/>
    <w:rsid w:val="4F1162B1"/>
    <w:rsid w:val="4F165675"/>
    <w:rsid w:val="4F360DFF"/>
    <w:rsid w:val="4F453FD0"/>
    <w:rsid w:val="4F7A6B76"/>
    <w:rsid w:val="4F9843DC"/>
    <w:rsid w:val="4FAA2DA6"/>
    <w:rsid w:val="4FC62A8C"/>
    <w:rsid w:val="4FE20F0D"/>
    <w:rsid w:val="4FE51552"/>
    <w:rsid w:val="50094FCE"/>
    <w:rsid w:val="50504C4B"/>
    <w:rsid w:val="50662833"/>
    <w:rsid w:val="5067018D"/>
    <w:rsid w:val="509C6E7C"/>
    <w:rsid w:val="50CA4969"/>
    <w:rsid w:val="5141773C"/>
    <w:rsid w:val="5162104E"/>
    <w:rsid w:val="517D3335"/>
    <w:rsid w:val="518872E3"/>
    <w:rsid w:val="51916C09"/>
    <w:rsid w:val="51955925"/>
    <w:rsid w:val="51BC5CF9"/>
    <w:rsid w:val="51CF19F5"/>
    <w:rsid w:val="52966826"/>
    <w:rsid w:val="53234805"/>
    <w:rsid w:val="533F2F85"/>
    <w:rsid w:val="536B4DB9"/>
    <w:rsid w:val="53A039CC"/>
    <w:rsid w:val="53A1505A"/>
    <w:rsid w:val="53E5015A"/>
    <w:rsid w:val="53FF0DCE"/>
    <w:rsid w:val="54063E08"/>
    <w:rsid w:val="543437E8"/>
    <w:rsid w:val="545A1DB5"/>
    <w:rsid w:val="5471419D"/>
    <w:rsid w:val="547F1F0F"/>
    <w:rsid w:val="548D7208"/>
    <w:rsid w:val="54A650FD"/>
    <w:rsid w:val="54F73313"/>
    <w:rsid w:val="54F80955"/>
    <w:rsid w:val="551F4BC2"/>
    <w:rsid w:val="554322ED"/>
    <w:rsid w:val="555170A7"/>
    <w:rsid w:val="55545149"/>
    <w:rsid w:val="556D00F4"/>
    <w:rsid w:val="5587536D"/>
    <w:rsid w:val="559B174B"/>
    <w:rsid w:val="55CE0CF4"/>
    <w:rsid w:val="55D431C5"/>
    <w:rsid w:val="55E60E80"/>
    <w:rsid w:val="55FE394D"/>
    <w:rsid w:val="56285E37"/>
    <w:rsid w:val="56570A4D"/>
    <w:rsid w:val="56B22A9C"/>
    <w:rsid w:val="56D227CA"/>
    <w:rsid w:val="56E147BB"/>
    <w:rsid w:val="57205D08"/>
    <w:rsid w:val="572C0AB3"/>
    <w:rsid w:val="574A05B2"/>
    <w:rsid w:val="575B456D"/>
    <w:rsid w:val="5763251B"/>
    <w:rsid w:val="57A2046C"/>
    <w:rsid w:val="57B72A76"/>
    <w:rsid w:val="57C2578A"/>
    <w:rsid w:val="57C3426C"/>
    <w:rsid w:val="57CE1F93"/>
    <w:rsid w:val="57DF5194"/>
    <w:rsid w:val="58374DED"/>
    <w:rsid w:val="58511BE0"/>
    <w:rsid w:val="58861304"/>
    <w:rsid w:val="588743D1"/>
    <w:rsid w:val="5887701A"/>
    <w:rsid w:val="58B76657"/>
    <w:rsid w:val="58D5034F"/>
    <w:rsid w:val="58E6430A"/>
    <w:rsid w:val="58F73CD6"/>
    <w:rsid w:val="591C2664"/>
    <w:rsid w:val="59C0439F"/>
    <w:rsid w:val="59D2488F"/>
    <w:rsid w:val="5A0548F6"/>
    <w:rsid w:val="5A670607"/>
    <w:rsid w:val="5A6E1296"/>
    <w:rsid w:val="5ABE2233"/>
    <w:rsid w:val="5AFC7E15"/>
    <w:rsid w:val="5B0C3EAD"/>
    <w:rsid w:val="5B865F53"/>
    <w:rsid w:val="5BB930F4"/>
    <w:rsid w:val="5BC379FC"/>
    <w:rsid w:val="5BCA53A4"/>
    <w:rsid w:val="5BDF5D95"/>
    <w:rsid w:val="5BFE7528"/>
    <w:rsid w:val="5C20728C"/>
    <w:rsid w:val="5C3B496D"/>
    <w:rsid w:val="5C5743F9"/>
    <w:rsid w:val="5C803F9C"/>
    <w:rsid w:val="5CE631FE"/>
    <w:rsid w:val="5D1F7DEB"/>
    <w:rsid w:val="5D3466DE"/>
    <w:rsid w:val="5D494E68"/>
    <w:rsid w:val="5D4E6B41"/>
    <w:rsid w:val="5D681792"/>
    <w:rsid w:val="5D9A3915"/>
    <w:rsid w:val="5E1A091A"/>
    <w:rsid w:val="5E2467F1"/>
    <w:rsid w:val="5E2558D5"/>
    <w:rsid w:val="5F080B3E"/>
    <w:rsid w:val="5F0B6879"/>
    <w:rsid w:val="5F1A2B43"/>
    <w:rsid w:val="5F487ACD"/>
    <w:rsid w:val="5F50072F"/>
    <w:rsid w:val="5F5A0513"/>
    <w:rsid w:val="5F6706E3"/>
    <w:rsid w:val="5F7E529D"/>
    <w:rsid w:val="5F887EC9"/>
    <w:rsid w:val="5FB837BB"/>
    <w:rsid w:val="5FD31368"/>
    <w:rsid w:val="5FDB0D64"/>
    <w:rsid w:val="5FDE5D3B"/>
    <w:rsid w:val="601654D5"/>
    <w:rsid w:val="609E371C"/>
    <w:rsid w:val="60A46F85"/>
    <w:rsid w:val="60AD127D"/>
    <w:rsid w:val="60CC405A"/>
    <w:rsid w:val="60F041D8"/>
    <w:rsid w:val="612B43E4"/>
    <w:rsid w:val="61416F4F"/>
    <w:rsid w:val="61504A17"/>
    <w:rsid w:val="615C160D"/>
    <w:rsid w:val="61BB4F75"/>
    <w:rsid w:val="61E215D8"/>
    <w:rsid w:val="62022DBF"/>
    <w:rsid w:val="62134E5E"/>
    <w:rsid w:val="621B3775"/>
    <w:rsid w:val="62325B3C"/>
    <w:rsid w:val="62364782"/>
    <w:rsid w:val="624F2F20"/>
    <w:rsid w:val="62A019CE"/>
    <w:rsid w:val="62B965EC"/>
    <w:rsid w:val="62EC62F6"/>
    <w:rsid w:val="6321051D"/>
    <w:rsid w:val="634A676B"/>
    <w:rsid w:val="63514A32"/>
    <w:rsid w:val="63616F95"/>
    <w:rsid w:val="637C5F97"/>
    <w:rsid w:val="6394356A"/>
    <w:rsid w:val="63A458DA"/>
    <w:rsid w:val="63C61B2C"/>
    <w:rsid w:val="63D40BE9"/>
    <w:rsid w:val="64102431"/>
    <w:rsid w:val="642E4B20"/>
    <w:rsid w:val="646A5FF4"/>
    <w:rsid w:val="6477319F"/>
    <w:rsid w:val="64937ECC"/>
    <w:rsid w:val="64A5243A"/>
    <w:rsid w:val="64A841EE"/>
    <w:rsid w:val="64F531DE"/>
    <w:rsid w:val="65373578"/>
    <w:rsid w:val="65D31575"/>
    <w:rsid w:val="65EE2A50"/>
    <w:rsid w:val="661E5B72"/>
    <w:rsid w:val="6633080F"/>
    <w:rsid w:val="6643231C"/>
    <w:rsid w:val="66E375BD"/>
    <w:rsid w:val="671F124A"/>
    <w:rsid w:val="67526EA4"/>
    <w:rsid w:val="67664DA3"/>
    <w:rsid w:val="67723C3F"/>
    <w:rsid w:val="677A27ED"/>
    <w:rsid w:val="677A33C6"/>
    <w:rsid w:val="67801DCE"/>
    <w:rsid w:val="67F04DFE"/>
    <w:rsid w:val="681F6961"/>
    <w:rsid w:val="68610A2F"/>
    <w:rsid w:val="686F5A3D"/>
    <w:rsid w:val="68763722"/>
    <w:rsid w:val="68805514"/>
    <w:rsid w:val="688A786E"/>
    <w:rsid w:val="689F2DFF"/>
    <w:rsid w:val="68A51AEC"/>
    <w:rsid w:val="68A80D7D"/>
    <w:rsid w:val="68D7726A"/>
    <w:rsid w:val="69055036"/>
    <w:rsid w:val="69316E2F"/>
    <w:rsid w:val="693E4A08"/>
    <w:rsid w:val="694E2071"/>
    <w:rsid w:val="69507888"/>
    <w:rsid w:val="69766163"/>
    <w:rsid w:val="697A3B33"/>
    <w:rsid w:val="69BB22B3"/>
    <w:rsid w:val="69CE2946"/>
    <w:rsid w:val="69D44760"/>
    <w:rsid w:val="69D94D0A"/>
    <w:rsid w:val="69DB1CD7"/>
    <w:rsid w:val="69E268E0"/>
    <w:rsid w:val="6A1D29A9"/>
    <w:rsid w:val="6A1D66A4"/>
    <w:rsid w:val="6A520EC7"/>
    <w:rsid w:val="6A6300BF"/>
    <w:rsid w:val="6A6768F4"/>
    <w:rsid w:val="6AAC394D"/>
    <w:rsid w:val="6AF87E20"/>
    <w:rsid w:val="6AFC1C4D"/>
    <w:rsid w:val="6B322639"/>
    <w:rsid w:val="6B770D5D"/>
    <w:rsid w:val="6BA72EE4"/>
    <w:rsid w:val="6BBE0A05"/>
    <w:rsid w:val="6BD526E8"/>
    <w:rsid w:val="6BE32D41"/>
    <w:rsid w:val="6C016559"/>
    <w:rsid w:val="6C232B37"/>
    <w:rsid w:val="6C2A0885"/>
    <w:rsid w:val="6C636C38"/>
    <w:rsid w:val="6C663340"/>
    <w:rsid w:val="6C885775"/>
    <w:rsid w:val="6C960240"/>
    <w:rsid w:val="6CDE4895"/>
    <w:rsid w:val="6CFE7A1D"/>
    <w:rsid w:val="6D4573FA"/>
    <w:rsid w:val="6DB34098"/>
    <w:rsid w:val="6DB545B6"/>
    <w:rsid w:val="6DE02FB4"/>
    <w:rsid w:val="6DE959E8"/>
    <w:rsid w:val="6E113780"/>
    <w:rsid w:val="6E184B0E"/>
    <w:rsid w:val="6E260A53"/>
    <w:rsid w:val="6E3114C2"/>
    <w:rsid w:val="6E361438"/>
    <w:rsid w:val="6E4C47B8"/>
    <w:rsid w:val="6E514CED"/>
    <w:rsid w:val="6E867CCA"/>
    <w:rsid w:val="6EB1286D"/>
    <w:rsid w:val="6EB34837"/>
    <w:rsid w:val="6EB563D5"/>
    <w:rsid w:val="6ED92677"/>
    <w:rsid w:val="6EE64B9F"/>
    <w:rsid w:val="6EFC61E5"/>
    <w:rsid w:val="6F145EFB"/>
    <w:rsid w:val="6F225983"/>
    <w:rsid w:val="6F4638FD"/>
    <w:rsid w:val="6F7246F2"/>
    <w:rsid w:val="6F806CDE"/>
    <w:rsid w:val="6F8A5598"/>
    <w:rsid w:val="6FAA3E8C"/>
    <w:rsid w:val="6FE07923"/>
    <w:rsid w:val="6FE32EFA"/>
    <w:rsid w:val="6FFC5590"/>
    <w:rsid w:val="706D1DD0"/>
    <w:rsid w:val="707D38C7"/>
    <w:rsid w:val="70856B87"/>
    <w:rsid w:val="70B56664"/>
    <w:rsid w:val="70BD7694"/>
    <w:rsid w:val="70D527EE"/>
    <w:rsid w:val="715B5300"/>
    <w:rsid w:val="716F2C97"/>
    <w:rsid w:val="71D27F8A"/>
    <w:rsid w:val="71E368DB"/>
    <w:rsid w:val="71E65997"/>
    <w:rsid w:val="72452691"/>
    <w:rsid w:val="72553024"/>
    <w:rsid w:val="72581B3B"/>
    <w:rsid w:val="72850298"/>
    <w:rsid w:val="729B3393"/>
    <w:rsid w:val="73094544"/>
    <w:rsid w:val="73122968"/>
    <w:rsid w:val="731275FC"/>
    <w:rsid w:val="731F5D5E"/>
    <w:rsid w:val="73261A7B"/>
    <w:rsid w:val="73925FA9"/>
    <w:rsid w:val="739A5FC5"/>
    <w:rsid w:val="73B43CDE"/>
    <w:rsid w:val="73C51AD5"/>
    <w:rsid w:val="73D97F55"/>
    <w:rsid w:val="73FA7D8B"/>
    <w:rsid w:val="741144D9"/>
    <w:rsid w:val="741915E0"/>
    <w:rsid w:val="741E793C"/>
    <w:rsid w:val="742068A8"/>
    <w:rsid w:val="745D1D0A"/>
    <w:rsid w:val="745E3944"/>
    <w:rsid w:val="74CD2C56"/>
    <w:rsid w:val="74D529B6"/>
    <w:rsid w:val="750656C7"/>
    <w:rsid w:val="751C3961"/>
    <w:rsid w:val="751E2445"/>
    <w:rsid w:val="7530451A"/>
    <w:rsid w:val="753F40D4"/>
    <w:rsid w:val="754F6F0D"/>
    <w:rsid w:val="757C5983"/>
    <w:rsid w:val="75CE1BF1"/>
    <w:rsid w:val="75E3147C"/>
    <w:rsid w:val="76097D6B"/>
    <w:rsid w:val="7635099D"/>
    <w:rsid w:val="764C17F9"/>
    <w:rsid w:val="768C42EB"/>
    <w:rsid w:val="76944931"/>
    <w:rsid w:val="76964265"/>
    <w:rsid w:val="76C27C61"/>
    <w:rsid w:val="77033CAB"/>
    <w:rsid w:val="770C2D36"/>
    <w:rsid w:val="77417B45"/>
    <w:rsid w:val="77420E4E"/>
    <w:rsid w:val="775F555C"/>
    <w:rsid w:val="776112D4"/>
    <w:rsid w:val="77762421"/>
    <w:rsid w:val="779A2A38"/>
    <w:rsid w:val="77B56B1F"/>
    <w:rsid w:val="77E048EF"/>
    <w:rsid w:val="77FE0876"/>
    <w:rsid w:val="77FE28CF"/>
    <w:rsid w:val="780F09F4"/>
    <w:rsid w:val="78526640"/>
    <w:rsid w:val="785E67B1"/>
    <w:rsid w:val="788672E2"/>
    <w:rsid w:val="78A90480"/>
    <w:rsid w:val="78C75C05"/>
    <w:rsid w:val="78E02F92"/>
    <w:rsid w:val="78F75D63"/>
    <w:rsid w:val="79087CD8"/>
    <w:rsid w:val="79260E91"/>
    <w:rsid w:val="79C93D1C"/>
    <w:rsid w:val="79CF0984"/>
    <w:rsid w:val="7A364017"/>
    <w:rsid w:val="7A396538"/>
    <w:rsid w:val="7A431165"/>
    <w:rsid w:val="7A605951"/>
    <w:rsid w:val="7A7228D6"/>
    <w:rsid w:val="7A8265E1"/>
    <w:rsid w:val="7A835199"/>
    <w:rsid w:val="7A87760E"/>
    <w:rsid w:val="7AB8697B"/>
    <w:rsid w:val="7B032256"/>
    <w:rsid w:val="7B564EC8"/>
    <w:rsid w:val="7B5E7043"/>
    <w:rsid w:val="7B656EB9"/>
    <w:rsid w:val="7B686D42"/>
    <w:rsid w:val="7B841746"/>
    <w:rsid w:val="7BA901EC"/>
    <w:rsid w:val="7C1D7794"/>
    <w:rsid w:val="7C6C5AC7"/>
    <w:rsid w:val="7C7616FE"/>
    <w:rsid w:val="7C7E0232"/>
    <w:rsid w:val="7CC6544B"/>
    <w:rsid w:val="7CDE7FB7"/>
    <w:rsid w:val="7D0239FF"/>
    <w:rsid w:val="7D2D5FAA"/>
    <w:rsid w:val="7D5E40CD"/>
    <w:rsid w:val="7DCD56F2"/>
    <w:rsid w:val="7DCF4ABD"/>
    <w:rsid w:val="7DE22A43"/>
    <w:rsid w:val="7DFC19E1"/>
    <w:rsid w:val="7E0E1A8A"/>
    <w:rsid w:val="7E24305B"/>
    <w:rsid w:val="7E417769"/>
    <w:rsid w:val="7E6A278D"/>
    <w:rsid w:val="7E9A3C49"/>
    <w:rsid w:val="7EBB576E"/>
    <w:rsid w:val="7EC34DE8"/>
    <w:rsid w:val="7ED67964"/>
    <w:rsid w:val="7EF25D96"/>
    <w:rsid w:val="7F001CE7"/>
    <w:rsid w:val="7F033168"/>
    <w:rsid w:val="7F1255AA"/>
    <w:rsid w:val="7F3A1AA4"/>
    <w:rsid w:val="7F4D334E"/>
    <w:rsid w:val="7F9E4177"/>
    <w:rsid w:val="7FA91A6A"/>
    <w:rsid w:val="7FB13BEA"/>
    <w:rsid w:val="7FD8234F"/>
    <w:rsid w:val="7FE47E50"/>
    <w:rsid w:val="7FED60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9"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unhideWhenUsed="0" w:uiPriority="0" w:semiHidden="0" w:name="Subtitle" w:locked="1"/>
    <w:lsdException w:qFormat="1"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60"/>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5"/>
    <w:link w:val="61"/>
    <w:qFormat/>
    <w:locked/>
    <w:uiPriority w:val="9"/>
    <w:pPr>
      <w:keepNext/>
      <w:keepLines/>
      <w:spacing w:before="260" w:after="260" w:line="416" w:lineRule="auto"/>
      <w:outlineLvl w:val="2"/>
    </w:pPr>
    <w:rPr>
      <w:b/>
      <w:bCs/>
      <w:sz w:val="32"/>
      <w:szCs w:val="32"/>
    </w:rPr>
  </w:style>
  <w:style w:type="character" w:default="1" w:styleId="22">
    <w:name w:val="Default Paragraph Font"/>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62"/>
    <w:qFormat/>
    <w:locked/>
    <w:uiPriority w:val="0"/>
    <w:rPr>
      <w:rFonts w:ascii="宋体"/>
      <w:sz w:val="18"/>
      <w:szCs w:val="18"/>
    </w:rPr>
  </w:style>
  <w:style w:type="paragraph" w:styleId="6">
    <w:name w:val="Normal Indent"/>
    <w:basedOn w:val="1"/>
    <w:next w:val="1"/>
    <w:qFormat/>
    <w:locked/>
    <w:uiPriority w:val="0"/>
    <w:rPr>
      <w:rFonts w:ascii="Calibri" w:hAnsi="Calibri"/>
      <w:kern w:val="0"/>
      <w:sz w:val="28"/>
      <w:szCs w:val="20"/>
    </w:rPr>
  </w:style>
  <w:style w:type="paragraph" w:styleId="7">
    <w:name w:val="caption"/>
    <w:basedOn w:val="1"/>
    <w:next w:val="1"/>
    <w:qFormat/>
    <w:locked/>
    <w:uiPriority w:val="0"/>
    <w:pPr>
      <w:jc w:val="center"/>
    </w:pPr>
    <w:rPr>
      <w:rFonts w:eastAsia="黑体"/>
    </w:rPr>
  </w:style>
  <w:style w:type="paragraph" w:styleId="8">
    <w:name w:val="annotation text"/>
    <w:basedOn w:val="1"/>
    <w:link w:val="40"/>
    <w:semiHidden/>
    <w:qFormat/>
    <w:uiPriority w:val="0"/>
    <w:pPr>
      <w:jc w:val="left"/>
    </w:pPr>
    <w:rPr>
      <w:kern w:val="0"/>
      <w:sz w:val="24"/>
      <w:szCs w:val="20"/>
    </w:rPr>
  </w:style>
  <w:style w:type="paragraph" w:styleId="9">
    <w:name w:val="Salutation"/>
    <w:basedOn w:val="1"/>
    <w:next w:val="1"/>
    <w:link w:val="56"/>
    <w:qFormat/>
    <w:locked/>
    <w:uiPriority w:val="0"/>
  </w:style>
  <w:style w:type="paragraph" w:styleId="10">
    <w:name w:val="Body Text"/>
    <w:basedOn w:val="1"/>
    <w:link w:val="41"/>
    <w:qFormat/>
    <w:uiPriority w:val="0"/>
    <w:pPr>
      <w:widowControl/>
      <w:snapToGrid w:val="0"/>
      <w:spacing w:before="60" w:after="160" w:line="259" w:lineRule="auto"/>
      <w:ind w:right="113"/>
    </w:pPr>
    <w:rPr>
      <w:kern w:val="0"/>
      <w:sz w:val="18"/>
      <w:szCs w:val="20"/>
    </w:rPr>
  </w:style>
  <w:style w:type="paragraph" w:styleId="11">
    <w:name w:val="Plain Text"/>
    <w:basedOn w:val="1"/>
    <w:qFormat/>
    <w:locked/>
    <w:uiPriority w:val="0"/>
    <w:pPr>
      <w:spacing w:line="480" w:lineRule="exact"/>
      <w:ind w:firstLine="480" w:firstLineChars="200"/>
    </w:pPr>
    <w:rPr>
      <w:rFonts w:ascii="Times New Roman" w:hAnsi="Times New Roman" w:cs="Times New Roman"/>
      <w:sz w:val="24"/>
    </w:rPr>
  </w:style>
  <w:style w:type="paragraph" w:styleId="12">
    <w:name w:val="Date"/>
    <w:basedOn w:val="1"/>
    <w:next w:val="1"/>
    <w:link w:val="43"/>
    <w:qFormat/>
    <w:uiPriority w:val="0"/>
    <w:pPr>
      <w:ind w:left="100" w:leftChars="2500"/>
    </w:pPr>
    <w:rPr>
      <w:kern w:val="0"/>
      <w:sz w:val="24"/>
      <w:szCs w:val="20"/>
    </w:rPr>
  </w:style>
  <w:style w:type="paragraph" w:styleId="13">
    <w:name w:val="Balloon Text"/>
    <w:basedOn w:val="1"/>
    <w:link w:val="44"/>
    <w:semiHidden/>
    <w:qFormat/>
    <w:uiPriority w:val="0"/>
    <w:rPr>
      <w:kern w:val="0"/>
      <w:sz w:val="18"/>
      <w:szCs w:val="20"/>
    </w:rPr>
  </w:style>
  <w:style w:type="paragraph" w:styleId="14">
    <w:name w:val="footer"/>
    <w:basedOn w:val="1"/>
    <w:link w:val="45"/>
    <w:qFormat/>
    <w:uiPriority w:val="99"/>
    <w:pPr>
      <w:tabs>
        <w:tab w:val="center" w:pos="4153"/>
        <w:tab w:val="right" w:pos="8306"/>
      </w:tabs>
      <w:snapToGrid w:val="0"/>
      <w:jc w:val="left"/>
    </w:pPr>
    <w:rPr>
      <w:kern w:val="0"/>
      <w:sz w:val="18"/>
      <w:szCs w:val="20"/>
    </w:rPr>
  </w:style>
  <w:style w:type="paragraph" w:styleId="15">
    <w:name w:val="header"/>
    <w:basedOn w:val="1"/>
    <w:link w:val="46"/>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Normal (Web)"/>
    <w:basedOn w:val="1"/>
    <w:link w:val="47"/>
    <w:qFormat/>
    <w:uiPriority w:val="0"/>
    <w:pPr>
      <w:widowControl/>
      <w:spacing w:before="100" w:beforeAutospacing="1" w:after="100" w:afterAutospacing="1"/>
      <w:jc w:val="left"/>
    </w:pPr>
    <w:rPr>
      <w:rFonts w:ascii="宋体" w:hAnsi="宋体"/>
      <w:kern w:val="0"/>
      <w:sz w:val="24"/>
      <w:szCs w:val="20"/>
    </w:rPr>
  </w:style>
  <w:style w:type="paragraph" w:styleId="17">
    <w:name w:val="Title"/>
    <w:basedOn w:val="1"/>
    <w:next w:val="1"/>
    <w:qFormat/>
    <w:locked/>
    <w:uiPriority w:val="0"/>
    <w:pPr>
      <w:spacing w:beforeLines="50" w:after="120" w:line="240" w:lineRule="auto"/>
      <w:outlineLvl w:val="2"/>
    </w:pPr>
    <w:rPr>
      <w:rFonts w:ascii="宋体" w:hAnsi="宋体" w:eastAsia="宋体" w:cs="Times New Roman"/>
      <w:sz w:val="24"/>
      <w:szCs w:val="20"/>
    </w:rPr>
  </w:style>
  <w:style w:type="paragraph" w:styleId="18">
    <w:name w:val="annotation subject"/>
    <w:basedOn w:val="8"/>
    <w:next w:val="8"/>
    <w:link w:val="48"/>
    <w:semiHidden/>
    <w:qFormat/>
    <w:uiPriority w:val="0"/>
    <w:rPr>
      <w:b/>
      <w:kern w:val="2"/>
    </w:rPr>
  </w:style>
  <w:style w:type="paragraph" w:styleId="19">
    <w:name w:val="Body Text First Indent 2"/>
    <w:basedOn w:val="1"/>
    <w:next w:val="1"/>
    <w:qFormat/>
    <w:locked/>
    <w:uiPriority w:val="0"/>
    <w:pPr>
      <w:spacing w:after="120" w:afterLines="0"/>
      <w:ind w:left="420" w:leftChars="200" w:firstLine="420" w:firstLineChars="200"/>
    </w:pPr>
    <w:rPr>
      <w:sz w:val="21"/>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locked/>
    <w:uiPriority w:val="0"/>
    <w:rPr>
      <w:b/>
    </w:rPr>
  </w:style>
  <w:style w:type="character" w:styleId="24">
    <w:name w:val="page number"/>
    <w:basedOn w:val="22"/>
    <w:qFormat/>
    <w:locked/>
    <w:uiPriority w:val="0"/>
  </w:style>
  <w:style w:type="character" w:styleId="25">
    <w:name w:val="Hyperlink"/>
    <w:basedOn w:val="22"/>
    <w:qFormat/>
    <w:locked/>
    <w:uiPriority w:val="0"/>
    <w:rPr>
      <w:color w:val="0000FF"/>
      <w:u w:val="single"/>
    </w:rPr>
  </w:style>
  <w:style w:type="character" w:styleId="26">
    <w:name w:val="annotation reference"/>
    <w:semiHidden/>
    <w:qFormat/>
    <w:uiPriority w:val="0"/>
    <w:rPr>
      <w:sz w:val="21"/>
    </w:rPr>
  </w:style>
  <w:style w:type="paragraph" w:customStyle="1" w:styleId="27">
    <w:name w:val="表格文字"/>
    <w:basedOn w:val="10"/>
    <w:next w:val="10"/>
    <w:qFormat/>
    <w:uiPriority w:val="0"/>
    <w:pPr>
      <w:adjustRightInd w:val="0"/>
      <w:snapToGrid w:val="0"/>
      <w:spacing w:before="0" w:after="0" w:line="240" w:lineRule="atLeast"/>
      <w:ind w:left="-80" w:leftChars="-38" w:right="-84" w:rightChars="-40"/>
    </w:pPr>
    <w:rPr>
      <w:rFonts w:ascii="Times New Roman" w:hAnsi="Times New Roman"/>
      <w:color w:val="FF0000"/>
      <w:sz w:val="21"/>
      <w:szCs w:val="21"/>
    </w:rPr>
  </w:style>
  <w:style w:type="paragraph" w:customStyle="1" w:styleId="28">
    <w:name w:val="明显引用1"/>
    <w:next w:val="1"/>
    <w:qFormat/>
    <w:uiPriority w:val="0"/>
    <w:pPr>
      <w:wordWrap w:val="0"/>
      <w:spacing w:before="360" w:beforeLines="0" w:after="360" w:afterLines="0"/>
      <w:ind w:left="950" w:right="950"/>
      <w:jc w:val="center"/>
    </w:pPr>
    <w:rPr>
      <w:rFonts w:ascii="Times New Roman" w:hAnsi="Times New Roman" w:eastAsia="宋体" w:cs="Times New Roman"/>
      <w:i/>
      <w:sz w:val="21"/>
      <w:lang w:val="en-US" w:eastAsia="zh-CN"/>
    </w:rPr>
  </w:style>
  <w:style w:type="paragraph" w:customStyle="1" w:styleId="29">
    <w:name w:val="Plain Text1"/>
    <w:basedOn w:val="1"/>
    <w:next w:val="30"/>
    <w:qFormat/>
    <w:uiPriority w:val="0"/>
    <w:pPr>
      <w:spacing w:line="360" w:lineRule="auto"/>
      <w:ind w:firstLine="720" w:firstLineChars="200"/>
    </w:pPr>
    <w:rPr>
      <w:rFonts w:ascii="宋体" w:hAnsi="宋体" w:eastAsia="宋体"/>
      <w:sz w:val="24"/>
      <w:szCs w:val="20"/>
    </w:rPr>
  </w:style>
  <w:style w:type="paragraph" w:customStyle="1" w:styleId="30">
    <w:name w:val="Default"/>
    <w:basedOn w:val="31"/>
    <w:qFormat/>
    <w:uiPriority w:val="0"/>
    <w:pPr>
      <w:autoSpaceDE w:val="0"/>
      <w:autoSpaceDN w:val="0"/>
      <w:adjustRightInd w:val="0"/>
    </w:pPr>
    <w:rPr>
      <w:rFonts w:ascii="仿宋_GB2312" w:hAnsi="Times New Roman" w:eastAsia="仿宋_GB2312" w:cs="仿宋_GB2312"/>
      <w:color w:val="000000"/>
      <w:sz w:val="24"/>
      <w:szCs w:val="24"/>
    </w:rPr>
  </w:style>
  <w:style w:type="paragraph" w:customStyle="1" w:styleId="31">
    <w:name w:val="排版"/>
    <w:basedOn w:val="1"/>
    <w:qFormat/>
    <w:uiPriority w:val="0"/>
    <w:pPr>
      <w:spacing w:line="480" w:lineRule="exact"/>
      <w:ind w:firstLine="480" w:firstLineChars="200"/>
    </w:pPr>
    <w:rPr>
      <w:rFonts w:ascii="Times New Roman" w:hAnsi="Times New Roman"/>
      <w:sz w:val="24"/>
    </w:rPr>
  </w:style>
  <w:style w:type="paragraph" w:customStyle="1" w:styleId="32">
    <w:name w:val="纯文本1"/>
    <w:basedOn w:val="1"/>
    <w:qFormat/>
    <w:uiPriority w:val="0"/>
    <w:rPr>
      <w:rFonts w:ascii="宋体" w:hAnsi="Courier New" w:cs="Courier New"/>
      <w:szCs w:val="21"/>
    </w:rPr>
  </w:style>
  <w:style w:type="paragraph" w:customStyle="1" w:styleId="33">
    <w:name w:val="Body Text First Indent 2"/>
    <w:basedOn w:val="34"/>
    <w:next w:val="36"/>
    <w:qFormat/>
    <w:uiPriority w:val="0"/>
    <w:pPr>
      <w:ind w:firstLine="420" w:firstLineChars="200"/>
    </w:pPr>
    <w:rPr>
      <w:kern w:val="2"/>
      <w:sz w:val="21"/>
      <w:szCs w:val="24"/>
    </w:rPr>
  </w:style>
  <w:style w:type="paragraph" w:customStyle="1" w:styleId="34">
    <w:name w:val="Body Text Indent"/>
    <w:basedOn w:val="1"/>
    <w:next w:val="35"/>
    <w:qFormat/>
    <w:uiPriority w:val="0"/>
    <w:pPr>
      <w:spacing w:after="120" w:afterLines="0"/>
      <w:ind w:left="420" w:leftChars="200"/>
    </w:pPr>
    <w:rPr>
      <w:rFonts w:ascii="Times New Roman" w:hAnsi="Times New Roman" w:eastAsia="宋体"/>
      <w:sz w:val="24"/>
    </w:rPr>
  </w:style>
  <w:style w:type="paragraph" w:customStyle="1" w:styleId="35">
    <w:name w:val="Normal Indent"/>
    <w:basedOn w:val="1"/>
    <w:next w:val="1"/>
    <w:qFormat/>
    <w:uiPriority w:val="0"/>
    <w:pPr>
      <w:ind w:firstLine="420"/>
    </w:pPr>
    <w:rPr>
      <w:sz w:val="24"/>
      <w:szCs w:val="20"/>
    </w:rPr>
  </w:style>
  <w:style w:type="paragraph" w:customStyle="1" w:styleId="36">
    <w:name w:val="Body Text First Indent"/>
    <w:basedOn w:val="10"/>
    <w:next w:val="1"/>
    <w:qFormat/>
    <w:uiPriority w:val="0"/>
    <w:pPr>
      <w:widowControl w:val="0"/>
      <w:snapToGrid/>
      <w:spacing w:before="0" w:beforeLines="0" w:after="120" w:afterLines="0" w:line="240" w:lineRule="auto"/>
      <w:ind w:right="0" w:firstLine="420" w:firstLineChars="100"/>
    </w:pPr>
    <w:rPr>
      <w:rFonts w:ascii="Times New Roman"/>
      <w:kern w:val="2"/>
      <w:sz w:val="21"/>
      <w:szCs w:val="24"/>
    </w:rPr>
  </w:style>
  <w:style w:type="paragraph" w:customStyle="1" w:styleId="37">
    <w:name w:val="Body Text First Indent 21"/>
    <w:basedOn w:val="38"/>
    <w:next w:val="36"/>
    <w:qFormat/>
    <w:uiPriority w:val="0"/>
    <w:pPr>
      <w:ind w:firstLine="420" w:firstLineChars="200"/>
    </w:pPr>
    <w:rPr>
      <w:kern w:val="2"/>
      <w:sz w:val="21"/>
      <w:szCs w:val="24"/>
    </w:rPr>
  </w:style>
  <w:style w:type="paragraph" w:customStyle="1" w:styleId="38">
    <w:name w:val="Body Text Indent1"/>
    <w:basedOn w:val="1"/>
    <w:next w:val="39"/>
    <w:qFormat/>
    <w:uiPriority w:val="0"/>
    <w:pPr>
      <w:spacing w:after="120" w:afterLines="0"/>
      <w:ind w:left="420" w:leftChars="200"/>
    </w:pPr>
    <w:rPr>
      <w:rFonts w:ascii="Times New Roman" w:hAnsi="Times New Roman" w:eastAsia="宋体"/>
      <w:sz w:val="24"/>
    </w:rPr>
  </w:style>
  <w:style w:type="paragraph" w:customStyle="1" w:styleId="39">
    <w:name w:val="Normal Indent1"/>
    <w:basedOn w:val="1"/>
    <w:next w:val="1"/>
    <w:qFormat/>
    <w:uiPriority w:val="0"/>
    <w:pPr>
      <w:ind w:firstLine="420"/>
    </w:pPr>
    <w:rPr>
      <w:sz w:val="24"/>
      <w:szCs w:val="20"/>
    </w:rPr>
  </w:style>
  <w:style w:type="character" w:customStyle="1" w:styleId="40">
    <w:name w:val="批注文字 Char"/>
    <w:link w:val="8"/>
    <w:qFormat/>
    <w:locked/>
    <w:uiPriority w:val="0"/>
    <w:rPr>
      <w:rFonts w:ascii="Times New Roman" w:hAnsi="Times New Roman" w:eastAsia="宋体"/>
      <w:sz w:val="24"/>
    </w:rPr>
  </w:style>
  <w:style w:type="character" w:customStyle="1" w:styleId="41">
    <w:name w:val="正文文本 Char"/>
    <w:link w:val="10"/>
    <w:qFormat/>
    <w:locked/>
    <w:uiPriority w:val="0"/>
    <w:rPr>
      <w:sz w:val="18"/>
    </w:rPr>
  </w:style>
  <w:style w:type="character" w:customStyle="1" w:styleId="42">
    <w:name w:val="正文文本缩进 Char"/>
    <w:semiHidden/>
    <w:qFormat/>
    <w:locked/>
    <w:uiPriority w:val="0"/>
    <w:rPr>
      <w:rFonts w:ascii="Times New Roman" w:hAnsi="Times New Roman" w:eastAsia="宋体"/>
      <w:sz w:val="24"/>
    </w:rPr>
  </w:style>
  <w:style w:type="character" w:customStyle="1" w:styleId="43">
    <w:name w:val="日期 Char"/>
    <w:link w:val="12"/>
    <w:qFormat/>
    <w:locked/>
    <w:uiPriority w:val="0"/>
    <w:rPr>
      <w:rFonts w:ascii="Times New Roman" w:hAnsi="Times New Roman" w:eastAsia="宋体"/>
      <w:sz w:val="24"/>
    </w:rPr>
  </w:style>
  <w:style w:type="character" w:customStyle="1" w:styleId="44">
    <w:name w:val="批注框文本 Char"/>
    <w:link w:val="13"/>
    <w:semiHidden/>
    <w:qFormat/>
    <w:locked/>
    <w:uiPriority w:val="0"/>
    <w:rPr>
      <w:rFonts w:ascii="Times New Roman" w:hAnsi="Times New Roman" w:eastAsia="宋体"/>
      <w:sz w:val="18"/>
    </w:rPr>
  </w:style>
  <w:style w:type="character" w:customStyle="1" w:styleId="45">
    <w:name w:val="页脚 Char"/>
    <w:link w:val="14"/>
    <w:qFormat/>
    <w:locked/>
    <w:uiPriority w:val="99"/>
    <w:rPr>
      <w:sz w:val="18"/>
    </w:rPr>
  </w:style>
  <w:style w:type="character" w:customStyle="1" w:styleId="46">
    <w:name w:val="页眉 Char"/>
    <w:link w:val="15"/>
    <w:qFormat/>
    <w:locked/>
    <w:uiPriority w:val="0"/>
    <w:rPr>
      <w:sz w:val="18"/>
    </w:rPr>
  </w:style>
  <w:style w:type="character" w:customStyle="1" w:styleId="47">
    <w:name w:val="普通(网站) Char"/>
    <w:link w:val="16"/>
    <w:qFormat/>
    <w:locked/>
    <w:uiPriority w:val="0"/>
    <w:rPr>
      <w:rFonts w:ascii="宋体" w:hAnsi="宋体" w:eastAsia="宋体"/>
      <w:sz w:val="24"/>
    </w:rPr>
  </w:style>
  <w:style w:type="character" w:customStyle="1" w:styleId="48">
    <w:name w:val="批注主题 Char"/>
    <w:link w:val="18"/>
    <w:semiHidden/>
    <w:qFormat/>
    <w:locked/>
    <w:uiPriority w:val="0"/>
    <w:rPr>
      <w:rFonts w:ascii="Times New Roman" w:hAnsi="Times New Roman" w:eastAsia="宋体"/>
      <w:b/>
      <w:kern w:val="2"/>
      <w:sz w:val="24"/>
    </w:rPr>
  </w:style>
  <w:style w:type="character" w:customStyle="1" w:styleId="49">
    <w:name w:val="表格 Char"/>
    <w:link w:val="50"/>
    <w:qFormat/>
    <w:locked/>
    <w:uiPriority w:val="0"/>
    <w:rPr>
      <w:rFonts w:ascii="宋体"/>
      <w:sz w:val="21"/>
    </w:rPr>
  </w:style>
  <w:style w:type="paragraph" w:customStyle="1" w:styleId="50">
    <w:name w:val="表格"/>
    <w:basedOn w:val="1"/>
    <w:next w:val="1"/>
    <w:link w:val="49"/>
    <w:qFormat/>
    <w:uiPriority w:val="0"/>
    <w:pPr>
      <w:adjustRightInd w:val="0"/>
      <w:snapToGrid w:val="0"/>
      <w:spacing w:beforeLines="10" w:afterLines="10" w:line="259" w:lineRule="auto"/>
      <w:jc w:val="center"/>
    </w:pPr>
    <w:rPr>
      <w:rFonts w:ascii="宋体"/>
      <w:kern w:val="0"/>
      <w:szCs w:val="20"/>
    </w:rPr>
  </w:style>
  <w:style w:type="paragraph" w:customStyle="1" w:styleId="51">
    <w:name w:val="正文1"/>
    <w:basedOn w:val="1"/>
    <w:link w:val="58"/>
    <w:qFormat/>
    <w:uiPriority w:val="0"/>
    <w:pPr>
      <w:adjustRightInd w:val="0"/>
      <w:snapToGrid w:val="0"/>
      <w:spacing w:line="360" w:lineRule="auto"/>
      <w:ind w:firstLine="200" w:firstLineChars="200"/>
    </w:pPr>
    <w:rPr>
      <w:rFonts w:cs="宋体"/>
      <w:sz w:val="24"/>
      <w:szCs w:val="21"/>
    </w:rPr>
  </w:style>
  <w:style w:type="paragraph" w:customStyle="1" w:styleId="52">
    <w:name w:val="表头"/>
    <w:basedOn w:val="51"/>
    <w:link w:val="59"/>
    <w:qFormat/>
    <w:uiPriority w:val="0"/>
    <w:pPr>
      <w:spacing w:line="320" w:lineRule="exact"/>
      <w:ind w:firstLine="0" w:firstLineChars="0"/>
      <w:jc w:val="center"/>
    </w:pPr>
    <w:rPr>
      <w:b/>
      <w:sz w:val="21"/>
    </w:rPr>
  </w:style>
  <w:style w:type="paragraph" w:customStyle="1" w:styleId="53">
    <w:name w:val="表格1"/>
    <w:basedOn w:val="52"/>
    <w:link w:val="78"/>
    <w:qFormat/>
    <w:uiPriority w:val="0"/>
    <w:rPr>
      <w:b w:val="0"/>
    </w:rPr>
  </w:style>
  <w:style w:type="character" w:customStyle="1" w:styleId="54">
    <w:name w:val="正文首行缩进 2 Char"/>
    <w:basedOn w:val="42"/>
    <w:qFormat/>
    <w:uiPriority w:val="0"/>
    <w:rPr>
      <w:rFonts w:ascii="Times New Roman" w:hAnsi="Times New Roman" w:eastAsia="宋体"/>
      <w:kern w:val="2"/>
      <w:sz w:val="21"/>
      <w:szCs w:val="24"/>
    </w:rPr>
  </w:style>
  <w:style w:type="character" w:customStyle="1" w:styleId="55">
    <w:name w:val="纯文本 Char"/>
    <w:basedOn w:val="22"/>
    <w:qFormat/>
    <w:uiPriority w:val="99"/>
    <w:rPr>
      <w:rFonts w:hAnsi="Courier New"/>
      <w:kern w:val="2"/>
      <w:sz w:val="21"/>
      <w:szCs w:val="21"/>
    </w:rPr>
  </w:style>
  <w:style w:type="character" w:customStyle="1" w:styleId="56">
    <w:name w:val="称呼 Char"/>
    <w:basedOn w:val="22"/>
    <w:link w:val="9"/>
    <w:qFormat/>
    <w:uiPriority w:val="0"/>
    <w:rPr>
      <w:kern w:val="2"/>
      <w:sz w:val="21"/>
      <w:szCs w:val="24"/>
    </w:rPr>
  </w:style>
  <w:style w:type="character" w:styleId="57">
    <w:name w:val="Placeholder Text"/>
    <w:basedOn w:val="22"/>
    <w:unhideWhenUsed/>
    <w:qFormat/>
    <w:uiPriority w:val="99"/>
    <w:rPr>
      <w:color w:val="808080"/>
    </w:rPr>
  </w:style>
  <w:style w:type="character" w:customStyle="1" w:styleId="58">
    <w:name w:val="正文1 Char"/>
    <w:link w:val="51"/>
    <w:qFormat/>
    <w:uiPriority w:val="0"/>
    <w:rPr>
      <w:rFonts w:cs="宋体"/>
      <w:kern w:val="2"/>
      <w:sz w:val="24"/>
      <w:szCs w:val="21"/>
    </w:rPr>
  </w:style>
  <w:style w:type="character" w:customStyle="1" w:styleId="59">
    <w:name w:val="表头 Char"/>
    <w:link w:val="52"/>
    <w:qFormat/>
    <w:uiPriority w:val="0"/>
    <w:rPr>
      <w:rFonts w:cs="宋体"/>
      <w:b/>
      <w:kern w:val="2"/>
      <w:sz w:val="21"/>
      <w:szCs w:val="21"/>
    </w:rPr>
  </w:style>
  <w:style w:type="character" w:customStyle="1" w:styleId="60">
    <w:name w:val="标题 2 Char"/>
    <w:basedOn w:val="22"/>
    <w:link w:val="3"/>
    <w:semiHidden/>
    <w:qFormat/>
    <w:uiPriority w:val="0"/>
    <w:rPr>
      <w:rFonts w:asciiTheme="majorHAnsi" w:hAnsiTheme="majorHAnsi" w:eastAsiaTheme="majorEastAsia" w:cstheme="majorBidi"/>
      <w:b/>
      <w:bCs/>
      <w:kern w:val="2"/>
      <w:sz w:val="32"/>
      <w:szCs w:val="32"/>
    </w:rPr>
  </w:style>
  <w:style w:type="character" w:customStyle="1" w:styleId="61">
    <w:name w:val="标题 3 Char"/>
    <w:basedOn w:val="22"/>
    <w:link w:val="4"/>
    <w:qFormat/>
    <w:uiPriority w:val="9"/>
    <w:rPr>
      <w:b/>
      <w:bCs/>
      <w:kern w:val="2"/>
      <w:sz w:val="32"/>
      <w:szCs w:val="32"/>
    </w:rPr>
  </w:style>
  <w:style w:type="character" w:customStyle="1" w:styleId="62">
    <w:name w:val="文档结构图 Char"/>
    <w:basedOn w:val="22"/>
    <w:link w:val="5"/>
    <w:qFormat/>
    <w:uiPriority w:val="0"/>
    <w:rPr>
      <w:rFonts w:ascii="宋体"/>
      <w:kern w:val="2"/>
      <w:sz w:val="18"/>
      <w:szCs w:val="18"/>
    </w:rPr>
  </w:style>
  <w:style w:type="paragraph" w:customStyle="1" w:styleId="63">
    <w:name w:val="标题3"/>
    <w:basedOn w:val="64"/>
    <w:qFormat/>
    <w:uiPriority w:val="0"/>
    <w:pPr>
      <w:spacing w:before="0" w:beforeLines="0" w:after="0" w:afterLines="0" w:line="360" w:lineRule="auto"/>
    </w:pPr>
  </w:style>
  <w:style w:type="paragraph" w:customStyle="1" w:styleId="64">
    <w:name w:val="标题2"/>
    <w:basedOn w:val="1"/>
    <w:qFormat/>
    <w:uiPriority w:val="0"/>
    <w:pPr>
      <w:autoSpaceDE w:val="0"/>
      <w:adjustRightInd w:val="0"/>
      <w:snapToGrid w:val="0"/>
      <w:spacing w:before="50" w:beforeLines="50" w:after="50" w:afterLines="50"/>
    </w:pPr>
    <w:rPr>
      <w:rFonts w:cs="宋体"/>
      <w:b/>
      <w:kern w:val="0"/>
      <w:sz w:val="28"/>
    </w:rPr>
  </w:style>
  <w:style w:type="paragraph" w:customStyle="1" w:styleId="65">
    <w:name w:val="样式 标题 1 + 四号 段前: 0 磅 段后: 0 磅 行距: 1.5 倍行距"/>
    <w:basedOn w:val="66"/>
    <w:next w:val="67"/>
    <w:qFormat/>
    <w:uiPriority w:val="0"/>
    <w:pPr>
      <w:spacing w:line="360" w:lineRule="auto"/>
      <w:jc w:val="center"/>
    </w:pPr>
    <w:rPr>
      <w:rFonts w:hAnsi="黑体" w:eastAsia="宋体"/>
      <w:sz w:val="21"/>
    </w:rPr>
  </w:style>
  <w:style w:type="paragraph" w:customStyle="1" w:styleId="66">
    <w:name w:val="1正文"/>
    <w:basedOn w:val="1"/>
    <w:qFormat/>
    <w:uiPriority w:val="0"/>
    <w:pPr>
      <w:spacing w:line="500" w:lineRule="exact"/>
      <w:ind w:firstLine="588" w:firstLineChars="196"/>
    </w:pPr>
    <w:rPr>
      <w:rFonts w:eastAsia="楷体_GB2312"/>
      <w:sz w:val="30"/>
      <w:szCs w:val="30"/>
    </w:rPr>
  </w:style>
  <w:style w:type="paragraph" w:customStyle="1" w:styleId="67">
    <w:name w:val="文本正文"/>
    <w:basedOn w:val="1"/>
    <w:qFormat/>
    <w:uiPriority w:val="0"/>
    <w:pPr>
      <w:snapToGrid w:val="0"/>
      <w:spacing w:line="360" w:lineRule="auto"/>
      <w:ind w:firstLine="720" w:firstLineChars="200"/>
      <w:jc w:val="left"/>
    </w:pPr>
    <w:rPr>
      <w:rFonts w:ascii="Times New Roman" w:hAnsi="Times New Roman" w:eastAsia="宋体"/>
      <w:spacing w:val="6"/>
      <w:kern w:val="24"/>
      <w:sz w:val="24"/>
      <w:lang w:val="zh-CN"/>
    </w:rPr>
  </w:style>
  <w:style w:type="paragraph" w:customStyle="1" w:styleId="68">
    <w:name w:val="Plain Text"/>
    <w:basedOn w:val="1"/>
    <w:next w:val="30"/>
    <w:qFormat/>
    <w:uiPriority w:val="0"/>
    <w:pPr>
      <w:spacing w:line="360" w:lineRule="auto"/>
      <w:ind w:firstLine="720" w:firstLineChars="200"/>
    </w:pPr>
    <w:rPr>
      <w:rFonts w:ascii="宋体" w:hAnsi="宋体" w:eastAsia="宋体"/>
      <w:sz w:val="24"/>
      <w:szCs w:val="20"/>
    </w:rPr>
  </w:style>
  <w:style w:type="paragraph" w:customStyle="1" w:styleId="69">
    <w:name w:val="报告表正文"/>
    <w:basedOn w:val="1"/>
    <w:qFormat/>
    <w:uiPriority w:val="0"/>
    <w:pPr>
      <w:wordWrap w:val="0"/>
      <w:topLinePunct/>
      <w:adjustRightInd w:val="0"/>
      <w:spacing w:line="360" w:lineRule="auto"/>
      <w:ind w:firstLine="488"/>
      <w:jc w:val="left"/>
      <w:textAlignment w:val="baseline"/>
    </w:pPr>
    <w:rPr>
      <w:rFonts w:ascii="Times New Roman" w:hAnsi="Times New Roman" w:eastAsia="Times New Roman" w:cs="宋体"/>
      <w:sz w:val="21"/>
      <w:szCs w:val="20"/>
    </w:rPr>
  </w:style>
  <w:style w:type="table" w:customStyle="1" w:styleId="70">
    <w:name w:val="Table Normal"/>
    <w:semiHidden/>
    <w:unhideWhenUsed/>
    <w:qFormat/>
    <w:uiPriority w:val="0"/>
    <w:tblPr>
      <w:tblCellMar>
        <w:top w:w="0" w:type="dxa"/>
        <w:left w:w="0" w:type="dxa"/>
        <w:bottom w:w="0" w:type="dxa"/>
        <w:right w:w="0" w:type="dxa"/>
      </w:tblCellMar>
    </w:tblPr>
  </w:style>
  <w:style w:type="paragraph" w:customStyle="1" w:styleId="71">
    <w:name w:val="Table Text"/>
    <w:basedOn w:val="1"/>
    <w:semiHidden/>
    <w:qFormat/>
    <w:uiPriority w:val="0"/>
    <w:rPr>
      <w:rFonts w:ascii="宋体" w:hAnsi="宋体" w:eastAsia="宋体" w:cs="宋体"/>
      <w:sz w:val="24"/>
      <w:szCs w:val="24"/>
      <w:lang w:val="en-US" w:eastAsia="en-US" w:bidi="ar-SA"/>
    </w:rPr>
  </w:style>
  <w:style w:type="paragraph" w:customStyle="1" w:styleId="72">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73">
    <w:name w:val="正文2"/>
    <w:basedOn w:val="1"/>
    <w:qFormat/>
    <w:uiPriority w:val="0"/>
    <w:pPr>
      <w:spacing w:line="360" w:lineRule="auto"/>
      <w:ind w:firstLine="200" w:firstLineChars="200"/>
    </w:pPr>
    <w:rPr>
      <w:sz w:val="24"/>
    </w:rPr>
  </w:style>
  <w:style w:type="paragraph" w:customStyle="1" w:styleId="74">
    <w:name w:val="正文缩进1"/>
    <w:basedOn w:val="1"/>
    <w:qFormat/>
    <w:uiPriority w:val="0"/>
    <w:pPr>
      <w:ind w:firstLine="420"/>
    </w:pPr>
  </w:style>
  <w:style w:type="paragraph" w:customStyle="1" w:styleId="75">
    <w:name w:val="报告表表格"/>
    <w:basedOn w:val="1"/>
    <w:qFormat/>
    <w:uiPriority w:val="0"/>
    <w:pPr>
      <w:jc w:val="center"/>
    </w:pPr>
    <w:rPr>
      <w:rFonts w:cs="宋体"/>
    </w:rPr>
  </w:style>
  <w:style w:type="paragraph" w:customStyle="1" w:styleId="76">
    <w:name w:val="表头1111111122222"/>
    <w:basedOn w:val="6"/>
    <w:next w:val="17"/>
    <w:qFormat/>
    <w:uiPriority w:val="0"/>
    <w:pPr>
      <w:spacing w:before="156" w:beforeLines="50" w:after="156" w:afterLines="50"/>
      <w:ind w:firstLine="0"/>
      <w:jc w:val="center"/>
    </w:pPr>
    <w:rPr>
      <w:rFonts w:eastAsia="黑体"/>
      <w:sz w:val="24"/>
      <w:szCs w:val="24"/>
      <w:lang w:val="zh-CN"/>
    </w:rPr>
  </w:style>
  <w:style w:type="character" w:customStyle="1" w:styleId="77">
    <w:name w:val="样式 样式2 + (符号) 宋体1 Char"/>
    <w:qFormat/>
    <w:uiPriority w:val="0"/>
    <w:rPr>
      <w:rFonts w:ascii="宋体" w:eastAsia="宋体"/>
      <w:kern w:val="2"/>
      <w:sz w:val="28"/>
      <w:szCs w:val="28"/>
      <w:lang w:val="en-US" w:eastAsia="zh-CN" w:bidi="ar-SA"/>
    </w:rPr>
  </w:style>
  <w:style w:type="character" w:customStyle="1" w:styleId="78">
    <w:name w:val="表格1 Char"/>
    <w:link w:val="53"/>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image" Target="media/image6.wmf"/><Relationship Id="rId16" Type="http://schemas.openxmlformats.org/officeDocument/2006/relationships/oleObject" Target="embeddings/oleObject4.bin"/><Relationship Id="rId15" Type="http://schemas.openxmlformats.org/officeDocument/2006/relationships/image" Target="media/image5.wmf"/><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UOS\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72</Pages>
  <Words>42848</Words>
  <Characters>48291</Characters>
  <Lines>360</Lines>
  <Paragraphs>101</Paragraphs>
  <TotalTime>2</TotalTime>
  <ScaleCrop>false</ScaleCrop>
  <LinksUpToDate>false</LinksUpToDate>
  <CharactersWithSpaces>48732</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2023-12-23T14:07:00Z</dcterms:created>
  <dc:creator>lhj</dc:creator>
  <cp:lastModifiedBy>王芸姗</cp:lastModifiedBy>
  <cp:lastPrinted>2025-07-01T02:10:00Z</cp:lastPrinted>
  <dcterms:modified xsi:type="dcterms:W3CDTF">2025-07-15T01:06:42Z</dcterms:modified>
  <dc:title>附件2</dc:title>
  <cp:revision>223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1A73DEEDFFE042CAA82A7CE6B305DB60_13</vt:lpwstr>
  </property>
  <property fmtid="{D5CDD505-2E9C-101B-9397-08002B2CF9AE}" pid="4" name="KSOTemplateDocerSaveRecord">
    <vt:lpwstr>eyJoZGlkIjoiNmM1MDlhMzEyMWZkZTZlNWQwNjMwYmQyZTRjY2Q1YjgiLCJ1c2VySWQiOiIxOTIwMTM0OTcifQ==</vt:lpwstr>
  </property>
</Properties>
</file>