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spacing w:line="660" w:lineRule="auto"/>
        <w:jc w:val="center"/>
        <w:rPr>
          <w:rFonts w:ascii="宋体" w:hAnsi="宋体" w:eastAsia="宋体"/>
          <w:b/>
          <w:bCs/>
          <w:color w:val="auto"/>
          <w:sz w:val="44"/>
          <w:szCs w:val="44"/>
          <w:highlight w:val="none"/>
        </w:rPr>
      </w:pPr>
    </w:p>
    <w:p>
      <w:pPr>
        <w:pStyle w:val="2"/>
        <w:shd w:val="clear"/>
        <w:rPr>
          <w:color w:val="auto"/>
          <w:highlight w:val="none"/>
        </w:rPr>
      </w:pPr>
    </w:p>
    <w:p>
      <w:pPr>
        <w:pStyle w:val="2"/>
        <w:shd w:val="clear"/>
        <w:rPr>
          <w:color w:val="auto"/>
          <w:highlight w:val="none"/>
        </w:rPr>
      </w:pPr>
    </w:p>
    <w:p>
      <w:pPr>
        <w:pStyle w:val="10"/>
        <w:keepNext w:val="0"/>
        <w:keepLines w:val="0"/>
        <w:widowControl/>
        <w:suppressLineNumbers w:val="0"/>
        <w:spacing w:before="60" w:beforeAutospacing="0" w:after="60" w:afterAutospacing="0" w:line="528" w:lineRule="atLeast"/>
        <w:ind w:left="0" w:right="0"/>
        <w:jc w:val="center"/>
      </w:pPr>
      <w:r>
        <w:rPr>
          <w:rStyle w:val="14"/>
          <w:rFonts w:hint="eastAsia" w:ascii="宋体" w:hAnsi="宋体" w:eastAsia="宋体" w:cs="宋体"/>
          <w:sz w:val="34"/>
          <w:szCs w:val="34"/>
        </w:rPr>
        <w:t>曲靖市麒麟区沿用上一轮征收农用地区片</w:t>
      </w:r>
    </w:p>
    <w:p>
      <w:pPr>
        <w:pStyle w:val="10"/>
        <w:keepNext w:val="0"/>
        <w:keepLines w:val="0"/>
        <w:widowControl/>
        <w:suppressLineNumbers w:val="0"/>
        <w:spacing w:before="60" w:beforeAutospacing="0" w:after="60" w:afterAutospacing="0" w:line="528" w:lineRule="atLeast"/>
        <w:ind w:left="0" w:right="0"/>
        <w:jc w:val="center"/>
      </w:pPr>
      <w:r>
        <w:rPr>
          <w:rStyle w:val="14"/>
          <w:rFonts w:hint="eastAsia" w:ascii="宋体" w:hAnsi="宋体" w:eastAsia="宋体" w:cs="宋体"/>
          <w:sz w:val="34"/>
          <w:szCs w:val="34"/>
        </w:rPr>
        <w:t>综合地价初步论证报告（听证稿）</w:t>
      </w:r>
    </w:p>
    <w:p>
      <w:pPr>
        <w:pStyle w:val="10"/>
        <w:keepNext w:val="0"/>
        <w:keepLines w:val="0"/>
        <w:widowControl/>
        <w:suppressLineNumbers w:val="0"/>
        <w:spacing w:before="60" w:beforeAutospacing="0" w:after="60" w:afterAutospacing="0"/>
        <w:ind w:left="0" w:right="0"/>
      </w:pPr>
      <w:r>
        <w:rPr>
          <w:rFonts w:ascii="Calibri" w:hAnsi="Calibri" w:cs="Calibri"/>
          <w:sz w:val="16"/>
          <w:szCs w:val="16"/>
        </w:rPr>
        <w:t> </w:t>
      </w:r>
    </w:p>
    <w:p>
      <w:pPr>
        <w:pStyle w:val="10"/>
        <w:keepNext w:val="0"/>
        <w:keepLines w:val="0"/>
        <w:widowControl/>
        <w:suppressLineNumbers w:val="0"/>
        <w:spacing w:before="60" w:beforeAutospacing="0" w:after="60" w:afterAutospacing="0"/>
        <w:ind w:left="0" w:right="0"/>
      </w:pPr>
      <w:r>
        <w:rPr>
          <w:rFonts w:hint="default" w:ascii="Calibri" w:hAnsi="Calibri" w:cs="Calibri"/>
          <w:sz w:val="16"/>
          <w:szCs w:val="16"/>
        </w:rPr>
        <w:t> </w:t>
      </w:r>
    </w:p>
    <w:p>
      <w:pPr>
        <w:pStyle w:val="10"/>
        <w:keepNext w:val="0"/>
        <w:keepLines w:val="0"/>
        <w:widowControl/>
        <w:suppressLineNumbers w:val="0"/>
        <w:spacing w:before="60" w:beforeAutospacing="0" w:after="60" w:afterAutospacing="0"/>
        <w:ind w:left="0" w:right="0"/>
      </w:pPr>
      <w:r>
        <w:rPr>
          <w:rFonts w:hint="default" w:ascii="Calibri" w:hAnsi="Calibri" w:cs="Calibri"/>
          <w:sz w:val="16"/>
          <w:szCs w:val="16"/>
        </w:rPr>
        <w:t> </w:t>
      </w:r>
    </w:p>
    <w:p>
      <w:pPr>
        <w:pStyle w:val="10"/>
        <w:keepNext w:val="0"/>
        <w:keepLines w:val="0"/>
        <w:widowControl/>
        <w:suppressLineNumbers w:val="0"/>
        <w:spacing w:before="60" w:beforeAutospacing="0" w:after="60" w:afterAutospacing="0"/>
        <w:ind w:left="0" w:right="0"/>
      </w:pPr>
      <w:r>
        <w:rPr>
          <w:rFonts w:hint="default" w:ascii="Calibri" w:hAnsi="Calibri" w:cs="Calibri"/>
          <w:sz w:val="16"/>
          <w:szCs w:val="16"/>
        </w:rPr>
        <w:t> </w:t>
      </w:r>
    </w:p>
    <w:p>
      <w:pPr>
        <w:pStyle w:val="10"/>
        <w:keepNext w:val="0"/>
        <w:keepLines w:val="0"/>
        <w:widowControl/>
        <w:suppressLineNumbers w:val="0"/>
        <w:spacing w:before="60" w:beforeAutospacing="0" w:after="60" w:afterAutospacing="0"/>
        <w:ind w:left="0" w:right="0"/>
      </w:pPr>
      <w:r>
        <w:rPr>
          <w:rFonts w:hint="default" w:ascii="Calibri" w:hAnsi="Calibri" w:cs="Calibri"/>
          <w:sz w:val="16"/>
          <w:szCs w:val="16"/>
        </w:rPr>
        <w:t> </w:t>
      </w:r>
    </w:p>
    <w:p>
      <w:pPr>
        <w:pStyle w:val="10"/>
        <w:keepNext w:val="0"/>
        <w:keepLines w:val="0"/>
        <w:widowControl/>
        <w:suppressLineNumbers w:val="0"/>
        <w:spacing w:before="60" w:beforeAutospacing="0" w:after="60" w:afterAutospacing="0"/>
        <w:ind w:left="0" w:right="0"/>
      </w:pPr>
      <w:r>
        <w:rPr>
          <w:rFonts w:hint="default" w:ascii="Calibri" w:hAnsi="Calibri" w:cs="Calibri"/>
          <w:sz w:val="16"/>
          <w:szCs w:val="16"/>
        </w:rPr>
        <w:t> </w:t>
      </w:r>
    </w:p>
    <w:p>
      <w:pPr>
        <w:pStyle w:val="10"/>
        <w:keepNext w:val="0"/>
        <w:keepLines w:val="0"/>
        <w:widowControl/>
        <w:suppressLineNumbers w:val="0"/>
        <w:spacing w:before="60" w:beforeAutospacing="0" w:after="60" w:afterAutospacing="0"/>
        <w:ind w:left="0" w:right="0"/>
      </w:pPr>
      <w:r>
        <w:rPr>
          <w:rFonts w:hint="default" w:ascii="Calibri" w:hAnsi="Calibri" w:cs="Calibri"/>
          <w:sz w:val="16"/>
          <w:szCs w:val="16"/>
        </w:rPr>
        <w:t> </w:t>
      </w:r>
    </w:p>
    <w:p>
      <w:pPr>
        <w:pStyle w:val="10"/>
        <w:keepNext w:val="0"/>
        <w:keepLines w:val="0"/>
        <w:widowControl/>
        <w:suppressLineNumbers w:val="0"/>
        <w:spacing w:before="60" w:beforeAutospacing="0" w:after="60" w:afterAutospacing="0"/>
        <w:ind w:left="0" w:right="0"/>
      </w:pPr>
      <w:r>
        <w:rPr>
          <w:rFonts w:hint="default" w:ascii="Calibri" w:hAnsi="Calibri" w:cs="Calibri"/>
          <w:sz w:val="16"/>
          <w:szCs w:val="16"/>
        </w:rPr>
        <w:t> </w:t>
      </w:r>
    </w:p>
    <w:p>
      <w:pPr>
        <w:pStyle w:val="10"/>
        <w:keepNext w:val="0"/>
        <w:keepLines w:val="0"/>
        <w:widowControl/>
        <w:suppressLineNumbers w:val="0"/>
        <w:spacing w:before="60" w:beforeAutospacing="0" w:after="60" w:afterAutospacing="0"/>
        <w:ind w:left="0" w:right="0"/>
      </w:pPr>
      <w:r>
        <w:rPr>
          <w:rFonts w:hint="default" w:ascii="Calibri" w:hAnsi="Calibri" w:cs="Calibri"/>
          <w:sz w:val="16"/>
          <w:szCs w:val="16"/>
        </w:rPr>
        <w:t> </w:t>
      </w:r>
    </w:p>
    <w:p>
      <w:pPr>
        <w:pStyle w:val="10"/>
        <w:keepNext w:val="0"/>
        <w:keepLines w:val="0"/>
        <w:widowControl/>
        <w:suppressLineNumbers w:val="0"/>
        <w:spacing w:before="60" w:beforeAutospacing="0" w:after="60" w:afterAutospacing="0"/>
        <w:ind w:left="0" w:right="0"/>
      </w:pPr>
      <w:r>
        <w:rPr>
          <w:rFonts w:hint="default" w:ascii="Calibri" w:hAnsi="Calibri" w:cs="Calibri"/>
          <w:sz w:val="16"/>
          <w:szCs w:val="16"/>
        </w:rPr>
        <w:t> </w:t>
      </w:r>
    </w:p>
    <w:p>
      <w:pPr>
        <w:pStyle w:val="10"/>
        <w:keepNext w:val="0"/>
        <w:keepLines w:val="0"/>
        <w:widowControl/>
        <w:suppressLineNumbers w:val="0"/>
        <w:spacing w:before="60" w:beforeAutospacing="0" w:after="60" w:afterAutospacing="0"/>
        <w:ind w:left="0" w:right="0"/>
      </w:pPr>
      <w:r>
        <w:rPr>
          <w:rFonts w:hint="default" w:ascii="Calibri" w:hAnsi="Calibri" w:cs="Calibri"/>
          <w:sz w:val="16"/>
          <w:szCs w:val="16"/>
        </w:rPr>
        <w:t> </w:t>
      </w:r>
    </w:p>
    <w:p>
      <w:pPr>
        <w:pStyle w:val="10"/>
        <w:keepNext w:val="0"/>
        <w:keepLines w:val="0"/>
        <w:widowControl/>
        <w:suppressLineNumbers w:val="0"/>
        <w:spacing w:before="60" w:beforeAutospacing="0" w:after="60" w:afterAutospacing="0"/>
        <w:ind w:left="0" w:right="0"/>
      </w:pPr>
      <w:r>
        <w:rPr>
          <w:rFonts w:hint="default" w:ascii="Calibri" w:hAnsi="Calibri" w:cs="Calibri"/>
          <w:sz w:val="16"/>
          <w:szCs w:val="16"/>
        </w:rPr>
        <w:t> </w:t>
      </w:r>
    </w:p>
    <w:p>
      <w:pPr>
        <w:pStyle w:val="10"/>
        <w:keepNext w:val="0"/>
        <w:keepLines w:val="0"/>
        <w:widowControl/>
        <w:suppressLineNumbers w:val="0"/>
        <w:spacing w:before="60" w:beforeAutospacing="0" w:after="60" w:afterAutospacing="0"/>
        <w:ind w:left="0" w:right="0"/>
      </w:pPr>
      <w:r>
        <w:rPr>
          <w:rFonts w:hint="default" w:ascii="Calibri" w:hAnsi="Calibri" w:cs="Calibri"/>
          <w:sz w:val="16"/>
          <w:szCs w:val="16"/>
        </w:rPr>
        <w:t> </w:t>
      </w:r>
    </w:p>
    <w:p>
      <w:pPr>
        <w:pStyle w:val="10"/>
        <w:keepNext w:val="0"/>
        <w:keepLines w:val="0"/>
        <w:widowControl/>
        <w:suppressLineNumbers w:val="0"/>
        <w:spacing w:before="60" w:beforeAutospacing="0" w:after="60" w:afterAutospacing="0"/>
        <w:ind w:left="0" w:right="0"/>
      </w:pPr>
      <w:r>
        <w:rPr>
          <w:rFonts w:hint="default" w:ascii="Calibri" w:hAnsi="Calibri" w:cs="Calibri"/>
          <w:sz w:val="16"/>
          <w:szCs w:val="16"/>
        </w:rPr>
        <w:t> </w:t>
      </w:r>
    </w:p>
    <w:p>
      <w:pPr>
        <w:pStyle w:val="10"/>
        <w:keepNext w:val="0"/>
        <w:keepLines w:val="0"/>
        <w:widowControl/>
        <w:suppressLineNumbers w:val="0"/>
        <w:spacing w:before="60" w:beforeAutospacing="0" w:after="60" w:afterAutospacing="0"/>
        <w:ind w:left="0" w:right="0"/>
      </w:pPr>
      <w:r>
        <w:rPr>
          <w:rFonts w:hint="default" w:ascii="Calibri" w:hAnsi="Calibri" w:cs="Calibri"/>
          <w:sz w:val="16"/>
          <w:szCs w:val="16"/>
        </w:rPr>
        <w:t> </w:t>
      </w:r>
    </w:p>
    <w:p>
      <w:pPr>
        <w:pStyle w:val="10"/>
        <w:keepNext w:val="0"/>
        <w:keepLines w:val="0"/>
        <w:widowControl/>
        <w:suppressLineNumbers w:val="0"/>
        <w:spacing w:before="60" w:beforeAutospacing="0" w:after="60" w:afterAutospacing="0"/>
        <w:ind w:left="0" w:right="0"/>
      </w:pPr>
      <w:r>
        <w:rPr>
          <w:rFonts w:hint="default" w:ascii="Calibri" w:hAnsi="Calibri" w:cs="Calibri"/>
          <w:sz w:val="16"/>
          <w:szCs w:val="16"/>
        </w:rPr>
        <w:t> </w:t>
      </w:r>
    </w:p>
    <w:p>
      <w:pPr>
        <w:pStyle w:val="10"/>
        <w:keepNext w:val="0"/>
        <w:keepLines w:val="0"/>
        <w:widowControl/>
        <w:suppressLineNumbers w:val="0"/>
        <w:spacing w:before="60" w:beforeAutospacing="0" w:after="60" w:afterAutospacing="0"/>
        <w:ind w:left="0" w:right="0"/>
      </w:pPr>
      <w:r>
        <w:rPr>
          <w:rFonts w:hint="default" w:ascii="Times New Roman" w:hAnsi="Times New Roman" w:cs="Times New Roman"/>
          <w:sz w:val="16"/>
          <w:szCs w:val="16"/>
        </w:rPr>
        <w:t> </w:t>
      </w:r>
    </w:p>
    <w:p>
      <w:pPr>
        <w:pStyle w:val="10"/>
        <w:keepNext w:val="0"/>
        <w:keepLines w:val="0"/>
        <w:widowControl/>
        <w:suppressLineNumbers w:val="0"/>
        <w:spacing w:before="60" w:beforeAutospacing="0" w:after="60" w:afterAutospacing="0"/>
        <w:ind w:left="0" w:right="0"/>
      </w:pPr>
      <w:r>
        <w:rPr>
          <w:rFonts w:hint="default" w:ascii="Times New Roman" w:hAnsi="Times New Roman" w:cs="Times New Roman"/>
          <w:sz w:val="16"/>
          <w:szCs w:val="16"/>
        </w:rPr>
        <w:t> </w:t>
      </w:r>
    </w:p>
    <w:p>
      <w:pPr>
        <w:pStyle w:val="10"/>
        <w:keepNext w:val="0"/>
        <w:keepLines w:val="0"/>
        <w:widowControl/>
        <w:suppressLineNumbers w:val="0"/>
        <w:spacing w:before="60" w:beforeAutospacing="0" w:after="60" w:afterAutospacing="0"/>
        <w:ind w:left="0" w:right="0"/>
      </w:pPr>
      <w:r>
        <w:rPr>
          <w:rFonts w:hint="default" w:ascii="Times New Roman" w:hAnsi="Times New Roman" w:cs="Times New Roman"/>
          <w:sz w:val="16"/>
          <w:szCs w:val="16"/>
        </w:rPr>
        <w:t> </w:t>
      </w:r>
    </w:p>
    <w:p>
      <w:pPr>
        <w:pStyle w:val="10"/>
        <w:keepNext w:val="0"/>
        <w:keepLines w:val="0"/>
        <w:widowControl/>
        <w:suppressLineNumbers w:val="0"/>
        <w:spacing w:before="60" w:beforeAutospacing="0" w:after="60" w:afterAutospacing="0"/>
        <w:ind w:left="0" w:right="0"/>
      </w:pPr>
      <w:r>
        <w:rPr>
          <w:rFonts w:hint="default" w:ascii="Calibri" w:hAnsi="Calibri" w:cs="Calibri"/>
          <w:sz w:val="16"/>
          <w:szCs w:val="16"/>
        </w:rPr>
        <w:t> </w:t>
      </w:r>
    </w:p>
    <w:p>
      <w:pPr>
        <w:pStyle w:val="10"/>
        <w:keepNext w:val="0"/>
        <w:keepLines w:val="0"/>
        <w:widowControl/>
        <w:suppressLineNumbers w:val="0"/>
        <w:spacing w:before="60" w:beforeAutospacing="0" w:after="60" w:afterAutospacing="0"/>
        <w:ind w:left="0" w:right="0"/>
      </w:pPr>
      <w:r>
        <w:rPr>
          <w:rFonts w:hint="default" w:ascii="Calibri" w:hAnsi="Calibri" w:cs="Calibri"/>
          <w:sz w:val="16"/>
          <w:szCs w:val="16"/>
        </w:rPr>
        <w:t> </w:t>
      </w:r>
    </w:p>
    <w:p>
      <w:pPr>
        <w:pStyle w:val="10"/>
        <w:keepNext w:val="0"/>
        <w:keepLines w:val="0"/>
        <w:widowControl/>
        <w:suppressLineNumbers w:val="0"/>
        <w:spacing w:before="60" w:beforeAutospacing="0" w:after="60" w:afterAutospacing="0"/>
        <w:ind w:left="0" w:right="0"/>
      </w:pPr>
      <w:r>
        <w:rPr>
          <w:rStyle w:val="14"/>
          <w:rFonts w:hint="eastAsia" w:ascii="宋体" w:hAnsi="宋体" w:eastAsia="宋体" w:cs="宋体"/>
          <w:sz w:val="28"/>
          <w:szCs w:val="28"/>
        </w:rPr>
        <w:t> </w:t>
      </w:r>
    </w:p>
    <w:p>
      <w:pPr>
        <w:pStyle w:val="10"/>
        <w:keepNext w:val="0"/>
        <w:keepLines w:val="0"/>
        <w:widowControl/>
        <w:suppressLineNumbers w:val="0"/>
        <w:spacing w:before="60" w:beforeAutospacing="0" w:after="60" w:afterAutospacing="0"/>
        <w:ind w:left="0" w:right="0"/>
      </w:pPr>
      <w:r>
        <w:rPr>
          <w:rStyle w:val="14"/>
          <w:rFonts w:hint="eastAsia" w:ascii="宋体" w:hAnsi="宋体" w:eastAsia="宋体" w:cs="宋体"/>
          <w:spacing w:val="0"/>
          <w:sz w:val="28"/>
          <w:szCs w:val="28"/>
        </w:rPr>
        <w:t>编制单位</w:t>
      </w:r>
      <w:r>
        <w:rPr>
          <w:rFonts w:hint="eastAsia" w:ascii="宋体" w:hAnsi="宋体" w:eastAsia="宋体" w:cs="宋体"/>
          <w:spacing w:val="0"/>
          <w:sz w:val="28"/>
          <w:szCs w:val="28"/>
        </w:rPr>
        <w:t>：</w:t>
      </w:r>
      <w:r>
        <w:rPr>
          <w:rStyle w:val="14"/>
          <w:rFonts w:hint="eastAsia" w:ascii="宋体" w:hAnsi="宋体" w:eastAsia="宋体" w:cs="宋体"/>
          <w:spacing w:val="0"/>
          <w:sz w:val="28"/>
          <w:szCs w:val="28"/>
        </w:rPr>
        <w:t>云南优化房地产土地资产评估咨询有限公司</w:t>
      </w:r>
    </w:p>
    <w:p>
      <w:pPr>
        <w:pStyle w:val="10"/>
        <w:keepNext w:val="0"/>
        <w:keepLines w:val="0"/>
        <w:widowControl/>
        <w:suppressLineNumbers w:val="0"/>
        <w:spacing w:before="60" w:beforeAutospacing="0" w:after="60" w:afterAutospacing="0"/>
        <w:ind w:left="0" w:right="0"/>
        <w:jc w:val="center"/>
      </w:pPr>
      <w:r>
        <w:rPr>
          <w:rStyle w:val="14"/>
          <w:rFonts w:hint="eastAsia" w:ascii="宋体" w:hAnsi="宋体" w:eastAsia="宋体" w:cs="宋体"/>
          <w:sz w:val="28"/>
          <w:szCs w:val="28"/>
        </w:rPr>
        <w:t>2025年8月</w:t>
      </w:r>
    </w:p>
    <w:p>
      <w:pPr>
        <w:pStyle w:val="10"/>
        <w:keepNext w:val="0"/>
        <w:keepLines w:val="0"/>
        <w:widowControl/>
        <w:suppressLineNumbers w:val="0"/>
        <w:spacing w:before="60" w:beforeAutospacing="0" w:after="60" w:afterAutospacing="0"/>
        <w:ind w:left="0" w:right="0"/>
      </w:pPr>
      <w:r>
        <w:rPr>
          <w:rFonts w:hint="eastAsia" w:ascii="宋体" w:hAnsi="宋体" w:eastAsia="宋体" w:cs="宋体"/>
          <w:sz w:val="19"/>
          <w:szCs w:val="19"/>
        </w:rPr>
        <w:br w:type="textWrapping"/>
      </w:r>
      <w:r>
        <w:t> </w:t>
      </w:r>
    </w:p>
    <w:p>
      <w:pPr>
        <w:pStyle w:val="10"/>
        <w:keepNext w:val="0"/>
        <w:keepLines w:val="0"/>
        <w:widowControl/>
        <w:suppressLineNumbers w:val="0"/>
        <w:spacing w:before="60" w:beforeAutospacing="0" w:after="60" w:afterAutospacing="0"/>
        <w:ind w:left="0" w:right="0"/>
        <w:jc w:val="center"/>
      </w:pPr>
      <w:r>
        <w:rPr>
          <w:rStyle w:val="14"/>
          <w:rFonts w:ascii="仿宋" w:hAnsi="仿宋" w:eastAsia="仿宋" w:cs="仿宋"/>
          <w:sz w:val="22"/>
          <w:szCs w:val="22"/>
        </w:rPr>
        <w:t>目</w:t>
      </w:r>
      <w:r>
        <w:rPr>
          <w:rStyle w:val="14"/>
          <w:rFonts w:hint="eastAsia" w:ascii="仿宋" w:hAnsi="仿宋" w:eastAsia="仿宋" w:cs="仿宋"/>
          <w:sz w:val="22"/>
          <w:szCs w:val="22"/>
        </w:rPr>
        <w:t> 录</w:t>
      </w:r>
    </w:p>
    <w:p>
      <w:pPr>
        <w:pStyle w:val="10"/>
        <w:keepNext w:val="0"/>
        <w:keepLines w:val="0"/>
        <w:widowControl/>
        <w:suppressLineNumbers w:val="0"/>
        <w:spacing w:before="60" w:beforeAutospacing="0" w:after="60" w:afterAutospacing="0"/>
        <w:ind w:left="0" w:right="0"/>
      </w:pPr>
      <w:r>
        <w:fldChar w:fldCharType="begin"/>
      </w:r>
      <w:r>
        <w:instrText xml:space="preserve"> HYPERLINK "C:/Users/Administrator/Documents/WeChat Files/DXZM615959982/FileStorage/File/2025-08/%E6%9B%B2%E9%9D%96%E5%B8%82%E9%BA%92%E9%BA%9F%E5%8C%BA%E6%B2%BF%E7%94%A8%E4%B8%8A%E4%B8%80%E8%BD%AE%E5%BE%81%E6%94%B6%E5%86%9C%E7%94%A8%E5%9C%B0%E5%8C%BA%E7%89%87%E7%BB%BC%E5%90%88%E5%9C%B0%E4%BB%B7%E5%88%9D%E6%AD%A5%E8%AE%BA%E8%AF%81%E6%8A%A5%E5%91%8A%EF%BC%88%E5%90%AC%E8%AF%81%E7%A8%BF%EF%BC%89(2).docx" \l "_Toc10794" </w:instrText>
      </w:r>
      <w:r>
        <w:fldChar w:fldCharType="separate"/>
      </w:r>
      <w:r>
        <w:rPr>
          <w:rStyle w:val="15"/>
          <w:rFonts w:hint="eastAsia" w:ascii="宋体" w:hAnsi="宋体" w:eastAsia="宋体" w:cs="宋体"/>
          <w:sz w:val="22"/>
          <w:szCs w:val="22"/>
        </w:rPr>
        <w:t>一、项目背景与工作目标</w:t>
      </w:r>
      <w:r>
        <w:fldChar w:fldCharType="end"/>
      </w:r>
    </w:p>
    <w:p>
      <w:pPr>
        <w:pStyle w:val="10"/>
        <w:keepNext w:val="0"/>
        <w:keepLines w:val="0"/>
        <w:widowControl/>
        <w:suppressLineNumbers w:val="0"/>
        <w:spacing w:before="60" w:beforeAutospacing="0" w:after="60" w:afterAutospacing="0"/>
        <w:ind w:left="0" w:right="0"/>
      </w:pPr>
      <w:r>
        <w:fldChar w:fldCharType="begin"/>
      </w:r>
      <w:r>
        <w:instrText xml:space="preserve"> HYPERLINK "C:/Users/Administrator/Documents/WeChat Files/DXZM615959982/FileStorage/File/2025-08/%E6%9B%B2%E9%9D%96%E5%B8%82%E9%BA%92%E9%BA%9F%E5%8C%BA%E6%B2%BF%E7%94%A8%E4%B8%8A%E4%B8%80%E8%BD%AE%E5%BE%81%E6%94%B6%E5%86%9C%E7%94%A8%E5%9C%B0%E5%8C%BA%E7%89%87%E7%BB%BC%E5%90%88%E5%9C%B0%E4%BB%B7%E5%88%9D%E6%AD%A5%E8%AE%BA%E8%AF%81%E6%8A%A5%E5%91%8A%EF%BC%88%E5%90%AC%E8%AF%81%E7%A8%BF%EF%BC%89(2).docx" \l "_Toc22895" </w:instrText>
      </w:r>
      <w:r>
        <w:fldChar w:fldCharType="separate"/>
      </w:r>
      <w:r>
        <w:rPr>
          <w:rStyle w:val="15"/>
          <w:rFonts w:hint="eastAsia" w:ascii="宋体" w:hAnsi="宋体" w:eastAsia="宋体" w:cs="宋体"/>
          <w:sz w:val="22"/>
          <w:szCs w:val="22"/>
        </w:rPr>
        <w:t>（一）项目背景</w:t>
      </w:r>
      <w:r>
        <w:fldChar w:fldCharType="end"/>
      </w:r>
    </w:p>
    <w:p>
      <w:pPr>
        <w:pStyle w:val="10"/>
        <w:keepNext w:val="0"/>
        <w:keepLines w:val="0"/>
        <w:widowControl/>
        <w:suppressLineNumbers w:val="0"/>
        <w:spacing w:before="60" w:beforeAutospacing="0" w:after="60" w:afterAutospacing="0"/>
        <w:ind w:left="0" w:right="0"/>
      </w:pPr>
      <w:r>
        <w:fldChar w:fldCharType="begin"/>
      </w:r>
      <w:r>
        <w:instrText xml:space="preserve"> HYPERLINK "C:/Users/Administrator/Documents/WeChat Files/DXZM615959982/FileStorage/File/2025-08/%E6%9B%B2%E9%9D%96%E5%B8%82%E9%BA%92%E9%BA%9F%E5%8C%BA%E6%B2%BF%E7%94%A8%E4%B8%8A%E4%B8%80%E8%BD%AE%E5%BE%81%E6%94%B6%E5%86%9C%E7%94%A8%E5%9C%B0%E5%8C%BA%E7%89%87%E7%BB%BC%E5%90%88%E5%9C%B0%E4%BB%B7%E5%88%9D%E6%AD%A5%E8%AE%BA%E8%AF%81%E6%8A%A5%E5%91%8A%EF%BC%88%E5%90%AC%E8%AF%81%E7%A8%BF%EF%BC%89(2).docx" \l "_Toc22359" </w:instrText>
      </w:r>
      <w:r>
        <w:fldChar w:fldCharType="separate"/>
      </w:r>
      <w:r>
        <w:rPr>
          <w:rStyle w:val="15"/>
          <w:rFonts w:hint="eastAsia" w:ascii="宋体" w:hAnsi="宋体" w:eastAsia="宋体" w:cs="宋体"/>
          <w:sz w:val="22"/>
          <w:szCs w:val="22"/>
        </w:rPr>
        <w:t>（二）工作目标</w:t>
      </w:r>
      <w:r>
        <w:fldChar w:fldCharType="end"/>
      </w:r>
    </w:p>
    <w:p>
      <w:pPr>
        <w:pStyle w:val="10"/>
        <w:keepNext w:val="0"/>
        <w:keepLines w:val="0"/>
        <w:widowControl/>
        <w:suppressLineNumbers w:val="0"/>
        <w:spacing w:before="60" w:beforeAutospacing="0" w:after="60" w:afterAutospacing="0"/>
        <w:ind w:left="0" w:right="0"/>
      </w:pPr>
      <w:r>
        <w:fldChar w:fldCharType="begin"/>
      </w:r>
      <w:r>
        <w:instrText xml:space="preserve"> HYPERLINK "C:/Users/Administrator/Documents/WeChat Files/DXZM615959982/FileStorage/File/2025-08/%E6%9B%B2%E9%9D%96%E5%B8%82%E9%BA%92%E9%BA%9F%E5%8C%BA%E6%B2%BF%E7%94%A8%E4%B8%8A%E4%B8%80%E8%BD%AE%E5%BE%81%E6%94%B6%E5%86%9C%E7%94%A8%E5%9C%B0%E5%8C%BA%E7%89%87%E7%BB%BC%E5%90%88%E5%9C%B0%E4%BB%B7%E5%88%9D%E6%AD%A5%E8%AE%BA%E8%AF%81%E6%8A%A5%E5%91%8A%EF%BC%88%E5%90%AC%E8%AF%81%E7%A8%BF%EF%BC%89(2).docx" \l "_Toc29483" </w:instrText>
      </w:r>
      <w:r>
        <w:fldChar w:fldCharType="separate"/>
      </w:r>
      <w:r>
        <w:rPr>
          <w:rStyle w:val="15"/>
          <w:rFonts w:hint="eastAsia" w:ascii="宋体" w:hAnsi="宋体" w:eastAsia="宋体" w:cs="宋体"/>
          <w:sz w:val="22"/>
          <w:szCs w:val="22"/>
        </w:rPr>
        <w:t>（三）工作依据</w:t>
      </w:r>
      <w:r>
        <w:fldChar w:fldCharType="end"/>
      </w:r>
    </w:p>
    <w:p>
      <w:pPr>
        <w:pStyle w:val="10"/>
        <w:keepNext w:val="0"/>
        <w:keepLines w:val="0"/>
        <w:widowControl/>
        <w:suppressLineNumbers w:val="0"/>
        <w:spacing w:before="60" w:beforeAutospacing="0" w:after="60" w:afterAutospacing="0"/>
        <w:ind w:left="0" w:right="0"/>
      </w:pPr>
      <w:r>
        <w:fldChar w:fldCharType="begin"/>
      </w:r>
      <w:r>
        <w:instrText xml:space="preserve"> HYPERLINK "C:/Users/Administrator/Documents/WeChat Files/DXZM615959982/FileStorage/File/2025-08/%E6%9B%B2%E9%9D%96%E5%B8%82%E9%BA%92%E9%BA%9F%E5%8C%BA%E6%B2%BF%E7%94%A8%E4%B8%8A%E4%B8%80%E8%BD%AE%E5%BE%81%E6%94%B6%E5%86%9C%E7%94%A8%E5%9C%B0%E5%8C%BA%E7%89%87%E7%BB%BC%E5%90%88%E5%9C%B0%E4%BB%B7%E5%88%9D%E6%AD%A5%E8%AE%BA%E8%AF%81%E6%8A%A5%E5%91%8A%EF%BC%88%E5%90%AC%E8%AF%81%E7%A8%BF%EF%BC%89(2).docx" \l "_Toc29944" </w:instrText>
      </w:r>
      <w:r>
        <w:fldChar w:fldCharType="separate"/>
      </w:r>
      <w:r>
        <w:rPr>
          <w:rStyle w:val="15"/>
          <w:rFonts w:hint="eastAsia" w:ascii="宋体" w:hAnsi="宋体" w:eastAsia="宋体" w:cs="宋体"/>
          <w:sz w:val="22"/>
          <w:szCs w:val="22"/>
        </w:rPr>
        <w:t>（四）工作程序</w:t>
      </w:r>
      <w:r>
        <w:fldChar w:fldCharType="end"/>
      </w:r>
    </w:p>
    <w:p>
      <w:pPr>
        <w:pStyle w:val="10"/>
        <w:keepNext w:val="0"/>
        <w:keepLines w:val="0"/>
        <w:widowControl/>
        <w:suppressLineNumbers w:val="0"/>
        <w:spacing w:before="60" w:beforeAutospacing="0" w:after="60" w:afterAutospacing="0"/>
        <w:ind w:left="0" w:right="0"/>
      </w:pPr>
      <w:r>
        <w:fldChar w:fldCharType="begin"/>
      </w:r>
      <w:r>
        <w:instrText xml:space="preserve"> HYPERLINK "C:/Users/Administrator/Documents/WeChat Files/DXZM615959982/FileStorage/File/2025-08/%E6%9B%B2%E9%9D%96%E5%B8%82%E9%BA%92%E9%BA%9F%E5%8C%BA%E6%B2%BF%E7%94%A8%E4%B8%8A%E4%B8%80%E8%BD%AE%E5%BE%81%E6%94%B6%E5%86%9C%E7%94%A8%E5%9C%B0%E5%8C%BA%E7%89%87%E7%BB%BC%E5%90%88%E5%9C%B0%E4%BB%B7%E5%88%9D%E6%AD%A5%E8%AE%BA%E8%AF%81%E6%8A%A5%E5%91%8A%EF%BC%88%E5%90%AC%E8%AF%81%E7%A8%BF%EF%BC%89(2).docx" \l "_Toc28132" </w:instrText>
      </w:r>
      <w:r>
        <w:fldChar w:fldCharType="separate"/>
      </w:r>
      <w:r>
        <w:rPr>
          <w:rStyle w:val="15"/>
          <w:rFonts w:hint="eastAsia" w:ascii="宋体" w:hAnsi="宋体" w:eastAsia="宋体" w:cs="宋体"/>
          <w:sz w:val="22"/>
          <w:szCs w:val="22"/>
        </w:rPr>
        <w:t>（五）适用条件</w:t>
      </w:r>
      <w:r>
        <w:fldChar w:fldCharType="end"/>
      </w:r>
    </w:p>
    <w:p>
      <w:pPr>
        <w:pStyle w:val="10"/>
        <w:keepNext w:val="0"/>
        <w:keepLines w:val="0"/>
        <w:widowControl/>
        <w:suppressLineNumbers w:val="0"/>
        <w:spacing w:before="60" w:beforeAutospacing="0" w:after="60" w:afterAutospacing="0"/>
        <w:ind w:left="0" w:right="0"/>
      </w:pPr>
      <w:r>
        <w:fldChar w:fldCharType="begin"/>
      </w:r>
      <w:r>
        <w:instrText xml:space="preserve"> HYPERLINK "C:/Users/Administrator/Documents/WeChat Files/DXZM615959982/FileStorage/File/2025-08/%E6%9B%B2%E9%9D%96%E5%B8%82%E9%BA%92%E9%BA%9F%E5%8C%BA%E6%B2%BF%E7%94%A8%E4%B8%8A%E4%B8%80%E8%BD%AE%E5%BE%81%E6%94%B6%E5%86%9C%E7%94%A8%E5%9C%B0%E5%8C%BA%E7%89%87%E7%BB%BC%E5%90%88%E5%9C%B0%E4%BB%B7%E5%88%9D%E6%AD%A5%E8%AE%BA%E8%AF%81%E6%8A%A5%E5%91%8A%EF%BC%88%E5%90%AC%E8%AF%81%E7%A8%BF%EF%BC%89(2).docx" \l "_Toc19864" </w:instrText>
      </w:r>
      <w:r>
        <w:fldChar w:fldCharType="separate"/>
      </w:r>
      <w:r>
        <w:rPr>
          <w:rStyle w:val="15"/>
          <w:rFonts w:hint="eastAsia" w:ascii="宋体" w:hAnsi="宋体" w:eastAsia="宋体" w:cs="宋体"/>
          <w:sz w:val="22"/>
          <w:szCs w:val="22"/>
        </w:rPr>
        <w:t>二、前期意见征询及调查情况分析</w:t>
      </w:r>
      <w:r>
        <w:fldChar w:fldCharType="end"/>
      </w:r>
    </w:p>
    <w:p>
      <w:pPr>
        <w:pStyle w:val="10"/>
        <w:keepNext w:val="0"/>
        <w:keepLines w:val="0"/>
        <w:widowControl/>
        <w:suppressLineNumbers w:val="0"/>
        <w:spacing w:before="60" w:beforeAutospacing="0" w:after="60" w:afterAutospacing="0"/>
        <w:ind w:left="0" w:right="0"/>
      </w:pPr>
      <w:r>
        <w:fldChar w:fldCharType="begin"/>
      </w:r>
      <w:r>
        <w:instrText xml:space="preserve"> HYPERLINK "C:/Users/Administrator/Documents/WeChat Files/DXZM615959982/FileStorage/File/2025-08/%E6%9B%B2%E9%9D%96%E5%B8%82%E9%BA%92%E9%BA%9F%E5%8C%BA%E6%B2%BF%E7%94%A8%E4%B8%8A%E4%B8%80%E8%BD%AE%E5%BE%81%E6%94%B6%E5%86%9C%E7%94%A8%E5%9C%B0%E5%8C%BA%E7%89%87%E7%BB%BC%E5%90%88%E5%9C%B0%E4%BB%B7%E5%88%9D%E6%AD%A5%E8%AE%BA%E8%AF%81%E6%8A%A5%E5%91%8A%EF%BC%88%E5%90%AC%E8%AF%81%E7%A8%BF%EF%BC%89(2).docx" \l "_Toc16067" </w:instrText>
      </w:r>
      <w:r>
        <w:fldChar w:fldCharType="separate"/>
      </w:r>
      <w:r>
        <w:rPr>
          <w:rStyle w:val="15"/>
          <w:rFonts w:hint="eastAsia" w:ascii="宋体" w:hAnsi="宋体" w:eastAsia="宋体" w:cs="宋体"/>
          <w:sz w:val="22"/>
          <w:szCs w:val="22"/>
        </w:rPr>
        <w:t>（一）前期资料收集</w:t>
      </w:r>
      <w:r>
        <w:fldChar w:fldCharType="end"/>
      </w:r>
    </w:p>
    <w:p>
      <w:pPr>
        <w:pStyle w:val="10"/>
        <w:keepNext w:val="0"/>
        <w:keepLines w:val="0"/>
        <w:widowControl/>
        <w:suppressLineNumbers w:val="0"/>
        <w:spacing w:before="60" w:beforeAutospacing="0" w:after="60" w:afterAutospacing="0"/>
        <w:ind w:left="0" w:right="0"/>
      </w:pPr>
      <w:r>
        <w:fldChar w:fldCharType="begin"/>
      </w:r>
      <w:r>
        <w:instrText xml:space="preserve"> HYPERLINK "C:/Users/Administrator/Documents/WeChat Files/DXZM615959982/FileStorage/File/2025-08/%E6%9B%B2%E9%9D%96%E5%B8%82%E9%BA%92%E9%BA%9F%E5%8C%BA%E6%B2%BF%E7%94%A8%E4%B8%8A%E4%B8%80%E8%BD%AE%E5%BE%81%E6%94%B6%E5%86%9C%E7%94%A8%E5%9C%B0%E5%8C%BA%E7%89%87%E7%BB%BC%E5%90%88%E5%9C%B0%E4%BB%B7%E5%88%9D%E6%AD%A5%E8%AE%BA%E8%AF%81%E6%8A%A5%E5%91%8A%EF%BC%88%E5%90%AC%E8%AF%81%E7%A8%BF%EF%BC%89(2).docx" \l "_Toc11099" </w:instrText>
      </w:r>
      <w:r>
        <w:fldChar w:fldCharType="separate"/>
      </w:r>
      <w:r>
        <w:rPr>
          <w:rStyle w:val="15"/>
          <w:rFonts w:hint="eastAsia" w:ascii="宋体" w:hAnsi="宋体" w:eastAsia="宋体" w:cs="宋体"/>
          <w:sz w:val="22"/>
          <w:szCs w:val="22"/>
        </w:rPr>
        <w:t>（二）区人民政府网站上公开征询意见</w:t>
      </w:r>
      <w:r>
        <w:fldChar w:fldCharType="end"/>
      </w:r>
    </w:p>
    <w:p>
      <w:pPr>
        <w:pStyle w:val="10"/>
        <w:keepNext w:val="0"/>
        <w:keepLines w:val="0"/>
        <w:widowControl/>
        <w:suppressLineNumbers w:val="0"/>
        <w:spacing w:before="60" w:beforeAutospacing="0" w:after="60" w:afterAutospacing="0"/>
        <w:ind w:left="0" w:right="0"/>
      </w:pPr>
      <w:r>
        <w:fldChar w:fldCharType="begin"/>
      </w:r>
      <w:r>
        <w:instrText xml:space="preserve"> HYPERLINK "C:/Users/Administrator/Documents/WeChat Files/DXZM615959982/FileStorage/File/2025-08/%E6%9B%B2%E9%9D%96%E5%B8%82%E9%BA%92%E9%BA%9F%E5%8C%BA%E6%B2%BF%E7%94%A8%E4%B8%8A%E4%B8%80%E8%BD%AE%E5%BE%81%E6%94%B6%E5%86%9C%E7%94%A8%E5%9C%B0%E5%8C%BA%E7%89%87%E7%BB%BC%E5%90%88%E5%9C%B0%E4%BB%B7%E5%88%9D%E6%AD%A5%E8%AE%BA%E8%AF%81%E6%8A%A5%E5%91%8A%EF%BC%88%E5%90%AC%E8%AF%81%E7%A8%BF%EF%BC%89(2).docx" \l "_Toc4727" </w:instrText>
      </w:r>
      <w:r>
        <w:fldChar w:fldCharType="separate"/>
      </w:r>
      <w:r>
        <w:rPr>
          <w:rStyle w:val="15"/>
          <w:rFonts w:hint="eastAsia" w:ascii="宋体" w:hAnsi="宋体" w:eastAsia="宋体" w:cs="宋体"/>
          <w:sz w:val="22"/>
          <w:szCs w:val="22"/>
        </w:rPr>
        <w:t>（三）意见征询</w:t>
      </w:r>
      <w:r>
        <w:fldChar w:fldCharType="end"/>
      </w:r>
    </w:p>
    <w:p>
      <w:pPr>
        <w:pStyle w:val="10"/>
        <w:keepNext w:val="0"/>
        <w:keepLines w:val="0"/>
        <w:widowControl/>
        <w:suppressLineNumbers w:val="0"/>
        <w:spacing w:before="60" w:beforeAutospacing="0" w:after="60" w:afterAutospacing="0"/>
        <w:ind w:left="0" w:right="0"/>
      </w:pPr>
      <w:r>
        <w:fldChar w:fldCharType="begin"/>
      </w:r>
      <w:r>
        <w:instrText xml:space="preserve"> HYPERLINK "C:/Users/Administrator/Documents/WeChat Files/DXZM615959982/FileStorage/File/2025-08/%E6%9B%B2%E9%9D%96%E5%B8%82%E9%BA%92%E9%BA%9F%E5%8C%BA%E6%B2%BF%E7%94%A8%E4%B8%8A%E4%B8%80%E8%BD%AE%E5%BE%81%E6%94%B6%E5%86%9C%E7%94%A8%E5%9C%B0%E5%8C%BA%E7%89%87%E7%BB%BC%E5%90%88%E5%9C%B0%E4%BB%B7%E5%88%9D%E6%AD%A5%E8%AE%BA%E8%AF%81%E6%8A%A5%E5%91%8A%EF%BC%88%E5%90%AC%E8%AF%81%E7%A8%BF%EF%BC%89(2).docx" \l "_Toc20201" </w:instrText>
      </w:r>
      <w:r>
        <w:fldChar w:fldCharType="separate"/>
      </w:r>
      <w:r>
        <w:rPr>
          <w:rStyle w:val="15"/>
          <w:rFonts w:hint="eastAsia" w:ascii="宋体" w:hAnsi="宋体" w:eastAsia="宋体" w:cs="宋体"/>
          <w:sz w:val="22"/>
          <w:szCs w:val="22"/>
        </w:rPr>
        <w:t>三、上一轮区片划分的合理性分析</w:t>
      </w:r>
      <w:r>
        <w:fldChar w:fldCharType="end"/>
      </w:r>
    </w:p>
    <w:p>
      <w:pPr>
        <w:pStyle w:val="10"/>
        <w:keepNext w:val="0"/>
        <w:keepLines w:val="0"/>
        <w:widowControl/>
        <w:suppressLineNumbers w:val="0"/>
        <w:spacing w:before="60" w:beforeAutospacing="0" w:after="60" w:afterAutospacing="0"/>
        <w:ind w:left="0" w:right="0"/>
      </w:pPr>
      <w:r>
        <w:fldChar w:fldCharType="begin"/>
      </w:r>
      <w:r>
        <w:instrText xml:space="preserve"> HYPERLINK "C:/Users/Administrator/Documents/WeChat Files/DXZM615959982/FileStorage/File/2025-08/%E6%9B%B2%E9%9D%96%E5%B8%82%E9%BA%92%E9%BA%9F%E5%8C%BA%E6%B2%BF%E7%94%A8%E4%B8%8A%E4%B8%80%E8%BD%AE%E5%BE%81%E6%94%B6%E5%86%9C%E7%94%A8%E5%9C%B0%E5%8C%BA%E7%89%87%E7%BB%BC%E5%90%88%E5%9C%B0%E4%BB%B7%E5%88%9D%E6%AD%A5%E8%AE%BA%E8%AF%81%E6%8A%A5%E5%91%8A%EF%BC%88%E5%90%AC%E8%AF%81%E7%A8%BF%EF%BC%89(2).docx" \l "_Toc6897" </w:instrText>
      </w:r>
      <w:r>
        <w:fldChar w:fldCharType="separate"/>
      </w:r>
      <w:r>
        <w:rPr>
          <w:rStyle w:val="15"/>
          <w:rFonts w:hint="eastAsia" w:ascii="宋体" w:hAnsi="宋体" w:eastAsia="宋体" w:cs="宋体"/>
          <w:sz w:val="22"/>
          <w:szCs w:val="22"/>
        </w:rPr>
        <w:t>（一）土地资源条件变动</w:t>
      </w:r>
      <w:r>
        <w:fldChar w:fldCharType="end"/>
      </w:r>
    </w:p>
    <w:p>
      <w:pPr>
        <w:pStyle w:val="10"/>
        <w:keepNext w:val="0"/>
        <w:keepLines w:val="0"/>
        <w:widowControl/>
        <w:suppressLineNumbers w:val="0"/>
        <w:spacing w:before="60" w:beforeAutospacing="0" w:after="60" w:afterAutospacing="0"/>
        <w:ind w:left="0" w:right="0"/>
      </w:pPr>
      <w:r>
        <w:fldChar w:fldCharType="begin"/>
      </w:r>
      <w:r>
        <w:instrText xml:space="preserve"> HYPERLINK "C:/Users/Administrator/Documents/WeChat Files/DXZM615959982/FileStorage/File/2025-08/%E6%9B%B2%E9%9D%96%E5%B8%82%E9%BA%92%E9%BA%9F%E5%8C%BA%E6%B2%BF%E7%94%A8%E4%B8%8A%E4%B8%80%E8%BD%AE%E5%BE%81%E6%94%B6%E5%86%9C%E7%94%A8%E5%9C%B0%E5%8C%BA%E7%89%87%E7%BB%BC%E5%90%88%E5%9C%B0%E4%BB%B7%E5%88%9D%E6%AD%A5%E8%AE%BA%E8%AF%81%E6%8A%A5%E5%91%8A%EF%BC%88%E5%90%AC%E8%AF%81%E7%A8%BF%EF%BC%89(2).docx" \l "_Toc28333" </w:instrText>
      </w:r>
      <w:r>
        <w:fldChar w:fldCharType="separate"/>
      </w:r>
      <w:r>
        <w:rPr>
          <w:rStyle w:val="15"/>
          <w:rFonts w:hint="eastAsia" w:ascii="宋体" w:hAnsi="宋体" w:eastAsia="宋体" w:cs="宋体"/>
          <w:sz w:val="22"/>
          <w:szCs w:val="22"/>
        </w:rPr>
        <w:t>（二）区位条件变动</w:t>
      </w:r>
      <w:r>
        <w:fldChar w:fldCharType="end"/>
      </w:r>
    </w:p>
    <w:p>
      <w:pPr>
        <w:pStyle w:val="10"/>
        <w:keepNext w:val="0"/>
        <w:keepLines w:val="0"/>
        <w:widowControl/>
        <w:suppressLineNumbers w:val="0"/>
        <w:spacing w:before="60" w:beforeAutospacing="0" w:after="60" w:afterAutospacing="0"/>
        <w:ind w:left="0" w:right="0"/>
      </w:pPr>
      <w:r>
        <w:fldChar w:fldCharType="begin"/>
      </w:r>
      <w:r>
        <w:instrText xml:space="preserve"> HYPERLINK "C:/Users/Administrator/Documents/WeChat Files/DXZM615959982/FileStorage/File/2025-08/%E6%9B%B2%E9%9D%96%E5%B8%82%E9%BA%92%E9%BA%9F%E5%8C%BA%E6%B2%BF%E7%94%A8%E4%B8%8A%E4%B8%80%E8%BD%AE%E5%BE%81%E6%94%B6%E5%86%9C%E7%94%A8%E5%9C%B0%E5%8C%BA%E7%89%87%E7%BB%BC%E5%90%88%E5%9C%B0%E4%BB%B7%E5%88%9D%E6%AD%A5%E8%AE%BA%E8%AF%81%E6%8A%A5%E5%91%8A%EF%BC%88%E5%90%AC%E8%AF%81%E7%A8%BF%EF%BC%89(2).docx" \l "_Toc22570" </w:instrText>
      </w:r>
      <w:r>
        <w:fldChar w:fldCharType="separate"/>
      </w:r>
      <w:r>
        <w:rPr>
          <w:rStyle w:val="15"/>
          <w:rFonts w:hint="eastAsia" w:ascii="宋体" w:hAnsi="宋体" w:eastAsia="宋体" w:cs="宋体"/>
          <w:sz w:val="22"/>
          <w:szCs w:val="22"/>
        </w:rPr>
        <w:t>（三）经济社会发展水平变动</w:t>
      </w:r>
      <w:r>
        <w:fldChar w:fldCharType="end"/>
      </w:r>
    </w:p>
    <w:p>
      <w:pPr>
        <w:pStyle w:val="10"/>
        <w:keepNext w:val="0"/>
        <w:keepLines w:val="0"/>
        <w:widowControl/>
        <w:suppressLineNumbers w:val="0"/>
        <w:spacing w:before="60" w:beforeAutospacing="0" w:after="60" w:afterAutospacing="0"/>
        <w:ind w:left="0" w:right="0"/>
      </w:pPr>
      <w:r>
        <w:fldChar w:fldCharType="begin"/>
      </w:r>
      <w:r>
        <w:instrText xml:space="preserve"> HYPERLINK "C:/Users/Administrator/Documents/WeChat Files/DXZM615959982/FileStorage/File/2025-08/%E6%9B%B2%E9%9D%96%E5%B8%82%E9%BA%92%E9%BA%9F%E5%8C%BA%E6%B2%BF%E7%94%A8%E4%B8%8A%E4%B8%80%E8%BD%AE%E5%BE%81%E6%94%B6%E5%86%9C%E7%94%A8%E5%9C%B0%E5%8C%BA%E7%89%87%E7%BB%BC%E5%90%88%E5%9C%B0%E4%BB%B7%E5%88%9D%E6%AD%A5%E8%AE%BA%E8%AF%81%E6%8A%A5%E5%91%8A%EF%BC%88%E5%90%AC%E8%AF%81%E7%A8%BF%EF%BC%89(2).docx" \l "_Toc2324" </w:instrText>
      </w:r>
      <w:r>
        <w:fldChar w:fldCharType="separate"/>
      </w:r>
      <w:r>
        <w:rPr>
          <w:rStyle w:val="15"/>
          <w:rFonts w:hint="eastAsia" w:ascii="宋体" w:hAnsi="宋体" w:eastAsia="宋体" w:cs="宋体"/>
          <w:sz w:val="22"/>
          <w:szCs w:val="22"/>
        </w:rPr>
        <w:t>（四）其他因素</w:t>
      </w:r>
      <w:r>
        <w:fldChar w:fldCharType="end"/>
      </w:r>
    </w:p>
    <w:p>
      <w:pPr>
        <w:pStyle w:val="10"/>
        <w:keepNext w:val="0"/>
        <w:keepLines w:val="0"/>
        <w:widowControl/>
        <w:suppressLineNumbers w:val="0"/>
        <w:spacing w:before="60" w:beforeAutospacing="0" w:after="60" w:afterAutospacing="0"/>
        <w:ind w:left="0" w:right="0"/>
      </w:pPr>
      <w:r>
        <w:fldChar w:fldCharType="begin"/>
      </w:r>
      <w:r>
        <w:instrText xml:space="preserve"> HYPERLINK "C:/Users/Administrator/Documents/WeChat Files/DXZM615959982/FileStorage/File/2025-08/%E6%9B%B2%E9%9D%96%E5%B8%82%E9%BA%92%E9%BA%9F%E5%8C%BA%E6%B2%BF%E7%94%A8%E4%B8%8A%E4%B8%80%E8%BD%AE%E5%BE%81%E6%94%B6%E5%86%9C%E7%94%A8%E5%9C%B0%E5%8C%BA%E7%89%87%E7%BB%BC%E5%90%88%E5%9C%B0%E4%BB%B7%E5%88%9D%E6%AD%A5%E8%AE%BA%E8%AF%81%E6%8A%A5%E5%91%8A%EF%BC%88%E5%90%AC%E8%AF%81%E7%A8%BF%EF%BC%89(2).docx" \l "_Toc7143" </w:instrText>
      </w:r>
      <w:r>
        <w:fldChar w:fldCharType="separate"/>
      </w:r>
      <w:r>
        <w:rPr>
          <w:rStyle w:val="15"/>
          <w:rFonts w:hint="eastAsia" w:ascii="宋体" w:hAnsi="宋体" w:eastAsia="宋体" w:cs="宋体"/>
          <w:sz w:val="22"/>
          <w:szCs w:val="22"/>
        </w:rPr>
        <w:t>四、上一轮区片价的合理性分析</w:t>
      </w:r>
      <w:r>
        <w:fldChar w:fldCharType="end"/>
      </w:r>
    </w:p>
    <w:p>
      <w:pPr>
        <w:pStyle w:val="10"/>
        <w:keepNext w:val="0"/>
        <w:keepLines w:val="0"/>
        <w:widowControl/>
        <w:suppressLineNumbers w:val="0"/>
        <w:spacing w:before="60" w:beforeAutospacing="0" w:after="60" w:afterAutospacing="0"/>
        <w:ind w:left="0" w:right="0"/>
      </w:pPr>
      <w:r>
        <w:fldChar w:fldCharType="begin"/>
      </w:r>
      <w:r>
        <w:instrText xml:space="preserve"> HYPERLINK "C:/Users/Administrator/Documents/WeChat Files/DXZM615959982/FileStorage/File/2025-08/%E6%9B%B2%E9%9D%96%E5%B8%82%E9%BA%92%E9%BA%9F%E5%8C%BA%E6%B2%BF%E7%94%A8%E4%B8%8A%E4%B8%80%E8%BD%AE%E5%BE%81%E6%94%B6%E5%86%9C%E7%94%A8%E5%9C%B0%E5%8C%BA%E7%89%87%E7%BB%BC%E5%90%88%E5%9C%B0%E4%BB%B7%E5%88%9D%E6%AD%A5%E8%AE%BA%E8%AF%81%E6%8A%A5%E5%91%8A%EF%BC%88%E5%90%AC%E8%AF%81%E7%A8%BF%EF%BC%89(2).docx" \l "_Toc27050" </w:instrText>
      </w:r>
      <w:r>
        <w:fldChar w:fldCharType="separate"/>
      </w:r>
      <w:r>
        <w:rPr>
          <w:rStyle w:val="15"/>
          <w:rFonts w:hint="eastAsia" w:ascii="宋体" w:hAnsi="宋体" w:eastAsia="宋体" w:cs="宋体"/>
          <w:sz w:val="22"/>
          <w:szCs w:val="22"/>
        </w:rPr>
        <w:t>（一）上轮区片价水平分析</w:t>
      </w:r>
      <w:r>
        <w:fldChar w:fldCharType="end"/>
      </w:r>
    </w:p>
    <w:p>
      <w:pPr>
        <w:pStyle w:val="10"/>
        <w:keepNext w:val="0"/>
        <w:keepLines w:val="0"/>
        <w:widowControl/>
        <w:suppressLineNumbers w:val="0"/>
        <w:spacing w:before="60" w:beforeAutospacing="0" w:after="60" w:afterAutospacing="0"/>
        <w:ind w:left="0" w:right="0"/>
      </w:pPr>
      <w:r>
        <w:fldChar w:fldCharType="begin"/>
      </w:r>
      <w:r>
        <w:instrText xml:space="preserve"> HYPERLINK "C:/Users/Administrator/Documents/WeChat Files/DXZM615959982/FileStorage/File/2025-08/%E6%9B%B2%E9%9D%96%E5%B8%82%E9%BA%92%E9%BA%9F%E5%8C%BA%E6%B2%BF%E7%94%A8%E4%B8%8A%E4%B8%80%E8%BD%AE%E5%BE%81%E6%94%B6%E5%86%9C%E7%94%A8%E5%9C%B0%E5%8C%BA%E7%89%87%E7%BB%BC%E5%90%88%E5%9C%B0%E4%BB%B7%E5%88%9D%E6%AD%A5%E8%AE%BA%E8%AF%81%E6%8A%A5%E5%91%8A%EF%BC%88%E5%90%AC%E8%AF%81%E7%A8%BF%EF%BC%89(2).docx" \l "_Toc18651" </w:instrText>
      </w:r>
      <w:r>
        <w:fldChar w:fldCharType="separate"/>
      </w:r>
      <w:r>
        <w:rPr>
          <w:rStyle w:val="15"/>
          <w:rFonts w:hint="eastAsia" w:ascii="宋体" w:hAnsi="宋体" w:eastAsia="宋体" w:cs="宋体"/>
          <w:sz w:val="22"/>
          <w:szCs w:val="22"/>
        </w:rPr>
        <w:t>（二）经济发展水平分析</w:t>
      </w:r>
      <w:r>
        <w:fldChar w:fldCharType="end"/>
      </w:r>
    </w:p>
    <w:p>
      <w:pPr>
        <w:pStyle w:val="10"/>
        <w:keepNext w:val="0"/>
        <w:keepLines w:val="0"/>
        <w:widowControl/>
        <w:suppressLineNumbers w:val="0"/>
        <w:spacing w:before="60" w:beforeAutospacing="0" w:after="60" w:afterAutospacing="0"/>
        <w:ind w:left="0" w:right="0"/>
      </w:pPr>
      <w:r>
        <w:fldChar w:fldCharType="begin"/>
      </w:r>
      <w:r>
        <w:instrText xml:space="preserve"> HYPERLINK "C:/Users/Administrator/Documents/WeChat Files/DXZM615959982/FileStorage/File/2025-08/%E6%9B%B2%E9%9D%96%E5%B8%82%E9%BA%92%E9%BA%9F%E5%8C%BA%E6%B2%BF%E7%94%A8%E4%B8%8A%E4%B8%80%E8%BD%AE%E5%BE%81%E6%94%B6%E5%86%9C%E7%94%A8%E5%9C%B0%E5%8C%BA%E7%89%87%E7%BB%BC%E5%90%88%E5%9C%B0%E4%BB%B7%E5%88%9D%E6%AD%A5%E8%AE%BA%E8%AF%81%E6%8A%A5%E5%91%8A%EF%BC%88%E5%90%AC%E8%AF%81%E7%A8%BF%EF%BC%89(2).docx" \l "_Toc78" </w:instrText>
      </w:r>
      <w:r>
        <w:fldChar w:fldCharType="separate"/>
      </w:r>
      <w:r>
        <w:rPr>
          <w:rStyle w:val="15"/>
          <w:rFonts w:hint="eastAsia" w:ascii="宋体" w:hAnsi="宋体" w:eastAsia="宋体" w:cs="宋体"/>
          <w:sz w:val="22"/>
          <w:szCs w:val="22"/>
        </w:rPr>
        <w:t>（三）社会保障水平分析</w:t>
      </w:r>
      <w:r>
        <w:fldChar w:fldCharType="end"/>
      </w:r>
    </w:p>
    <w:p>
      <w:pPr>
        <w:pStyle w:val="10"/>
        <w:keepNext w:val="0"/>
        <w:keepLines w:val="0"/>
        <w:widowControl/>
        <w:suppressLineNumbers w:val="0"/>
        <w:spacing w:before="60" w:beforeAutospacing="0" w:after="60" w:afterAutospacing="0"/>
        <w:ind w:left="0" w:right="0"/>
      </w:pPr>
      <w:r>
        <w:fldChar w:fldCharType="begin"/>
      </w:r>
      <w:r>
        <w:instrText xml:space="preserve"> HYPERLINK "C:/Users/Administrator/Documents/WeChat Files/DXZM615959982/FileStorage/File/2025-08/%E6%9B%B2%E9%9D%96%E5%B8%82%E9%BA%92%E9%BA%9F%E5%8C%BA%E6%B2%BF%E7%94%A8%E4%B8%8A%E4%B8%80%E8%BD%AE%E5%BE%81%E6%94%B6%E5%86%9C%E7%94%A8%E5%9C%B0%E5%8C%BA%E7%89%87%E7%BB%BC%E5%90%88%E5%9C%B0%E4%BB%B7%E5%88%9D%E6%AD%A5%E8%AE%BA%E8%AF%81%E6%8A%A5%E5%91%8A%EF%BC%88%E5%90%AC%E8%AF%81%E7%A8%BF%EF%BC%89(2).docx" \l "_Toc3988" </w:instrText>
      </w:r>
      <w:r>
        <w:fldChar w:fldCharType="separate"/>
      </w:r>
      <w:r>
        <w:rPr>
          <w:rStyle w:val="15"/>
          <w:rFonts w:hint="eastAsia" w:ascii="宋体" w:hAnsi="宋体" w:eastAsia="宋体" w:cs="宋体"/>
          <w:sz w:val="22"/>
          <w:szCs w:val="22"/>
        </w:rPr>
        <w:t>（四）土地供求关系分析</w:t>
      </w:r>
      <w:r>
        <w:fldChar w:fldCharType="end"/>
      </w:r>
    </w:p>
    <w:p>
      <w:pPr>
        <w:pStyle w:val="10"/>
        <w:keepNext w:val="0"/>
        <w:keepLines w:val="0"/>
        <w:widowControl/>
        <w:suppressLineNumbers w:val="0"/>
        <w:spacing w:before="60" w:beforeAutospacing="0" w:after="60" w:afterAutospacing="0"/>
        <w:ind w:left="0" w:right="0"/>
      </w:pPr>
      <w:r>
        <w:fldChar w:fldCharType="begin"/>
      </w:r>
      <w:r>
        <w:instrText xml:space="preserve"> HYPERLINK "C:/Users/Administrator/Documents/WeChat Files/DXZM615959982/FileStorage/File/2025-08/%E6%9B%B2%E9%9D%96%E5%B8%82%E9%BA%92%E9%BA%9F%E5%8C%BA%E6%B2%BF%E7%94%A8%E4%B8%8A%E4%B8%80%E8%BD%AE%E5%BE%81%E6%94%B6%E5%86%9C%E7%94%A8%E5%9C%B0%E5%8C%BA%E7%89%87%E7%BB%BC%E5%90%88%E5%9C%B0%E4%BB%B7%E5%88%9D%E6%AD%A5%E8%AE%BA%E8%AF%81%E6%8A%A5%E5%91%8A%EF%BC%88%E5%90%AC%E8%AF%81%E7%A8%BF%EF%BC%89(2).docx" \l "_Toc25297" </w:instrText>
      </w:r>
      <w:r>
        <w:fldChar w:fldCharType="separate"/>
      </w:r>
      <w:r>
        <w:rPr>
          <w:rStyle w:val="15"/>
          <w:rFonts w:hint="eastAsia" w:ascii="宋体" w:hAnsi="宋体" w:eastAsia="宋体" w:cs="宋体"/>
          <w:sz w:val="22"/>
          <w:szCs w:val="22"/>
        </w:rPr>
        <w:t>（五）物价水平分析</w:t>
      </w:r>
      <w:r>
        <w:fldChar w:fldCharType="end"/>
      </w:r>
    </w:p>
    <w:p>
      <w:pPr>
        <w:pStyle w:val="10"/>
        <w:keepNext w:val="0"/>
        <w:keepLines w:val="0"/>
        <w:widowControl/>
        <w:suppressLineNumbers w:val="0"/>
        <w:spacing w:before="60" w:beforeAutospacing="0" w:after="60" w:afterAutospacing="0"/>
        <w:ind w:left="0" w:right="0"/>
      </w:pPr>
      <w:r>
        <w:fldChar w:fldCharType="begin"/>
      </w:r>
      <w:r>
        <w:instrText xml:space="preserve"> HYPERLINK "C:/Users/Administrator/Documents/WeChat Files/DXZM615959982/FileStorage/File/2025-08/%E6%9B%B2%E9%9D%96%E5%B8%82%E9%BA%92%E9%BA%9F%E5%8C%BA%E6%B2%BF%E7%94%A8%E4%B8%8A%E4%B8%80%E8%BD%AE%E5%BE%81%E6%94%B6%E5%86%9C%E7%94%A8%E5%9C%B0%E5%8C%BA%E7%89%87%E7%BB%BC%E5%90%88%E5%9C%B0%E4%BB%B7%E5%88%9D%E6%AD%A5%E8%AE%BA%E8%AF%81%E6%8A%A5%E5%91%8A%EF%BC%88%E5%90%AC%E8%AF%81%E7%A8%BF%EF%BC%89(2).docx" \l "_Toc16408" </w:instrText>
      </w:r>
      <w:r>
        <w:fldChar w:fldCharType="separate"/>
      </w:r>
      <w:r>
        <w:rPr>
          <w:rStyle w:val="15"/>
          <w:rFonts w:hint="eastAsia" w:ascii="宋体" w:hAnsi="宋体" w:eastAsia="宋体" w:cs="宋体"/>
          <w:sz w:val="22"/>
          <w:szCs w:val="22"/>
        </w:rPr>
        <w:t>（六）上一轮区片价实施效果分析</w:t>
      </w:r>
      <w:r>
        <w:fldChar w:fldCharType="end"/>
      </w:r>
    </w:p>
    <w:p>
      <w:pPr>
        <w:pStyle w:val="10"/>
        <w:keepNext w:val="0"/>
        <w:keepLines w:val="0"/>
        <w:widowControl/>
        <w:suppressLineNumbers w:val="0"/>
        <w:spacing w:before="60" w:beforeAutospacing="0" w:after="60" w:afterAutospacing="0"/>
        <w:ind w:left="0" w:right="0"/>
      </w:pPr>
      <w:r>
        <w:fldChar w:fldCharType="begin"/>
      </w:r>
      <w:r>
        <w:instrText xml:space="preserve"> HYPERLINK "C:/Users/Administrator/Documents/WeChat Files/DXZM615959982/FileStorage/File/2025-08/%E6%9B%B2%E9%9D%96%E5%B8%82%E9%BA%92%E9%BA%9F%E5%8C%BA%E6%B2%BF%E7%94%A8%E4%B8%8A%E4%B8%80%E8%BD%AE%E5%BE%81%E6%94%B6%E5%86%9C%E7%94%A8%E5%9C%B0%E5%8C%BA%E7%89%87%E7%BB%BC%E5%90%88%E5%9C%B0%E4%BB%B7%E5%88%9D%E6%AD%A5%E8%AE%BA%E8%AF%81%E6%8A%A5%E5%91%8A%EF%BC%88%E5%90%AC%E8%AF%81%E7%A8%BF%EF%BC%89(2).docx" \l "_Toc21692" </w:instrText>
      </w:r>
      <w:r>
        <w:fldChar w:fldCharType="separate"/>
      </w:r>
      <w:r>
        <w:rPr>
          <w:rStyle w:val="15"/>
          <w:rFonts w:hint="eastAsia" w:ascii="宋体" w:hAnsi="宋体" w:eastAsia="宋体" w:cs="宋体"/>
          <w:sz w:val="22"/>
          <w:szCs w:val="22"/>
        </w:rPr>
        <w:t>（七）其他因素分析</w:t>
      </w:r>
      <w:r>
        <w:fldChar w:fldCharType="end"/>
      </w:r>
    </w:p>
    <w:p>
      <w:pPr>
        <w:pStyle w:val="10"/>
        <w:keepNext w:val="0"/>
        <w:keepLines w:val="0"/>
        <w:widowControl/>
        <w:suppressLineNumbers w:val="0"/>
        <w:spacing w:before="60" w:beforeAutospacing="0" w:after="60" w:afterAutospacing="0"/>
        <w:ind w:left="0" w:right="0"/>
      </w:pPr>
      <w:r>
        <w:fldChar w:fldCharType="begin"/>
      </w:r>
      <w:r>
        <w:instrText xml:space="preserve"> HYPERLINK "C:/Users/Administrator/Documents/WeChat Files/DXZM615959982/FileStorage/File/2025-08/%E6%9B%B2%E9%9D%96%E5%B8%82%E9%BA%92%E9%BA%9F%E5%8C%BA%E6%B2%BF%E7%94%A8%E4%B8%8A%E4%B8%80%E8%BD%AE%E5%BE%81%E6%94%B6%E5%86%9C%E7%94%A8%E5%9C%B0%E5%8C%BA%E7%89%87%E7%BB%BC%E5%90%88%E5%9C%B0%E4%BB%B7%E5%88%9D%E6%AD%A5%E8%AE%BA%E8%AF%81%E6%8A%A5%E5%91%8A%EF%BC%88%E5%90%AC%E8%AF%81%E7%A8%BF%EF%BC%89(2).docx" \l "_Toc15643" </w:instrText>
      </w:r>
      <w:r>
        <w:fldChar w:fldCharType="separate"/>
      </w:r>
      <w:r>
        <w:rPr>
          <w:rStyle w:val="15"/>
          <w:rFonts w:hint="eastAsia" w:ascii="宋体" w:hAnsi="宋体" w:eastAsia="宋体" w:cs="宋体"/>
          <w:sz w:val="22"/>
          <w:szCs w:val="22"/>
        </w:rPr>
        <w:t>五、结论</w:t>
      </w:r>
      <w:r>
        <w:fldChar w:fldCharType="end"/>
      </w:r>
    </w:p>
    <w:p>
      <w:pPr>
        <w:pStyle w:val="10"/>
        <w:keepNext w:val="0"/>
        <w:keepLines w:val="0"/>
        <w:widowControl/>
        <w:suppressLineNumbers w:val="0"/>
        <w:spacing w:before="60" w:beforeAutospacing="0" w:after="60" w:afterAutospacing="0"/>
        <w:ind w:left="0" w:right="0"/>
      </w:pPr>
      <w:r>
        <w:fldChar w:fldCharType="begin"/>
      </w:r>
      <w:r>
        <w:instrText xml:space="preserve"> HYPERLINK "C:/Users/Administrator/Documents/WeChat Files/DXZM615959982/FileStorage/File/2025-08/%E6%9B%B2%E9%9D%96%E5%B8%82%E9%BA%92%E9%BA%9F%E5%8C%BA%E6%B2%BF%E7%94%A8%E4%B8%8A%E4%B8%80%E8%BD%AE%E5%BE%81%E6%94%B6%E5%86%9C%E7%94%A8%E5%9C%B0%E5%8C%BA%E7%89%87%E7%BB%BC%E5%90%88%E5%9C%B0%E4%BB%B7%E5%88%9D%E6%AD%A5%E8%AE%BA%E8%AF%81%E6%8A%A5%E5%91%8A%EF%BC%88%E5%90%AC%E8%AF%81%E7%A8%BF%EF%BC%89(2).docx" \l "_Toc19981" </w:instrText>
      </w:r>
      <w:r>
        <w:fldChar w:fldCharType="separate"/>
      </w:r>
      <w:r>
        <w:rPr>
          <w:rStyle w:val="15"/>
          <w:rFonts w:hint="eastAsia" w:ascii="宋体" w:hAnsi="宋体" w:eastAsia="宋体" w:cs="宋体"/>
          <w:sz w:val="22"/>
          <w:szCs w:val="22"/>
        </w:rPr>
        <w:t>附件</w:t>
      </w:r>
      <w:r>
        <w:rPr>
          <w:rStyle w:val="15"/>
          <w:rFonts w:hint="default" w:ascii="Times New Roman" w:hAnsi="Times New Roman" w:cs="Times New Roman"/>
          <w:sz w:val="22"/>
          <w:szCs w:val="22"/>
        </w:rPr>
        <w:t>：</w:t>
      </w:r>
      <w:r>
        <w:fldChar w:fldCharType="end"/>
      </w:r>
    </w:p>
    <w:p>
      <w:pPr>
        <w:pStyle w:val="10"/>
        <w:keepNext w:val="0"/>
        <w:keepLines w:val="0"/>
        <w:widowControl/>
        <w:suppressLineNumbers w:val="0"/>
        <w:spacing w:before="60" w:beforeAutospacing="0" w:after="60" w:afterAutospacing="0" w:line="420" w:lineRule="atLeast"/>
        <w:ind w:left="0" w:right="0"/>
      </w:pPr>
      <w:r>
        <w:rPr>
          <w:rFonts w:hint="default" w:ascii="Times New Roman" w:hAnsi="Times New Roman" w:cs="Times New Roman"/>
          <w:sz w:val="22"/>
          <w:szCs w:val="22"/>
        </w:rPr>
        <w:t> </w:t>
      </w:r>
    </w:p>
    <w:p>
      <w:pPr>
        <w:pStyle w:val="10"/>
        <w:keepNext w:val="0"/>
        <w:keepLines w:val="0"/>
        <w:widowControl/>
        <w:suppressLineNumbers w:val="0"/>
        <w:spacing w:before="60" w:beforeAutospacing="0" w:after="60" w:afterAutospacing="0"/>
        <w:ind w:left="0" w:right="0"/>
      </w:pPr>
      <w:r>
        <w:rPr>
          <w:rFonts w:hint="default" w:ascii="Calibri" w:hAnsi="Calibri" w:cs="Calibri"/>
          <w:sz w:val="16"/>
          <w:szCs w:val="16"/>
        </w:rPr>
        <w:t> </w:t>
      </w:r>
    </w:p>
    <w:p>
      <w:pPr>
        <w:pStyle w:val="10"/>
        <w:keepNext w:val="0"/>
        <w:keepLines w:val="0"/>
        <w:widowControl/>
        <w:suppressLineNumbers w:val="0"/>
        <w:spacing w:before="60" w:beforeAutospacing="0" w:after="60" w:afterAutospacing="0"/>
        <w:ind w:left="0" w:right="0"/>
      </w:pPr>
    </w:p>
    <w:p>
      <w:pPr>
        <w:pStyle w:val="10"/>
        <w:keepNext w:val="0"/>
        <w:keepLines w:val="0"/>
        <w:widowControl/>
        <w:suppressLineNumbers w:val="0"/>
        <w:spacing w:before="60" w:beforeAutospacing="0" w:after="60" w:afterAutospacing="0"/>
        <w:ind w:left="0" w:right="0"/>
      </w:pPr>
      <w:r>
        <w:rPr>
          <w:rFonts w:hint="default" w:ascii="Times New Roman" w:hAnsi="Times New Roman" w:cs="Times New Roman"/>
          <w:sz w:val="16"/>
          <w:szCs w:val="16"/>
        </w:rPr>
        <w:t> </w:t>
      </w:r>
    </w:p>
    <w:p>
      <w:pPr>
        <w:pStyle w:val="10"/>
        <w:keepNext w:val="0"/>
        <w:keepLines w:val="0"/>
        <w:widowControl/>
        <w:suppressLineNumbers w:val="0"/>
        <w:spacing w:before="60" w:beforeAutospacing="0" w:after="60" w:afterAutospacing="0"/>
        <w:ind w:left="0" w:right="0"/>
      </w:pPr>
    </w:p>
    <w:p>
      <w:pPr>
        <w:pStyle w:val="3"/>
        <w:keepNext w:val="0"/>
        <w:keepLines w:val="0"/>
        <w:widowControl/>
        <w:suppressLineNumbers w:val="0"/>
        <w:spacing w:before="96" w:beforeAutospacing="0" w:after="96" w:afterAutospacing="0"/>
      </w:pPr>
      <w:r>
        <w:rPr>
          <w:rStyle w:val="14"/>
          <w:rFonts w:hint="eastAsia" w:ascii="宋体" w:hAnsi="宋体" w:eastAsia="宋体" w:cs="宋体"/>
          <w:b/>
          <w:sz w:val="22"/>
          <w:szCs w:val="22"/>
        </w:rPr>
        <w:t>一、项目背景与工作目标</w:t>
      </w:r>
    </w:p>
    <w:p>
      <w:pPr>
        <w:pStyle w:val="10"/>
        <w:keepNext w:val="0"/>
        <w:keepLines w:val="0"/>
        <w:widowControl/>
        <w:suppressLineNumbers w:val="0"/>
        <w:spacing w:before="60" w:beforeAutospacing="0" w:after="60" w:afterAutospacing="0" w:line="516" w:lineRule="atLeast"/>
        <w:ind w:left="0" w:right="0"/>
      </w:pPr>
      <w:r>
        <w:rPr>
          <w:rStyle w:val="14"/>
          <w:rFonts w:hint="eastAsia" w:ascii="宋体" w:hAnsi="宋体" w:eastAsia="宋体" w:cs="宋体"/>
          <w:sz w:val="22"/>
          <w:szCs w:val="22"/>
        </w:rPr>
        <w:t>（一）项目背景</w:t>
      </w:r>
    </w:p>
    <w:p>
      <w:pPr>
        <w:pStyle w:val="10"/>
        <w:keepNext w:val="0"/>
        <w:keepLines w:val="0"/>
        <w:widowControl/>
        <w:suppressLineNumbers w:val="0"/>
        <w:spacing w:before="60" w:beforeAutospacing="0" w:after="60" w:afterAutospacing="0" w:line="444" w:lineRule="atLeast"/>
        <w:ind w:left="0" w:right="0" w:firstLine="444"/>
      </w:pPr>
      <w:r>
        <w:rPr>
          <w:rFonts w:ascii="仿宋_GB2312" w:eastAsia="仿宋_GB2312" w:cs="仿宋_GB2312"/>
          <w:sz w:val="22"/>
          <w:szCs w:val="22"/>
        </w:rPr>
        <w:t>根据《中华人民共和国土地管理法》第四十八条规定</w:t>
      </w:r>
      <w:r>
        <w:rPr>
          <w:rFonts w:hint="eastAsia" w:ascii="仿宋_GB2312" w:eastAsia="仿宋_GB2312" w:cs="仿宋_GB2312"/>
          <w:sz w:val="22"/>
          <w:szCs w:val="22"/>
        </w:rPr>
        <w:t>“征收农用地的土地补偿费、安置补助费标准由省、自治区、直辖市通过制定公布区片综合地价确定。制定区片综合地价应当综合考虑土地原用途、土地资源条件、土地产值、土地区位、土地供求关系、人口以及经济社会发展水平等因素，并至少每三年调整或者重新公布一次。”</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麒麟区现行征收农用地区片综合地价于</w:t>
      </w:r>
      <w:r>
        <w:rPr>
          <w:rFonts w:hint="eastAsia" w:ascii="宋体" w:hAnsi="宋体" w:eastAsia="宋体" w:cs="宋体"/>
          <w:sz w:val="22"/>
          <w:szCs w:val="22"/>
        </w:rPr>
        <w:t>2023</w:t>
      </w:r>
      <w:r>
        <w:rPr>
          <w:rFonts w:hint="eastAsia" w:ascii="仿宋_GB2312" w:eastAsia="仿宋_GB2312" w:cs="仿宋_GB2312"/>
          <w:sz w:val="22"/>
          <w:szCs w:val="22"/>
        </w:rPr>
        <w:t>年</w:t>
      </w:r>
      <w:r>
        <w:rPr>
          <w:rFonts w:hint="eastAsia" w:ascii="宋体" w:hAnsi="宋体" w:eastAsia="宋体" w:cs="宋体"/>
          <w:sz w:val="22"/>
          <w:szCs w:val="22"/>
        </w:rPr>
        <w:t>11</w:t>
      </w:r>
      <w:r>
        <w:rPr>
          <w:rFonts w:hint="eastAsia" w:ascii="仿宋_GB2312" w:eastAsia="仿宋_GB2312" w:cs="仿宋_GB2312"/>
          <w:sz w:val="22"/>
          <w:szCs w:val="22"/>
        </w:rPr>
        <w:t>月</w:t>
      </w:r>
      <w:r>
        <w:rPr>
          <w:rFonts w:hint="eastAsia" w:ascii="宋体" w:hAnsi="宋体" w:eastAsia="宋体" w:cs="宋体"/>
          <w:sz w:val="22"/>
          <w:szCs w:val="22"/>
        </w:rPr>
        <w:t>18</w:t>
      </w:r>
      <w:r>
        <w:rPr>
          <w:rFonts w:hint="eastAsia" w:ascii="仿宋_GB2312" w:eastAsia="仿宋_GB2312" w:cs="仿宋_GB2312"/>
          <w:sz w:val="22"/>
          <w:szCs w:val="22"/>
        </w:rPr>
        <w:t>日公布实施，该补偿标准将于</w:t>
      </w:r>
      <w:r>
        <w:rPr>
          <w:rFonts w:hint="eastAsia" w:ascii="宋体" w:hAnsi="宋体" w:eastAsia="宋体" w:cs="宋体"/>
          <w:sz w:val="22"/>
          <w:szCs w:val="22"/>
        </w:rPr>
        <w:t>2026</w:t>
      </w:r>
      <w:r>
        <w:rPr>
          <w:rFonts w:hint="eastAsia" w:ascii="仿宋_GB2312" w:eastAsia="仿宋_GB2312" w:cs="仿宋_GB2312"/>
          <w:sz w:val="22"/>
          <w:szCs w:val="22"/>
        </w:rPr>
        <w:t>年</w:t>
      </w:r>
      <w:r>
        <w:rPr>
          <w:rFonts w:hint="eastAsia" w:ascii="宋体" w:hAnsi="宋体" w:eastAsia="宋体" w:cs="宋体"/>
          <w:sz w:val="22"/>
          <w:szCs w:val="22"/>
        </w:rPr>
        <w:t>11</w:t>
      </w:r>
      <w:r>
        <w:rPr>
          <w:rFonts w:hint="eastAsia" w:ascii="仿宋_GB2312" w:eastAsia="仿宋_GB2312" w:cs="仿宋_GB2312"/>
          <w:sz w:val="22"/>
          <w:szCs w:val="22"/>
        </w:rPr>
        <w:t>月</w:t>
      </w:r>
      <w:r>
        <w:rPr>
          <w:rFonts w:hint="eastAsia" w:ascii="宋体" w:hAnsi="宋体" w:eastAsia="宋体" w:cs="宋体"/>
          <w:sz w:val="22"/>
          <w:szCs w:val="22"/>
        </w:rPr>
        <w:t>18</w:t>
      </w:r>
      <w:r>
        <w:rPr>
          <w:rFonts w:hint="eastAsia" w:ascii="仿宋_GB2312" w:eastAsia="仿宋_GB2312" w:cs="仿宋_GB2312"/>
          <w:sz w:val="22"/>
          <w:szCs w:val="22"/>
        </w:rPr>
        <w:t>日执行期满三年。为做好我省征收农用地区片综合地价更新调整工作，保障工作规范、有序开展，保持征收农用地区片综合地价的现势性，</w:t>
      </w:r>
      <w:r>
        <w:rPr>
          <w:rFonts w:hint="eastAsia" w:ascii="宋体" w:hAnsi="宋体" w:eastAsia="宋体" w:cs="宋体"/>
          <w:sz w:val="22"/>
          <w:szCs w:val="22"/>
        </w:rPr>
        <w:t>2025</w:t>
      </w:r>
      <w:r>
        <w:rPr>
          <w:rFonts w:hint="eastAsia" w:ascii="仿宋_GB2312" w:eastAsia="仿宋_GB2312" w:cs="仿宋_GB2312"/>
          <w:sz w:val="22"/>
          <w:szCs w:val="22"/>
        </w:rPr>
        <w:t>年</w:t>
      </w:r>
      <w:r>
        <w:rPr>
          <w:rFonts w:hint="eastAsia" w:ascii="宋体" w:hAnsi="宋体" w:eastAsia="宋体" w:cs="宋体"/>
          <w:sz w:val="22"/>
          <w:szCs w:val="22"/>
        </w:rPr>
        <w:t>4</w:t>
      </w:r>
      <w:r>
        <w:rPr>
          <w:rFonts w:hint="eastAsia" w:ascii="仿宋_GB2312" w:eastAsia="仿宋_GB2312" w:cs="仿宋_GB2312"/>
          <w:sz w:val="22"/>
          <w:szCs w:val="22"/>
        </w:rPr>
        <w:t>月</w:t>
      </w:r>
      <w:r>
        <w:rPr>
          <w:rFonts w:hint="eastAsia" w:ascii="宋体" w:hAnsi="宋体" w:eastAsia="宋体" w:cs="宋体"/>
          <w:sz w:val="22"/>
          <w:szCs w:val="22"/>
        </w:rPr>
        <w:t>7</w:t>
      </w:r>
      <w:r>
        <w:rPr>
          <w:rFonts w:hint="eastAsia" w:ascii="仿宋_GB2312" w:eastAsia="仿宋_GB2312" w:cs="仿宋_GB2312"/>
          <w:sz w:val="22"/>
          <w:szCs w:val="22"/>
        </w:rPr>
        <w:t>日，云南省自然资源厅印发了《云南省自然资源厅关于开展</w:t>
      </w:r>
      <w:r>
        <w:rPr>
          <w:rFonts w:hint="eastAsia" w:ascii="宋体" w:hAnsi="宋体" w:eastAsia="宋体" w:cs="宋体"/>
          <w:sz w:val="22"/>
          <w:szCs w:val="22"/>
        </w:rPr>
        <w:t>2025</w:t>
      </w:r>
      <w:r>
        <w:rPr>
          <w:rFonts w:hint="eastAsia" w:ascii="仿宋_GB2312" w:eastAsia="仿宋_GB2312" w:cs="仿宋_GB2312"/>
          <w:sz w:val="22"/>
          <w:szCs w:val="22"/>
        </w:rPr>
        <w:t>年区片综合地价更新调整工作的通知》（云自然资审批〔</w:t>
      </w:r>
      <w:r>
        <w:rPr>
          <w:rFonts w:hint="eastAsia" w:ascii="宋体" w:hAnsi="宋体" w:eastAsia="宋体" w:cs="宋体"/>
          <w:sz w:val="22"/>
          <w:szCs w:val="22"/>
        </w:rPr>
        <w:t>2025</w:t>
      </w:r>
      <w:r>
        <w:rPr>
          <w:rFonts w:hint="eastAsia" w:ascii="仿宋_GB2312" w:eastAsia="仿宋_GB2312" w:cs="仿宋_GB2312"/>
          <w:sz w:val="22"/>
          <w:szCs w:val="22"/>
        </w:rPr>
        <w:t>〕</w:t>
      </w:r>
      <w:r>
        <w:rPr>
          <w:rFonts w:hint="eastAsia" w:ascii="宋体" w:hAnsi="宋体" w:eastAsia="宋体" w:cs="宋体"/>
          <w:sz w:val="22"/>
          <w:szCs w:val="22"/>
        </w:rPr>
        <w:t>90</w:t>
      </w:r>
      <w:r>
        <w:rPr>
          <w:rFonts w:hint="eastAsia" w:ascii="仿宋_GB2312" w:eastAsia="仿宋_GB2312" w:cs="仿宋_GB2312"/>
          <w:sz w:val="22"/>
          <w:szCs w:val="22"/>
        </w:rPr>
        <w:t>号）文件，全省全面启动了</w:t>
      </w:r>
      <w:r>
        <w:rPr>
          <w:rFonts w:hint="eastAsia" w:ascii="宋体" w:hAnsi="宋体" w:eastAsia="宋体" w:cs="宋体"/>
          <w:sz w:val="22"/>
          <w:szCs w:val="22"/>
        </w:rPr>
        <w:t>2025</w:t>
      </w:r>
      <w:r>
        <w:rPr>
          <w:rFonts w:hint="eastAsia" w:ascii="仿宋_GB2312" w:eastAsia="仿宋_GB2312" w:cs="仿宋_GB2312"/>
          <w:sz w:val="22"/>
          <w:szCs w:val="22"/>
        </w:rPr>
        <w:t>年征收农用地区片综合地价更新调整工作。</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hAnsi="宋体" w:eastAsia="仿宋_GB2312" w:cs="仿宋_GB2312"/>
          <w:sz w:val="22"/>
          <w:szCs w:val="22"/>
        </w:rPr>
        <w:t>在云南省自然资源厅的统一部署和</w:t>
      </w:r>
      <w:r>
        <w:rPr>
          <w:rFonts w:hint="eastAsia" w:ascii="仿宋_GB2312" w:eastAsia="仿宋_GB2312" w:cs="仿宋_GB2312"/>
          <w:sz w:val="22"/>
          <w:szCs w:val="22"/>
        </w:rPr>
        <w:t>曲靖市</w:t>
      </w:r>
      <w:r>
        <w:rPr>
          <w:rFonts w:hint="eastAsia" w:ascii="仿宋_GB2312" w:hAnsi="宋体" w:eastAsia="仿宋_GB2312" w:cs="仿宋_GB2312"/>
          <w:sz w:val="22"/>
          <w:szCs w:val="22"/>
        </w:rPr>
        <w:t>自然资源和规划局的指导下，报经</w:t>
      </w:r>
      <w:r>
        <w:rPr>
          <w:rFonts w:hint="eastAsia" w:ascii="仿宋_GB2312" w:eastAsia="仿宋_GB2312" w:cs="仿宋_GB2312"/>
          <w:sz w:val="22"/>
          <w:szCs w:val="22"/>
        </w:rPr>
        <w:t>区</w:t>
      </w:r>
      <w:r>
        <w:rPr>
          <w:rFonts w:hint="eastAsia" w:ascii="仿宋_GB2312" w:hAnsi="宋体" w:eastAsia="仿宋_GB2312" w:cs="仿宋_GB2312"/>
          <w:sz w:val="22"/>
          <w:szCs w:val="22"/>
        </w:rPr>
        <w:t>委、</w:t>
      </w:r>
      <w:r>
        <w:rPr>
          <w:rFonts w:hint="eastAsia" w:ascii="仿宋_GB2312" w:eastAsia="仿宋_GB2312" w:cs="仿宋_GB2312"/>
          <w:sz w:val="22"/>
          <w:szCs w:val="22"/>
        </w:rPr>
        <w:t>区</w:t>
      </w:r>
      <w:r>
        <w:rPr>
          <w:rFonts w:hint="eastAsia" w:ascii="仿宋_GB2312" w:hAnsi="宋体" w:eastAsia="仿宋_GB2312" w:cs="仿宋_GB2312"/>
          <w:sz w:val="22"/>
          <w:szCs w:val="22"/>
        </w:rPr>
        <w:t>政府同意，</w:t>
      </w:r>
      <w:r>
        <w:rPr>
          <w:rFonts w:hint="eastAsia" w:ascii="仿宋_GB2312" w:eastAsia="仿宋_GB2312" w:cs="仿宋_GB2312"/>
          <w:sz w:val="22"/>
          <w:szCs w:val="22"/>
        </w:rPr>
        <w:t>麒麟区</w:t>
      </w:r>
      <w:r>
        <w:rPr>
          <w:rFonts w:hint="eastAsia" w:ascii="仿宋_GB2312" w:hAnsi="宋体" w:eastAsia="仿宋_GB2312" w:cs="仿宋_GB2312"/>
          <w:sz w:val="22"/>
          <w:szCs w:val="22"/>
        </w:rPr>
        <w:t>区片综合地价</w:t>
      </w:r>
      <w:r>
        <w:rPr>
          <w:rFonts w:hint="eastAsia" w:ascii="仿宋_GB2312" w:eastAsia="仿宋_GB2312" w:cs="仿宋_GB2312"/>
          <w:sz w:val="22"/>
          <w:szCs w:val="22"/>
        </w:rPr>
        <w:t>更新调整</w:t>
      </w:r>
      <w:r>
        <w:rPr>
          <w:rFonts w:hint="eastAsia" w:ascii="仿宋_GB2312" w:hAnsi="宋体" w:eastAsia="仿宋_GB2312" w:cs="仿宋_GB2312"/>
          <w:sz w:val="22"/>
          <w:szCs w:val="22"/>
        </w:rPr>
        <w:t>工作于</w:t>
      </w:r>
      <w:r>
        <w:rPr>
          <w:rFonts w:hint="eastAsia" w:ascii="宋体" w:hAnsi="宋体" w:eastAsia="宋体" w:cs="宋体"/>
          <w:sz w:val="22"/>
          <w:szCs w:val="22"/>
        </w:rPr>
        <w:t>2025</w:t>
      </w:r>
      <w:r>
        <w:rPr>
          <w:rFonts w:hint="eastAsia" w:ascii="仿宋_GB2312" w:hAnsi="宋体" w:eastAsia="仿宋_GB2312" w:cs="仿宋_GB2312"/>
          <w:sz w:val="22"/>
          <w:szCs w:val="22"/>
        </w:rPr>
        <w:t>年</w:t>
      </w:r>
      <w:r>
        <w:rPr>
          <w:rFonts w:hint="eastAsia" w:ascii="宋体" w:hAnsi="宋体" w:eastAsia="宋体" w:cs="宋体"/>
          <w:sz w:val="22"/>
          <w:szCs w:val="22"/>
        </w:rPr>
        <w:t>6</w:t>
      </w:r>
      <w:r>
        <w:rPr>
          <w:rFonts w:hint="eastAsia" w:ascii="仿宋_GB2312" w:hAnsi="宋体" w:eastAsia="仿宋_GB2312" w:cs="仿宋_GB2312"/>
          <w:sz w:val="22"/>
          <w:szCs w:val="22"/>
        </w:rPr>
        <w:t>月启动，</w:t>
      </w:r>
      <w:r>
        <w:rPr>
          <w:rFonts w:hint="eastAsia" w:ascii="仿宋_GB2312" w:eastAsia="仿宋_GB2312" w:cs="仿宋_GB2312"/>
          <w:sz w:val="22"/>
          <w:szCs w:val="22"/>
        </w:rPr>
        <w:t>按照《云南省</w:t>
      </w:r>
      <w:r>
        <w:rPr>
          <w:rFonts w:hint="eastAsia" w:ascii="宋体" w:hAnsi="宋体" w:eastAsia="宋体" w:cs="宋体"/>
          <w:sz w:val="22"/>
          <w:szCs w:val="22"/>
        </w:rPr>
        <w:t>2025</w:t>
      </w:r>
      <w:r>
        <w:rPr>
          <w:rFonts w:hint="eastAsia" w:ascii="仿宋_GB2312" w:eastAsia="仿宋_GB2312" w:cs="仿宋_GB2312"/>
          <w:sz w:val="22"/>
          <w:szCs w:val="22"/>
        </w:rPr>
        <w:t>年征收农用地区片综合地价更新调整方案》（以下简称《更新调整方案》）相关要求，分析上一轮区片划分和区片价格的合理性，综合判断是否需要对区片价格进行调整。若区片划分和区片价格任意一项存在不合理，则需对区片价进行更新调整；若均合理，则按照沿用上一轮区片价的程序开展后续工作。由县人民政府通过政府网站、乡镇公告栏等渠道，开展不少于</w:t>
      </w:r>
      <w:r>
        <w:rPr>
          <w:rFonts w:hint="eastAsia" w:ascii="宋体" w:hAnsi="宋体" w:eastAsia="宋体" w:cs="宋体"/>
          <w:sz w:val="22"/>
          <w:szCs w:val="22"/>
        </w:rPr>
        <w:t>30</w:t>
      </w:r>
      <w:r>
        <w:rPr>
          <w:rFonts w:hint="eastAsia" w:ascii="仿宋_GB2312" w:eastAsia="仿宋_GB2312" w:cs="仿宋_GB2312"/>
          <w:sz w:val="22"/>
          <w:szCs w:val="22"/>
        </w:rPr>
        <w:t>日的意见征询工作，梳理分析反馈意见并采纳合理建议；并组织相关专家、基层政府及农村集体经济组织代表对沿用合理性进行评估论证，形成评估论证报告；随后由区人民政府将评估论证报告及沿用申请报市级审查</w:t>
      </w:r>
      <w:r>
        <w:rPr>
          <w:rFonts w:hint="eastAsia" w:ascii="仿宋_GB2312" w:hAnsi="宋体" w:eastAsia="仿宋_GB2312" w:cs="仿宋_GB2312"/>
          <w:sz w:val="22"/>
          <w:szCs w:val="22"/>
        </w:rPr>
        <w:t>。</w:t>
      </w:r>
    </w:p>
    <w:p>
      <w:pPr>
        <w:pStyle w:val="10"/>
        <w:keepNext w:val="0"/>
        <w:keepLines w:val="0"/>
        <w:widowControl/>
        <w:suppressLineNumbers w:val="0"/>
        <w:spacing w:before="60" w:beforeAutospacing="0" w:after="60" w:afterAutospacing="0" w:line="516" w:lineRule="atLeast"/>
        <w:ind w:left="0" w:right="0"/>
      </w:pPr>
      <w:r>
        <w:rPr>
          <w:rStyle w:val="14"/>
          <w:rFonts w:hint="eastAsia" w:ascii="宋体" w:hAnsi="宋体" w:eastAsia="宋体" w:cs="宋体"/>
          <w:sz w:val="22"/>
          <w:szCs w:val="22"/>
        </w:rPr>
        <w:t>（二）工作目标</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在</w:t>
      </w:r>
      <w:r>
        <w:rPr>
          <w:rFonts w:hint="default" w:ascii="Times New Roman" w:hAnsi="Times New Roman" w:eastAsia="仿宋_GB2312" w:cs="Times New Roman"/>
          <w:sz w:val="22"/>
          <w:szCs w:val="22"/>
        </w:rPr>
        <w:t>2023</w:t>
      </w:r>
      <w:r>
        <w:rPr>
          <w:rFonts w:hint="eastAsia" w:ascii="仿宋_GB2312" w:eastAsia="仿宋_GB2312" w:cs="仿宋_GB2312"/>
          <w:sz w:val="22"/>
          <w:szCs w:val="22"/>
        </w:rPr>
        <w:t>年</w:t>
      </w:r>
      <w:r>
        <w:rPr>
          <w:rFonts w:hint="default" w:ascii="Times New Roman" w:hAnsi="Times New Roman" w:cs="Times New Roman"/>
          <w:sz w:val="22"/>
          <w:szCs w:val="22"/>
        </w:rPr>
        <w:t>11 </w:t>
      </w:r>
      <w:r>
        <w:rPr>
          <w:rFonts w:hint="eastAsia" w:ascii="仿宋_GB2312" w:eastAsia="仿宋_GB2312" w:cs="仿宋_GB2312"/>
          <w:sz w:val="22"/>
          <w:szCs w:val="22"/>
        </w:rPr>
        <w:t>月</w:t>
      </w:r>
      <w:r>
        <w:rPr>
          <w:rFonts w:hint="default" w:ascii="Times New Roman" w:hAnsi="Times New Roman" w:eastAsia="仿宋_GB2312" w:cs="Times New Roman"/>
          <w:sz w:val="22"/>
          <w:szCs w:val="22"/>
        </w:rPr>
        <w:t>18</w:t>
      </w:r>
      <w:r>
        <w:rPr>
          <w:rFonts w:hint="default" w:ascii="Times New Roman" w:hAnsi="Times New Roman" w:cs="Times New Roman"/>
          <w:sz w:val="22"/>
          <w:szCs w:val="22"/>
        </w:rPr>
        <w:t> </w:t>
      </w:r>
      <w:r>
        <w:rPr>
          <w:rFonts w:hint="eastAsia" w:ascii="仿宋_GB2312" w:eastAsia="仿宋_GB2312" w:cs="仿宋_GB2312"/>
          <w:sz w:val="22"/>
          <w:szCs w:val="22"/>
        </w:rPr>
        <w:t>日公布实施的麒麟区征收农用地区片综合地价基础上，通过开展征地补偿标准实施情况调查、资料分析和经验总结，合理分析区片划分及区片价格与当前经济社会发展水平是否适应，是否能够保障被征地农民合法权益，保持征收农用地区片综合地价现势性，为麒麟区征地补偿提供依据。</w:t>
      </w:r>
    </w:p>
    <w:p>
      <w:pPr>
        <w:pStyle w:val="10"/>
        <w:keepNext w:val="0"/>
        <w:keepLines w:val="0"/>
        <w:widowControl/>
        <w:suppressLineNumbers w:val="0"/>
        <w:spacing w:before="60" w:beforeAutospacing="0" w:after="60" w:afterAutospacing="0" w:line="516" w:lineRule="atLeast"/>
        <w:ind w:left="0" w:right="0"/>
      </w:pPr>
      <w:r>
        <w:rPr>
          <w:rStyle w:val="14"/>
          <w:rFonts w:hint="eastAsia" w:ascii="宋体" w:hAnsi="宋体" w:eastAsia="宋体" w:cs="宋体"/>
          <w:sz w:val="22"/>
          <w:szCs w:val="22"/>
        </w:rPr>
        <w:t>（三）工作依据</w:t>
      </w:r>
    </w:p>
    <w:p>
      <w:pPr>
        <w:pStyle w:val="10"/>
        <w:keepNext w:val="0"/>
        <w:keepLines w:val="0"/>
        <w:widowControl/>
        <w:suppressLineNumbers w:val="0"/>
        <w:spacing w:before="60" w:beforeAutospacing="0" w:after="60" w:afterAutospacing="0" w:line="444" w:lineRule="atLeast"/>
        <w:ind w:left="0" w:right="0" w:firstLine="444"/>
      </w:pPr>
      <w:r>
        <w:rPr>
          <w:rStyle w:val="14"/>
          <w:rFonts w:hint="eastAsia" w:ascii="宋体" w:hAnsi="宋体" w:eastAsia="宋体" w:cs="宋体"/>
          <w:sz w:val="22"/>
          <w:szCs w:val="22"/>
        </w:rPr>
        <w:t>1.</w:t>
      </w:r>
      <w:r>
        <w:rPr>
          <w:rStyle w:val="14"/>
          <w:rFonts w:hint="eastAsia" w:ascii="仿宋_GB2312" w:eastAsia="仿宋_GB2312" w:cs="仿宋_GB2312"/>
          <w:sz w:val="22"/>
          <w:szCs w:val="22"/>
        </w:rPr>
        <w:t>法律法规</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w:t>
      </w:r>
      <w:r>
        <w:rPr>
          <w:rFonts w:hint="eastAsia" w:ascii="宋体" w:hAnsi="宋体" w:eastAsia="宋体" w:cs="宋体"/>
          <w:sz w:val="22"/>
          <w:szCs w:val="22"/>
        </w:rPr>
        <w:t>1</w:t>
      </w:r>
      <w:r>
        <w:rPr>
          <w:rFonts w:hint="eastAsia" w:ascii="仿宋_GB2312" w:eastAsia="仿宋_GB2312" w:cs="仿宋_GB2312"/>
          <w:sz w:val="22"/>
          <w:szCs w:val="22"/>
        </w:rPr>
        <w:t>）《中华人民共和国民法典》（</w:t>
      </w:r>
      <w:r>
        <w:rPr>
          <w:rFonts w:hint="eastAsia" w:ascii="宋体" w:hAnsi="宋体" w:eastAsia="宋体" w:cs="宋体"/>
          <w:sz w:val="22"/>
          <w:szCs w:val="22"/>
        </w:rPr>
        <w:t>2021 </w:t>
      </w:r>
      <w:r>
        <w:rPr>
          <w:rFonts w:hint="eastAsia" w:ascii="仿宋_GB2312" w:eastAsia="仿宋_GB2312" w:cs="仿宋_GB2312"/>
          <w:sz w:val="22"/>
          <w:szCs w:val="22"/>
        </w:rPr>
        <w:t>年 </w:t>
      </w:r>
      <w:r>
        <w:rPr>
          <w:rFonts w:hint="eastAsia" w:ascii="宋体" w:hAnsi="宋体" w:eastAsia="宋体" w:cs="宋体"/>
          <w:sz w:val="22"/>
          <w:szCs w:val="22"/>
        </w:rPr>
        <w:t>1 </w:t>
      </w:r>
      <w:r>
        <w:rPr>
          <w:rFonts w:hint="eastAsia" w:ascii="仿宋_GB2312" w:eastAsia="仿宋_GB2312" w:cs="仿宋_GB2312"/>
          <w:sz w:val="22"/>
          <w:szCs w:val="22"/>
        </w:rPr>
        <w:t>月 </w:t>
      </w:r>
      <w:r>
        <w:rPr>
          <w:rFonts w:hint="eastAsia" w:ascii="宋体" w:hAnsi="宋体" w:eastAsia="宋体" w:cs="宋体"/>
          <w:sz w:val="22"/>
          <w:szCs w:val="22"/>
        </w:rPr>
        <w:t>1 </w:t>
      </w:r>
      <w:r>
        <w:rPr>
          <w:rFonts w:hint="eastAsia" w:ascii="仿宋_GB2312" w:eastAsia="仿宋_GB2312" w:cs="仿宋_GB2312"/>
          <w:sz w:val="22"/>
          <w:szCs w:val="22"/>
        </w:rPr>
        <w:t>日起施行）；</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w:t>
      </w:r>
      <w:r>
        <w:rPr>
          <w:rFonts w:hint="eastAsia" w:ascii="宋体" w:hAnsi="宋体" w:eastAsia="宋体" w:cs="宋体"/>
          <w:sz w:val="22"/>
          <w:szCs w:val="22"/>
        </w:rPr>
        <w:t>2</w:t>
      </w:r>
      <w:r>
        <w:rPr>
          <w:rFonts w:hint="eastAsia" w:ascii="仿宋_GB2312" w:eastAsia="仿宋_GB2312" w:cs="仿宋_GB2312"/>
          <w:sz w:val="22"/>
          <w:szCs w:val="22"/>
        </w:rPr>
        <w:t>）《中华人民共和国土地管理法》（</w:t>
      </w:r>
      <w:r>
        <w:rPr>
          <w:rFonts w:hint="eastAsia" w:ascii="宋体" w:hAnsi="宋体" w:eastAsia="宋体" w:cs="宋体"/>
          <w:sz w:val="22"/>
          <w:szCs w:val="22"/>
        </w:rPr>
        <w:t>2019 </w:t>
      </w:r>
      <w:r>
        <w:rPr>
          <w:rFonts w:hint="eastAsia" w:ascii="仿宋_GB2312" w:eastAsia="仿宋_GB2312" w:cs="仿宋_GB2312"/>
          <w:sz w:val="22"/>
          <w:szCs w:val="22"/>
        </w:rPr>
        <w:t>年修正）；</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w:t>
      </w:r>
      <w:r>
        <w:rPr>
          <w:rFonts w:hint="eastAsia" w:ascii="宋体" w:hAnsi="宋体" w:eastAsia="宋体" w:cs="宋体"/>
          <w:sz w:val="22"/>
          <w:szCs w:val="22"/>
        </w:rPr>
        <w:t>3</w:t>
      </w:r>
      <w:r>
        <w:rPr>
          <w:rFonts w:hint="eastAsia" w:ascii="仿宋_GB2312" w:eastAsia="仿宋_GB2312" w:cs="仿宋_GB2312"/>
          <w:sz w:val="22"/>
          <w:szCs w:val="22"/>
        </w:rPr>
        <w:t>）《中华人民共和国农村土地承包法》（</w:t>
      </w:r>
      <w:r>
        <w:rPr>
          <w:rFonts w:hint="eastAsia" w:ascii="宋体" w:hAnsi="宋体" w:eastAsia="宋体" w:cs="宋体"/>
          <w:sz w:val="22"/>
          <w:szCs w:val="22"/>
        </w:rPr>
        <w:t>2018 </w:t>
      </w:r>
      <w:r>
        <w:rPr>
          <w:rFonts w:hint="eastAsia" w:ascii="仿宋_GB2312" w:eastAsia="仿宋_GB2312" w:cs="仿宋_GB2312"/>
          <w:sz w:val="22"/>
          <w:szCs w:val="22"/>
        </w:rPr>
        <w:t>年修正）</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w:t>
      </w:r>
      <w:r>
        <w:rPr>
          <w:rFonts w:hint="eastAsia" w:ascii="宋体" w:hAnsi="宋体" w:eastAsia="宋体" w:cs="宋体"/>
          <w:sz w:val="22"/>
          <w:szCs w:val="22"/>
        </w:rPr>
        <w:t>4</w:t>
      </w:r>
      <w:r>
        <w:rPr>
          <w:rFonts w:hint="eastAsia" w:ascii="仿宋_GB2312" w:eastAsia="仿宋_GB2312" w:cs="仿宋_GB2312"/>
          <w:sz w:val="22"/>
          <w:szCs w:val="22"/>
        </w:rPr>
        <w:t>）《中华人民共和国森林法》（</w:t>
      </w:r>
      <w:r>
        <w:rPr>
          <w:rFonts w:hint="eastAsia" w:ascii="宋体" w:hAnsi="宋体" w:eastAsia="宋体" w:cs="宋体"/>
          <w:sz w:val="22"/>
          <w:szCs w:val="22"/>
        </w:rPr>
        <w:t>2019 </w:t>
      </w:r>
      <w:r>
        <w:rPr>
          <w:rFonts w:hint="eastAsia" w:ascii="仿宋_GB2312" w:eastAsia="仿宋_GB2312" w:cs="仿宋_GB2312"/>
          <w:sz w:val="22"/>
          <w:szCs w:val="22"/>
        </w:rPr>
        <w:t>年修订版）；</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w:t>
      </w:r>
      <w:r>
        <w:rPr>
          <w:rFonts w:hint="eastAsia" w:ascii="宋体" w:hAnsi="宋体" w:eastAsia="宋体" w:cs="宋体"/>
          <w:sz w:val="22"/>
          <w:szCs w:val="22"/>
        </w:rPr>
        <w:t>5</w:t>
      </w:r>
      <w:r>
        <w:rPr>
          <w:rFonts w:hint="eastAsia" w:ascii="仿宋_GB2312" w:eastAsia="仿宋_GB2312" w:cs="仿宋_GB2312"/>
          <w:sz w:val="22"/>
          <w:szCs w:val="22"/>
        </w:rPr>
        <w:t>）《中华人民共和国城乡规划法》（</w:t>
      </w:r>
      <w:r>
        <w:rPr>
          <w:rFonts w:hint="eastAsia" w:ascii="宋体" w:hAnsi="宋体" w:eastAsia="宋体" w:cs="宋体"/>
          <w:sz w:val="22"/>
          <w:szCs w:val="22"/>
        </w:rPr>
        <w:t>2019 </w:t>
      </w:r>
      <w:r>
        <w:rPr>
          <w:rFonts w:hint="eastAsia" w:ascii="仿宋_GB2312" w:eastAsia="仿宋_GB2312" w:cs="仿宋_GB2312"/>
          <w:sz w:val="22"/>
          <w:szCs w:val="22"/>
        </w:rPr>
        <w:t>年修正版）</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w:t>
      </w:r>
      <w:r>
        <w:rPr>
          <w:rFonts w:hint="eastAsia" w:ascii="宋体" w:hAnsi="宋体" w:eastAsia="宋体" w:cs="宋体"/>
          <w:sz w:val="22"/>
          <w:szCs w:val="22"/>
        </w:rPr>
        <w:t>6</w:t>
      </w:r>
      <w:r>
        <w:rPr>
          <w:rFonts w:hint="eastAsia" w:ascii="仿宋_GB2312" w:eastAsia="仿宋_GB2312" w:cs="仿宋_GB2312"/>
          <w:sz w:val="22"/>
          <w:szCs w:val="22"/>
        </w:rPr>
        <w:t>）《中华人民共和国土地管理法实施条例》（国务院令第 </w:t>
      </w:r>
      <w:r>
        <w:rPr>
          <w:rFonts w:hint="eastAsia" w:ascii="宋体" w:hAnsi="宋体" w:eastAsia="宋体" w:cs="宋体"/>
          <w:sz w:val="22"/>
          <w:szCs w:val="22"/>
        </w:rPr>
        <w:t>743 </w:t>
      </w:r>
      <w:r>
        <w:rPr>
          <w:rFonts w:hint="eastAsia" w:ascii="仿宋_GB2312" w:eastAsia="仿宋_GB2312" w:cs="仿宋_GB2312"/>
          <w:sz w:val="22"/>
          <w:szCs w:val="22"/>
        </w:rPr>
        <w:t>号）；</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w:t>
      </w:r>
      <w:r>
        <w:rPr>
          <w:rFonts w:hint="eastAsia" w:ascii="宋体" w:hAnsi="宋体" w:eastAsia="宋体" w:cs="宋体"/>
          <w:sz w:val="22"/>
          <w:szCs w:val="22"/>
        </w:rPr>
        <w:t>7</w:t>
      </w:r>
      <w:r>
        <w:rPr>
          <w:rFonts w:hint="eastAsia" w:ascii="仿宋_GB2312" w:eastAsia="仿宋_GB2312" w:cs="仿宋_GB2312"/>
          <w:sz w:val="22"/>
          <w:szCs w:val="22"/>
        </w:rPr>
        <w:t>）《云南省土地管理条例》（</w:t>
      </w:r>
      <w:r>
        <w:rPr>
          <w:rFonts w:hint="eastAsia" w:ascii="宋体" w:hAnsi="宋体" w:eastAsia="宋体" w:cs="宋体"/>
          <w:sz w:val="22"/>
          <w:szCs w:val="22"/>
        </w:rPr>
        <w:t>2025 </w:t>
      </w:r>
      <w:r>
        <w:rPr>
          <w:rFonts w:hint="eastAsia" w:ascii="仿宋_GB2312" w:eastAsia="仿宋_GB2312" w:cs="仿宋_GB2312"/>
          <w:sz w:val="22"/>
          <w:szCs w:val="22"/>
        </w:rPr>
        <w:t>年 </w:t>
      </w:r>
      <w:r>
        <w:rPr>
          <w:rFonts w:hint="eastAsia" w:ascii="宋体" w:hAnsi="宋体" w:eastAsia="宋体" w:cs="宋体"/>
          <w:sz w:val="22"/>
          <w:szCs w:val="22"/>
        </w:rPr>
        <w:t>1 </w:t>
      </w:r>
      <w:r>
        <w:rPr>
          <w:rFonts w:hint="eastAsia" w:ascii="仿宋_GB2312" w:eastAsia="仿宋_GB2312" w:cs="仿宋_GB2312"/>
          <w:sz w:val="22"/>
          <w:szCs w:val="22"/>
        </w:rPr>
        <w:t>月 </w:t>
      </w:r>
      <w:r>
        <w:rPr>
          <w:rFonts w:hint="eastAsia" w:ascii="宋体" w:hAnsi="宋体" w:eastAsia="宋体" w:cs="宋体"/>
          <w:sz w:val="22"/>
          <w:szCs w:val="22"/>
        </w:rPr>
        <w:t>1 </w:t>
      </w:r>
      <w:r>
        <w:rPr>
          <w:rFonts w:hint="eastAsia" w:ascii="仿宋_GB2312" w:eastAsia="仿宋_GB2312" w:cs="仿宋_GB2312"/>
          <w:sz w:val="22"/>
          <w:szCs w:val="22"/>
        </w:rPr>
        <w:t>日起施行）；</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w:t>
      </w:r>
      <w:r>
        <w:rPr>
          <w:rFonts w:hint="eastAsia" w:ascii="宋体" w:hAnsi="宋体" w:eastAsia="宋体" w:cs="宋体"/>
          <w:sz w:val="22"/>
          <w:szCs w:val="22"/>
        </w:rPr>
        <w:t>8</w:t>
      </w:r>
      <w:r>
        <w:rPr>
          <w:rFonts w:hint="eastAsia" w:ascii="仿宋_GB2312" w:eastAsia="仿宋_GB2312" w:cs="仿宋_GB2312"/>
          <w:sz w:val="22"/>
          <w:szCs w:val="22"/>
        </w:rPr>
        <w:t>）《自然资源听证规定》（</w:t>
      </w:r>
      <w:r>
        <w:rPr>
          <w:rFonts w:hint="eastAsia" w:ascii="宋体" w:hAnsi="宋体" w:eastAsia="宋体" w:cs="宋体"/>
          <w:sz w:val="22"/>
          <w:szCs w:val="22"/>
        </w:rPr>
        <w:t>2020</w:t>
      </w:r>
      <w:r>
        <w:rPr>
          <w:rFonts w:hint="eastAsia" w:ascii="仿宋_GB2312" w:eastAsia="仿宋_GB2312" w:cs="仿宋_GB2312"/>
          <w:sz w:val="22"/>
          <w:szCs w:val="22"/>
        </w:rPr>
        <w:t>年自然资源部令第</w:t>
      </w:r>
      <w:r>
        <w:rPr>
          <w:rFonts w:hint="eastAsia" w:ascii="宋体" w:hAnsi="宋体" w:eastAsia="宋体" w:cs="宋体"/>
          <w:sz w:val="22"/>
          <w:szCs w:val="22"/>
        </w:rPr>
        <w:t>6</w:t>
      </w:r>
      <w:r>
        <w:rPr>
          <w:rFonts w:hint="eastAsia" w:ascii="仿宋_GB2312" w:eastAsia="仿宋_GB2312" w:cs="仿宋_GB2312"/>
          <w:sz w:val="22"/>
          <w:szCs w:val="22"/>
        </w:rPr>
        <w:t>号）；</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w:t>
      </w:r>
      <w:r>
        <w:rPr>
          <w:rFonts w:hint="eastAsia" w:ascii="宋体" w:hAnsi="宋体" w:eastAsia="宋体" w:cs="宋体"/>
          <w:sz w:val="22"/>
          <w:szCs w:val="22"/>
        </w:rPr>
        <w:t>9</w:t>
      </w:r>
      <w:r>
        <w:rPr>
          <w:rFonts w:hint="eastAsia" w:ascii="仿宋_GB2312" w:eastAsia="仿宋_GB2312" w:cs="仿宋_GB2312"/>
          <w:sz w:val="22"/>
          <w:szCs w:val="22"/>
        </w:rPr>
        <w:t>）《云南省重大行政决策程序规定》（云南省人民政府令第 </w:t>
      </w:r>
      <w:r>
        <w:rPr>
          <w:rFonts w:hint="eastAsia" w:ascii="宋体" w:hAnsi="宋体" w:eastAsia="宋体" w:cs="宋体"/>
          <w:sz w:val="22"/>
          <w:szCs w:val="22"/>
        </w:rPr>
        <w:t>217 </w:t>
      </w:r>
      <w:r>
        <w:rPr>
          <w:rFonts w:hint="eastAsia" w:ascii="仿宋_GB2312" w:eastAsia="仿宋_GB2312" w:cs="仿宋_GB2312"/>
          <w:sz w:val="22"/>
          <w:szCs w:val="22"/>
        </w:rPr>
        <w:t>号）。</w:t>
      </w:r>
    </w:p>
    <w:p>
      <w:pPr>
        <w:pStyle w:val="10"/>
        <w:keepNext w:val="0"/>
        <w:keepLines w:val="0"/>
        <w:widowControl/>
        <w:suppressLineNumbers w:val="0"/>
        <w:spacing w:before="60" w:beforeAutospacing="0" w:after="60" w:afterAutospacing="0" w:line="444" w:lineRule="atLeast"/>
        <w:ind w:left="0" w:right="0" w:firstLine="444"/>
      </w:pPr>
      <w:r>
        <w:rPr>
          <w:rStyle w:val="14"/>
          <w:rFonts w:hint="eastAsia" w:ascii="宋体" w:hAnsi="宋体" w:eastAsia="宋体" w:cs="宋体"/>
          <w:sz w:val="22"/>
          <w:szCs w:val="22"/>
        </w:rPr>
        <w:t>2.</w:t>
      </w:r>
      <w:r>
        <w:rPr>
          <w:rStyle w:val="14"/>
          <w:rFonts w:hint="eastAsia" w:ascii="仿宋_GB2312" w:eastAsia="仿宋_GB2312" w:cs="仿宋_GB2312"/>
          <w:sz w:val="22"/>
          <w:szCs w:val="22"/>
        </w:rPr>
        <w:t>政策文件</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w:t>
      </w:r>
      <w:r>
        <w:rPr>
          <w:rFonts w:hint="eastAsia" w:ascii="宋体" w:hAnsi="宋体" w:eastAsia="宋体" w:cs="宋体"/>
          <w:sz w:val="22"/>
          <w:szCs w:val="22"/>
        </w:rPr>
        <w:t>1</w:t>
      </w:r>
      <w:r>
        <w:rPr>
          <w:rFonts w:hint="eastAsia" w:ascii="仿宋_GB2312" w:eastAsia="仿宋_GB2312" w:cs="仿宋_GB2312"/>
          <w:sz w:val="22"/>
          <w:szCs w:val="22"/>
        </w:rPr>
        <w:t>）《自然资源部办公厅关于加快制定征收农用地区片综合地价工作的通知》（自然资办发〔</w:t>
      </w:r>
      <w:r>
        <w:rPr>
          <w:rFonts w:hint="eastAsia" w:ascii="宋体" w:hAnsi="宋体" w:eastAsia="宋体" w:cs="宋体"/>
          <w:sz w:val="22"/>
          <w:szCs w:val="22"/>
        </w:rPr>
        <w:t>2019</w:t>
      </w:r>
      <w:r>
        <w:rPr>
          <w:rFonts w:hint="eastAsia" w:ascii="仿宋_GB2312" w:eastAsia="仿宋_GB2312" w:cs="仿宋_GB2312"/>
          <w:sz w:val="22"/>
          <w:szCs w:val="22"/>
        </w:rPr>
        <w:t>〕</w:t>
      </w:r>
      <w:r>
        <w:rPr>
          <w:rFonts w:hint="eastAsia" w:ascii="宋体" w:hAnsi="宋体" w:eastAsia="宋体" w:cs="宋体"/>
          <w:sz w:val="22"/>
          <w:szCs w:val="22"/>
        </w:rPr>
        <w:t>53</w:t>
      </w:r>
      <w:r>
        <w:rPr>
          <w:rFonts w:hint="eastAsia" w:ascii="仿宋_GB2312" w:eastAsia="仿宋_GB2312" w:cs="仿宋_GB2312"/>
          <w:sz w:val="22"/>
          <w:szCs w:val="22"/>
        </w:rPr>
        <w:t>号）；</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w:t>
      </w:r>
      <w:r>
        <w:rPr>
          <w:rFonts w:hint="eastAsia" w:ascii="宋体" w:hAnsi="宋体" w:eastAsia="宋体" w:cs="宋体"/>
          <w:sz w:val="22"/>
          <w:szCs w:val="22"/>
        </w:rPr>
        <w:t>2</w:t>
      </w:r>
      <w:r>
        <w:rPr>
          <w:rFonts w:hint="eastAsia" w:ascii="仿宋_GB2312" w:eastAsia="仿宋_GB2312" w:cs="仿宋_GB2312"/>
          <w:sz w:val="22"/>
          <w:szCs w:val="22"/>
        </w:rPr>
        <w:t>）《自然资源部办公厅关于建立全国征收农用地区片综合地价数据库的通知》（自然资办函〔</w:t>
      </w:r>
      <w:r>
        <w:rPr>
          <w:rFonts w:hint="eastAsia" w:ascii="宋体" w:hAnsi="宋体" w:eastAsia="宋体" w:cs="宋体"/>
          <w:sz w:val="22"/>
          <w:szCs w:val="22"/>
        </w:rPr>
        <w:t>2020</w:t>
      </w:r>
      <w:r>
        <w:rPr>
          <w:rFonts w:hint="eastAsia" w:ascii="仿宋_GB2312" w:eastAsia="仿宋_GB2312" w:cs="仿宋_GB2312"/>
          <w:sz w:val="22"/>
          <w:szCs w:val="22"/>
        </w:rPr>
        <w:t>〕</w:t>
      </w:r>
      <w:r>
        <w:rPr>
          <w:rFonts w:hint="eastAsia" w:ascii="宋体" w:hAnsi="宋体" w:eastAsia="宋体" w:cs="宋体"/>
          <w:sz w:val="22"/>
          <w:szCs w:val="22"/>
        </w:rPr>
        <w:t>1698</w:t>
      </w:r>
      <w:r>
        <w:rPr>
          <w:rFonts w:hint="eastAsia" w:ascii="仿宋_GB2312" w:eastAsia="仿宋_GB2312" w:cs="仿宋_GB2312"/>
          <w:sz w:val="22"/>
          <w:szCs w:val="22"/>
        </w:rPr>
        <w:t>号）；</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w:t>
      </w:r>
      <w:r>
        <w:rPr>
          <w:rFonts w:hint="eastAsia" w:ascii="宋体" w:hAnsi="宋体" w:eastAsia="宋体" w:cs="宋体"/>
          <w:sz w:val="22"/>
          <w:szCs w:val="22"/>
        </w:rPr>
        <w:t>3</w:t>
      </w:r>
      <w:r>
        <w:rPr>
          <w:rFonts w:hint="eastAsia" w:ascii="仿宋_GB2312" w:eastAsia="仿宋_GB2312" w:cs="仿宋_GB2312"/>
          <w:sz w:val="22"/>
          <w:szCs w:val="22"/>
        </w:rPr>
        <w:t>）《国土空间调查、规划、用途管制用地用海分类指南》（自然资发〔</w:t>
      </w:r>
      <w:r>
        <w:rPr>
          <w:rFonts w:hint="eastAsia" w:ascii="宋体" w:hAnsi="宋体" w:eastAsia="宋体" w:cs="宋体"/>
          <w:sz w:val="22"/>
          <w:szCs w:val="22"/>
        </w:rPr>
        <w:t>2023</w:t>
      </w:r>
      <w:r>
        <w:rPr>
          <w:rFonts w:hint="eastAsia" w:ascii="仿宋_GB2312" w:eastAsia="仿宋_GB2312" w:cs="仿宋_GB2312"/>
          <w:sz w:val="22"/>
          <w:szCs w:val="22"/>
        </w:rPr>
        <w:t>〕</w:t>
      </w:r>
      <w:r>
        <w:rPr>
          <w:rFonts w:hint="eastAsia" w:ascii="宋体" w:hAnsi="宋体" w:eastAsia="宋体" w:cs="宋体"/>
          <w:sz w:val="22"/>
          <w:szCs w:val="22"/>
        </w:rPr>
        <w:t>234</w:t>
      </w:r>
      <w:r>
        <w:rPr>
          <w:rFonts w:hint="eastAsia" w:ascii="仿宋_GB2312" w:eastAsia="仿宋_GB2312" w:cs="仿宋_GB2312"/>
          <w:sz w:val="22"/>
          <w:szCs w:val="22"/>
        </w:rPr>
        <w:t>号）；</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w:t>
      </w:r>
      <w:r>
        <w:rPr>
          <w:rFonts w:hint="eastAsia" w:ascii="宋体" w:hAnsi="宋体" w:eastAsia="宋体" w:cs="宋体"/>
          <w:sz w:val="22"/>
          <w:szCs w:val="22"/>
        </w:rPr>
        <w:t>4</w:t>
      </w:r>
      <w:r>
        <w:rPr>
          <w:rFonts w:hint="eastAsia" w:ascii="仿宋_GB2312" w:eastAsia="仿宋_GB2312" w:cs="仿宋_GB2312"/>
          <w:sz w:val="22"/>
          <w:szCs w:val="22"/>
        </w:rPr>
        <w:t>）《云南省人民政府关于印发云南省被征地农民基本养老保障试行办法的通知》（云政发〔</w:t>
      </w:r>
      <w:r>
        <w:rPr>
          <w:rFonts w:hint="eastAsia" w:ascii="宋体" w:hAnsi="宋体" w:eastAsia="宋体" w:cs="宋体"/>
          <w:sz w:val="22"/>
          <w:szCs w:val="22"/>
        </w:rPr>
        <w:t>2008</w:t>
      </w:r>
      <w:r>
        <w:rPr>
          <w:rFonts w:hint="eastAsia" w:ascii="仿宋_GB2312" w:eastAsia="仿宋_GB2312" w:cs="仿宋_GB2312"/>
          <w:sz w:val="22"/>
          <w:szCs w:val="22"/>
        </w:rPr>
        <w:t>〕</w:t>
      </w:r>
      <w:r>
        <w:rPr>
          <w:rFonts w:hint="eastAsia" w:ascii="宋体" w:hAnsi="宋体" w:eastAsia="宋体" w:cs="宋体"/>
          <w:sz w:val="22"/>
          <w:szCs w:val="22"/>
        </w:rPr>
        <w:t>226</w:t>
      </w:r>
      <w:r>
        <w:rPr>
          <w:rFonts w:hint="eastAsia" w:ascii="仿宋_GB2312" w:eastAsia="仿宋_GB2312" w:cs="仿宋_GB2312"/>
          <w:sz w:val="22"/>
          <w:szCs w:val="22"/>
        </w:rPr>
        <w:t>号）；</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w:t>
      </w:r>
      <w:r>
        <w:rPr>
          <w:rFonts w:hint="eastAsia" w:ascii="宋体" w:hAnsi="宋体" w:eastAsia="宋体" w:cs="宋体"/>
          <w:sz w:val="22"/>
          <w:szCs w:val="22"/>
        </w:rPr>
        <w:t>5</w:t>
      </w:r>
      <w:r>
        <w:rPr>
          <w:rFonts w:hint="eastAsia" w:ascii="仿宋_GB2312" w:eastAsia="仿宋_GB2312" w:cs="仿宋_GB2312"/>
          <w:sz w:val="22"/>
          <w:szCs w:val="22"/>
        </w:rPr>
        <w:t>）《云南省人民政府办公厅关于改革完善被征地农民基本养</w:t>
      </w:r>
      <w:r>
        <w:rPr>
          <w:rFonts w:hint="eastAsia" w:ascii="仿宋_GB2312" w:hAnsi="宋体" w:eastAsia="仿宋_GB2312" w:cs="仿宋_GB2312"/>
          <w:sz w:val="22"/>
          <w:szCs w:val="22"/>
        </w:rPr>
        <w:t>老保障的指导意见》（云政办发〔</w:t>
      </w:r>
      <w:r>
        <w:rPr>
          <w:rFonts w:hint="eastAsia" w:ascii="宋体" w:hAnsi="宋体" w:eastAsia="宋体" w:cs="宋体"/>
          <w:sz w:val="22"/>
          <w:szCs w:val="22"/>
        </w:rPr>
        <w:t>2019</w:t>
      </w:r>
      <w:r>
        <w:rPr>
          <w:rFonts w:hint="eastAsia" w:ascii="仿宋_GB2312" w:hAnsi="宋体" w:eastAsia="仿宋_GB2312" w:cs="仿宋_GB2312"/>
          <w:sz w:val="22"/>
          <w:szCs w:val="22"/>
        </w:rPr>
        <w:t>〕</w:t>
      </w:r>
      <w:r>
        <w:rPr>
          <w:rFonts w:hint="eastAsia" w:ascii="宋体" w:hAnsi="宋体" w:eastAsia="宋体" w:cs="宋体"/>
          <w:sz w:val="22"/>
          <w:szCs w:val="22"/>
        </w:rPr>
        <w:t>1</w:t>
      </w:r>
      <w:r>
        <w:rPr>
          <w:rFonts w:hint="eastAsia" w:ascii="仿宋_GB2312" w:hAnsi="宋体" w:eastAsia="仿宋_GB2312" w:cs="仿宋_GB2312"/>
          <w:sz w:val="22"/>
          <w:szCs w:val="22"/>
        </w:rPr>
        <w:t>号）；</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w:t>
      </w:r>
      <w:r>
        <w:rPr>
          <w:rFonts w:hint="eastAsia" w:ascii="宋体" w:hAnsi="宋体" w:eastAsia="宋体" w:cs="宋体"/>
          <w:sz w:val="22"/>
          <w:szCs w:val="22"/>
        </w:rPr>
        <w:t>6</w:t>
      </w:r>
      <w:r>
        <w:rPr>
          <w:rFonts w:hint="eastAsia" w:ascii="仿宋_GB2312" w:eastAsia="仿宋_GB2312" w:cs="仿宋_GB2312"/>
          <w:sz w:val="22"/>
          <w:szCs w:val="22"/>
        </w:rPr>
        <w:t>）《云南省自然资源厅关于公布实施全省征收农用地区片综合地价的通知》（云自然资〔</w:t>
      </w:r>
      <w:r>
        <w:rPr>
          <w:rFonts w:hint="eastAsia" w:ascii="宋体" w:hAnsi="宋体" w:eastAsia="宋体" w:cs="宋体"/>
          <w:sz w:val="22"/>
          <w:szCs w:val="22"/>
        </w:rPr>
        <w:t>2020</w:t>
      </w:r>
      <w:r>
        <w:rPr>
          <w:rFonts w:hint="eastAsia" w:ascii="仿宋_GB2312" w:eastAsia="仿宋_GB2312" w:cs="仿宋_GB2312"/>
          <w:sz w:val="22"/>
          <w:szCs w:val="22"/>
        </w:rPr>
        <w:t>〕</w:t>
      </w:r>
      <w:r>
        <w:rPr>
          <w:rFonts w:hint="eastAsia" w:ascii="宋体" w:hAnsi="宋体" w:eastAsia="宋体" w:cs="宋体"/>
          <w:sz w:val="22"/>
          <w:szCs w:val="22"/>
        </w:rPr>
        <w:t>173</w:t>
      </w:r>
      <w:r>
        <w:rPr>
          <w:rFonts w:hint="eastAsia" w:ascii="仿宋_GB2312" w:eastAsia="仿宋_GB2312" w:cs="仿宋_GB2312"/>
          <w:sz w:val="22"/>
          <w:szCs w:val="22"/>
        </w:rPr>
        <w:t>号）；</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w:t>
      </w:r>
      <w:r>
        <w:rPr>
          <w:rFonts w:hint="eastAsia" w:ascii="宋体" w:hAnsi="宋体" w:eastAsia="宋体" w:cs="宋体"/>
          <w:sz w:val="22"/>
          <w:szCs w:val="22"/>
        </w:rPr>
        <w:t>7</w:t>
      </w:r>
      <w:r>
        <w:rPr>
          <w:rFonts w:hint="eastAsia" w:ascii="仿宋_GB2312" w:eastAsia="仿宋_GB2312" w:cs="仿宋_GB2312"/>
          <w:sz w:val="22"/>
          <w:szCs w:val="22"/>
        </w:rPr>
        <w:t>）《云南省自然资源厅关于开展区片综合地价更新调整工作的通知》</w:t>
      </w:r>
      <w:r>
        <w:rPr>
          <w:rFonts w:hint="eastAsia" w:ascii="宋体" w:hAnsi="宋体" w:eastAsia="宋体" w:cs="宋体"/>
          <w:sz w:val="22"/>
          <w:szCs w:val="22"/>
        </w:rPr>
        <w:t>（</w:t>
      </w:r>
      <w:r>
        <w:rPr>
          <w:rFonts w:hint="eastAsia" w:ascii="仿宋_GB2312" w:eastAsia="仿宋_GB2312" w:cs="仿宋_GB2312"/>
          <w:sz w:val="22"/>
          <w:szCs w:val="22"/>
        </w:rPr>
        <w:t>云自然资审批〔</w:t>
      </w:r>
      <w:r>
        <w:rPr>
          <w:rFonts w:hint="eastAsia" w:ascii="宋体" w:hAnsi="宋体" w:eastAsia="宋体" w:cs="宋体"/>
          <w:sz w:val="22"/>
          <w:szCs w:val="22"/>
        </w:rPr>
        <w:t>2023</w:t>
      </w:r>
      <w:r>
        <w:rPr>
          <w:rFonts w:hint="eastAsia" w:ascii="仿宋_GB2312" w:eastAsia="仿宋_GB2312" w:cs="仿宋_GB2312"/>
          <w:sz w:val="22"/>
          <w:szCs w:val="22"/>
        </w:rPr>
        <w:t>〕</w:t>
      </w:r>
      <w:r>
        <w:rPr>
          <w:rFonts w:hint="eastAsia" w:ascii="宋体" w:hAnsi="宋体" w:eastAsia="宋体" w:cs="宋体"/>
          <w:sz w:val="22"/>
          <w:szCs w:val="22"/>
        </w:rPr>
        <w:t>206</w:t>
      </w:r>
      <w:r>
        <w:rPr>
          <w:rFonts w:hint="eastAsia" w:ascii="仿宋_GB2312" w:eastAsia="仿宋_GB2312" w:cs="仿宋_GB2312"/>
          <w:sz w:val="22"/>
          <w:szCs w:val="22"/>
        </w:rPr>
        <w:t>号）；</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w:t>
      </w:r>
      <w:r>
        <w:rPr>
          <w:rFonts w:hint="eastAsia" w:ascii="宋体" w:hAnsi="宋体" w:eastAsia="宋体" w:cs="宋体"/>
          <w:sz w:val="22"/>
          <w:szCs w:val="22"/>
        </w:rPr>
        <w:t>8</w:t>
      </w:r>
      <w:r>
        <w:rPr>
          <w:rFonts w:hint="eastAsia" w:ascii="仿宋_GB2312" w:eastAsia="仿宋_GB2312" w:cs="仿宋_GB2312"/>
          <w:sz w:val="22"/>
          <w:szCs w:val="22"/>
        </w:rPr>
        <w:t>）《云南省自然资源厅关于公布实施 </w:t>
      </w:r>
      <w:r>
        <w:rPr>
          <w:rFonts w:hint="eastAsia" w:ascii="宋体" w:hAnsi="宋体" w:eastAsia="宋体" w:cs="宋体"/>
          <w:sz w:val="22"/>
          <w:szCs w:val="22"/>
        </w:rPr>
        <w:t>2023 </w:t>
      </w:r>
      <w:r>
        <w:rPr>
          <w:rFonts w:hint="eastAsia" w:ascii="仿宋_GB2312" w:eastAsia="仿宋_GB2312" w:cs="仿宋_GB2312"/>
          <w:sz w:val="22"/>
          <w:szCs w:val="22"/>
        </w:rPr>
        <w:t>年云南省征收农用地区片综合地价的通知》（云自然资〔</w:t>
      </w:r>
      <w:r>
        <w:rPr>
          <w:rFonts w:hint="eastAsia" w:ascii="宋体" w:hAnsi="宋体" w:eastAsia="宋体" w:cs="宋体"/>
          <w:sz w:val="22"/>
          <w:szCs w:val="22"/>
        </w:rPr>
        <w:t>2023</w:t>
      </w:r>
      <w:r>
        <w:rPr>
          <w:rFonts w:hint="eastAsia" w:ascii="仿宋_GB2312" w:eastAsia="仿宋_GB2312" w:cs="仿宋_GB2312"/>
          <w:sz w:val="22"/>
          <w:szCs w:val="22"/>
        </w:rPr>
        <w:t>〕</w:t>
      </w:r>
      <w:r>
        <w:rPr>
          <w:rFonts w:hint="eastAsia" w:ascii="宋体" w:hAnsi="宋体" w:eastAsia="宋体" w:cs="宋体"/>
          <w:sz w:val="22"/>
          <w:szCs w:val="22"/>
        </w:rPr>
        <w:t>169 </w:t>
      </w:r>
      <w:r>
        <w:rPr>
          <w:rFonts w:hint="eastAsia" w:ascii="仿宋_GB2312" w:eastAsia="仿宋_GB2312" w:cs="仿宋_GB2312"/>
          <w:sz w:val="22"/>
          <w:szCs w:val="22"/>
        </w:rPr>
        <w:t>号）；</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w:t>
      </w:r>
      <w:r>
        <w:rPr>
          <w:rFonts w:hint="eastAsia" w:ascii="宋体" w:hAnsi="宋体" w:eastAsia="宋体" w:cs="宋体"/>
          <w:sz w:val="22"/>
          <w:szCs w:val="22"/>
        </w:rPr>
        <w:t>9</w:t>
      </w:r>
      <w:r>
        <w:rPr>
          <w:rFonts w:hint="eastAsia" w:ascii="仿宋_GB2312" w:eastAsia="仿宋_GB2312" w:cs="仿宋_GB2312"/>
          <w:sz w:val="22"/>
          <w:szCs w:val="22"/>
        </w:rPr>
        <w:t>）《云南省自然资源厅关于开展</w:t>
      </w:r>
      <w:r>
        <w:rPr>
          <w:rFonts w:hint="eastAsia" w:ascii="宋体" w:hAnsi="宋体" w:eastAsia="宋体" w:cs="宋体"/>
          <w:sz w:val="22"/>
          <w:szCs w:val="22"/>
        </w:rPr>
        <w:t>2025</w:t>
      </w:r>
      <w:r>
        <w:rPr>
          <w:rFonts w:hint="eastAsia" w:ascii="仿宋_GB2312" w:eastAsia="仿宋_GB2312" w:cs="仿宋_GB2312"/>
          <w:sz w:val="22"/>
          <w:szCs w:val="22"/>
        </w:rPr>
        <w:t>年区片综合地价更新调整工作的通知》（云自然资审批〔</w:t>
      </w:r>
      <w:r>
        <w:rPr>
          <w:rFonts w:hint="eastAsia" w:ascii="宋体" w:hAnsi="宋体" w:eastAsia="宋体" w:cs="宋体"/>
          <w:sz w:val="22"/>
          <w:szCs w:val="22"/>
        </w:rPr>
        <w:t>2025</w:t>
      </w:r>
      <w:r>
        <w:rPr>
          <w:rFonts w:hint="eastAsia" w:ascii="仿宋_GB2312" w:eastAsia="仿宋_GB2312" w:cs="仿宋_GB2312"/>
          <w:sz w:val="22"/>
          <w:szCs w:val="22"/>
        </w:rPr>
        <w:t>〕</w:t>
      </w:r>
      <w:r>
        <w:rPr>
          <w:rFonts w:hint="eastAsia" w:ascii="宋体" w:hAnsi="宋体" w:eastAsia="宋体" w:cs="宋体"/>
          <w:sz w:val="22"/>
          <w:szCs w:val="22"/>
        </w:rPr>
        <w:t>90</w:t>
      </w:r>
      <w:r>
        <w:rPr>
          <w:rFonts w:hint="eastAsia" w:ascii="仿宋_GB2312" w:eastAsia="仿宋_GB2312" w:cs="仿宋_GB2312"/>
          <w:sz w:val="22"/>
          <w:szCs w:val="22"/>
        </w:rPr>
        <w:t>号）。</w:t>
      </w:r>
    </w:p>
    <w:p>
      <w:pPr>
        <w:pStyle w:val="10"/>
        <w:keepNext w:val="0"/>
        <w:keepLines w:val="0"/>
        <w:widowControl/>
        <w:suppressLineNumbers w:val="0"/>
        <w:spacing w:before="60" w:beforeAutospacing="0" w:after="60" w:afterAutospacing="0" w:line="444" w:lineRule="atLeast"/>
        <w:ind w:left="0" w:right="0" w:firstLine="444"/>
      </w:pPr>
      <w:r>
        <w:rPr>
          <w:rStyle w:val="14"/>
          <w:rFonts w:hint="eastAsia" w:ascii="宋体" w:hAnsi="宋体" w:eastAsia="宋体" w:cs="宋体"/>
          <w:sz w:val="22"/>
          <w:szCs w:val="22"/>
        </w:rPr>
        <w:t>3.</w:t>
      </w:r>
      <w:r>
        <w:rPr>
          <w:rStyle w:val="14"/>
          <w:rFonts w:hint="eastAsia" w:ascii="仿宋_GB2312" w:eastAsia="仿宋_GB2312" w:cs="仿宋_GB2312"/>
          <w:sz w:val="22"/>
          <w:szCs w:val="22"/>
        </w:rPr>
        <w:t>规程规范</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w:t>
      </w:r>
      <w:r>
        <w:rPr>
          <w:rFonts w:hint="eastAsia" w:ascii="宋体" w:hAnsi="宋体" w:eastAsia="宋体" w:cs="宋体"/>
          <w:sz w:val="22"/>
          <w:szCs w:val="22"/>
        </w:rPr>
        <w:t>1</w:t>
      </w:r>
      <w:r>
        <w:rPr>
          <w:rFonts w:hint="eastAsia" w:ascii="仿宋_GB2312" w:eastAsia="仿宋_GB2312" w:cs="仿宋_GB2312"/>
          <w:sz w:val="22"/>
          <w:szCs w:val="22"/>
        </w:rPr>
        <w:t>）《农用地质量分等规程》（</w:t>
      </w:r>
      <w:r>
        <w:rPr>
          <w:rFonts w:hint="eastAsia" w:ascii="宋体" w:hAnsi="宋体" w:eastAsia="宋体" w:cs="宋体"/>
          <w:sz w:val="22"/>
          <w:szCs w:val="22"/>
        </w:rPr>
        <w:t>GB/T28407</w:t>
      </w:r>
      <w:r>
        <w:rPr>
          <w:rFonts w:hint="eastAsia" w:ascii="仿宋_GB2312" w:eastAsia="仿宋_GB2312" w:cs="仿宋_GB2312"/>
          <w:sz w:val="22"/>
          <w:szCs w:val="22"/>
        </w:rPr>
        <w:t>—</w:t>
      </w:r>
      <w:r>
        <w:rPr>
          <w:rFonts w:hint="eastAsia" w:ascii="宋体" w:hAnsi="宋体" w:eastAsia="宋体" w:cs="宋体"/>
          <w:sz w:val="22"/>
          <w:szCs w:val="22"/>
        </w:rPr>
        <w:t>2012</w:t>
      </w:r>
      <w:r>
        <w:rPr>
          <w:rFonts w:hint="eastAsia" w:ascii="仿宋_GB2312" w:eastAsia="仿宋_GB2312" w:cs="仿宋_GB2312"/>
          <w:sz w:val="22"/>
          <w:szCs w:val="22"/>
        </w:rPr>
        <w:t>）；</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w:t>
      </w:r>
      <w:r>
        <w:rPr>
          <w:rFonts w:hint="eastAsia" w:ascii="宋体" w:hAnsi="宋体" w:eastAsia="宋体" w:cs="宋体"/>
          <w:sz w:val="22"/>
          <w:szCs w:val="22"/>
        </w:rPr>
        <w:t>2</w:t>
      </w:r>
      <w:r>
        <w:rPr>
          <w:rFonts w:hint="eastAsia" w:ascii="仿宋_GB2312" w:eastAsia="仿宋_GB2312" w:cs="仿宋_GB2312"/>
          <w:sz w:val="22"/>
          <w:szCs w:val="22"/>
        </w:rPr>
        <w:t>）《农用地定级规程》（</w:t>
      </w:r>
      <w:r>
        <w:rPr>
          <w:rFonts w:hint="eastAsia" w:ascii="宋体" w:hAnsi="宋体" w:eastAsia="宋体" w:cs="宋体"/>
          <w:sz w:val="22"/>
          <w:szCs w:val="22"/>
        </w:rPr>
        <w:t>GB/T28405</w:t>
      </w:r>
      <w:r>
        <w:rPr>
          <w:rFonts w:hint="eastAsia" w:ascii="仿宋_GB2312" w:eastAsia="仿宋_GB2312" w:cs="仿宋_GB2312"/>
          <w:sz w:val="22"/>
          <w:szCs w:val="22"/>
        </w:rPr>
        <w:t>—</w:t>
      </w:r>
      <w:r>
        <w:rPr>
          <w:rFonts w:hint="eastAsia" w:ascii="宋体" w:hAnsi="宋体" w:eastAsia="宋体" w:cs="宋体"/>
          <w:sz w:val="22"/>
          <w:szCs w:val="22"/>
        </w:rPr>
        <w:t>2012</w:t>
      </w:r>
      <w:r>
        <w:rPr>
          <w:rFonts w:hint="eastAsia" w:ascii="仿宋_GB2312" w:eastAsia="仿宋_GB2312" w:cs="仿宋_GB2312"/>
          <w:sz w:val="22"/>
          <w:szCs w:val="22"/>
        </w:rPr>
        <w:t>）；</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w:t>
      </w:r>
      <w:r>
        <w:rPr>
          <w:rFonts w:hint="eastAsia" w:ascii="宋体" w:hAnsi="宋体" w:eastAsia="宋体" w:cs="宋体"/>
          <w:sz w:val="22"/>
          <w:szCs w:val="22"/>
        </w:rPr>
        <w:t>3</w:t>
      </w:r>
      <w:r>
        <w:rPr>
          <w:rFonts w:hint="eastAsia" w:ascii="仿宋_GB2312" w:eastAsia="仿宋_GB2312" w:cs="仿宋_GB2312"/>
          <w:sz w:val="22"/>
          <w:szCs w:val="22"/>
        </w:rPr>
        <w:t>）《农用地估价规程》（</w:t>
      </w:r>
      <w:r>
        <w:rPr>
          <w:rFonts w:hint="eastAsia" w:ascii="宋体" w:hAnsi="宋体" w:eastAsia="宋体" w:cs="宋体"/>
          <w:sz w:val="22"/>
          <w:szCs w:val="22"/>
        </w:rPr>
        <w:t>GB/T28406</w:t>
      </w:r>
      <w:r>
        <w:rPr>
          <w:rFonts w:hint="eastAsia" w:ascii="仿宋_GB2312" w:eastAsia="仿宋_GB2312" w:cs="仿宋_GB2312"/>
          <w:sz w:val="22"/>
          <w:szCs w:val="22"/>
        </w:rPr>
        <w:t>—</w:t>
      </w:r>
      <w:r>
        <w:rPr>
          <w:rFonts w:hint="eastAsia" w:ascii="宋体" w:hAnsi="宋体" w:eastAsia="宋体" w:cs="宋体"/>
          <w:sz w:val="22"/>
          <w:szCs w:val="22"/>
        </w:rPr>
        <w:t>2012</w:t>
      </w:r>
      <w:r>
        <w:rPr>
          <w:rFonts w:hint="eastAsia" w:ascii="仿宋_GB2312" w:eastAsia="仿宋_GB2312" w:cs="仿宋_GB2312"/>
          <w:sz w:val="22"/>
          <w:szCs w:val="22"/>
        </w:rPr>
        <w:t>）；</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w:t>
      </w:r>
      <w:r>
        <w:rPr>
          <w:rFonts w:hint="eastAsia" w:ascii="宋体" w:hAnsi="宋体" w:eastAsia="宋体" w:cs="宋体"/>
          <w:sz w:val="22"/>
          <w:szCs w:val="22"/>
        </w:rPr>
        <w:t>4</w:t>
      </w:r>
      <w:r>
        <w:rPr>
          <w:rFonts w:hint="eastAsia" w:ascii="仿宋_GB2312" w:eastAsia="仿宋_GB2312" w:cs="仿宋_GB2312"/>
          <w:sz w:val="22"/>
          <w:szCs w:val="22"/>
        </w:rPr>
        <w:t>）《城镇土地估价规程》（</w:t>
      </w:r>
      <w:r>
        <w:rPr>
          <w:rFonts w:hint="eastAsia" w:ascii="宋体" w:hAnsi="宋体" w:eastAsia="宋体" w:cs="宋体"/>
          <w:sz w:val="22"/>
          <w:szCs w:val="22"/>
        </w:rPr>
        <w:t>GB/T18508-2014</w:t>
      </w:r>
      <w:r>
        <w:rPr>
          <w:rFonts w:hint="eastAsia" w:ascii="仿宋_GB2312" w:eastAsia="仿宋_GB2312" w:cs="仿宋_GB2312"/>
          <w:sz w:val="22"/>
          <w:szCs w:val="22"/>
        </w:rPr>
        <w:t>）；</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w:t>
      </w:r>
      <w:r>
        <w:rPr>
          <w:rFonts w:hint="eastAsia" w:ascii="宋体" w:hAnsi="宋体" w:eastAsia="宋体" w:cs="宋体"/>
          <w:sz w:val="22"/>
          <w:szCs w:val="22"/>
        </w:rPr>
        <w:t>5</w:t>
      </w:r>
      <w:r>
        <w:rPr>
          <w:rFonts w:hint="eastAsia" w:ascii="仿宋_GB2312" w:eastAsia="仿宋_GB2312" w:cs="仿宋_GB2312"/>
          <w:sz w:val="22"/>
          <w:szCs w:val="22"/>
        </w:rPr>
        <w:t>）《土地利用现状分类》（</w:t>
      </w:r>
      <w:r>
        <w:rPr>
          <w:rFonts w:hint="eastAsia" w:ascii="宋体" w:hAnsi="宋体" w:eastAsia="宋体" w:cs="宋体"/>
          <w:sz w:val="22"/>
          <w:szCs w:val="22"/>
        </w:rPr>
        <w:t>GB/T21010</w:t>
      </w:r>
      <w:r>
        <w:rPr>
          <w:rFonts w:hint="eastAsia" w:ascii="仿宋_GB2312" w:eastAsia="仿宋_GB2312" w:cs="仿宋_GB2312"/>
          <w:sz w:val="22"/>
          <w:szCs w:val="22"/>
        </w:rPr>
        <w:t>—</w:t>
      </w:r>
      <w:r>
        <w:rPr>
          <w:rFonts w:hint="eastAsia" w:ascii="宋体" w:hAnsi="宋体" w:eastAsia="宋体" w:cs="宋体"/>
          <w:sz w:val="22"/>
          <w:szCs w:val="22"/>
        </w:rPr>
        <w:t>2017</w:t>
      </w:r>
      <w:r>
        <w:rPr>
          <w:rFonts w:hint="eastAsia" w:ascii="仿宋_GB2312" w:eastAsia="仿宋_GB2312" w:cs="仿宋_GB2312"/>
          <w:sz w:val="22"/>
          <w:szCs w:val="22"/>
        </w:rPr>
        <w:t>）；</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w:t>
      </w:r>
      <w:r>
        <w:rPr>
          <w:rFonts w:hint="eastAsia" w:ascii="宋体" w:hAnsi="宋体" w:eastAsia="宋体" w:cs="宋体"/>
          <w:sz w:val="22"/>
          <w:szCs w:val="22"/>
        </w:rPr>
        <w:t>6</w:t>
      </w:r>
      <w:r>
        <w:rPr>
          <w:rFonts w:hint="eastAsia" w:ascii="仿宋_GB2312" w:eastAsia="仿宋_GB2312" w:cs="仿宋_GB2312"/>
          <w:sz w:val="22"/>
          <w:szCs w:val="22"/>
        </w:rPr>
        <w:t>）《第三次全国土地调查技术规程》（</w:t>
      </w:r>
      <w:r>
        <w:rPr>
          <w:rFonts w:hint="eastAsia" w:ascii="宋体" w:hAnsi="宋体" w:eastAsia="宋体" w:cs="宋体"/>
          <w:sz w:val="22"/>
          <w:szCs w:val="22"/>
        </w:rPr>
        <w:t>TD/T1055-2019</w:t>
      </w:r>
      <w:r>
        <w:rPr>
          <w:rFonts w:hint="eastAsia" w:ascii="仿宋_GB2312" w:eastAsia="仿宋_GB2312" w:cs="仿宋_GB2312"/>
          <w:sz w:val="22"/>
          <w:szCs w:val="22"/>
        </w:rPr>
        <w:t>）；</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w:t>
      </w:r>
      <w:r>
        <w:rPr>
          <w:rFonts w:hint="eastAsia" w:ascii="宋体" w:hAnsi="宋体" w:eastAsia="宋体" w:cs="宋体"/>
          <w:sz w:val="22"/>
          <w:szCs w:val="22"/>
        </w:rPr>
        <w:t>7</w:t>
      </w:r>
      <w:r>
        <w:rPr>
          <w:rFonts w:hint="eastAsia" w:ascii="仿宋_GB2312" w:eastAsia="仿宋_GB2312" w:cs="仿宋_GB2312"/>
          <w:sz w:val="22"/>
          <w:szCs w:val="22"/>
        </w:rPr>
        <w:t>）《国土调查数据库标准》（</w:t>
      </w:r>
      <w:r>
        <w:rPr>
          <w:rFonts w:hint="eastAsia" w:ascii="宋体" w:hAnsi="宋体" w:eastAsia="宋体" w:cs="宋体"/>
          <w:sz w:val="22"/>
          <w:szCs w:val="22"/>
        </w:rPr>
        <w:t>TD/T 1057-2020</w:t>
      </w:r>
      <w:r>
        <w:rPr>
          <w:rFonts w:hint="eastAsia" w:ascii="仿宋_GB2312" w:eastAsia="仿宋_GB2312" w:cs="仿宋_GB2312"/>
          <w:sz w:val="22"/>
          <w:szCs w:val="22"/>
        </w:rPr>
        <w:t>）；</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w:t>
      </w:r>
      <w:r>
        <w:rPr>
          <w:rFonts w:hint="eastAsia" w:ascii="宋体" w:hAnsi="宋体" w:eastAsia="宋体" w:cs="宋体"/>
          <w:sz w:val="22"/>
          <w:szCs w:val="22"/>
        </w:rPr>
        <w:t>8</w:t>
      </w:r>
      <w:r>
        <w:rPr>
          <w:rFonts w:hint="eastAsia" w:ascii="仿宋_GB2312" w:eastAsia="仿宋_GB2312" w:cs="仿宋_GB2312"/>
          <w:sz w:val="22"/>
          <w:szCs w:val="22"/>
        </w:rPr>
        <w:t>）《自然资源分等定级通则》（</w:t>
      </w:r>
      <w:r>
        <w:rPr>
          <w:rFonts w:hint="eastAsia" w:ascii="宋体" w:hAnsi="宋体" w:eastAsia="宋体" w:cs="宋体"/>
          <w:sz w:val="22"/>
          <w:szCs w:val="22"/>
        </w:rPr>
        <w:t>TD/T1060</w:t>
      </w:r>
      <w:r>
        <w:rPr>
          <w:rFonts w:hint="eastAsia" w:ascii="仿宋_GB2312" w:eastAsia="仿宋_GB2312" w:cs="仿宋_GB2312"/>
          <w:sz w:val="22"/>
          <w:szCs w:val="22"/>
        </w:rPr>
        <w:t>—</w:t>
      </w:r>
      <w:r>
        <w:rPr>
          <w:rFonts w:hint="eastAsia" w:ascii="宋体" w:hAnsi="宋体" w:eastAsia="宋体" w:cs="宋体"/>
          <w:sz w:val="22"/>
          <w:szCs w:val="22"/>
        </w:rPr>
        <w:t>2021</w:t>
      </w:r>
      <w:r>
        <w:rPr>
          <w:rFonts w:hint="eastAsia" w:ascii="仿宋_GB2312" w:eastAsia="仿宋_GB2312" w:cs="仿宋_GB2312"/>
          <w:sz w:val="22"/>
          <w:szCs w:val="22"/>
        </w:rPr>
        <w:t>）；</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w:t>
      </w:r>
      <w:r>
        <w:rPr>
          <w:rFonts w:hint="eastAsia" w:ascii="宋体" w:hAnsi="宋体" w:eastAsia="宋体" w:cs="宋体"/>
          <w:sz w:val="22"/>
          <w:szCs w:val="22"/>
        </w:rPr>
        <w:t>9</w:t>
      </w:r>
      <w:r>
        <w:rPr>
          <w:rFonts w:hint="eastAsia" w:ascii="仿宋_GB2312" w:eastAsia="仿宋_GB2312" w:cs="仿宋_GB2312"/>
          <w:sz w:val="22"/>
          <w:szCs w:val="22"/>
        </w:rPr>
        <w:t>）《自然资源价格评估通则》（</w:t>
      </w:r>
      <w:r>
        <w:rPr>
          <w:rFonts w:hint="eastAsia" w:ascii="宋体" w:hAnsi="宋体" w:eastAsia="宋体" w:cs="宋体"/>
          <w:sz w:val="22"/>
          <w:szCs w:val="22"/>
        </w:rPr>
        <w:t>TD/T1061</w:t>
      </w:r>
      <w:r>
        <w:rPr>
          <w:rFonts w:hint="eastAsia" w:ascii="仿宋_GB2312" w:eastAsia="仿宋_GB2312" w:cs="仿宋_GB2312"/>
          <w:sz w:val="22"/>
          <w:szCs w:val="22"/>
        </w:rPr>
        <w:t>—</w:t>
      </w:r>
      <w:r>
        <w:rPr>
          <w:rFonts w:hint="eastAsia" w:ascii="宋体" w:hAnsi="宋体" w:eastAsia="宋体" w:cs="宋体"/>
          <w:sz w:val="22"/>
          <w:szCs w:val="22"/>
        </w:rPr>
        <w:t>2021</w:t>
      </w:r>
      <w:r>
        <w:rPr>
          <w:rFonts w:hint="eastAsia" w:ascii="仿宋_GB2312" w:eastAsia="仿宋_GB2312" w:cs="仿宋_GB2312"/>
          <w:sz w:val="22"/>
          <w:szCs w:val="22"/>
        </w:rPr>
        <w:t>）；</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w:t>
      </w:r>
      <w:r>
        <w:rPr>
          <w:rFonts w:hint="eastAsia" w:ascii="宋体" w:hAnsi="宋体" w:eastAsia="宋体" w:cs="宋体"/>
          <w:sz w:val="22"/>
          <w:szCs w:val="22"/>
        </w:rPr>
        <w:t>10</w:t>
      </w:r>
      <w:r>
        <w:rPr>
          <w:rFonts w:hint="eastAsia" w:ascii="仿宋_GB2312" w:eastAsia="仿宋_GB2312" w:cs="仿宋_GB2312"/>
          <w:sz w:val="22"/>
          <w:szCs w:val="22"/>
        </w:rPr>
        <w:t>）《云南省</w:t>
      </w:r>
      <w:r>
        <w:rPr>
          <w:rFonts w:hint="eastAsia" w:ascii="宋体" w:hAnsi="宋体" w:eastAsia="宋体" w:cs="宋体"/>
          <w:sz w:val="22"/>
          <w:szCs w:val="22"/>
        </w:rPr>
        <w:t>2025</w:t>
      </w:r>
      <w:r>
        <w:rPr>
          <w:rFonts w:hint="eastAsia" w:ascii="仿宋_GB2312" w:eastAsia="仿宋_GB2312" w:cs="仿宋_GB2312"/>
          <w:sz w:val="22"/>
          <w:szCs w:val="22"/>
        </w:rPr>
        <w:t>年征收农用地区片综合地价更新调整方案》。</w:t>
      </w:r>
    </w:p>
    <w:p>
      <w:pPr>
        <w:pStyle w:val="10"/>
        <w:keepNext w:val="0"/>
        <w:keepLines w:val="0"/>
        <w:widowControl/>
        <w:suppressLineNumbers w:val="0"/>
        <w:spacing w:before="60" w:beforeAutospacing="0" w:after="60" w:afterAutospacing="0"/>
        <w:ind w:left="0" w:right="0"/>
      </w:pPr>
      <w:r>
        <w:rPr>
          <w:rStyle w:val="14"/>
          <w:rFonts w:hint="eastAsia" w:ascii="宋体" w:hAnsi="宋体" w:eastAsia="宋体" w:cs="宋体"/>
          <w:sz w:val="22"/>
          <w:szCs w:val="22"/>
        </w:rPr>
        <w:t>（四）工作程序</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麒麟区区片综合地价更新调整工作沿用上一轮征收农用地区片综合地价的程序遵循以下程序，具体工作流程见图1-1。</w:t>
      </w:r>
    </w:p>
    <w:p>
      <w:pPr>
        <w:pStyle w:val="10"/>
        <w:keepNext w:val="0"/>
        <w:keepLines w:val="0"/>
        <w:widowControl/>
        <w:suppressLineNumbers w:val="0"/>
        <w:spacing w:before="60" w:beforeAutospacing="0" w:after="60" w:afterAutospacing="0" w:line="444" w:lineRule="atLeast"/>
        <w:ind w:left="0" w:right="0" w:firstLine="444"/>
      </w:pPr>
      <w:r>
        <w:rPr>
          <w:rStyle w:val="14"/>
          <w:rFonts w:hint="eastAsia" w:ascii="宋体" w:hAnsi="宋体" w:eastAsia="宋体" w:cs="宋体"/>
          <w:sz w:val="22"/>
          <w:szCs w:val="22"/>
        </w:rPr>
        <w:t>1.</w:t>
      </w:r>
      <w:r>
        <w:rPr>
          <w:rStyle w:val="14"/>
          <w:rFonts w:hint="eastAsia" w:ascii="仿宋_GB2312" w:eastAsia="仿宋_GB2312" w:cs="仿宋_GB2312"/>
          <w:sz w:val="22"/>
          <w:szCs w:val="22"/>
        </w:rPr>
        <w:t>工作准备</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落实工作人员及工作经费，通过实地调查、公众意见征询和实施情况评估等方式综合研判，开展相关工作。</w:t>
      </w:r>
    </w:p>
    <w:p>
      <w:pPr>
        <w:pStyle w:val="10"/>
        <w:keepNext w:val="0"/>
        <w:keepLines w:val="0"/>
        <w:widowControl/>
        <w:suppressLineNumbers w:val="0"/>
        <w:spacing w:before="60" w:beforeAutospacing="0" w:after="60" w:afterAutospacing="0" w:line="444" w:lineRule="atLeast"/>
        <w:ind w:left="0" w:right="0" w:firstLine="444"/>
      </w:pPr>
      <w:r>
        <w:rPr>
          <w:rStyle w:val="14"/>
          <w:rFonts w:hint="eastAsia" w:ascii="宋体" w:hAnsi="宋体" w:eastAsia="宋体" w:cs="宋体"/>
          <w:sz w:val="22"/>
          <w:szCs w:val="22"/>
        </w:rPr>
        <w:t>2.</w:t>
      </w:r>
      <w:r>
        <w:rPr>
          <w:rStyle w:val="14"/>
          <w:rFonts w:hint="eastAsia" w:ascii="仿宋_GB2312" w:eastAsia="仿宋_GB2312" w:cs="仿宋_GB2312"/>
          <w:sz w:val="22"/>
          <w:szCs w:val="22"/>
        </w:rPr>
        <w:t>基础资料收集、整理、分析和研究</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收集基础资料，填写相关调查表格，分析整理资料。通过实地调查、公众意见征询和实施情况评估等方式综合研判，需要对上一轮区片价进行合理性分析。</w:t>
      </w:r>
    </w:p>
    <w:p>
      <w:pPr>
        <w:pStyle w:val="10"/>
        <w:keepNext w:val="0"/>
        <w:keepLines w:val="0"/>
        <w:widowControl/>
        <w:suppressLineNumbers w:val="0"/>
        <w:spacing w:before="60" w:beforeAutospacing="0" w:after="60" w:afterAutospacing="0" w:line="444" w:lineRule="atLeast"/>
        <w:ind w:left="0" w:right="0" w:firstLine="444"/>
      </w:pPr>
      <w:r>
        <w:rPr>
          <w:rStyle w:val="14"/>
          <w:rFonts w:hint="eastAsia" w:ascii="宋体" w:hAnsi="宋体" w:eastAsia="宋体" w:cs="宋体"/>
          <w:sz w:val="22"/>
          <w:szCs w:val="22"/>
        </w:rPr>
        <w:t>3.</w:t>
      </w:r>
      <w:r>
        <w:rPr>
          <w:rStyle w:val="14"/>
          <w:rFonts w:hint="eastAsia" w:ascii="仿宋_GB2312" w:eastAsia="仿宋_GB2312" w:cs="仿宋_GB2312"/>
          <w:sz w:val="22"/>
          <w:szCs w:val="22"/>
        </w:rPr>
        <w:t>公开意见征询</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由曲靖市麒麟区人民政府通过政府网站，开展不少于30日的意见征询工作，梳理分析反馈意见并采纳合理建议。</w:t>
      </w:r>
    </w:p>
    <w:p>
      <w:pPr>
        <w:pStyle w:val="10"/>
        <w:keepNext w:val="0"/>
        <w:keepLines w:val="0"/>
        <w:widowControl/>
        <w:suppressLineNumbers w:val="0"/>
        <w:spacing w:before="60" w:beforeAutospacing="0" w:after="60" w:afterAutospacing="0" w:line="444" w:lineRule="atLeast"/>
        <w:ind w:left="0" w:right="0" w:firstLine="444"/>
      </w:pPr>
      <w:r>
        <w:rPr>
          <w:rStyle w:val="14"/>
          <w:rFonts w:hint="eastAsia" w:ascii="宋体" w:hAnsi="宋体" w:eastAsia="宋体" w:cs="宋体"/>
          <w:sz w:val="22"/>
          <w:szCs w:val="22"/>
        </w:rPr>
        <w:t>4.</w:t>
      </w:r>
      <w:r>
        <w:rPr>
          <w:rStyle w:val="14"/>
          <w:rFonts w:hint="eastAsia" w:ascii="仿宋_GB2312" w:eastAsia="仿宋_GB2312" w:cs="仿宋_GB2312"/>
          <w:sz w:val="22"/>
          <w:szCs w:val="22"/>
        </w:rPr>
        <w:t>社会稳定风险评估</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开展社会稳定风险评估，围绕土地权益纠纷、补偿标准争议等风险点开展调研。从合法性、合理性、可行性、安全性维度评估，形成风险评估报告，明确风险等级，针对高风险事项制定防控预案，评估报告经区级分管领导审核。以社会稳定风险评估备案函和结论性意见作为上报附件。</w:t>
      </w:r>
    </w:p>
    <w:p>
      <w:pPr>
        <w:pStyle w:val="10"/>
        <w:keepNext w:val="0"/>
        <w:keepLines w:val="0"/>
        <w:widowControl/>
        <w:suppressLineNumbers w:val="0"/>
        <w:spacing w:before="60" w:beforeAutospacing="0" w:after="60" w:afterAutospacing="0" w:line="444" w:lineRule="atLeast"/>
        <w:ind w:left="0" w:right="0" w:firstLine="444"/>
      </w:pPr>
      <w:r>
        <w:rPr>
          <w:rStyle w:val="14"/>
          <w:rFonts w:hint="eastAsia" w:ascii="宋体" w:hAnsi="宋体" w:eastAsia="宋体" w:cs="宋体"/>
          <w:sz w:val="22"/>
          <w:szCs w:val="22"/>
        </w:rPr>
        <w:t>5.</w:t>
      </w:r>
      <w:r>
        <w:rPr>
          <w:rStyle w:val="14"/>
          <w:rFonts w:hint="eastAsia" w:ascii="仿宋_GB2312" w:eastAsia="仿宋_GB2312" w:cs="仿宋_GB2312"/>
          <w:sz w:val="22"/>
          <w:szCs w:val="22"/>
        </w:rPr>
        <w:t>听证论证</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严格按照《自然资源听证规定》相关要求，组织召开沿用上一轮征收农用地区片综合地价的听证会。通过听证会广泛听取各有关部门、农村集体经济组织、农民及社会各界的意见和建议，并</w:t>
      </w:r>
      <w:r>
        <w:rPr>
          <w:rFonts w:hint="eastAsia" w:ascii="仿宋_GB2312" w:hAnsi="宋体" w:eastAsia="仿宋_GB2312" w:cs="仿宋_GB2312"/>
          <w:sz w:val="22"/>
          <w:szCs w:val="22"/>
        </w:rPr>
        <w:t>对沿用合理性进行评估论证，形成评估论证报告</w:t>
      </w:r>
      <w:r>
        <w:rPr>
          <w:rFonts w:hint="eastAsia" w:ascii="仿宋_GB2312" w:eastAsia="仿宋_GB2312" w:cs="仿宋_GB2312"/>
          <w:sz w:val="22"/>
          <w:szCs w:val="22"/>
        </w:rPr>
        <w:t>。</w:t>
      </w:r>
    </w:p>
    <w:p>
      <w:pPr>
        <w:pStyle w:val="10"/>
        <w:keepNext w:val="0"/>
        <w:keepLines w:val="0"/>
        <w:widowControl/>
        <w:suppressLineNumbers w:val="0"/>
        <w:spacing w:before="60" w:beforeAutospacing="0" w:after="60" w:afterAutospacing="0" w:line="444" w:lineRule="atLeast"/>
        <w:ind w:left="0" w:right="0" w:firstLine="444"/>
      </w:pPr>
      <w:r>
        <w:rPr>
          <w:rStyle w:val="14"/>
          <w:rFonts w:hint="eastAsia" w:ascii="宋体" w:hAnsi="宋体" w:eastAsia="宋体" w:cs="宋体"/>
          <w:sz w:val="22"/>
          <w:szCs w:val="22"/>
        </w:rPr>
        <w:t>6.</w:t>
      </w:r>
      <w:r>
        <w:rPr>
          <w:rStyle w:val="14"/>
          <w:rFonts w:hint="eastAsia" w:ascii="仿宋_GB2312" w:eastAsia="仿宋_GB2312" w:cs="仿宋_GB2312"/>
          <w:sz w:val="22"/>
          <w:szCs w:val="22"/>
        </w:rPr>
        <w:t>成果编制及质检</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经测算、平衡、听证等程序修改完善后，确定征收农用地区片综合地价并编制工作报告、技术报告、数据表格、图件和数据库等成果。并使用省级下发的质检软件开展成果质检，检查数据完整性、逻辑一致性与格式规范性，形成质检报告后与成果一起上报。</w:t>
      </w:r>
    </w:p>
    <w:p>
      <w:pPr>
        <w:pStyle w:val="10"/>
        <w:keepNext w:val="0"/>
        <w:keepLines w:val="0"/>
        <w:widowControl/>
        <w:suppressLineNumbers w:val="0"/>
        <w:spacing w:before="60" w:beforeAutospacing="0" w:after="60" w:afterAutospacing="0" w:line="444" w:lineRule="atLeast"/>
        <w:ind w:left="0" w:right="0" w:firstLine="444"/>
      </w:pPr>
      <w:r>
        <w:rPr>
          <w:rStyle w:val="14"/>
          <w:rFonts w:hint="eastAsia" w:ascii="宋体" w:hAnsi="宋体" w:eastAsia="宋体" w:cs="宋体"/>
          <w:sz w:val="22"/>
          <w:szCs w:val="22"/>
        </w:rPr>
        <w:t>7.</w:t>
      </w:r>
      <w:r>
        <w:rPr>
          <w:rStyle w:val="14"/>
          <w:rFonts w:hint="eastAsia" w:ascii="仿宋_GB2312" w:eastAsia="仿宋_GB2312" w:cs="仿宋_GB2312"/>
          <w:sz w:val="22"/>
          <w:szCs w:val="22"/>
        </w:rPr>
        <w:t>审查及公布实施</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征收农用地区片综合地价成果通过市级、省级审查后，按省人民政府的要求公布实施。</w:t>
      </w:r>
    </w:p>
    <w:p>
      <w:pPr>
        <w:pStyle w:val="10"/>
        <w:keepNext w:val="0"/>
        <w:keepLines w:val="0"/>
        <w:widowControl/>
        <w:suppressLineNumbers w:val="0"/>
        <w:spacing w:before="60" w:beforeAutospacing="0" w:after="60" w:afterAutospacing="0"/>
        <w:ind w:left="0" w:right="0"/>
        <w:jc w:val="center"/>
      </w:pPr>
      <w:r>
        <w:rPr>
          <w:rFonts w:hint="eastAsia"/>
          <w:color w:val="auto"/>
          <w:highlight w:val="none"/>
        </w:rPr>
        <w:drawing>
          <wp:inline distT="0" distB="0" distL="114300" distR="114300">
            <wp:extent cx="3800475" cy="7724775"/>
            <wp:effectExtent l="0" t="0" r="9525" b="1905"/>
            <wp:docPr id="10" name="图片 10" descr="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流程图"/>
                    <pic:cNvPicPr>
                      <a:picLocks noChangeAspect="1"/>
                    </pic:cNvPicPr>
                  </pic:nvPicPr>
                  <pic:blipFill>
                    <a:blip r:embed="rId5"/>
                    <a:stretch>
                      <a:fillRect/>
                    </a:stretch>
                  </pic:blipFill>
                  <pic:spPr>
                    <a:xfrm>
                      <a:off x="0" y="0"/>
                      <a:ext cx="3800475" cy="7724775"/>
                    </a:xfrm>
                    <a:prstGeom prst="rect">
                      <a:avLst/>
                    </a:prstGeom>
                  </pic:spPr>
                </pic:pic>
              </a:graphicData>
            </a:graphic>
          </wp:inline>
        </w:drawing>
      </w:r>
      <w:r>
        <w:rPr>
          <w:rFonts w:hint="default" w:ascii="Calibri" w:hAnsi="Calibri" w:cs="Calibri"/>
          <w:sz w:val="16"/>
          <w:szCs w:val="16"/>
        </w:rPr>
        <w:t> </w:t>
      </w:r>
    </w:p>
    <w:p>
      <w:pPr>
        <w:pStyle w:val="10"/>
        <w:keepNext w:val="0"/>
        <w:keepLines w:val="0"/>
        <w:widowControl/>
        <w:suppressLineNumbers w:val="0"/>
        <w:spacing w:before="60" w:beforeAutospacing="0" w:after="60" w:afterAutospacing="0"/>
        <w:ind w:left="0" w:right="0"/>
        <w:jc w:val="center"/>
      </w:pPr>
      <w:r>
        <w:rPr>
          <w:rFonts w:ascii="黑体" w:hAnsi="宋体" w:eastAsia="黑体" w:cs="黑体"/>
          <w:sz w:val="19"/>
          <w:szCs w:val="19"/>
        </w:rPr>
        <w:t>图</w:t>
      </w:r>
      <w:r>
        <w:rPr>
          <w:rFonts w:hint="eastAsia" w:ascii="黑体" w:hAnsi="宋体" w:eastAsia="黑体" w:cs="黑体"/>
          <w:sz w:val="19"/>
          <w:szCs w:val="19"/>
        </w:rPr>
        <w:t>1-1  麒麟区征收农用地区片综合地价更新调整工作流程图</w:t>
      </w:r>
    </w:p>
    <w:p>
      <w:pPr>
        <w:pStyle w:val="10"/>
        <w:keepNext w:val="0"/>
        <w:keepLines w:val="0"/>
        <w:widowControl/>
        <w:suppressLineNumbers w:val="0"/>
        <w:spacing w:before="60" w:beforeAutospacing="0" w:after="60" w:afterAutospacing="0"/>
        <w:ind w:left="0" w:right="0"/>
      </w:pPr>
    </w:p>
    <w:p>
      <w:pPr>
        <w:pStyle w:val="10"/>
        <w:keepNext w:val="0"/>
        <w:keepLines w:val="0"/>
        <w:widowControl/>
        <w:suppressLineNumbers w:val="0"/>
        <w:spacing w:before="60" w:beforeAutospacing="0" w:after="60" w:afterAutospacing="0"/>
        <w:ind w:left="0" w:right="0"/>
      </w:pPr>
      <w:r>
        <w:rPr>
          <w:rStyle w:val="14"/>
          <w:rFonts w:hint="eastAsia" w:ascii="宋体" w:hAnsi="宋体" w:eastAsia="宋体" w:cs="宋体"/>
          <w:sz w:val="22"/>
          <w:szCs w:val="22"/>
        </w:rPr>
        <w:t>（五）适用条件</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根据《云南省2025年征收农用地区片综合地价更新调整方案》规定，沿用上一轮征收农用地区片综合地价的适用条件为：</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县域内社会经济发展较为平稳，上一轮区片价实施效果较好，未出现因补偿标准引发的重大社会问题。经初步判断，区域内土地利用现状、土地资源条件、人口及经济社会发展水平等因素与上一轮区片价制定时相比，变化幅度较小。</w:t>
      </w:r>
    </w:p>
    <w:p>
      <w:pPr>
        <w:pStyle w:val="3"/>
        <w:keepNext w:val="0"/>
        <w:keepLines w:val="0"/>
        <w:widowControl/>
        <w:suppressLineNumbers w:val="0"/>
        <w:spacing w:before="96" w:beforeAutospacing="0" w:after="96" w:afterAutospacing="0"/>
      </w:pPr>
      <w:r>
        <w:rPr>
          <w:rStyle w:val="14"/>
          <w:rFonts w:hint="eastAsia" w:ascii="宋体" w:hAnsi="宋体" w:eastAsia="宋体" w:cs="宋体"/>
          <w:b/>
          <w:sz w:val="22"/>
          <w:szCs w:val="22"/>
        </w:rPr>
        <w:t>二、前期意见征询及调查情况分析</w:t>
      </w:r>
    </w:p>
    <w:p>
      <w:pPr>
        <w:pStyle w:val="10"/>
        <w:keepNext w:val="0"/>
        <w:keepLines w:val="0"/>
        <w:widowControl/>
        <w:suppressLineNumbers w:val="0"/>
        <w:spacing w:before="60" w:beforeAutospacing="0" w:after="60" w:afterAutospacing="0"/>
        <w:ind w:left="0" w:right="0"/>
      </w:pPr>
      <w:r>
        <w:rPr>
          <w:rStyle w:val="14"/>
          <w:rFonts w:hint="eastAsia" w:ascii="宋体" w:hAnsi="宋体" w:eastAsia="宋体" w:cs="宋体"/>
          <w:sz w:val="22"/>
          <w:szCs w:val="22"/>
        </w:rPr>
        <w:t>（一）前期资料收集</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为科学研判我区现行征收农用地区片综合地价是否需调整，于2025年6月2日开展外业资料收集，通过人民政府网站发布资料收集通知，对各乡镇（街道）及相关单位进行资料收集和意见征询表填写反馈，区发展改革局、经济技术开发区、南宁街道办事处、翠峰街道办事处等均表示对现行的区片划分，区片价格及地类系数无意见，同意沿用上一轮区片价成果。</w:t>
      </w:r>
    </w:p>
    <w:p>
      <w:pPr>
        <w:pStyle w:val="10"/>
        <w:keepNext w:val="0"/>
        <w:keepLines w:val="0"/>
        <w:widowControl/>
        <w:suppressLineNumbers w:val="0"/>
        <w:spacing w:before="60" w:beforeAutospacing="0" w:after="60" w:afterAutospacing="0"/>
        <w:ind w:left="0" w:right="0"/>
      </w:pPr>
      <w:r>
        <w:rPr>
          <w:rStyle w:val="14"/>
          <w:rFonts w:hint="eastAsia" w:ascii="宋体" w:hAnsi="宋体" w:eastAsia="宋体" w:cs="宋体"/>
          <w:sz w:val="22"/>
          <w:szCs w:val="22"/>
        </w:rPr>
        <w:t>（二）区人民政府网站上公开征询意见</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随后2025年6月6日通过麒麟区人民政府</w:t>
      </w:r>
      <w:r>
        <w:rPr>
          <w:rFonts w:hint="eastAsia" w:ascii="仿宋_GB2312" w:eastAsia="仿宋_GB2312" w:cs="仿宋_GB2312"/>
          <w:sz w:val="22"/>
          <w:szCs w:val="22"/>
          <w:lang w:eastAsia="zh-CN"/>
        </w:rPr>
        <w:t>网</w:t>
      </w:r>
      <w:r>
        <w:rPr>
          <w:rFonts w:hint="eastAsia" w:ascii="仿宋_GB2312" w:eastAsia="仿宋_GB2312" w:cs="仿宋_GB2312"/>
          <w:sz w:val="22"/>
          <w:szCs w:val="22"/>
        </w:rPr>
        <w:t>站发布“曲靖市麒麟区人民政府关于公开征求沿用《2023年麒麟区征收农用地区片综合地价》意见的公告”，意见征询时间为2025年6月6日至2025年7月7日，在公告期间未收到相关公众的调整建议。</w:t>
      </w:r>
    </w:p>
    <w:p>
      <w:pPr>
        <w:pStyle w:val="10"/>
        <w:keepNext w:val="0"/>
        <w:keepLines w:val="0"/>
        <w:widowControl/>
        <w:suppressLineNumbers w:val="0"/>
        <w:spacing w:before="60" w:beforeAutospacing="0" w:after="60" w:afterAutospacing="0"/>
        <w:ind w:left="0" w:right="0"/>
      </w:pPr>
      <w:r>
        <w:rPr>
          <w:rStyle w:val="14"/>
          <w:rFonts w:hint="eastAsia" w:ascii="宋体" w:hAnsi="宋体" w:eastAsia="宋体" w:cs="宋体"/>
          <w:sz w:val="22"/>
          <w:szCs w:val="22"/>
        </w:rPr>
        <w:t>（三）意见征询</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根据各乡镇（街道）及相关单位的反馈情况，麒麟区自然资源局于2025年7月23日举行了关于《麒麟区2025年征收农用地区片综合地价更新调整意见征询会》。</w:t>
      </w:r>
    </w:p>
    <w:p>
      <w:pPr>
        <w:pStyle w:val="10"/>
        <w:keepNext w:val="0"/>
        <w:keepLines w:val="0"/>
        <w:widowControl/>
        <w:suppressLineNumbers w:val="0"/>
        <w:spacing w:before="60" w:beforeAutospacing="0" w:after="60" w:afterAutospacing="0"/>
        <w:ind w:left="0" w:right="0" w:firstLine="444"/>
      </w:pPr>
      <w:r>
        <w:rPr>
          <w:rFonts w:hint="eastAsia" w:ascii="仿宋_GB2312" w:eastAsia="仿宋_GB2312" w:cs="仿宋_GB2312"/>
          <w:sz w:val="22"/>
          <w:szCs w:val="22"/>
        </w:rPr>
        <w:t>会后各乡镇（街道）及相关单位均做出反馈，综合分析意见征询的情况，共有23个单位反馈了相关的建议和意见，其中仅潇湘街道和越州镇提出对区片价的区片划分进行调整，其余同意沿用上一轮的区片划分和区片地价。从目前反馈的调查结果来看，2023年区片综合地价成果的公众接受度较大，故本轮区片价更新沿用2023年区片价成果符合公众预期。</w:t>
      </w:r>
    </w:p>
    <w:p>
      <w:pPr>
        <w:pStyle w:val="10"/>
        <w:keepNext w:val="0"/>
        <w:keepLines w:val="0"/>
        <w:widowControl/>
        <w:suppressLineNumbers w:val="0"/>
        <w:spacing w:before="60" w:beforeAutospacing="0" w:after="60" w:afterAutospacing="0"/>
        <w:ind w:left="0" w:right="0" w:firstLine="444"/>
        <w:jc w:val="center"/>
      </w:pPr>
      <w:r>
        <w:rPr>
          <w:rFonts w:hint="eastAsia" w:ascii="仿宋_GB2312" w:eastAsia="仿宋_GB2312" w:cs="仿宋_GB2312"/>
          <w:sz w:val="22"/>
          <w:szCs w:val="22"/>
        </w:rPr>
        <w:t> 表1更新调整意见征询反馈情况统计表</w:t>
      </w:r>
    </w:p>
    <w:tbl>
      <w:tblPr>
        <w:tblW w:w="833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15" w:type="dxa"/>
          <w:left w:w="15" w:type="dxa"/>
          <w:bottom w:w="15" w:type="dxa"/>
          <w:right w:w="15" w:type="dxa"/>
        </w:tblCellMar>
      </w:tblPr>
      <w:tblGrid>
        <w:gridCol w:w="2317"/>
        <w:gridCol w:w="1584"/>
        <w:gridCol w:w="1432"/>
        <w:gridCol w:w="1368"/>
        <w:gridCol w:w="16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384" w:hRule="atLeast"/>
        </w:trPr>
        <w:tc>
          <w:tcPr>
            <w:tcW w:w="2317" w:type="dxa"/>
            <w:vMerge w:val="restart"/>
            <w:tcBorders>
              <w:top w:val="single" w:color="000000" w:sz="4" w:space="0"/>
              <w:left w:val="single" w:color="000000" w:sz="4" w:space="0"/>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Style w:val="14"/>
                <w:rFonts w:hint="eastAsia" w:ascii="宋体" w:hAnsi="宋体" w:eastAsia="宋体" w:cs="宋体"/>
                <w:sz w:val="19"/>
                <w:szCs w:val="19"/>
                <w:bdr w:val="none" w:color="auto" w:sz="0" w:space="0"/>
              </w:rPr>
              <w:t>单位名称</w:t>
            </w:r>
          </w:p>
        </w:tc>
        <w:tc>
          <w:tcPr>
            <w:tcW w:w="3016" w:type="dxa"/>
            <w:gridSpan w:val="2"/>
            <w:tcBorders>
              <w:top w:val="single" w:color="000000" w:sz="4" w:space="0"/>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Style w:val="14"/>
                <w:rFonts w:hint="eastAsia" w:ascii="宋体" w:hAnsi="宋体" w:eastAsia="宋体" w:cs="宋体"/>
                <w:sz w:val="19"/>
                <w:szCs w:val="19"/>
                <w:bdr w:val="none" w:color="auto" w:sz="0" w:space="0"/>
              </w:rPr>
              <w:t>区片划分</w:t>
            </w:r>
          </w:p>
        </w:tc>
        <w:tc>
          <w:tcPr>
            <w:tcW w:w="3000" w:type="dxa"/>
            <w:gridSpan w:val="2"/>
            <w:tcBorders>
              <w:top w:val="single" w:color="000000" w:sz="4" w:space="0"/>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Style w:val="14"/>
                <w:rFonts w:hint="eastAsia" w:ascii="宋体" w:hAnsi="宋体" w:eastAsia="宋体" w:cs="宋体"/>
                <w:sz w:val="19"/>
                <w:szCs w:val="19"/>
                <w:bdr w:val="none" w:color="auto" w:sz="0" w:space="0"/>
              </w:rPr>
              <w:t>区片地价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372" w:hRule="atLeast"/>
        </w:trPr>
        <w:tc>
          <w:tcPr>
            <w:tcW w:w="2317" w:type="dxa"/>
            <w:vMerge w:val="continue"/>
            <w:tcBorders>
              <w:top w:val="single" w:color="000000" w:sz="4" w:space="0"/>
              <w:left w:val="single" w:color="000000" w:sz="4" w:space="0"/>
              <w:bottom w:val="single" w:color="000000" w:sz="4" w:space="0"/>
              <w:right w:val="single" w:color="000000" w:sz="4" w:space="0"/>
            </w:tcBorders>
            <w:shd w:val="clear"/>
            <w:tcMar>
              <w:top w:w="0" w:type="dxa"/>
              <w:left w:w="84" w:type="dxa"/>
              <w:bottom w:w="0" w:type="dxa"/>
              <w:right w:w="84" w:type="dxa"/>
            </w:tcMar>
            <w:vAlign w:val="center"/>
          </w:tcPr>
          <w:p>
            <w:pPr>
              <w:rPr>
                <w:rFonts w:hint="eastAsia" w:ascii="宋体"/>
                <w:sz w:val="24"/>
                <w:szCs w:val="24"/>
              </w:rPr>
            </w:pPr>
          </w:p>
        </w:tc>
        <w:tc>
          <w:tcPr>
            <w:tcW w:w="1584"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Style w:val="14"/>
                <w:rFonts w:hint="eastAsia" w:ascii="宋体" w:hAnsi="宋体" w:eastAsia="宋体" w:cs="宋体"/>
                <w:sz w:val="19"/>
                <w:szCs w:val="19"/>
                <w:bdr w:val="none" w:color="auto" w:sz="0" w:space="0"/>
              </w:rPr>
              <w:t>是否需要调整</w:t>
            </w:r>
          </w:p>
        </w:tc>
        <w:tc>
          <w:tcPr>
            <w:tcW w:w="1432"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Style w:val="14"/>
                <w:rFonts w:hint="eastAsia" w:ascii="宋体" w:hAnsi="宋体" w:eastAsia="宋体" w:cs="宋体"/>
                <w:sz w:val="19"/>
                <w:szCs w:val="19"/>
                <w:bdr w:val="none" w:color="auto" w:sz="0" w:space="0"/>
              </w:rPr>
              <w:t>建议调整内容</w:t>
            </w:r>
          </w:p>
        </w:tc>
        <w:tc>
          <w:tcPr>
            <w:tcW w:w="1368"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Style w:val="14"/>
                <w:rFonts w:hint="eastAsia" w:ascii="宋体" w:hAnsi="宋体" w:eastAsia="宋体" w:cs="宋体"/>
                <w:sz w:val="19"/>
                <w:szCs w:val="19"/>
                <w:bdr w:val="none" w:color="auto" w:sz="0" w:space="0"/>
              </w:rPr>
              <w:t>是否需要调整</w:t>
            </w:r>
          </w:p>
        </w:tc>
        <w:tc>
          <w:tcPr>
            <w:tcW w:w="1632"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Style w:val="14"/>
                <w:rFonts w:hint="eastAsia" w:ascii="宋体" w:hAnsi="宋体" w:eastAsia="宋体" w:cs="宋体"/>
                <w:sz w:val="19"/>
                <w:szCs w:val="19"/>
                <w:bdr w:val="none" w:color="auto" w:sz="0" w:space="0"/>
              </w:rPr>
              <w:t>建议调整幅度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372" w:hRule="atLeast"/>
        </w:trPr>
        <w:tc>
          <w:tcPr>
            <w:tcW w:w="2317" w:type="dxa"/>
            <w:tcBorders>
              <w:top w:val="nil"/>
              <w:left w:val="single" w:color="000000" w:sz="4" w:space="0"/>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区人民政府</w:t>
            </w:r>
          </w:p>
        </w:tc>
        <w:tc>
          <w:tcPr>
            <w:tcW w:w="1584"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否</w:t>
            </w:r>
          </w:p>
        </w:tc>
        <w:tc>
          <w:tcPr>
            <w:tcW w:w="1432"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无</w:t>
            </w:r>
          </w:p>
        </w:tc>
        <w:tc>
          <w:tcPr>
            <w:tcW w:w="1368"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否</w:t>
            </w:r>
          </w:p>
        </w:tc>
        <w:tc>
          <w:tcPr>
            <w:tcW w:w="1632"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372" w:hRule="atLeast"/>
        </w:trPr>
        <w:tc>
          <w:tcPr>
            <w:tcW w:w="2317" w:type="dxa"/>
            <w:tcBorders>
              <w:top w:val="nil"/>
              <w:left w:val="single" w:color="000000" w:sz="4" w:space="0"/>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区民政局</w:t>
            </w:r>
          </w:p>
        </w:tc>
        <w:tc>
          <w:tcPr>
            <w:tcW w:w="1584"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否</w:t>
            </w:r>
          </w:p>
        </w:tc>
        <w:tc>
          <w:tcPr>
            <w:tcW w:w="1432"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无</w:t>
            </w:r>
          </w:p>
        </w:tc>
        <w:tc>
          <w:tcPr>
            <w:tcW w:w="1368"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否</w:t>
            </w:r>
          </w:p>
        </w:tc>
        <w:tc>
          <w:tcPr>
            <w:tcW w:w="1632"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432" w:hRule="atLeast"/>
        </w:trPr>
        <w:tc>
          <w:tcPr>
            <w:tcW w:w="2317" w:type="dxa"/>
            <w:tcBorders>
              <w:top w:val="nil"/>
              <w:left w:val="single" w:color="000000" w:sz="4" w:space="0"/>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区人力资源和社会保障局</w:t>
            </w:r>
          </w:p>
        </w:tc>
        <w:tc>
          <w:tcPr>
            <w:tcW w:w="1584"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否</w:t>
            </w:r>
          </w:p>
        </w:tc>
        <w:tc>
          <w:tcPr>
            <w:tcW w:w="1432"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无</w:t>
            </w:r>
          </w:p>
        </w:tc>
        <w:tc>
          <w:tcPr>
            <w:tcW w:w="1368"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否</w:t>
            </w:r>
          </w:p>
        </w:tc>
        <w:tc>
          <w:tcPr>
            <w:tcW w:w="1632"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444" w:hRule="atLeast"/>
        </w:trPr>
        <w:tc>
          <w:tcPr>
            <w:tcW w:w="2317" w:type="dxa"/>
            <w:tcBorders>
              <w:top w:val="nil"/>
              <w:left w:val="single" w:color="000000" w:sz="4" w:space="0"/>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区水务局</w:t>
            </w:r>
          </w:p>
        </w:tc>
        <w:tc>
          <w:tcPr>
            <w:tcW w:w="1584"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否</w:t>
            </w:r>
          </w:p>
        </w:tc>
        <w:tc>
          <w:tcPr>
            <w:tcW w:w="1432"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无</w:t>
            </w:r>
          </w:p>
        </w:tc>
        <w:tc>
          <w:tcPr>
            <w:tcW w:w="1368"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否</w:t>
            </w:r>
          </w:p>
        </w:tc>
        <w:tc>
          <w:tcPr>
            <w:tcW w:w="1632"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444" w:hRule="atLeast"/>
        </w:trPr>
        <w:tc>
          <w:tcPr>
            <w:tcW w:w="2317" w:type="dxa"/>
            <w:tcBorders>
              <w:top w:val="nil"/>
              <w:left w:val="single" w:color="000000" w:sz="4" w:space="0"/>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区发展和改革局</w:t>
            </w:r>
          </w:p>
        </w:tc>
        <w:tc>
          <w:tcPr>
            <w:tcW w:w="1584"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否</w:t>
            </w:r>
          </w:p>
        </w:tc>
        <w:tc>
          <w:tcPr>
            <w:tcW w:w="1432"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无</w:t>
            </w:r>
          </w:p>
        </w:tc>
        <w:tc>
          <w:tcPr>
            <w:tcW w:w="1368"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否</w:t>
            </w:r>
          </w:p>
        </w:tc>
        <w:tc>
          <w:tcPr>
            <w:tcW w:w="1632"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372" w:hRule="atLeast"/>
        </w:trPr>
        <w:tc>
          <w:tcPr>
            <w:tcW w:w="2317" w:type="dxa"/>
            <w:tcBorders>
              <w:top w:val="nil"/>
              <w:left w:val="single" w:color="000000" w:sz="4" w:space="0"/>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区统计局</w:t>
            </w:r>
          </w:p>
        </w:tc>
        <w:tc>
          <w:tcPr>
            <w:tcW w:w="1584"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否</w:t>
            </w:r>
          </w:p>
        </w:tc>
        <w:tc>
          <w:tcPr>
            <w:tcW w:w="1432"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无</w:t>
            </w:r>
          </w:p>
        </w:tc>
        <w:tc>
          <w:tcPr>
            <w:tcW w:w="1368"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否</w:t>
            </w:r>
          </w:p>
        </w:tc>
        <w:tc>
          <w:tcPr>
            <w:tcW w:w="1632"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372" w:hRule="atLeast"/>
        </w:trPr>
        <w:tc>
          <w:tcPr>
            <w:tcW w:w="2317" w:type="dxa"/>
            <w:tcBorders>
              <w:top w:val="nil"/>
              <w:left w:val="single" w:color="000000" w:sz="4" w:space="0"/>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区财政局</w:t>
            </w:r>
          </w:p>
        </w:tc>
        <w:tc>
          <w:tcPr>
            <w:tcW w:w="1584"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否</w:t>
            </w:r>
          </w:p>
        </w:tc>
        <w:tc>
          <w:tcPr>
            <w:tcW w:w="1432"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无</w:t>
            </w:r>
          </w:p>
        </w:tc>
        <w:tc>
          <w:tcPr>
            <w:tcW w:w="1368"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否</w:t>
            </w:r>
          </w:p>
        </w:tc>
        <w:tc>
          <w:tcPr>
            <w:tcW w:w="1632"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1656" w:hRule="atLeast"/>
        </w:trPr>
        <w:tc>
          <w:tcPr>
            <w:tcW w:w="2317" w:type="dxa"/>
            <w:tcBorders>
              <w:top w:val="nil"/>
              <w:left w:val="single" w:color="000000" w:sz="4" w:space="0"/>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交通运输局</w:t>
            </w:r>
          </w:p>
        </w:tc>
        <w:tc>
          <w:tcPr>
            <w:tcW w:w="1584"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否</w:t>
            </w:r>
          </w:p>
        </w:tc>
        <w:tc>
          <w:tcPr>
            <w:tcW w:w="1432"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无</w:t>
            </w:r>
          </w:p>
        </w:tc>
        <w:tc>
          <w:tcPr>
            <w:tcW w:w="1368"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否</w:t>
            </w:r>
          </w:p>
        </w:tc>
        <w:tc>
          <w:tcPr>
            <w:tcW w:w="1632"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372" w:hRule="atLeast"/>
        </w:trPr>
        <w:tc>
          <w:tcPr>
            <w:tcW w:w="2317" w:type="dxa"/>
            <w:tcBorders>
              <w:top w:val="single" w:color="000000" w:sz="4" w:space="0"/>
              <w:left w:val="single" w:color="000000" w:sz="4" w:space="0"/>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麒麟区税务局</w:t>
            </w:r>
          </w:p>
        </w:tc>
        <w:tc>
          <w:tcPr>
            <w:tcW w:w="1584"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否</w:t>
            </w:r>
          </w:p>
        </w:tc>
        <w:tc>
          <w:tcPr>
            <w:tcW w:w="1432"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无</w:t>
            </w:r>
          </w:p>
        </w:tc>
        <w:tc>
          <w:tcPr>
            <w:tcW w:w="1368"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否</w:t>
            </w:r>
          </w:p>
        </w:tc>
        <w:tc>
          <w:tcPr>
            <w:tcW w:w="1632"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372" w:hRule="atLeast"/>
        </w:trPr>
        <w:tc>
          <w:tcPr>
            <w:tcW w:w="2317" w:type="dxa"/>
            <w:tcBorders>
              <w:top w:val="nil"/>
              <w:left w:val="single" w:color="000000" w:sz="4" w:space="0"/>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麒麟区住房和城乡建设局</w:t>
            </w:r>
          </w:p>
        </w:tc>
        <w:tc>
          <w:tcPr>
            <w:tcW w:w="1584"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否</w:t>
            </w:r>
          </w:p>
        </w:tc>
        <w:tc>
          <w:tcPr>
            <w:tcW w:w="1432"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无</w:t>
            </w:r>
          </w:p>
        </w:tc>
        <w:tc>
          <w:tcPr>
            <w:tcW w:w="1368"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否</w:t>
            </w:r>
          </w:p>
        </w:tc>
        <w:tc>
          <w:tcPr>
            <w:tcW w:w="1632"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372" w:hRule="atLeast"/>
        </w:trPr>
        <w:tc>
          <w:tcPr>
            <w:tcW w:w="2317" w:type="dxa"/>
            <w:tcBorders>
              <w:top w:val="nil"/>
              <w:left w:val="single" w:color="000000" w:sz="4" w:space="0"/>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云南麒麟产业园区管委会</w:t>
            </w:r>
          </w:p>
        </w:tc>
        <w:tc>
          <w:tcPr>
            <w:tcW w:w="1584"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否</w:t>
            </w:r>
          </w:p>
        </w:tc>
        <w:tc>
          <w:tcPr>
            <w:tcW w:w="1432"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无</w:t>
            </w:r>
          </w:p>
        </w:tc>
        <w:tc>
          <w:tcPr>
            <w:tcW w:w="1368"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否</w:t>
            </w:r>
          </w:p>
        </w:tc>
        <w:tc>
          <w:tcPr>
            <w:tcW w:w="1632"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372" w:hRule="atLeast"/>
        </w:trPr>
        <w:tc>
          <w:tcPr>
            <w:tcW w:w="2317" w:type="dxa"/>
            <w:tcBorders>
              <w:top w:val="nil"/>
              <w:left w:val="single" w:color="000000" w:sz="4" w:space="0"/>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曲靖经济技术开发区分局</w:t>
            </w:r>
          </w:p>
        </w:tc>
        <w:tc>
          <w:tcPr>
            <w:tcW w:w="1584"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否</w:t>
            </w:r>
          </w:p>
        </w:tc>
        <w:tc>
          <w:tcPr>
            <w:tcW w:w="1432"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无</w:t>
            </w:r>
          </w:p>
        </w:tc>
        <w:tc>
          <w:tcPr>
            <w:tcW w:w="1368"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否</w:t>
            </w:r>
          </w:p>
        </w:tc>
        <w:tc>
          <w:tcPr>
            <w:tcW w:w="1632"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1356" w:hRule="atLeast"/>
        </w:trPr>
        <w:tc>
          <w:tcPr>
            <w:tcW w:w="2317" w:type="dxa"/>
            <w:tcBorders>
              <w:top w:val="nil"/>
              <w:left w:val="single" w:color="000000" w:sz="4" w:space="0"/>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潇湘街道</w:t>
            </w:r>
          </w:p>
        </w:tc>
        <w:tc>
          <w:tcPr>
            <w:tcW w:w="1584"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是</w:t>
            </w:r>
          </w:p>
        </w:tc>
        <w:tc>
          <w:tcPr>
            <w:tcW w:w="1432"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建议将冷家屯村、石灰窑村和文明村调整为</w:t>
            </w:r>
            <w:r>
              <w:rPr>
                <w:rFonts w:hint="default" w:ascii="Times New Roman" w:hAnsi="Times New Roman" w:cs="Times New Roman"/>
                <w:sz w:val="19"/>
                <w:szCs w:val="19"/>
                <w:bdr w:val="none" w:color="auto" w:sz="0" w:space="0"/>
              </w:rPr>
              <w:t>III</w:t>
            </w:r>
            <w:r>
              <w:rPr>
                <w:rFonts w:hint="eastAsia" w:ascii="宋体" w:hAnsi="宋体" w:eastAsia="宋体" w:cs="宋体"/>
                <w:sz w:val="19"/>
                <w:szCs w:val="19"/>
                <w:bdr w:val="none" w:color="auto" w:sz="0" w:space="0"/>
              </w:rPr>
              <w:t>类地区片。</w:t>
            </w:r>
          </w:p>
        </w:tc>
        <w:tc>
          <w:tcPr>
            <w:tcW w:w="1368"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是</w:t>
            </w:r>
          </w:p>
        </w:tc>
        <w:tc>
          <w:tcPr>
            <w:tcW w:w="1632"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建议将冷家屯村、石灰窑村和文明村调整为</w:t>
            </w:r>
            <w:r>
              <w:rPr>
                <w:rFonts w:hint="default" w:ascii="Times New Roman" w:hAnsi="Times New Roman" w:cs="Times New Roman"/>
                <w:sz w:val="19"/>
                <w:szCs w:val="19"/>
                <w:bdr w:val="none" w:color="auto" w:sz="0" w:space="0"/>
              </w:rPr>
              <w:t>III</w:t>
            </w:r>
            <w:r>
              <w:rPr>
                <w:rFonts w:hint="eastAsia" w:ascii="宋体" w:hAnsi="宋体" w:eastAsia="宋体" w:cs="宋体"/>
                <w:sz w:val="19"/>
                <w:szCs w:val="19"/>
                <w:bdr w:val="none" w:color="auto" w:sz="0" w:space="0"/>
              </w:rPr>
              <w:t>类地区片。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372" w:hRule="atLeast"/>
        </w:trPr>
        <w:tc>
          <w:tcPr>
            <w:tcW w:w="2317" w:type="dxa"/>
            <w:tcBorders>
              <w:top w:val="nil"/>
              <w:left w:val="single" w:color="000000" w:sz="4" w:space="0"/>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西城街道</w:t>
            </w:r>
          </w:p>
        </w:tc>
        <w:tc>
          <w:tcPr>
            <w:tcW w:w="1584"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否</w:t>
            </w:r>
          </w:p>
        </w:tc>
        <w:tc>
          <w:tcPr>
            <w:tcW w:w="1432"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无</w:t>
            </w:r>
          </w:p>
        </w:tc>
        <w:tc>
          <w:tcPr>
            <w:tcW w:w="1368"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否</w:t>
            </w:r>
          </w:p>
        </w:tc>
        <w:tc>
          <w:tcPr>
            <w:tcW w:w="1632"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372" w:hRule="atLeast"/>
        </w:trPr>
        <w:tc>
          <w:tcPr>
            <w:tcW w:w="2317" w:type="dxa"/>
            <w:tcBorders>
              <w:top w:val="nil"/>
              <w:left w:val="single" w:color="000000" w:sz="4" w:space="0"/>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寥廓街道</w:t>
            </w:r>
          </w:p>
        </w:tc>
        <w:tc>
          <w:tcPr>
            <w:tcW w:w="1584"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否</w:t>
            </w:r>
          </w:p>
        </w:tc>
        <w:tc>
          <w:tcPr>
            <w:tcW w:w="1432"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无</w:t>
            </w:r>
          </w:p>
        </w:tc>
        <w:tc>
          <w:tcPr>
            <w:tcW w:w="1368"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否</w:t>
            </w:r>
          </w:p>
        </w:tc>
        <w:tc>
          <w:tcPr>
            <w:tcW w:w="1632"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372" w:hRule="atLeast"/>
        </w:trPr>
        <w:tc>
          <w:tcPr>
            <w:tcW w:w="2317" w:type="dxa"/>
            <w:tcBorders>
              <w:top w:val="nil"/>
              <w:left w:val="single" w:color="000000" w:sz="4" w:space="0"/>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建宁街道办事处</w:t>
            </w:r>
          </w:p>
        </w:tc>
        <w:tc>
          <w:tcPr>
            <w:tcW w:w="1584"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否</w:t>
            </w:r>
          </w:p>
        </w:tc>
        <w:tc>
          <w:tcPr>
            <w:tcW w:w="1432"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无</w:t>
            </w:r>
          </w:p>
        </w:tc>
        <w:tc>
          <w:tcPr>
            <w:tcW w:w="1368"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否</w:t>
            </w:r>
          </w:p>
        </w:tc>
        <w:tc>
          <w:tcPr>
            <w:tcW w:w="1632"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372" w:hRule="atLeast"/>
        </w:trPr>
        <w:tc>
          <w:tcPr>
            <w:tcW w:w="2317" w:type="dxa"/>
            <w:tcBorders>
              <w:top w:val="nil"/>
              <w:left w:val="single" w:color="000000" w:sz="4" w:space="0"/>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文华街道</w:t>
            </w:r>
          </w:p>
        </w:tc>
        <w:tc>
          <w:tcPr>
            <w:tcW w:w="1584"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否</w:t>
            </w:r>
          </w:p>
        </w:tc>
        <w:tc>
          <w:tcPr>
            <w:tcW w:w="1432"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无</w:t>
            </w:r>
          </w:p>
        </w:tc>
        <w:tc>
          <w:tcPr>
            <w:tcW w:w="1368"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否</w:t>
            </w:r>
          </w:p>
        </w:tc>
        <w:tc>
          <w:tcPr>
            <w:tcW w:w="1632"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372" w:hRule="atLeast"/>
        </w:trPr>
        <w:tc>
          <w:tcPr>
            <w:tcW w:w="2317" w:type="dxa"/>
            <w:tcBorders>
              <w:top w:val="nil"/>
              <w:left w:val="single" w:color="000000" w:sz="4" w:space="0"/>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珠街街道</w:t>
            </w:r>
          </w:p>
        </w:tc>
        <w:tc>
          <w:tcPr>
            <w:tcW w:w="1584"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否</w:t>
            </w:r>
          </w:p>
        </w:tc>
        <w:tc>
          <w:tcPr>
            <w:tcW w:w="1432"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无</w:t>
            </w:r>
          </w:p>
        </w:tc>
        <w:tc>
          <w:tcPr>
            <w:tcW w:w="1368"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否</w:t>
            </w:r>
          </w:p>
        </w:tc>
        <w:tc>
          <w:tcPr>
            <w:tcW w:w="1632"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372" w:hRule="atLeast"/>
        </w:trPr>
        <w:tc>
          <w:tcPr>
            <w:tcW w:w="2317" w:type="dxa"/>
            <w:tcBorders>
              <w:top w:val="nil"/>
              <w:left w:val="single" w:color="000000" w:sz="4" w:space="0"/>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益宁街道</w:t>
            </w:r>
          </w:p>
        </w:tc>
        <w:tc>
          <w:tcPr>
            <w:tcW w:w="1584"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否</w:t>
            </w:r>
          </w:p>
        </w:tc>
        <w:tc>
          <w:tcPr>
            <w:tcW w:w="1432"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无</w:t>
            </w:r>
          </w:p>
        </w:tc>
        <w:tc>
          <w:tcPr>
            <w:tcW w:w="1368"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否</w:t>
            </w:r>
          </w:p>
        </w:tc>
        <w:tc>
          <w:tcPr>
            <w:tcW w:w="1632"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372" w:hRule="atLeast"/>
        </w:trPr>
        <w:tc>
          <w:tcPr>
            <w:tcW w:w="2317" w:type="dxa"/>
            <w:tcBorders>
              <w:top w:val="nil"/>
              <w:left w:val="single" w:color="000000" w:sz="4" w:space="0"/>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南宁街道</w:t>
            </w:r>
          </w:p>
        </w:tc>
        <w:tc>
          <w:tcPr>
            <w:tcW w:w="1584"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否</w:t>
            </w:r>
          </w:p>
        </w:tc>
        <w:tc>
          <w:tcPr>
            <w:tcW w:w="1432"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无</w:t>
            </w:r>
          </w:p>
        </w:tc>
        <w:tc>
          <w:tcPr>
            <w:tcW w:w="1368"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否</w:t>
            </w:r>
          </w:p>
        </w:tc>
        <w:tc>
          <w:tcPr>
            <w:tcW w:w="1632" w:type="dxa"/>
            <w:tcBorders>
              <w:top w:val="nil"/>
              <w:left w:val="nil"/>
              <w:bottom w:val="single" w:color="000000"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384" w:hRule="atLeast"/>
        </w:trPr>
        <w:tc>
          <w:tcPr>
            <w:tcW w:w="2317" w:type="dxa"/>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白石江街道</w:t>
            </w:r>
          </w:p>
        </w:tc>
        <w:tc>
          <w:tcPr>
            <w:tcW w:w="1584" w:type="dxa"/>
            <w:tcBorders>
              <w:top w:val="nil"/>
              <w:left w:val="nil"/>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否</w:t>
            </w:r>
          </w:p>
        </w:tc>
        <w:tc>
          <w:tcPr>
            <w:tcW w:w="1432" w:type="dxa"/>
            <w:tcBorders>
              <w:top w:val="nil"/>
              <w:left w:val="nil"/>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无</w:t>
            </w:r>
          </w:p>
        </w:tc>
        <w:tc>
          <w:tcPr>
            <w:tcW w:w="1368" w:type="dxa"/>
            <w:tcBorders>
              <w:top w:val="nil"/>
              <w:left w:val="nil"/>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否</w:t>
            </w:r>
          </w:p>
        </w:tc>
        <w:tc>
          <w:tcPr>
            <w:tcW w:w="1632" w:type="dxa"/>
            <w:tcBorders>
              <w:top w:val="nil"/>
              <w:left w:val="nil"/>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384" w:hRule="atLeast"/>
        </w:trPr>
        <w:tc>
          <w:tcPr>
            <w:tcW w:w="2317" w:type="dxa"/>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越州镇</w:t>
            </w:r>
          </w:p>
        </w:tc>
        <w:tc>
          <w:tcPr>
            <w:tcW w:w="1584" w:type="dxa"/>
            <w:tcBorders>
              <w:top w:val="nil"/>
              <w:left w:val="nil"/>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是</w:t>
            </w:r>
          </w:p>
        </w:tc>
        <w:tc>
          <w:tcPr>
            <w:tcW w:w="1432" w:type="dxa"/>
            <w:tcBorders>
              <w:top w:val="nil"/>
              <w:left w:val="nil"/>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调整至与三宝街道一致</w:t>
            </w:r>
          </w:p>
        </w:tc>
        <w:tc>
          <w:tcPr>
            <w:tcW w:w="1368" w:type="dxa"/>
            <w:tcBorders>
              <w:top w:val="nil"/>
              <w:left w:val="nil"/>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是</w:t>
            </w:r>
          </w:p>
        </w:tc>
        <w:tc>
          <w:tcPr>
            <w:tcW w:w="1632" w:type="dxa"/>
            <w:tcBorders>
              <w:top w:val="nil"/>
              <w:left w:val="nil"/>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调整至与三宝街道一致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2" w:hRule="atLeast"/>
        </w:trPr>
        <w:tc>
          <w:tcPr>
            <w:tcW w:w="2317" w:type="dxa"/>
            <w:tcBorders>
              <w:top w:val="nil"/>
              <w:left w:val="single" w:color="auto" w:sz="4" w:space="0"/>
              <w:bottom w:val="single" w:color="auto" w:sz="4" w:space="0"/>
              <w:right w:val="single" w:color="auto"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东山镇</w:t>
            </w:r>
          </w:p>
        </w:tc>
        <w:tc>
          <w:tcPr>
            <w:tcW w:w="1584" w:type="dxa"/>
            <w:tcBorders>
              <w:top w:val="nil"/>
              <w:left w:val="nil"/>
              <w:bottom w:val="single" w:color="auto" w:sz="4" w:space="0"/>
              <w:right w:val="single" w:color="auto"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否</w:t>
            </w:r>
          </w:p>
        </w:tc>
        <w:tc>
          <w:tcPr>
            <w:tcW w:w="1432" w:type="dxa"/>
            <w:tcBorders>
              <w:top w:val="nil"/>
              <w:left w:val="nil"/>
              <w:bottom w:val="single" w:color="auto" w:sz="4" w:space="0"/>
              <w:right w:val="single" w:color="auto"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无</w:t>
            </w:r>
          </w:p>
        </w:tc>
        <w:tc>
          <w:tcPr>
            <w:tcW w:w="1368" w:type="dxa"/>
            <w:tcBorders>
              <w:top w:val="nil"/>
              <w:left w:val="nil"/>
              <w:bottom w:val="single" w:color="auto" w:sz="4" w:space="0"/>
              <w:right w:val="single" w:color="auto"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否</w:t>
            </w:r>
          </w:p>
        </w:tc>
        <w:tc>
          <w:tcPr>
            <w:tcW w:w="1632" w:type="dxa"/>
            <w:tcBorders>
              <w:top w:val="nil"/>
              <w:left w:val="nil"/>
              <w:bottom w:val="single" w:color="auto" w:sz="4" w:space="0"/>
              <w:right w:val="single" w:color="auto"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bdr w:val="none" w:color="auto" w:sz="0" w:space="0"/>
              </w:rPr>
              <w:t>无</w:t>
            </w:r>
          </w:p>
        </w:tc>
      </w:tr>
    </w:tbl>
    <w:p>
      <w:pPr>
        <w:pStyle w:val="10"/>
        <w:keepNext w:val="0"/>
        <w:keepLines w:val="0"/>
        <w:widowControl/>
        <w:suppressLineNumbers w:val="0"/>
        <w:spacing w:before="60" w:beforeAutospacing="0" w:after="60" w:afterAutospacing="0"/>
        <w:ind w:left="0" w:right="0" w:firstLine="444"/>
      </w:pPr>
      <w:r>
        <w:rPr>
          <w:rFonts w:hint="eastAsia" w:ascii="仿宋_GB2312" w:eastAsia="仿宋_GB2312" w:cs="仿宋_GB2312"/>
          <w:sz w:val="22"/>
          <w:szCs w:val="22"/>
        </w:rPr>
        <w:t>针对提出的意见整理分析情况如下：</w:t>
      </w:r>
    </w:p>
    <w:p>
      <w:pPr>
        <w:pStyle w:val="10"/>
        <w:keepNext w:val="0"/>
        <w:keepLines w:val="0"/>
        <w:widowControl/>
        <w:suppressLineNumbers w:val="0"/>
        <w:spacing w:before="60" w:beforeAutospacing="0" w:after="60" w:afterAutospacing="0"/>
        <w:ind w:left="0" w:right="0" w:firstLine="444"/>
      </w:pPr>
      <w:r>
        <w:rPr>
          <w:rFonts w:hint="eastAsia" w:ascii="仿宋_GB2312" w:eastAsia="仿宋_GB2312" w:cs="仿宋_GB2312"/>
          <w:sz w:val="22"/>
          <w:szCs w:val="22"/>
        </w:rPr>
        <w:t>1、冷家屯与红庙社区、潇湘村接壤，文明村与潇湘村接壤，石灰窑村与冷家屯村、南海子接壤，这3个村周边基本为II、III类区片，但其地形地貌和经济社会发展效益差距不大，建议将冷家屯村、石灰窑村和文明村调整为III类地区片； </w:t>
      </w:r>
    </w:p>
    <w:p>
      <w:pPr>
        <w:pStyle w:val="10"/>
        <w:keepNext w:val="0"/>
        <w:keepLines w:val="0"/>
        <w:widowControl/>
        <w:suppressLineNumbers w:val="0"/>
        <w:spacing w:before="60" w:beforeAutospacing="0" w:after="60" w:afterAutospacing="0"/>
        <w:ind w:left="0" w:right="0" w:firstLine="444"/>
      </w:pPr>
      <w:r>
        <w:rPr>
          <w:rFonts w:hint="eastAsia" w:ascii="仿宋_GB2312" w:eastAsia="仿宋_GB2312" w:cs="仿宋_GB2312"/>
          <w:sz w:val="22"/>
          <w:szCs w:val="22"/>
        </w:rPr>
        <w:t>    分析结果：</w:t>
      </w:r>
    </w:p>
    <w:p>
      <w:pPr>
        <w:pStyle w:val="10"/>
        <w:keepNext w:val="0"/>
        <w:keepLines w:val="0"/>
        <w:widowControl/>
        <w:suppressLineNumbers w:val="0"/>
        <w:spacing w:before="60" w:beforeAutospacing="0" w:after="60" w:afterAutospacing="0"/>
        <w:ind w:left="0" w:right="0" w:firstLine="444"/>
      </w:pPr>
      <w:r>
        <w:rPr>
          <w:rFonts w:hint="eastAsia" w:ascii="仿宋_GB2312" w:eastAsia="仿宋_GB2312" w:cs="仿宋_GB2312"/>
          <w:sz w:val="22"/>
          <w:szCs w:val="22"/>
        </w:rPr>
        <w:t>根据收集到基础资料的分析，一冷家屯村、石灰窑村和文明村大部分区域土壤肥力、酸碱度等指标近三年变化不大，土地生产力保持相对稳定；二从区位条件分析，冷家屯村等距昆曲高铁站约35公里，交通可达性与上轮也没有较大变化</w:t>
      </w:r>
      <w:r>
        <w:rPr>
          <w:rFonts w:hint="eastAsia" w:ascii="仿宋_GB2312" w:eastAsia="仿宋_GB2312" w:cs="仿宋_GB2312"/>
          <w:sz w:val="22"/>
          <w:szCs w:val="22"/>
        </w:rPr>
        <w:t>且</w:t>
      </w:r>
      <w:r>
        <w:rPr>
          <w:rFonts w:hint="eastAsia" w:ascii="仿宋_GB2312" w:eastAsia="仿宋_GB2312" w:cs="仿宋_GB2312"/>
          <w:sz w:val="22"/>
          <w:szCs w:val="22"/>
        </w:rPr>
        <w:t>冷家屯村、石灰窑村和文明村距云南麒麟产业园区亦相对较远，未进入核心辐射圈；三根据资料收集分析近年冷家屯村、石灰窑村和文明村农民人均可支配收入基本稳定，未有较大幅度调整和变动，因此，综合土地资源条件、区位条件以及经济社会发展水平等多方面因素分析，冷家屯村、石灰窑村和文明村3个村委会主要地类分布格局未发生较大变化大部分区域土壤肥力、酸碱度等指标变化不大，土地生产力保持相对稳定，区位条件等其他因素变动变化亦不大，故此次暂时不做调整。</w:t>
      </w:r>
    </w:p>
    <w:p>
      <w:pPr>
        <w:pStyle w:val="10"/>
        <w:keepNext w:val="0"/>
        <w:keepLines w:val="0"/>
        <w:widowControl/>
        <w:suppressLineNumbers w:val="0"/>
        <w:spacing w:before="60" w:beforeAutospacing="0" w:after="60" w:afterAutospacing="0"/>
        <w:ind w:left="0" w:right="0" w:firstLine="444"/>
      </w:pPr>
      <w:r>
        <w:rPr>
          <w:rFonts w:hint="eastAsia" w:ascii="仿宋_GB2312" w:eastAsia="仿宋_GB2312" w:cs="仿宋_GB2312"/>
          <w:sz w:val="22"/>
          <w:szCs w:val="22"/>
        </w:rPr>
        <w:t>2、越州镇调整至与三宝街道一致。</w:t>
      </w:r>
    </w:p>
    <w:p>
      <w:pPr>
        <w:pStyle w:val="10"/>
        <w:keepNext w:val="0"/>
        <w:keepLines w:val="0"/>
        <w:widowControl/>
        <w:suppressLineNumbers w:val="0"/>
        <w:spacing w:before="60" w:beforeAutospacing="0" w:after="60" w:afterAutospacing="0"/>
        <w:ind w:left="0" w:right="0" w:firstLine="444"/>
      </w:pPr>
      <w:r>
        <w:rPr>
          <w:rFonts w:hint="eastAsia" w:ascii="仿宋_GB2312" w:eastAsia="仿宋_GB2312" w:cs="仿宋_GB2312"/>
          <w:sz w:val="22"/>
          <w:szCs w:val="22"/>
        </w:rPr>
        <w:t> 分析结果：</w:t>
      </w:r>
    </w:p>
    <w:p>
      <w:pPr>
        <w:pStyle w:val="10"/>
        <w:keepNext w:val="0"/>
        <w:keepLines w:val="0"/>
        <w:widowControl/>
        <w:suppressLineNumbers w:val="0"/>
        <w:spacing w:before="60" w:beforeAutospacing="0" w:after="60" w:afterAutospacing="0"/>
        <w:ind w:left="0" w:right="0" w:firstLine="444"/>
      </w:pPr>
      <w:r>
        <w:rPr>
          <w:rFonts w:hint="eastAsia" w:ascii="仿宋_GB2312" w:eastAsia="仿宋_GB2312" w:cs="仿宋_GB2312"/>
          <w:sz w:val="22"/>
          <w:szCs w:val="22"/>
        </w:rPr>
        <w:t>根据2023年公布实施的麒麟区区片综合地价标准，麒麟区区片划分以行政村为基本评价单元，选取土地资源条件、土地区位，土地供求关系以及社会发展水平等因素涉及的相关因子建立评价指标体系，确定每一个基本单元的综合分值，将综合分值相近的单元进行归并和调整确定。根据省级《更新调整方案》的要求，区片调整以多因素综合评价法为主导，主要考虑土地资源条件、土地区位、土地供求关系和经济社会发展水平4个因素8个因子。即垦殖指数、耕地自然等、土地年产值、距中心城镇距离、路网密度、征地规模、人均农用地、人均可支配收入等因子指标，基于调查、统计资料，分别测算各基本评价单元内的指标值，通过极值标准化、位序标准化等方法对因素的各指标值进行标准化处理后，分档赋分，并按照一定的权重计算各评价单元的综合分值。区片调整是一个多因素综合评价的结果，不以单一因素进行判定，经复核越州镇部分区域的土地利用类型有一定改变，但是变化幅度较小，农用地、建设用地等主要地类分布未发生较大变化，其次，从交通区位变化来看，虽然近年越州镇交通设施等建设有所完善，但其距麒麟区核心辐射区相对较远从经济发展水平、社会保障水平、土地供求关系、物价水平、上一轮区片价实施效果及其他因素等多维度的分析，各项指标变化平稳，未出现较大变化，故此次暂时不做调整。</w:t>
      </w:r>
    </w:p>
    <w:p>
      <w:pPr>
        <w:pStyle w:val="10"/>
        <w:keepNext w:val="0"/>
        <w:keepLines w:val="0"/>
        <w:widowControl/>
        <w:suppressLineNumbers w:val="0"/>
        <w:spacing w:before="60" w:beforeAutospacing="0" w:after="60" w:afterAutospacing="0"/>
        <w:ind w:left="0" w:right="0"/>
      </w:pPr>
    </w:p>
    <w:p>
      <w:pPr>
        <w:pStyle w:val="3"/>
        <w:keepNext w:val="0"/>
        <w:keepLines w:val="0"/>
        <w:widowControl/>
        <w:suppressLineNumbers w:val="0"/>
        <w:spacing w:before="96" w:beforeAutospacing="0" w:after="96" w:afterAutospacing="0"/>
      </w:pPr>
      <w:r>
        <w:rPr>
          <w:rStyle w:val="14"/>
          <w:rFonts w:hint="eastAsia" w:ascii="宋体" w:hAnsi="宋体" w:eastAsia="宋体" w:cs="宋体"/>
          <w:b/>
          <w:sz w:val="22"/>
          <w:szCs w:val="22"/>
        </w:rPr>
        <w:t>三、上一轮区片划分的合理性分析</w:t>
      </w:r>
    </w:p>
    <w:p>
      <w:pPr>
        <w:pStyle w:val="10"/>
        <w:keepNext w:val="0"/>
        <w:keepLines w:val="0"/>
        <w:widowControl/>
        <w:suppressLineNumbers w:val="0"/>
        <w:spacing w:before="60" w:beforeAutospacing="0" w:after="60" w:afterAutospacing="0"/>
        <w:ind w:left="0" w:right="0"/>
      </w:pPr>
      <w:r>
        <w:rPr>
          <w:rStyle w:val="14"/>
          <w:rFonts w:hint="eastAsia" w:ascii="宋体" w:hAnsi="宋体" w:eastAsia="宋体" w:cs="宋体"/>
          <w:sz w:val="22"/>
          <w:szCs w:val="22"/>
        </w:rPr>
        <w:t>（一）土地资源条件变动</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1.土地利用现状变化</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通过土地利用现状调查数据对比分析，上一轮区片划分采用2021年变更调查成果作为工作底图，本轮区片价按照2023年变更调查成果作为工作底图，通过对比两轮的工作底图数据，部分区域的土地利用类型有一定改变，但是变化幅度较小。麒麟区域由于城市扩张，原本的部分农业用地转变为建设用地，使得该区域园地、林地和草地面积减少，建设用地面积增加。然而，从整体来看，大部分区域的土地利用类型相对稳定，占比较大的农用地、建设用地等主要地类分布格局未发生颠覆性变化 。这种稳定性表明，现行区片划分在反映土地资源基本属性方面仍具有一定的合理性。</w:t>
      </w:r>
    </w:p>
    <w:p>
      <w:pPr>
        <w:pStyle w:val="10"/>
        <w:keepNext w:val="0"/>
        <w:keepLines w:val="0"/>
        <w:widowControl/>
        <w:suppressLineNumbers w:val="0"/>
        <w:spacing w:before="60" w:beforeAutospacing="0" w:after="60" w:afterAutospacing="0"/>
        <w:ind w:left="0" w:right="0" w:firstLine="444"/>
        <w:jc w:val="center"/>
      </w:pPr>
      <w:r>
        <w:rPr>
          <w:rFonts w:hint="eastAsia" w:ascii="仿宋_GB2312" w:eastAsia="仿宋_GB2312" w:cs="仿宋_GB2312"/>
          <w:sz w:val="22"/>
          <w:szCs w:val="22"/>
        </w:rPr>
        <w:t>表3-1土地利用现状分类面积统计对比表</w:t>
      </w:r>
    </w:p>
    <w:tbl>
      <w:tblPr>
        <w:tblW w:w="12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15" w:type="dxa"/>
          <w:left w:w="15" w:type="dxa"/>
          <w:bottom w:w="15" w:type="dxa"/>
          <w:right w:w="15" w:type="dxa"/>
        </w:tblCellMar>
      </w:tblPr>
      <w:tblGrid>
        <w:gridCol w:w="648"/>
        <w:gridCol w:w="848"/>
        <w:gridCol w:w="742"/>
        <w:gridCol w:w="848"/>
        <w:gridCol w:w="742"/>
        <w:gridCol w:w="6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312" w:hRule="atLeast"/>
        </w:trPr>
        <w:tc>
          <w:tcPr>
            <w:tcW w:w="1824" w:type="dxa"/>
            <w:vMerge w:val="restart"/>
            <w:tcBorders>
              <w:top w:val="single" w:color="auto" w:sz="4" w:space="0"/>
              <w:left w:val="single" w:color="auto"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Style w:val="14"/>
                <w:rFonts w:hint="eastAsia" w:ascii="宋体" w:hAnsi="宋体" w:eastAsia="宋体" w:cs="宋体"/>
                <w:sz w:val="16"/>
                <w:szCs w:val="16"/>
                <w:bdr w:val="none" w:color="auto" w:sz="0" w:space="0"/>
              </w:rPr>
              <w:t>土地利用现状分类</w:t>
            </w:r>
          </w:p>
        </w:tc>
        <w:tc>
          <w:tcPr>
            <w:tcW w:w="1968" w:type="dxa"/>
            <w:gridSpan w:val="2"/>
            <w:tcBorders>
              <w:top w:val="single" w:color="auto" w:sz="4" w:space="0"/>
              <w:left w:val="single" w:color="000000"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Style w:val="14"/>
                <w:rFonts w:hint="default" w:ascii="Times New Roman" w:hAnsi="Times New Roman" w:cs="Times New Roman"/>
                <w:sz w:val="16"/>
                <w:szCs w:val="16"/>
                <w:bdr w:val="none" w:color="auto" w:sz="0" w:space="0"/>
              </w:rPr>
              <w:t>2021</w:t>
            </w:r>
            <w:r>
              <w:rPr>
                <w:rStyle w:val="14"/>
                <w:rFonts w:hint="eastAsia" w:ascii="宋体" w:hAnsi="宋体" w:eastAsia="宋体" w:cs="宋体"/>
                <w:sz w:val="16"/>
                <w:szCs w:val="16"/>
                <w:bdr w:val="none" w:color="auto" w:sz="0" w:space="0"/>
              </w:rPr>
              <w:t>年度国土变更调查数据库</w:t>
            </w:r>
          </w:p>
        </w:tc>
        <w:tc>
          <w:tcPr>
            <w:tcW w:w="1956" w:type="dxa"/>
            <w:gridSpan w:val="2"/>
            <w:tcBorders>
              <w:top w:val="single" w:color="auto" w:sz="4" w:space="0"/>
              <w:left w:val="single" w:color="000000"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Style w:val="14"/>
                <w:rFonts w:hint="default" w:ascii="Times New Roman" w:hAnsi="Times New Roman" w:cs="Times New Roman"/>
                <w:sz w:val="16"/>
                <w:szCs w:val="16"/>
                <w:bdr w:val="none" w:color="auto" w:sz="0" w:space="0"/>
              </w:rPr>
              <w:t>2023</w:t>
            </w:r>
            <w:r>
              <w:rPr>
                <w:rStyle w:val="14"/>
                <w:rFonts w:hint="eastAsia" w:ascii="宋体" w:hAnsi="宋体" w:eastAsia="宋体" w:cs="宋体"/>
                <w:sz w:val="16"/>
                <w:szCs w:val="16"/>
                <w:bdr w:val="none" w:color="auto" w:sz="0" w:space="0"/>
              </w:rPr>
              <w:t>年度国土变更调查数据库</w:t>
            </w:r>
          </w:p>
        </w:tc>
        <w:tc>
          <w:tcPr>
            <w:tcW w:w="1068" w:type="dxa"/>
            <w:vMerge w:val="restart"/>
            <w:tcBorders>
              <w:top w:val="single" w:color="auto" w:sz="4" w:space="0"/>
              <w:left w:val="single" w:color="000000" w:sz="4" w:space="0"/>
              <w:bottom w:val="single" w:color="auto" w:sz="4" w:space="0"/>
              <w:right w:val="single" w:color="auto"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Style w:val="14"/>
                <w:rFonts w:hint="eastAsia" w:ascii="宋体" w:hAnsi="宋体" w:eastAsia="宋体" w:cs="宋体"/>
                <w:sz w:val="16"/>
                <w:szCs w:val="16"/>
                <w:bdr w:val="none" w:color="auto" w:sz="0" w:space="0"/>
              </w:rPr>
              <w:t>变化幅度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444" w:hRule="atLeast"/>
        </w:trPr>
        <w:tc>
          <w:tcPr>
            <w:tcW w:w="1824" w:type="dxa"/>
            <w:vMerge w:val="continue"/>
            <w:tcBorders>
              <w:top w:val="single" w:color="auto" w:sz="4" w:space="0"/>
              <w:left w:val="single" w:color="auto" w:sz="4" w:space="0"/>
              <w:bottom w:val="single" w:color="auto" w:sz="4" w:space="0"/>
              <w:right w:val="single" w:color="000000" w:sz="4" w:space="0"/>
            </w:tcBorders>
            <w:shd w:val="clear"/>
            <w:tcMar>
              <w:top w:w="0" w:type="dxa"/>
              <w:left w:w="84" w:type="dxa"/>
              <w:bottom w:w="0" w:type="dxa"/>
              <w:right w:w="84" w:type="dxa"/>
            </w:tcMar>
            <w:vAlign w:val="center"/>
          </w:tcPr>
          <w:p>
            <w:pPr>
              <w:rPr>
                <w:rFonts w:hint="eastAsia" w:ascii="宋体"/>
                <w:sz w:val="24"/>
                <w:szCs w:val="24"/>
              </w:rPr>
            </w:pPr>
          </w:p>
        </w:tc>
        <w:tc>
          <w:tcPr>
            <w:tcW w:w="936" w:type="dxa"/>
            <w:vMerge w:val="restart"/>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Style w:val="14"/>
                <w:rFonts w:hint="eastAsia" w:ascii="宋体" w:hAnsi="宋体" w:eastAsia="宋体" w:cs="宋体"/>
                <w:sz w:val="16"/>
                <w:szCs w:val="16"/>
                <w:bdr w:val="none" w:color="auto" w:sz="0" w:space="0"/>
              </w:rPr>
              <w:t>面积</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Style w:val="14"/>
                <w:rFonts w:hint="eastAsia" w:ascii="宋体" w:hAnsi="宋体" w:eastAsia="宋体" w:cs="宋体"/>
                <w:sz w:val="16"/>
                <w:szCs w:val="16"/>
                <w:bdr w:val="none" w:color="auto" w:sz="0" w:space="0"/>
              </w:rPr>
              <w:t>（公顷）</w:t>
            </w:r>
          </w:p>
        </w:tc>
        <w:tc>
          <w:tcPr>
            <w:tcW w:w="1032" w:type="dxa"/>
            <w:vMerge w:val="restart"/>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Style w:val="14"/>
                <w:rFonts w:hint="eastAsia" w:ascii="宋体" w:hAnsi="宋体" w:eastAsia="宋体" w:cs="宋体"/>
                <w:sz w:val="16"/>
                <w:szCs w:val="16"/>
                <w:bdr w:val="none" w:color="auto" w:sz="0" w:space="0"/>
              </w:rPr>
              <w:t>占土地总面积比例</w:t>
            </w:r>
          </w:p>
        </w:tc>
        <w:tc>
          <w:tcPr>
            <w:tcW w:w="948" w:type="dxa"/>
            <w:vMerge w:val="restart"/>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Style w:val="14"/>
                <w:rFonts w:hint="eastAsia" w:ascii="宋体" w:hAnsi="宋体" w:eastAsia="宋体" w:cs="宋体"/>
                <w:sz w:val="16"/>
                <w:szCs w:val="16"/>
                <w:bdr w:val="none" w:color="auto" w:sz="0" w:space="0"/>
              </w:rPr>
              <w:t>面积</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Style w:val="14"/>
                <w:rFonts w:hint="eastAsia" w:ascii="宋体" w:hAnsi="宋体" w:eastAsia="宋体" w:cs="宋体"/>
                <w:sz w:val="16"/>
                <w:szCs w:val="16"/>
                <w:bdr w:val="none" w:color="auto" w:sz="0" w:space="0"/>
              </w:rPr>
              <w:t>（公顷）</w:t>
            </w:r>
          </w:p>
        </w:tc>
        <w:tc>
          <w:tcPr>
            <w:tcW w:w="1008" w:type="dxa"/>
            <w:vMerge w:val="restart"/>
            <w:tcBorders>
              <w:top w:val="single" w:color="auto" w:sz="4" w:space="0"/>
              <w:left w:val="single" w:color="000000"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Style w:val="14"/>
                <w:rFonts w:hint="eastAsia" w:ascii="宋体" w:hAnsi="宋体" w:eastAsia="宋体" w:cs="宋体"/>
                <w:sz w:val="16"/>
                <w:szCs w:val="16"/>
                <w:bdr w:val="none" w:color="auto" w:sz="0" w:space="0"/>
              </w:rPr>
              <w:t>占土地总面积比例</w:t>
            </w:r>
          </w:p>
        </w:tc>
        <w:tc>
          <w:tcPr>
            <w:tcW w:w="1068" w:type="dxa"/>
            <w:vMerge w:val="continue"/>
            <w:tcBorders>
              <w:top w:val="single" w:color="auto" w:sz="4" w:space="0"/>
              <w:left w:val="single" w:color="000000" w:sz="4" w:space="0"/>
              <w:bottom w:val="single" w:color="auto" w:sz="4" w:space="0"/>
              <w:right w:val="single" w:color="auto" w:sz="4" w:space="0"/>
            </w:tcBorders>
            <w:shd w:val="clear"/>
            <w:tcMar>
              <w:top w:w="0" w:type="dxa"/>
              <w:left w:w="84" w:type="dxa"/>
              <w:bottom w:w="0" w:type="dxa"/>
              <w:right w:w="84"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312" w:hRule="atLeast"/>
        </w:trPr>
        <w:tc>
          <w:tcPr>
            <w:tcW w:w="1824" w:type="dxa"/>
            <w:vMerge w:val="continue"/>
            <w:tcBorders>
              <w:top w:val="single" w:color="auto" w:sz="4" w:space="0"/>
              <w:left w:val="single" w:color="auto" w:sz="4" w:space="0"/>
              <w:bottom w:val="single" w:color="auto" w:sz="4" w:space="0"/>
              <w:right w:val="single" w:color="000000" w:sz="4" w:space="0"/>
            </w:tcBorders>
            <w:shd w:val="clear"/>
            <w:tcMar>
              <w:top w:w="0" w:type="dxa"/>
              <w:left w:w="84" w:type="dxa"/>
              <w:bottom w:w="0" w:type="dxa"/>
              <w:right w:w="84" w:type="dxa"/>
            </w:tcMar>
            <w:vAlign w:val="center"/>
          </w:tcPr>
          <w:p>
            <w:pPr>
              <w:rPr>
                <w:rFonts w:hint="eastAsia" w:ascii="宋体"/>
                <w:sz w:val="24"/>
                <w:szCs w:val="24"/>
              </w:rPr>
            </w:pPr>
          </w:p>
        </w:tc>
        <w:tc>
          <w:tcPr>
            <w:tcW w:w="936" w:type="dxa"/>
            <w:vMerge w:val="continue"/>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center"/>
          </w:tcPr>
          <w:p>
            <w:pPr>
              <w:rPr>
                <w:rFonts w:hint="eastAsia" w:ascii="宋体"/>
                <w:sz w:val="24"/>
                <w:szCs w:val="24"/>
              </w:rPr>
            </w:pPr>
          </w:p>
        </w:tc>
        <w:tc>
          <w:tcPr>
            <w:tcW w:w="1032" w:type="dxa"/>
            <w:vMerge w:val="continue"/>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center"/>
          </w:tcPr>
          <w:p>
            <w:pPr>
              <w:rPr>
                <w:rFonts w:hint="eastAsia" w:ascii="宋体"/>
                <w:sz w:val="24"/>
                <w:szCs w:val="24"/>
              </w:rPr>
            </w:pPr>
          </w:p>
        </w:tc>
        <w:tc>
          <w:tcPr>
            <w:tcW w:w="948" w:type="dxa"/>
            <w:vMerge w:val="continue"/>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center"/>
          </w:tcPr>
          <w:p>
            <w:pPr>
              <w:rPr>
                <w:rFonts w:hint="eastAsia" w:ascii="宋体"/>
                <w:sz w:val="24"/>
                <w:szCs w:val="24"/>
              </w:rPr>
            </w:pPr>
          </w:p>
        </w:tc>
        <w:tc>
          <w:tcPr>
            <w:tcW w:w="1008" w:type="dxa"/>
            <w:vMerge w:val="continue"/>
            <w:tcBorders>
              <w:top w:val="single" w:color="auto" w:sz="4" w:space="0"/>
              <w:left w:val="single" w:color="000000" w:sz="4" w:space="0"/>
              <w:bottom w:val="single" w:color="auto" w:sz="4" w:space="0"/>
              <w:right w:val="single" w:color="000000" w:sz="4" w:space="0"/>
            </w:tcBorders>
            <w:shd w:val="clear"/>
            <w:tcMar>
              <w:top w:w="0" w:type="dxa"/>
              <w:left w:w="84" w:type="dxa"/>
              <w:bottom w:w="0" w:type="dxa"/>
              <w:right w:w="84" w:type="dxa"/>
            </w:tcMar>
            <w:vAlign w:val="center"/>
          </w:tcPr>
          <w:p>
            <w:pPr>
              <w:rPr>
                <w:rFonts w:hint="eastAsia" w:ascii="宋体"/>
                <w:sz w:val="24"/>
                <w:szCs w:val="24"/>
              </w:rPr>
            </w:pPr>
          </w:p>
        </w:tc>
        <w:tc>
          <w:tcPr>
            <w:tcW w:w="1068" w:type="dxa"/>
            <w:vMerge w:val="continue"/>
            <w:tcBorders>
              <w:top w:val="single" w:color="auto" w:sz="4" w:space="0"/>
              <w:left w:val="single" w:color="000000" w:sz="4" w:space="0"/>
              <w:bottom w:val="single" w:color="auto" w:sz="4" w:space="0"/>
              <w:right w:val="single" w:color="auto" w:sz="4" w:space="0"/>
            </w:tcBorders>
            <w:shd w:val="clear"/>
            <w:tcMar>
              <w:top w:w="0" w:type="dxa"/>
              <w:left w:w="84" w:type="dxa"/>
              <w:bottom w:w="0" w:type="dxa"/>
              <w:right w:w="84"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312" w:hRule="atLeast"/>
        </w:trPr>
        <w:tc>
          <w:tcPr>
            <w:tcW w:w="1824" w:type="dxa"/>
            <w:tcBorders>
              <w:top w:val="nil"/>
              <w:left w:val="single" w:color="auto"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6"/>
                <w:szCs w:val="16"/>
                <w:bdr w:val="none" w:color="auto" w:sz="0" w:space="0"/>
              </w:rPr>
              <w:t>耕地（</w:t>
            </w:r>
            <w:r>
              <w:rPr>
                <w:rFonts w:hint="default" w:ascii="Times New Roman" w:hAnsi="Times New Roman" w:cs="Times New Roman"/>
                <w:sz w:val="16"/>
                <w:szCs w:val="16"/>
                <w:bdr w:val="none" w:color="auto" w:sz="0" w:space="0"/>
              </w:rPr>
              <w:t>01</w:t>
            </w:r>
            <w:r>
              <w:rPr>
                <w:rFonts w:hint="eastAsia" w:ascii="宋体" w:hAnsi="宋体" w:eastAsia="宋体" w:cs="宋体"/>
                <w:sz w:val="16"/>
                <w:szCs w:val="16"/>
                <w:bdr w:val="none" w:color="auto" w:sz="0" w:space="0"/>
              </w:rPr>
              <w:t>）</w:t>
            </w:r>
          </w:p>
        </w:tc>
        <w:tc>
          <w:tcPr>
            <w:tcW w:w="936" w:type="dxa"/>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Times New Roman" w:hAnsi="Times New Roman" w:cs="Times New Roman"/>
                <w:sz w:val="16"/>
                <w:szCs w:val="16"/>
                <w:bdr w:val="none" w:color="auto" w:sz="0" w:space="0"/>
              </w:rPr>
              <w:t>42350.98</w:t>
            </w:r>
          </w:p>
        </w:tc>
        <w:tc>
          <w:tcPr>
            <w:tcW w:w="1032" w:type="dxa"/>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Times New Roman" w:hAnsi="Times New Roman" w:cs="Times New Roman"/>
                <w:sz w:val="16"/>
                <w:szCs w:val="16"/>
                <w:bdr w:val="none" w:color="auto" w:sz="0" w:space="0"/>
              </w:rPr>
              <w:t>27.44%</w:t>
            </w:r>
          </w:p>
        </w:tc>
        <w:tc>
          <w:tcPr>
            <w:tcW w:w="948" w:type="dxa"/>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bottom"/>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ottom"/>
            </w:pPr>
            <w:r>
              <w:rPr>
                <w:rFonts w:hint="default" w:ascii="Times New Roman" w:hAnsi="Times New Roman" w:cs="Times New Roman"/>
                <w:sz w:val="16"/>
                <w:szCs w:val="16"/>
                <w:bdr w:val="none" w:color="auto" w:sz="0" w:space="0"/>
              </w:rPr>
              <w:t>43004.21</w:t>
            </w:r>
          </w:p>
        </w:tc>
        <w:tc>
          <w:tcPr>
            <w:tcW w:w="1008" w:type="dxa"/>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Times New Roman" w:hAnsi="Times New Roman" w:cs="Times New Roman"/>
                <w:sz w:val="16"/>
                <w:szCs w:val="16"/>
                <w:bdr w:val="none" w:color="auto" w:sz="0" w:space="0"/>
              </w:rPr>
              <w:t>28.92%</w:t>
            </w:r>
          </w:p>
        </w:tc>
        <w:tc>
          <w:tcPr>
            <w:tcW w:w="1068" w:type="dxa"/>
            <w:tcBorders>
              <w:top w:val="nil"/>
              <w:left w:val="single" w:color="000000" w:sz="4" w:space="0"/>
              <w:bottom w:val="single" w:color="auto" w:sz="4" w:space="0"/>
              <w:right w:val="single" w:color="auto"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Times New Roman" w:hAnsi="Times New Roman" w:cs="Times New Roman"/>
                <w:sz w:val="16"/>
                <w:szCs w:val="16"/>
                <w:bdr w:val="none" w:color="auto" w:sz="0" w:space="0"/>
              </w:rPr>
              <w:t>1.48%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312" w:hRule="atLeast"/>
        </w:trPr>
        <w:tc>
          <w:tcPr>
            <w:tcW w:w="1824" w:type="dxa"/>
            <w:tcBorders>
              <w:top w:val="nil"/>
              <w:left w:val="single" w:color="auto"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6"/>
                <w:szCs w:val="16"/>
                <w:bdr w:val="none" w:color="auto" w:sz="0" w:space="0"/>
              </w:rPr>
              <w:t>园地（</w:t>
            </w:r>
            <w:r>
              <w:rPr>
                <w:rFonts w:hint="default" w:ascii="Times New Roman" w:hAnsi="Times New Roman" w:cs="Times New Roman"/>
                <w:sz w:val="16"/>
                <w:szCs w:val="16"/>
                <w:bdr w:val="none" w:color="auto" w:sz="0" w:space="0"/>
              </w:rPr>
              <w:t>02</w:t>
            </w:r>
            <w:r>
              <w:rPr>
                <w:rFonts w:hint="eastAsia" w:ascii="宋体" w:hAnsi="宋体" w:eastAsia="宋体" w:cs="宋体"/>
                <w:sz w:val="16"/>
                <w:szCs w:val="16"/>
                <w:bdr w:val="none" w:color="auto" w:sz="0" w:space="0"/>
              </w:rPr>
              <w:t>）</w:t>
            </w:r>
          </w:p>
        </w:tc>
        <w:tc>
          <w:tcPr>
            <w:tcW w:w="936" w:type="dxa"/>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Times New Roman" w:hAnsi="Times New Roman" w:cs="Times New Roman"/>
                <w:sz w:val="16"/>
                <w:szCs w:val="16"/>
                <w:bdr w:val="none" w:color="auto" w:sz="0" w:space="0"/>
              </w:rPr>
              <w:t>6509.93</w:t>
            </w:r>
          </w:p>
        </w:tc>
        <w:tc>
          <w:tcPr>
            <w:tcW w:w="1032" w:type="dxa"/>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Times New Roman" w:hAnsi="Times New Roman" w:cs="Times New Roman"/>
                <w:sz w:val="16"/>
                <w:szCs w:val="16"/>
                <w:bdr w:val="none" w:color="auto" w:sz="0" w:space="0"/>
              </w:rPr>
              <w:t>4.22%</w:t>
            </w:r>
          </w:p>
        </w:tc>
        <w:tc>
          <w:tcPr>
            <w:tcW w:w="948" w:type="dxa"/>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bottom"/>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ottom"/>
            </w:pPr>
            <w:r>
              <w:rPr>
                <w:rFonts w:hint="default" w:ascii="Times New Roman" w:hAnsi="Times New Roman" w:cs="Times New Roman"/>
                <w:sz w:val="16"/>
                <w:szCs w:val="16"/>
                <w:bdr w:val="none" w:color="auto" w:sz="0" w:space="0"/>
              </w:rPr>
              <w:t>5436.72</w:t>
            </w:r>
          </w:p>
        </w:tc>
        <w:tc>
          <w:tcPr>
            <w:tcW w:w="1008" w:type="dxa"/>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Times New Roman" w:hAnsi="Times New Roman" w:cs="Times New Roman"/>
                <w:sz w:val="16"/>
                <w:szCs w:val="16"/>
                <w:bdr w:val="none" w:color="auto" w:sz="0" w:space="0"/>
              </w:rPr>
              <w:t>3.66%</w:t>
            </w:r>
          </w:p>
        </w:tc>
        <w:tc>
          <w:tcPr>
            <w:tcW w:w="1068" w:type="dxa"/>
            <w:tcBorders>
              <w:top w:val="nil"/>
              <w:left w:val="single" w:color="000000" w:sz="4" w:space="0"/>
              <w:bottom w:val="single" w:color="auto" w:sz="4" w:space="0"/>
              <w:right w:val="single" w:color="auto"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Times New Roman" w:hAnsi="Times New Roman" w:cs="Times New Roman"/>
                <w:sz w:val="16"/>
                <w:szCs w:val="16"/>
                <w:bdr w:val="none" w:color="auto" w:sz="0" w:space="0"/>
              </w:rPr>
              <w:t>-0.56%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312" w:hRule="atLeast"/>
        </w:trPr>
        <w:tc>
          <w:tcPr>
            <w:tcW w:w="1824" w:type="dxa"/>
            <w:tcBorders>
              <w:top w:val="nil"/>
              <w:left w:val="single" w:color="auto"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6"/>
                <w:szCs w:val="16"/>
                <w:bdr w:val="none" w:color="auto" w:sz="0" w:space="0"/>
              </w:rPr>
              <w:t>林地（</w:t>
            </w:r>
            <w:r>
              <w:rPr>
                <w:rFonts w:hint="default" w:ascii="Times New Roman" w:hAnsi="Times New Roman" w:cs="Times New Roman"/>
                <w:sz w:val="16"/>
                <w:szCs w:val="16"/>
                <w:bdr w:val="none" w:color="auto" w:sz="0" w:space="0"/>
              </w:rPr>
              <w:t>03</w:t>
            </w:r>
            <w:r>
              <w:rPr>
                <w:rFonts w:hint="eastAsia" w:ascii="宋体" w:hAnsi="宋体" w:eastAsia="宋体" w:cs="宋体"/>
                <w:sz w:val="16"/>
                <w:szCs w:val="16"/>
                <w:bdr w:val="none" w:color="auto" w:sz="0" w:space="0"/>
              </w:rPr>
              <w:t>）</w:t>
            </w:r>
          </w:p>
        </w:tc>
        <w:tc>
          <w:tcPr>
            <w:tcW w:w="936" w:type="dxa"/>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Times New Roman" w:hAnsi="Times New Roman" w:cs="Times New Roman"/>
                <w:sz w:val="16"/>
                <w:szCs w:val="16"/>
                <w:bdr w:val="none" w:color="auto" w:sz="0" w:space="0"/>
              </w:rPr>
              <w:t>70105.55</w:t>
            </w:r>
          </w:p>
        </w:tc>
        <w:tc>
          <w:tcPr>
            <w:tcW w:w="1032" w:type="dxa"/>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Times New Roman" w:hAnsi="Times New Roman" w:cs="Times New Roman"/>
                <w:sz w:val="16"/>
                <w:szCs w:val="16"/>
                <w:bdr w:val="none" w:color="auto" w:sz="0" w:space="0"/>
              </w:rPr>
              <w:t>45.42%</w:t>
            </w:r>
          </w:p>
        </w:tc>
        <w:tc>
          <w:tcPr>
            <w:tcW w:w="948" w:type="dxa"/>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bottom"/>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ottom"/>
            </w:pPr>
            <w:r>
              <w:rPr>
                <w:rFonts w:hint="default" w:ascii="Times New Roman" w:hAnsi="Times New Roman" w:cs="Times New Roman"/>
                <w:sz w:val="16"/>
                <w:szCs w:val="16"/>
                <w:bdr w:val="none" w:color="auto" w:sz="0" w:space="0"/>
              </w:rPr>
              <w:t>69434.75</w:t>
            </w:r>
          </w:p>
        </w:tc>
        <w:tc>
          <w:tcPr>
            <w:tcW w:w="1008" w:type="dxa"/>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Times New Roman" w:hAnsi="Times New Roman" w:cs="Times New Roman"/>
                <w:sz w:val="16"/>
                <w:szCs w:val="16"/>
                <w:bdr w:val="none" w:color="auto" w:sz="0" w:space="0"/>
              </w:rPr>
              <w:t>46.70%</w:t>
            </w:r>
          </w:p>
        </w:tc>
        <w:tc>
          <w:tcPr>
            <w:tcW w:w="1068" w:type="dxa"/>
            <w:tcBorders>
              <w:top w:val="nil"/>
              <w:left w:val="single" w:color="000000" w:sz="4" w:space="0"/>
              <w:bottom w:val="single" w:color="auto" w:sz="4" w:space="0"/>
              <w:right w:val="single" w:color="auto"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Times New Roman" w:hAnsi="Times New Roman" w:cs="Times New Roman"/>
                <w:sz w:val="16"/>
                <w:szCs w:val="16"/>
                <w:bdr w:val="none" w:color="auto" w:sz="0" w:space="0"/>
              </w:rPr>
              <w:t>1.28%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312" w:hRule="atLeast"/>
        </w:trPr>
        <w:tc>
          <w:tcPr>
            <w:tcW w:w="1824" w:type="dxa"/>
            <w:tcBorders>
              <w:top w:val="nil"/>
              <w:left w:val="single" w:color="auto"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6"/>
                <w:szCs w:val="16"/>
                <w:bdr w:val="none" w:color="auto" w:sz="0" w:space="0"/>
              </w:rPr>
              <w:t>草地（</w:t>
            </w:r>
            <w:r>
              <w:rPr>
                <w:rFonts w:hint="default" w:ascii="Times New Roman" w:hAnsi="Times New Roman" w:cs="Times New Roman"/>
                <w:sz w:val="16"/>
                <w:szCs w:val="16"/>
                <w:bdr w:val="none" w:color="auto" w:sz="0" w:space="0"/>
              </w:rPr>
              <w:t>04</w:t>
            </w:r>
            <w:r>
              <w:rPr>
                <w:rFonts w:hint="eastAsia" w:ascii="宋体" w:hAnsi="宋体" w:eastAsia="宋体" w:cs="宋体"/>
                <w:sz w:val="16"/>
                <w:szCs w:val="16"/>
                <w:bdr w:val="none" w:color="auto" w:sz="0" w:space="0"/>
              </w:rPr>
              <w:t>）</w:t>
            </w:r>
          </w:p>
        </w:tc>
        <w:tc>
          <w:tcPr>
            <w:tcW w:w="936" w:type="dxa"/>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Times New Roman" w:hAnsi="Times New Roman" w:cs="Times New Roman"/>
                <w:sz w:val="16"/>
                <w:szCs w:val="16"/>
                <w:bdr w:val="none" w:color="auto" w:sz="0" w:space="0"/>
              </w:rPr>
              <w:t>3730.62</w:t>
            </w:r>
          </w:p>
        </w:tc>
        <w:tc>
          <w:tcPr>
            <w:tcW w:w="1032" w:type="dxa"/>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Times New Roman" w:hAnsi="Times New Roman" w:cs="Times New Roman"/>
                <w:sz w:val="16"/>
                <w:szCs w:val="16"/>
                <w:bdr w:val="none" w:color="auto" w:sz="0" w:space="0"/>
              </w:rPr>
              <w:t>2.42%</w:t>
            </w:r>
          </w:p>
        </w:tc>
        <w:tc>
          <w:tcPr>
            <w:tcW w:w="948" w:type="dxa"/>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bottom"/>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ottom"/>
            </w:pPr>
            <w:r>
              <w:rPr>
                <w:rFonts w:hint="default" w:ascii="Times New Roman" w:hAnsi="Times New Roman" w:cs="Times New Roman"/>
                <w:sz w:val="16"/>
                <w:szCs w:val="16"/>
                <w:bdr w:val="none" w:color="auto" w:sz="0" w:space="0"/>
              </w:rPr>
              <w:t>3936.15</w:t>
            </w:r>
          </w:p>
        </w:tc>
        <w:tc>
          <w:tcPr>
            <w:tcW w:w="1008" w:type="dxa"/>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Times New Roman" w:hAnsi="Times New Roman" w:cs="Times New Roman"/>
                <w:sz w:val="16"/>
                <w:szCs w:val="16"/>
                <w:bdr w:val="none" w:color="auto" w:sz="0" w:space="0"/>
              </w:rPr>
              <w:t>2.65%</w:t>
            </w:r>
          </w:p>
        </w:tc>
        <w:tc>
          <w:tcPr>
            <w:tcW w:w="1068" w:type="dxa"/>
            <w:tcBorders>
              <w:top w:val="nil"/>
              <w:left w:val="single" w:color="000000" w:sz="4" w:space="0"/>
              <w:bottom w:val="single" w:color="auto" w:sz="4" w:space="0"/>
              <w:right w:val="single" w:color="auto"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Times New Roman" w:hAnsi="Times New Roman" w:cs="Times New Roman"/>
                <w:sz w:val="16"/>
                <w:szCs w:val="16"/>
                <w:bdr w:val="none" w:color="auto" w:sz="0" w:space="0"/>
              </w:rPr>
              <w:t>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312" w:hRule="atLeast"/>
        </w:trPr>
        <w:tc>
          <w:tcPr>
            <w:tcW w:w="1824" w:type="dxa"/>
            <w:tcBorders>
              <w:top w:val="nil"/>
              <w:left w:val="single" w:color="auto"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6"/>
                <w:szCs w:val="16"/>
                <w:bdr w:val="none" w:color="auto" w:sz="0" w:space="0"/>
              </w:rPr>
              <w:t>商服用地（</w:t>
            </w:r>
            <w:r>
              <w:rPr>
                <w:rFonts w:hint="default" w:ascii="Times New Roman" w:hAnsi="Times New Roman" w:cs="Times New Roman"/>
                <w:sz w:val="16"/>
                <w:szCs w:val="16"/>
                <w:bdr w:val="none" w:color="auto" w:sz="0" w:space="0"/>
              </w:rPr>
              <w:t>05</w:t>
            </w:r>
            <w:r>
              <w:rPr>
                <w:rFonts w:hint="eastAsia" w:ascii="宋体" w:hAnsi="宋体" w:eastAsia="宋体" w:cs="宋体"/>
                <w:sz w:val="16"/>
                <w:szCs w:val="16"/>
                <w:bdr w:val="none" w:color="auto" w:sz="0" w:space="0"/>
              </w:rPr>
              <w:t>）</w:t>
            </w:r>
          </w:p>
        </w:tc>
        <w:tc>
          <w:tcPr>
            <w:tcW w:w="936" w:type="dxa"/>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Times New Roman" w:hAnsi="Times New Roman" w:cs="Times New Roman"/>
                <w:sz w:val="16"/>
                <w:szCs w:val="16"/>
                <w:bdr w:val="none" w:color="auto" w:sz="0" w:space="0"/>
              </w:rPr>
              <w:t>1152.14</w:t>
            </w:r>
          </w:p>
        </w:tc>
        <w:tc>
          <w:tcPr>
            <w:tcW w:w="1032" w:type="dxa"/>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Times New Roman" w:hAnsi="Times New Roman" w:cs="Times New Roman"/>
                <w:sz w:val="16"/>
                <w:szCs w:val="16"/>
                <w:bdr w:val="none" w:color="auto" w:sz="0" w:space="0"/>
              </w:rPr>
              <w:t>0.75%</w:t>
            </w:r>
          </w:p>
        </w:tc>
        <w:tc>
          <w:tcPr>
            <w:tcW w:w="948" w:type="dxa"/>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bottom"/>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ottom"/>
            </w:pPr>
            <w:r>
              <w:rPr>
                <w:rFonts w:hint="default" w:ascii="Times New Roman" w:hAnsi="Times New Roman" w:cs="Times New Roman"/>
                <w:sz w:val="16"/>
                <w:szCs w:val="16"/>
                <w:bdr w:val="none" w:color="auto" w:sz="0" w:space="0"/>
              </w:rPr>
              <w:t>1210.53</w:t>
            </w:r>
          </w:p>
        </w:tc>
        <w:tc>
          <w:tcPr>
            <w:tcW w:w="1008" w:type="dxa"/>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Times New Roman" w:hAnsi="Times New Roman" w:cs="Times New Roman"/>
                <w:sz w:val="16"/>
                <w:szCs w:val="16"/>
                <w:bdr w:val="none" w:color="auto" w:sz="0" w:space="0"/>
              </w:rPr>
              <w:t>0.81%</w:t>
            </w:r>
          </w:p>
        </w:tc>
        <w:tc>
          <w:tcPr>
            <w:tcW w:w="1068" w:type="dxa"/>
            <w:tcBorders>
              <w:top w:val="nil"/>
              <w:left w:val="single" w:color="000000" w:sz="4" w:space="0"/>
              <w:bottom w:val="single" w:color="auto" w:sz="4" w:space="0"/>
              <w:right w:val="single" w:color="auto"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Times New Roman" w:hAnsi="Times New Roman" w:cs="Times New Roman"/>
                <w:sz w:val="16"/>
                <w:szCs w:val="16"/>
                <w:bdr w:val="none" w:color="auto" w:sz="0" w:space="0"/>
              </w:rPr>
              <w:t>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312" w:hRule="atLeast"/>
        </w:trPr>
        <w:tc>
          <w:tcPr>
            <w:tcW w:w="1824" w:type="dxa"/>
            <w:tcBorders>
              <w:top w:val="nil"/>
              <w:left w:val="single" w:color="auto"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6"/>
                <w:szCs w:val="16"/>
                <w:bdr w:val="none" w:color="auto" w:sz="0" w:space="0"/>
              </w:rPr>
              <w:t>工矿仓储用地（</w:t>
            </w:r>
            <w:r>
              <w:rPr>
                <w:rFonts w:hint="default" w:ascii="Times New Roman" w:hAnsi="Times New Roman" w:cs="Times New Roman"/>
                <w:sz w:val="16"/>
                <w:szCs w:val="16"/>
                <w:bdr w:val="none" w:color="auto" w:sz="0" w:space="0"/>
              </w:rPr>
              <w:t>06</w:t>
            </w:r>
            <w:r>
              <w:rPr>
                <w:rFonts w:hint="eastAsia" w:ascii="宋体" w:hAnsi="宋体" w:eastAsia="宋体" w:cs="宋体"/>
                <w:sz w:val="16"/>
                <w:szCs w:val="16"/>
                <w:bdr w:val="none" w:color="auto" w:sz="0" w:space="0"/>
              </w:rPr>
              <w:t>）</w:t>
            </w:r>
          </w:p>
        </w:tc>
        <w:tc>
          <w:tcPr>
            <w:tcW w:w="936" w:type="dxa"/>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Times New Roman" w:hAnsi="Times New Roman" w:cs="Times New Roman"/>
                <w:sz w:val="16"/>
                <w:szCs w:val="16"/>
                <w:bdr w:val="none" w:color="auto" w:sz="0" w:space="0"/>
              </w:rPr>
              <w:t>3083.36</w:t>
            </w:r>
          </w:p>
        </w:tc>
        <w:tc>
          <w:tcPr>
            <w:tcW w:w="1032" w:type="dxa"/>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Times New Roman" w:hAnsi="Times New Roman" w:cs="Times New Roman"/>
                <w:sz w:val="16"/>
                <w:szCs w:val="16"/>
                <w:bdr w:val="none" w:color="auto" w:sz="0" w:space="0"/>
              </w:rPr>
              <w:t>2.00%</w:t>
            </w:r>
          </w:p>
        </w:tc>
        <w:tc>
          <w:tcPr>
            <w:tcW w:w="948" w:type="dxa"/>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bottom"/>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ottom"/>
            </w:pPr>
            <w:r>
              <w:rPr>
                <w:rFonts w:hint="default" w:ascii="Times New Roman" w:hAnsi="Times New Roman" w:cs="Times New Roman"/>
                <w:sz w:val="16"/>
                <w:szCs w:val="16"/>
                <w:bdr w:val="none" w:color="auto" w:sz="0" w:space="0"/>
              </w:rPr>
              <w:t>3574.27</w:t>
            </w:r>
          </w:p>
        </w:tc>
        <w:tc>
          <w:tcPr>
            <w:tcW w:w="1008" w:type="dxa"/>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Times New Roman" w:hAnsi="Times New Roman" w:cs="Times New Roman"/>
                <w:sz w:val="16"/>
                <w:szCs w:val="16"/>
                <w:bdr w:val="none" w:color="auto" w:sz="0" w:space="0"/>
              </w:rPr>
              <w:t>2.40%</w:t>
            </w:r>
          </w:p>
        </w:tc>
        <w:tc>
          <w:tcPr>
            <w:tcW w:w="1068" w:type="dxa"/>
            <w:tcBorders>
              <w:top w:val="nil"/>
              <w:left w:val="single" w:color="000000" w:sz="4" w:space="0"/>
              <w:bottom w:val="single" w:color="auto" w:sz="4" w:space="0"/>
              <w:right w:val="single" w:color="auto"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Times New Roman" w:hAnsi="Times New Roman" w:cs="Times New Roman"/>
                <w:sz w:val="16"/>
                <w:szCs w:val="16"/>
                <w:bdr w:val="none" w:color="auto" w:sz="0" w:space="0"/>
              </w:rPr>
              <w:t>0.40%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312" w:hRule="atLeast"/>
        </w:trPr>
        <w:tc>
          <w:tcPr>
            <w:tcW w:w="1824" w:type="dxa"/>
            <w:tcBorders>
              <w:top w:val="nil"/>
              <w:left w:val="single" w:color="auto"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6"/>
                <w:szCs w:val="16"/>
                <w:bdr w:val="none" w:color="auto" w:sz="0" w:space="0"/>
              </w:rPr>
              <w:t>住宅用地（</w:t>
            </w:r>
            <w:r>
              <w:rPr>
                <w:rFonts w:hint="default" w:ascii="Times New Roman" w:hAnsi="Times New Roman" w:cs="Times New Roman"/>
                <w:sz w:val="16"/>
                <w:szCs w:val="16"/>
                <w:bdr w:val="none" w:color="auto" w:sz="0" w:space="0"/>
              </w:rPr>
              <w:t>07</w:t>
            </w:r>
            <w:r>
              <w:rPr>
                <w:rFonts w:hint="eastAsia" w:ascii="宋体" w:hAnsi="宋体" w:eastAsia="宋体" w:cs="宋体"/>
                <w:sz w:val="16"/>
                <w:szCs w:val="16"/>
                <w:bdr w:val="none" w:color="auto" w:sz="0" w:space="0"/>
              </w:rPr>
              <w:t>）</w:t>
            </w:r>
          </w:p>
        </w:tc>
        <w:tc>
          <w:tcPr>
            <w:tcW w:w="936" w:type="dxa"/>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Times New Roman" w:hAnsi="Times New Roman" w:cs="Times New Roman"/>
                <w:sz w:val="16"/>
                <w:szCs w:val="16"/>
                <w:bdr w:val="none" w:color="auto" w:sz="0" w:space="0"/>
              </w:rPr>
              <w:t>7816.83</w:t>
            </w:r>
          </w:p>
        </w:tc>
        <w:tc>
          <w:tcPr>
            <w:tcW w:w="1032" w:type="dxa"/>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Times New Roman" w:hAnsi="Times New Roman" w:cs="Times New Roman"/>
                <w:sz w:val="16"/>
                <w:szCs w:val="16"/>
                <w:bdr w:val="none" w:color="auto" w:sz="0" w:space="0"/>
              </w:rPr>
              <w:t>5.06%</w:t>
            </w:r>
          </w:p>
        </w:tc>
        <w:tc>
          <w:tcPr>
            <w:tcW w:w="948" w:type="dxa"/>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bottom"/>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ottom"/>
            </w:pPr>
            <w:r>
              <w:rPr>
                <w:rFonts w:hint="default" w:ascii="Times New Roman" w:hAnsi="Times New Roman" w:cs="Times New Roman"/>
                <w:sz w:val="16"/>
                <w:szCs w:val="16"/>
                <w:bdr w:val="none" w:color="auto" w:sz="0" w:space="0"/>
              </w:rPr>
              <w:t>7979.57</w:t>
            </w:r>
          </w:p>
        </w:tc>
        <w:tc>
          <w:tcPr>
            <w:tcW w:w="1008" w:type="dxa"/>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Times New Roman" w:hAnsi="Times New Roman" w:cs="Times New Roman"/>
                <w:sz w:val="16"/>
                <w:szCs w:val="16"/>
                <w:bdr w:val="none" w:color="auto" w:sz="0" w:space="0"/>
              </w:rPr>
              <w:t>5.37%</w:t>
            </w:r>
          </w:p>
        </w:tc>
        <w:tc>
          <w:tcPr>
            <w:tcW w:w="1068" w:type="dxa"/>
            <w:tcBorders>
              <w:top w:val="nil"/>
              <w:left w:val="single" w:color="000000" w:sz="4" w:space="0"/>
              <w:bottom w:val="single" w:color="auto" w:sz="4" w:space="0"/>
              <w:right w:val="single" w:color="auto"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Times New Roman" w:hAnsi="Times New Roman" w:cs="Times New Roman"/>
                <w:sz w:val="16"/>
                <w:szCs w:val="16"/>
                <w:bdr w:val="none" w:color="auto" w:sz="0" w:space="0"/>
              </w:rPr>
              <w:t>0.31%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312" w:hRule="atLeast"/>
        </w:trPr>
        <w:tc>
          <w:tcPr>
            <w:tcW w:w="1824" w:type="dxa"/>
            <w:tcBorders>
              <w:top w:val="nil"/>
              <w:left w:val="single" w:color="auto"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6"/>
                <w:szCs w:val="16"/>
                <w:bdr w:val="none" w:color="auto" w:sz="0" w:space="0"/>
              </w:rPr>
              <w:t>公共管理与公共服务用地（</w:t>
            </w:r>
            <w:r>
              <w:rPr>
                <w:rFonts w:hint="default" w:ascii="Times New Roman" w:hAnsi="Times New Roman" w:cs="Times New Roman"/>
                <w:sz w:val="16"/>
                <w:szCs w:val="16"/>
                <w:bdr w:val="none" w:color="auto" w:sz="0" w:space="0"/>
              </w:rPr>
              <w:t>08</w:t>
            </w:r>
            <w:r>
              <w:rPr>
                <w:rFonts w:hint="eastAsia" w:ascii="宋体" w:hAnsi="宋体" w:eastAsia="宋体" w:cs="宋体"/>
                <w:sz w:val="16"/>
                <w:szCs w:val="16"/>
                <w:bdr w:val="none" w:color="auto" w:sz="0" w:space="0"/>
              </w:rPr>
              <w:t>）</w:t>
            </w:r>
          </w:p>
        </w:tc>
        <w:tc>
          <w:tcPr>
            <w:tcW w:w="936" w:type="dxa"/>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Times New Roman" w:hAnsi="Times New Roman" w:cs="Times New Roman"/>
                <w:sz w:val="16"/>
                <w:szCs w:val="16"/>
                <w:bdr w:val="none" w:color="auto" w:sz="0" w:space="0"/>
              </w:rPr>
              <w:t>1563.8</w:t>
            </w:r>
          </w:p>
        </w:tc>
        <w:tc>
          <w:tcPr>
            <w:tcW w:w="1032" w:type="dxa"/>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Times New Roman" w:hAnsi="Times New Roman" w:cs="Times New Roman"/>
                <w:sz w:val="16"/>
                <w:szCs w:val="16"/>
                <w:bdr w:val="none" w:color="auto" w:sz="0" w:space="0"/>
              </w:rPr>
              <w:t>1.01%</w:t>
            </w:r>
          </w:p>
        </w:tc>
        <w:tc>
          <w:tcPr>
            <w:tcW w:w="948" w:type="dxa"/>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bottom"/>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ottom"/>
            </w:pPr>
            <w:r>
              <w:rPr>
                <w:rFonts w:hint="default" w:ascii="Times New Roman" w:hAnsi="Times New Roman" w:cs="Times New Roman"/>
                <w:sz w:val="16"/>
                <w:szCs w:val="16"/>
                <w:bdr w:val="none" w:color="auto" w:sz="0" w:space="0"/>
              </w:rPr>
              <w:t>1650.70</w:t>
            </w:r>
          </w:p>
        </w:tc>
        <w:tc>
          <w:tcPr>
            <w:tcW w:w="1008" w:type="dxa"/>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Times New Roman" w:hAnsi="Times New Roman" w:cs="Times New Roman"/>
                <w:sz w:val="16"/>
                <w:szCs w:val="16"/>
                <w:bdr w:val="none" w:color="auto" w:sz="0" w:space="0"/>
              </w:rPr>
              <w:t>1.11%</w:t>
            </w:r>
          </w:p>
        </w:tc>
        <w:tc>
          <w:tcPr>
            <w:tcW w:w="1068" w:type="dxa"/>
            <w:tcBorders>
              <w:top w:val="nil"/>
              <w:left w:val="single" w:color="000000" w:sz="4" w:space="0"/>
              <w:bottom w:val="single" w:color="auto" w:sz="4" w:space="0"/>
              <w:right w:val="single" w:color="auto"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Times New Roman" w:hAnsi="Times New Roman" w:cs="Times New Roman"/>
                <w:sz w:val="16"/>
                <w:szCs w:val="16"/>
                <w:bdr w:val="none" w:color="auto" w:sz="0" w:space="0"/>
              </w:rPr>
              <w:t>0.10%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312" w:hRule="atLeast"/>
        </w:trPr>
        <w:tc>
          <w:tcPr>
            <w:tcW w:w="1824" w:type="dxa"/>
            <w:tcBorders>
              <w:top w:val="nil"/>
              <w:left w:val="single" w:color="auto"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6"/>
                <w:szCs w:val="16"/>
                <w:bdr w:val="none" w:color="auto" w:sz="0" w:space="0"/>
              </w:rPr>
              <w:t>特殊用地（</w:t>
            </w:r>
            <w:r>
              <w:rPr>
                <w:rFonts w:hint="default" w:ascii="Times New Roman" w:hAnsi="Times New Roman" w:cs="Times New Roman"/>
                <w:sz w:val="16"/>
                <w:szCs w:val="16"/>
                <w:bdr w:val="none" w:color="auto" w:sz="0" w:space="0"/>
              </w:rPr>
              <w:t>09</w:t>
            </w:r>
            <w:r>
              <w:rPr>
                <w:rFonts w:hint="eastAsia" w:ascii="宋体" w:hAnsi="宋体" w:eastAsia="宋体" w:cs="宋体"/>
                <w:sz w:val="16"/>
                <w:szCs w:val="16"/>
                <w:bdr w:val="none" w:color="auto" w:sz="0" w:space="0"/>
              </w:rPr>
              <w:t>）</w:t>
            </w:r>
          </w:p>
        </w:tc>
        <w:tc>
          <w:tcPr>
            <w:tcW w:w="936" w:type="dxa"/>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Times New Roman" w:hAnsi="Times New Roman" w:cs="Times New Roman"/>
                <w:sz w:val="16"/>
                <w:szCs w:val="16"/>
                <w:bdr w:val="none" w:color="auto" w:sz="0" w:space="0"/>
              </w:rPr>
              <w:t>470.96</w:t>
            </w:r>
          </w:p>
        </w:tc>
        <w:tc>
          <w:tcPr>
            <w:tcW w:w="1032" w:type="dxa"/>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Times New Roman" w:hAnsi="Times New Roman" w:cs="Times New Roman"/>
                <w:sz w:val="16"/>
                <w:szCs w:val="16"/>
                <w:bdr w:val="none" w:color="auto" w:sz="0" w:space="0"/>
              </w:rPr>
              <w:t>0.31%</w:t>
            </w:r>
          </w:p>
        </w:tc>
        <w:tc>
          <w:tcPr>
            <w:tcW w:w="948" w:type="dxa"/>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bottom"/>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ottom"/>
            </w:pPr>
            <w:r>
              <w:rPr>
                <w:rFonts w:hint="default" w:ascii="Times New Roman" w:hAnsi="Times New Roman" w:cs="Times New Roman"/>
                <w:sz w:val="16"/>
                <w:szCs w:val="16"/>
                <w:bdr w:val="none" w:color="auto" w:sz="0" w:space="0"/>
              </w:rPr>
              <w:t>489.20</w:t>
            </w:r>
          </w:p>
        </w:tc>
        <w:tc>
          <w:tcPr>
            <w:tcW w:w="1008" w:type="dxa"/>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Times New Roman" w:hAnsi="Times New Roman" w:cs="Times New Roman"/>
                <w:sz w:val="16"/>
                <w:szCs w:val="16"/>
                <w:bdr w:val="none" w:color="auto" w:sz="0" w:space="0"/>
              </w:rPr>
              <w:t>0.33%</w:t>
            </w:r>
          </w:p>
        </w:tc>
        <w:tc>
          <w:tcPr>
            <w:tcW w:w="1068" w:type="dxa"/>
            <w:tcBorders>
              <w:top w:val="nil"/>
              <w:left w:val="single" w:color="000000" w:sz="4" w:space="0"/>
              <w:bottom w:val="single" w:color="auto" w:sz="4" w:space="0"/>
              <w:right w:val="single" w:color="auto"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Times New Roman" w:hAnsi="Times New Roman" w:cs="Times New Roman"/>
                <w:sz w:val="16"/>
                <w:szCs w:val="16"/>
                <w:bdr w:val="none" w:color="auto" w:sz="0" w:space="0"/>
              </w:rPr>
              <w:t>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312" w:hRule="atLeast"/>
        </w:trPr>
        <w:tc>
          <w:tcPr>
            <w:tcW w:w="1824" w:type="dxa"/>
            <w:tcBorders>
              <w:top w:val="nil"/>
              <w:left w:val="single" w:color="auto"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6"/>
                <w:szCs w:val="16"/>
                <w:bdr w:val="none" w:color="auto" w:sz="0" w:space="0"/>
              </w:rPr>
              <w:t>交通运输用地（</w:t>
            </w:r>
            <w:r>
              <w:rPr>
                <w:rFonts w:hint="default" w:ascii="Times New Roman" w:hAnsi="Times New Roman" w:cs="Times New Roman"/>
                <w:sz w:val="16"/>
                <w:szCs w:val="16"/>
                <w:bdr w:val="none" w:color="auto" w:sz="0" w:space="0"/>
              </w:rPr>
              <w:t>10</w:t>
            </w:r>
            <w:r>
              <w:rPr>
                <w:rFonts w:hint="eastAsia" w:ascii="宋体" w:hAnsi="宋体" w:eastAsia="宋体" w:cs="宋体"/>
                <w:sz w:val="16"/>
                <w:szCs w:val="16"/>
                <w:bdr w:val="none" w:color="auto" w:sz="0" w:space="0"/>
              </w:rPr>
              <w:t>）</w:t>
            </w:r>
          </w:p>
        </w:tc>
        <w:tc>
          <w:tcPr>
            <w:tcW w:w="936" w:type="dxa"/>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Times New Roman" w:hAnsi="Times New Roman" w:cs="Times New Roman"/>
                <w:sz w:val="16"/>
                <w:szCs w:val="16"/>
                <w:bdr w:val="none" w:color="auto" w:sz="0" w:space="0"/>
              </w:rPr>
              <w:t>6398.3</w:t>
            </w:r>
          </w:p>
        </w:tc>
        <w:tc>
          <w:tcPr>
            <w:tcW w:w="1032" w:type="dxa"/>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Times New Roman" w:hAnsi="Times New Roman" w:cs="Times New Roman"/>
                <w:sz w:val="16"/>
                <w:szCs w:val="16"/>
                <w:bdr w:val="none" w:color="auto" w:sz="0" w:space="0"/>
              </w:rPr>
              <w:t>4.15%</w:t>
            </w:r>
          </w:p>
        </w:tc>
        <w:tc>
          <w:tcPr>
            <w:tcW w:w="948" w:type="dxa"/>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bottom"/>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ottom"/>
            </w:pPr>
            <w:r>
              <w:rPr>
                <w:rFonts w:hint="default" w:ascii="Times New Roman" w:hAnsi="Times New Roman" w:cs="Times New Roman"/>
                <w:sz w:val="16"/>
                <w:szCs w:val="16"/>
                <w:bdr w:val="none" w:color="auto" w:sz="0" w:space="0"/>
              </w:rPr>
              <w:t>6507.87</w:t>
            </w:r>
          </w:p>
        </w:tc>
        <w:tc>
          <w:tcPr>
            <w:tcW w:w="1008" w:type="dxa"/>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Times New Roman" w:hAnsi="Times New Roman" w:cs="Times New Roman"/>
                <w:sz w:val="16"/>
                <w:szCs w:val="16"/>
                <w:bdr w:val="none" w:color="auto" w:sz="0" w:space="0"/>
              </w:rPr>
              <w:t>4.38%</w:t>
            </w:r>
          </w:p>
        </w:tc>
        <w:tc>
          <w:tcPr>
            <w:tcW w:w="1068" w:type="dxa"/>
            <w:tcBorders>
              <w:top w:val="nil"/>
              <w:left w:val="single" w:color="000000" w:sz="4" w:space="0"/>
              <w:bottom w:val="single" w:color="auto" w:sz="4" w:space="0"/>
              <w:right w:val="single" w:color="auto"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Times New Roman" w:hAnsi="Times New Roman" w:cs="Times New Roman"/>
                <w:sz w:val="16"/>
                <w:szCs w:val="16"/>
                <w:bdr w:val="none" w:color="auto" w:sz="0" w:space="0"/>
              </w:rPr>
              <w:t>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312" w:hRule="atLeast"/>
        </w:trPr>
        <w:tc>
          <w:tcPr>
            <w:tcW w:w="1824" w:type="dxa"/>
            <w:tcBorders>
              <w:top w:val="nil"/>
              <w:left w:val="single" w:color="auto"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6"/>
                <w:szCs w:val="16"/>
                <w:bdr w:val="none" w:color="auto" w:sz="0" w:space="0"/>
              </w:rPr>
              <w:t>水域及水利设施用地（</w:t>
            </w:r>
            <w:r>
              <w:rPr>
                <w:rFonts w:hint="default" w:ascii="Times New Roman" w:hAnsi="Times New Roman" w:cs="Times New Roman"/>
                <w:sz w:val="16"/>
                <w:szCs w:val="16"/>
                <w:bdr w:val="none" w:color="auto" w:sz="0" w:space="0"/>
              </w:rPr>
              <w:t>11</w:t>
            </w:r>
            <w:r>
              <w:rPr>
                <w:rFonts w:hint="eastAsia" w:ascii="宋体" w:hAnsi="宋体" w:eastAsia="宋体" w:cs="宋体"/>
                <w:sz w:val="16"/>
                <w:szCs w:val="16"/>
                <w:bdr w:val="none" w:color="auto" w:sz="0" w:space="0"/>
              </w:rPr>
              <w:t>）</w:t>
            </w:r>
          </w:p>
        </w:tc>
        <w:tc>
          <w:tcPr>
            <w:tcW w:w="936" w:type="dxa"/>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Times New Roman" w:hAnsi="Times New Roman" w:cs="Times New Roman"/>
                <w:sz w:val="16"/>
                <w:szCs w:val="16"/>
                <w:bdr w:val="none" w:color="auto" w:sz="0" w:space="0"/>
              </w:rPr>
              <w:t>5076.22</w:t>
            </w:r>
          </w:p>
        </w:tc>
        <w:tc>
          <w:tcPr>
            <w:tcW w:w="1032" w:type="dxa"/>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Times New Roman" w:hAnsi="Times New Roman" w:cs="Times New Roman"/>
                <w:sz w:val="16"/>
                <w:szCs w:val="16"/>
                <w:bdr w:val="none" w:color="auto" w:sz="0" w:space="0"/>
              </w:rPr>
              <w:t>3.29%</w:t>
            </w:r>
          </w:p>
        </w:tc>
        <w:tc>
          <w:tcPr>
            <w:tcW w:w="948" w:type="dxa"/>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bottom"/>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ottom"/>
            </w:pPr>
            <w:r>
              <w:rPr>
                <w:rFonts w:hint="default" w:ascii="Times New Roman" w:hAnsi="Times New Roman" w:cs="Times New Roman"/>
                <w:sz w:val="16"/>
                <w:szCs w:val="16"/>
                <w:bdr w:val="none" w:color="auto" w:sz="0" w:space="0"/>
              </w:rPr>
              <w:t>4884.90</w:t>
            </w:r>
          </w:p>
        </w:tc>
        <w:tc>
          <w:tcPr>
            <w:tcW w:w="1008" w:type="dxa"/>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Times New Roman" w:hAnsi="Times New Roman" w:cs="Times New Roman"/>
                <w:sz w:val="16"/>
                <w:szCs w:val="16"/>
                <w:bdr w:val="none" w:color="auto" w:sz="0" w:space="0"/>
              </w:rPr>
              <w:t>3.29%</w:t>
            </w:r>
          </w:p>
        </w:tc>
        <w:tc>
          <w:tcPr>
            <w:tcW w:w="1068" w:type="dxa"/>
            <w:tcBorders>
              <w:top w:val="nil"/>
              <w:left w:val="single" w:color="000000" w:sz="4" w:space="0"/>
              <w:bottom w:val="single" w:color="auto" w:sz="4" w:space="0"/>
              <w:right w:val="single" w:color="auto"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Times New Roman" w:hAnsi="Times New Roman" w:cs="Times New Roman"/>
                <w:sz w:val="16"/>
                <w:szCs w:val="16"/>
                <w:bdr w:val="none" w:color="auto" w:sz="0" w:space="0"/>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312" w:hRule="atLeast"/>
        </w:trPr>
        <w:tc>
          <w:tcPr>
            <w:tcW w:w="1824" w:type="dxa"/>
            <w:tcBorders>
              <w:top w:val="nil"/>
              <w:left w:val="single" w:color="auto"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6"/>
                <w:szCs w:val="16"/>
                <w:bdr w:val="none" w:color="auto" w:sz="0" w:space="0"/>
              </w:rPr>
              <w:t>其他土地（</w:t>
            </w:r>
            <w:r>
              <w:rPr>
                <w:rFonts w:hint="default" w:ascii="Times New Roman" w:hAnsi="Times New Roman" w:cs="Times New Roman"/>
                <w:sz w:val="16"/>
                <w:szCs w:val="16"/>
                <w:bdr w:val="none" w:color="auto" w:sz="0" w:space="0"/>
              </w:rPr>
              <w:t>12</w:t>
            </w:r>
            <w:r>
              <w:rPr>
                <w:rFonts w:hint="eastAsia" w:ascii="宋体" w:hAnsi="宋体" w:eastAsia="宋体" w:cs="宋体"/>
                <w:sz w:val="16"/>
                <w:szCs w:val="16"/>
                <w:bdr w:val="none" w:color="auto" w:sz="0" w:space="0"/>
              </w:rPr>
              <w:t>）</w:t>
            </w:r>
          </w:p>
        </w:tc>
        <w:tc>
          <w:tcPr>
            <w:tcW w:w="936" w:type="dxa"/>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Times New Roman" w:hAnsi="Times New Roman" w:cs="Times New Roman"/>
                <w:sz w:val="16"/>
                <w:szCs w:val="16"/>
                <w:bdr w:val="none" w:color="auto" w:sz="0" w:space="0"/>
              </w:rPr>
              <w:t>6093.25</w:t>
            </w:r>
          </w:p>
        </w:tc>
        <w:tc>
          <w:tcPr>
            <w:tcW w:w="1032" w:type="dxa"/>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Times New Roman" w:hAnsi="Times New Roman" w:cs="Times New Roman"/>
                <w:sz w:val="16"/>
                <w:szCs w:val="16"/>
                <w:bdr w:val="none" w:color="auto" w:sz="0" w:space="0"/>
              </w:rPr>
              <w:t>3.95%</w:t>
            </w:r>
          </w:p>
        </w:tc>
        <w:tc>
          <w:tcPr>
            <w:tcW w:w="948" w:type="dxa"/>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bottom"/>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ottom"/>
            </w:pPr>
            <w:r>
              <w:rPr>
                <w:rFonts w:hint="default" w:ascii="Times New Roman" w:hAnsi="Times New Roman" w:cs="Times New Roman"/>
                <w:sz w:val="16"/>
                <w:szCs w:val="16"/>
                <w:bdr w:val="none" w:color="auto" w:sz="0" w:space="0"/>
              </w:rPr>
              <w:t>582.61</w:t>
            </w:r>
          </w:p>
        </w:tc>
        <w:tc>
          <w:tcPr>
            <w:tcW w:w="1008" w:type="dxa"/>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Times New Roman" w:hAnsi="Times New Roman" w:cs="Times New Roman"/>
                <w:sz w:val="16"/>
                <w:szCs w:val="16"/>
                <w:bdr w:val="none" w:color="auto" w:sz="0" w:space="0"/>
              </w:rPr>
              <w:t>0.39%</w:t>
            </w:r>
          </w:p>
        </w:tc>
        <w:tc>
          <w:tcPr>
            <w:tcW w:w="1068" w:type="dxa"/>
            <w:tcBorders>
              <w:top w:val="nil"/>
              <w:left w:val="single" w:color="000000" w:sz="4" w:space="0"/>
              <w:bottom w:val="single" w:color="auto" w:sz="4" w:space="0"/>
              <w:right w:val="single" w:color="auto"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Times New Roman" w:hAnsi="Times New Roman" w:cs="Times New Roman"/>
                <w:sz w:val="16"/>
                <w:szCs w:val="16"/>
                <w:bdr w:val="none" w:color="auto" w:sz="0" w:space="0"/>
              </w:rPr>
              <w:t>-3.56%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312" w:hRule="atLeast"/>
        </w:trPr>
        <w:tc>
          <w:tcPr>
            <w:tcW w:w="1824" w:type="dxa"/>
            <w:tcBorders>
              <w:top w:val="nil"/>
              <w:left w:val="single" w:color="auto"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6"/>
                <w:szCs w:val="16"/>
                <w:bdr w:val="none" w:color="auto" w:sz="0" w:space="0"/>
              </w:rPr>
              <w:t>合计</w:t>
            </w:r>
          </w:p>
        </w:tc>
        <w:tc>
          <w:tcPr>
            <w:tcW w:w="936" w:type="dxa"/>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Times New Roman" w:hAnsi="Times New Roman" w:cs="Times New Roman"/>
                <w:sz w:val="16"/>
                <w:szCs w:val="16"/>
                <w:bdr w:val="none" w:color="auto" w:sz="0" w:space="0"/>
              </w:rPr>
              <w:t>154351.94</w:t>
            </w:r>
          </w:p>
        </w:tc>
        <w:tc>
          <w:tcPr>
            <w:tcW w:w="1032" w:type="dxa"/>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Times New Roman" w:hAnsi="Times New Roman" w:cs="Times New Roman"/>
                <w:sz w:val="16"/>
                <w:szCs w:val="16"/>
                <w:bdr w:val="none" w:color="auto" w:sz="0" w:space="0"/>
              </w:rPr>
              <w:t>100.00%</w:t>
            </w:r>
          </w:p>
        </w:tc>
        <w:tc>
          <w:tcPr>
            <w:tcW w:w="948" w:type="dxa"/>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Times New Roman" w:hAnsi="Times New Roman" w:cs="Times New Roman"/>
                <w:sz w:val="16"/>
                <w:szCs w:val="16"/>
                <w:bdr w:val="none" w:color="auto" w:sz="0" w:space="0"/>
              </w:rPr>
              <w:t>148691.48</w:t>
            </w:r>
          </w:p>
        </w:tc>
        <w:tc>
          <w:tcPr>
            <w:tcW w:w="1008" w:type="dxa"/>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Times New Roman" w:hAnsi="Times New Roman" w:cs="Times New Roman"/>
                <w:sz w:val="16"/>
                <w:szCs w:val="16"/>
                <w:bdr w:val="none" w:color="auto" w:sz="0" w:space="0"/>
              </w:rPr>
              <w:t>100.00%</w:t>
            </w:r>
          </w:p>
        </w:tc>
        <w:tc>
          <w:tcPr>
            <w:tcW w:w="1068" w:type="dxa"/>
            <w:tcBorders>
              <w:top w:val="nil"/>
              <w:left w:val="single" w:color="000000" w:sz="4" w:space="0"/>
              <w:bottom w:val="single" w:color="auto" w:sz="4" w:space="0"/>
              <w:right w:val="single" w:color="auto"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Times New Roman" w:hAnsi="Times New Roman" w:cs="Times New Roman"/>
                <w:sz w:val="16"/>
                <w:szCs w:val="16"/>
                <w:bdr w:val="none" w:color="auto" w:sz="0" w:space="0"/>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1824" w:type="dxa"/>
            <w:tcBorders>
              <w:top w:val="nil"/>
              <w:left w:val="single" w:color="auto"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6"/>
                <w:szCs w:val="16"/>
                <w:bdr w:val="none" w:color="auto" w:sz="0" w:space="0"/>
              </w:rPr>
              <w:t>备注</w:t>
            </w:r>
          </w:p>
        </w:tc>
        <w:tc>
          <w:tcPr>
            <w:tcW w:w="1968" w:type="dxa"/>
            <w:gridSpan w:val="2"/>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6"/>
                <w:szCs w:val="16"/>
                <w:bdr w:val="none" w:color="auto" w:sz="0" w:space="0"/>
              </w:rPr>
              <w:t>地类面积来源于麒麟区</w:t>
            </w:r>
            <w:r>
              <w:rPr>
                <w:rFonts w:hint="default" w:ascii="Times New Roman" w:hAnsi="Times New Roman" w:cs="Times New Roman"/>
                <w:sz w:val="16"/>
                <w:szCs w:val="16"/>
                <w:bdr w:val="none" w:color="auto" w:sz="0" w:space="0"/>
              </w:rPr>
              <w:t>2021</w:t>
            </w:r>
            <w:r>
              <w:rPr>
                <w:rFonts w:hint="eastAsia" w:ascii="宋体" w:hAnsi="宋体" w:eastAsia="宋体" w:cs="宋体"/>
                <w:sz w:val="16"/>
                <w:szCs w:val="16"/>
                <w:bdr w:val="none" w:color="auto" w:sz="0" w:space="0"/>
              </w:rPr>
              <w:t>年度国土变更调查数据库汇总统计。</w:t>
            </w:r>
          </w:p>
        </w:tc>
        <w:tc>
          <w:tcPr>
            <w:tcW w:w="1956" w:type="dxa"/>
            <w:gridSpan w:val="2"/>
            <w:tcBorders>
              <w:top w:val="nil"/>
              <w:left w:val="single" w:color="000000" w:sz="4" w:space="0"/>
              <w:bottom w:val="single" w:color="auto" w:sz="4" w:space="0"/>
              <w:right w:val="single" w:color="000000"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6"/>
                <w:szCs w:val="16"/>
                <w:bdr w:val="none" w:color="auto" w:sz="0" w:space="0"/>
              </w:rPr>
              <w:t>地类面积来源于麒麟区</w:t>
            </w:r>
            <w:r>
              <w:rPr>
                <w:rFonts w:hint="default" w:ascii="Times New Roman" w:hAnsi="Times New Roman" w:cs="Times New Roman"/>
                <w:sz w:val="16"/>
                <w:szCs w:val="16"/>
                <w:bdr w:val="none" w:color="auto" w:sz="0" w:space="0"/>
              </w:rPr>
              <w:t>2023</w:t>
            </w:r>
            <w:r>
              <w:rPr>
                <w:rFonts w:hint="eastAsia" w:ascii="宋体" w:hAnsi="宋体" w:eastAsia="宋体" w:cs="宋体"/>
                <w:sz w:val="16"/>
                <w:szCs w:val="16"/>
                <w:bdr w:val="none" w:color="auto" w:sz="0" w:space="0"/>
              </w:rPr>
              <w:t>年度国土变更调查数据库汇总统计。</w:t>
            </w:r>
          </w:p>
        </w:tc>
        <w:tc>
          <w:tcPr>
            <w:tcW w:w="1068" w:type="dxa"/>
            <w:tcBorders>
              <w:top w:val="nil"/>
              <w:left w:val="single" w:color="000000" w:sz="4" w:space="0"/>
              <w:bottom w:val="single" w:color="auto" w:sz="4" w:space="0"/>
              <w:right w:val="single" w:color="auto" w:sz="4" w:space="0"/>
            </w:tcBorders>
            <w:shd w:val="clear"/>
            <w:tcMar>
              <w:top w:w="0" w:type="dxa"/>
              <w:left w:w="84" w:type="dxa"/>
              <w:bottom w:w="0" w:type="dxa"/>
              <w:right w:w="84"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Times New Roman" w:hAnsi="Times New Roman" w:cs="Times New Roman"/>
                <w:sz w:val="16"/>
                <w:szCs w:val="16"/>
                <w:bdr w:val="none" w:color="auto" w:sz="0" w:space="0"/>
              </w:rPr>
              <w:t>--</w:t>
            </w:r>
          </w:p>
        </w:tc>
      </w:tr>
    </w:tbl>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 2.土地质量与生产力变动</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根据麒麟区耕地质量等别成果及耕地质量等级调查成果，过去一段时间内，大部分区域土壤肥力、酸碱度等指标变化不大，土地生产力保持相对稳定。根据收集到的各乡镇近三年粮食作物产量统计分析可以看出，近年粮食种植面积和产量变化不大，趋于稳定，尽管部分地区通过土地整治、改良措施提升了土地质量，但从全区片范围来看，这些变化尚未形成足以改变区片划分的显著差异。麒麟区域实施了高标准农田建设项目，提高了农田灌溉和排水条件，粮食单产有所提高，但该区域与周边区域在土地质量和生产力水平上的差距仍未超出原有区片划分的界定范围。</w:t>
      </w:r>
    </w:p>
    <w:p>
      <w:pPr>
        <w:pStyle w:val="10"/>
        <w:keepNext w:val="0"/>
        <w:keepLines w:val="0"/>
        <w:widowControl/>
        <w:suppressLineNumbers w:val="0"/>
        <w:spacing w:before="60" w:beforeAutospacing="0" w:after="60" w:afterAutospacing="0"/>
        <w:ind w:left="0" w:right="0"/>
      </w:pPr>
      <w:r>
        <w:rPr>
          <w:rStyle w:val="14"/>
          <w:rFonts w:hint="eastAsia" w:ascii="宋体" w:hAnsi="宋体" w:eastAsia="宋体" w:cs="宋体"/>
          <w:sz w:val="22"/>
          <w:szCs w:val="22"/>
        </w:rPr>
        <w:t>（二）区位条件变动</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1.交通区位变化</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尽管交通基础设施建设取得一定进展，麒麟区2022-2024年新建富源至罗平高速公路、G60沪昆高速富源至麒麟段扩容工程，提升交通枢纽等级，但从区域整体看，交通优势区域与上一轮区片划分时基本吻合。</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 2.经济区位变动</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根据前期调查情况反馈，近年来麒麟区的产业布局相对稳定，没有大规模的产业调整，部分产业向特定区域集聚，使得一些区域的经济区位有所变化。近年受经济下行的影响产业园区的发展受到一定影响企业入驻率没有较大提升，对周边区域经济的辐射能力与2023年相比变化不大。然而，这种经济区位的变化具有局部性，从整体经济联系网络来看，各区域与周边地区的经济关联模式和强度在区片尺度上保持相对稳定。原有的区片划分依然能够有效反映区域之间的经济分工与协作关系，有利于经济政策的制定和产业布局的优化。</w:t>
      </w:r>
    </w:p>
    <w:p>
      <w:pPr>
        <w:pStyle w:val="10"/>
        <w:keepNext w:val="0"/>
        <w:keepLines w:val="0"/>
        <w:widowControl/>
        <w:suppressLineNumbers w:val="0"/>
        <w:spacing w:before="60" w:beforeAutospacing="0" w:after="60" w:afterAutospacing="0"/>
        <w:ind w:left="0" w:right="0"/>
      </w:pPr>
      <w:r>
        <w:rPr>
          <w:rStyle w:val="14"/>
          <w:rFonts w:hint="eastAsia" w:ascii="宋体" w:hAnsi="宋体" w:eastAsia="宋体" w:cs="宋体"/>
          <w:sz w:val="22"/>
          <w:szCs w:val="22"/>
        </w:rPr>
        <w:t>（三）经济社会发展水平变动</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1.经济发展指标对比</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对比上一轮区片划分以来的GDP、人均收入等经济指标发现，各区域经济均有不同程度增长，根据麒麟区2022-2024 年统计年鉴（统计公报）统计，2022年全区实现地区生产总值（GDP）1173.5亿元，同比增长8.6%，2023年实现地区生产总值（GDP）1234.4亿元，同比增长6.5%，2024年实现地区生产总值（GDP）1149.97亿元，同比下降0.7%。综合分析近三年的地区生产总值（GDP）增长率，增长率呈下降模式，但总体来说变化幅度较为平稳；据麒麟区2022-2024 年统计年鉴（统计公报）统计，2022年，全区居民人均可支配收入29142元，2023年，全区居民人均可支配收入41711元，比上年增长3.7%，2024年，全区居民人均可支配收入43429元，比上年增长4.1%，收入增长呈稳步上升趋势，变化幅度调整步伐在区片之间的差异未达到需要重新划分区片的程度。</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 2.社会发展指标分析</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在人口规模、教育医疗资源分布、社会保障水平等社会发展指标方面，其中人口规模情况为：2022年末，全区总人口（户籍人口）100.6万人，其中：乡村人口21.7万人，城镇人口78.9万人；2023年末，全区总人口（户籍人口）</w:t>
      </w:r>
      <w:r>
        <w:rPr>
          <w:rFonts w:hint="default" w:ascii="Calibri" w:hAnsi="Calibri" w:cs="Calibri"/>
          <w:sz w:val="16"/>
          <w:szCs w:val="16"/>
        </w:rPr>
        <w:t> </w:t>
      </w:r>
      <w:r>
        <w:rPr>
          <w:rFonts w:hint="eastAsia" w:ascii="仿宋_GB2312" w:eastAsia="仿宋_GB2312" w:cs="仿宋_GB2312"/>
          <w:sz w:val="22"/>
          <w:szCs w:val="22"/>
        </w:rPr>
        <w:t>100.63万人，比上年增长0.03%，其中：乡村人口21.51万人，城镇人口79.12万人；2024年末，全区总人口（户籍人口）</w:t>
      </w:r>
      <w:r>
        <w:rPr>
          <w:rFonts w:hint="default" w:ascii="Calibri" w:hAnsi="Calibri" w:cs="Calibri"/>
          <w:sz w:val="16"/>
          <w:szCs w:val="16"/>
        </w:rPr>
        <w:t> </w:t>
      </w:r>
      <w:r>
        <w:rPr>
          <w:rFonts w:hint="eastAsia" w:ascii="仿宋_GB2312" w:eastAsia="仿宋_GB2312" w:cs="仿宋_GB2312"/>
          <w:sz w:val="22"/>
          <w:szCs w:val="22"/>
        </w:rPr>
        <w:t>100.65万人，比上年增长0.0.2%，其中：乡村人口21.5万人，城镇人口79.15万人，人口分布的变化主要表现为区域内部的城乡流动，整体人口密度和分布格局在区片层面保持稳定。麒麟区2022年农村最低生活保障标准为253元/月。年；麒麟区2023年农村最低生活保障标准为273元/月。年，麒麟区2024年农村最低生活保障标准为278元/月。年。农村低保标准在2022-2024 年期间调整幅度较小低保覆盖人数增长平稳，故在2025年沿用2023年标准在社会保障水平协调方面具有一定合理性。</w:t>
      </w:r>
    </w:p>
    <w:p>
      <w:pPr>
        <w:pStyle w:val="10"/>
        <w:keepNext w:val="0"/>
        <w:keepLines w:val="0"/>
        <w:widowControl/>
        <w:suppressLineNumbers w:val="0"/>
        <w:spacing w:before="60" w:beforeAutospacing="0" w:after="60" w:afterAutospacing="0"/>
        <w:ind w:left="0" w:right="0"/>
      </w:pPr>
      <w:r>
        <w:rPr>
          <w:rStyle w:val="14"/>
          <w:rFonts w:hint="eastAsia" w:ascii="宋体" w:hAnsi="宋体" w:eastAsia="宋体" w:cs="宋体"/>
          <w:sz w:val="22"/>
          <w:szCs w:val="22"/>
        </w:rPr>
        <w:t>（四）其他因素</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综合土地资源条件变动、区位条件变动以及经济社会发展水平变动等多方面因素分析，虽然在过去一段时间内各方面均有一定变化，但整体上尚未达到需要重新划分区片的程度。沿用现有区片划分方案在保持政策和数据延续性、反映区域发展特征等方面具有显著优势。在新一轮区片划分中，建议继续沿用现有方案，并根据实际发展情况对局部细节进行适当调整和优化，以适应区域发展的新需求，推动区域可持续发展。</w:t>
      </w:r>
    </w:p>
    <w:p>
      <w:pPr>
        <w:pStyle w:val="3"/>
        <w:keepNext w:val="0"/>
        <w:keepLines w:val="0"/>
        <w:widowControl/>
        <w:suppressLineNumbers w:val="0"/>
        <w:spacing w:before="96" w:beforeAutospacing="0" w:after="96" w:afterAutospacing="0"/>
      </w:pPr>
      <w:r>
        <w:rPr>
          <w:rStyle w:val="14"/>
          <w:rFonts w:hint="eastAsia" w:ascii="宋体" w:hAnsi="宋体" w:eastAsia="宋体" w:cs="宋体"/>
          <w:b/>
          <w:sz w:val="22"/>
          <w:szCs w:val="22"/>
        </w:rPr>
        <w:t>四、上一轮区片价的合理性分析</w:t>
      </w:r>
    </w:p>
    <w:p>
      <w:pPr>
        <w:pStyle w:val="10"/>
        <w:keepNext w:val="0"/>
        <w:keepLines w:val="0"/>
        <w:widowControl/>
        <w:suppressLineNumbers w:val="0"/>
        <w:spacing w:before="60" w:beforeAutospacing="0" w:after="60" w:afterAutospacing="0"/>
        <w:ind w:left="0" w:right="0"/>
      </w:pPr>
      <w:r>
        <w:rPr>
          <w:rStyle w:val="14"/>
          <w:rFonts w:hint="eastAsia" w:ascii="宋体" w:hAnsi="宋体" w:eastAsia="宋体" w:cs="宋体"/>
          <w:sz w:val="22"/>
          <w:szCs w:val="22"/>
        </w:rPr>
        <w:t>（一）上轮区片价水平分析</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麒麟区2023年平均征收农用地区片综合地价为</w:t>
      </w:r>
      <w:r>
        <w:rPr>
          <w:rFonts w:hint="eastAsia" w:ascii="宋体" w:hAnsi="宋体" w:eastAsia="宋体" w:cs="宋体"/>
          <w:sz w:val="22"/>
          <w:szCs w:val="22"/>
        </w:rPr>
        <w:t>58164</w:t>
      </w:r>
      <w:r>
        <w:rPr>
          <w:rFonts w:ascii="方正仿宋_GBK" w:hAnsi="方正仿宋_GBK" w:eastAsia="方正仿宋_GBK" w:cs="方正仿宋_GBK"/>
          <w:sz w:val="22"/>
          <w:szCs w:val="22"/>
        </w:rPr>
        <w:t>元</w:t>
      </w:r>
      <w:r>
        <w:rPr>
          <w:rFonts w:hint="eastAsia" w:ascii="宋体" w:hAnsi="宋体" w:eastAsia="宋体" w:cs="宋体"/>
          <w:sz w:val="22"/>
          <w:szCs w:val="22"/>
        </w:rPr>
        <w:t>/</w:t>
      </w:r>
      <w:r>
        <w:rPr>
          <w:rFonts w:hint="eastAsia" w:ascii="方正仿宋_GBK" w:hAnsi="方正仿宋_GBK" w:eastAsia="方正仿宋_GBK" w:cs="方正仿宋_GBK"/>
          <w:sz w:val="22"/>
          <w:szCs w:val="22"/>
        </w:rPr>
        <w:t>亩</w:t>
      </w:r>
      <w:r>
        <w:rPr>
          <w:rFonts w:hint="eastAsia" w:ascii="仿宋_GB2312" w:eastAsia="仿宋_GB2312" w:cs="仿宋_GB2312"/>
          <w:sz w:val="22"/>
          <w:szCs w:val="22"/>
        </w:rPr>
        <w:t>，与在市内处于较高水平，符合本区在全市的整体经济排序水平。通过空间叠加分析，麒麟区与沾益区、马龙区、罗平县、陆良县相邻；2023年区片价与周边县（市、区）相邻区片的价格差异在1500-62500元/亩，差异率在9.64-220.07%，其中越州镇IV区片与陆良县板桥镇II区片差异较小，高出1500元/亩，西城街道办事处II区片与马龙区鸡头街道办事处III区片差异较大，高出62500元/亩。通过分析验证，麒麟区上一轮区片价均高于周边县（市、区）相邻区片，据目前统计本次全市9个县（市、区）区片综合地价除陆良县、宣威市和会泽县，其余6个县均沿用上一轮区片综合地价补偿标准，故本次麒麟区沿用 2023 年区片地价标准在逐步缩小区片差异方面有一定合理性。</w:t>
      </w:r>
    </w:p>
    <w:p>
      <w:pPr>
        <w:pStyle w:val="10"/>
        <w:keepNext w:val="0"/>
        <w:keepLines w:val="0"/>
        <w:widowControl/>
        <w:suppressLineNumbers w:val="0"/>
        <w:spacing w:before="60" w:beforeAutospacing="0" w:after="60" w:afterAutospacing="0"/>
        <w:ind w:left="0" w:right="0"/>
      </w:pPr>
      <w:r>
        <w:rPr>
          <w:rStyle w:val="14"/>
          <w:rFonts w:hint="eastAsia" w:ascii="宋体" w:hAnsi="宋体" w:eastAsia="宋体" w:cs="宋体"/>
          <w:sz w:val="22"/>
          <w:szCs w:val="22"/>
        </w:rPr>
        <w:t>（二）经济发展水平分析</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1.生产总值（GDP）</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根据麒麟区2022 - 2024 年统计公报统计，2022年全区实现地区生产总值（GDP）1173.5亿元，同比增长8.6%，2023年实现地区生产总值（GDP）1234.4亿元，同比增长6.5%，2024年实现地区生产总值（GDP）1149.97亿元，同比下降0.7%。综合分析近三年的地区生产总值（GDP）增长率，增长率呈下降模式，但总体来说变化幅度较为平稳，增长幅度未出现显著跃升，经济增长未对土地价值产生强烈的推动作用，短期内区片地价调整需求不迫切。从产业结构来看，麒麟区在这两年间产业结构调整相对稳定，新兴产业发展未出现大规模用地需求激增的情况传统产业未因扩张而对土地形成过度依赖，那么沿用 2023 年区片地价标准在经济发展层面具备一定合理性。</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2.财政收入</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根据麒麟区2022 - 2024 年统计年鉴统计，2022年一般公共预算收入自然口径完成14.7亿元；2023年一般公共预算收入自然口径完成20.24亿元，自然口径（含留抵退税）比上年上升34.93%；2024年一般公共预算收入19.19亿元，比上年下降5.17%，一般公共预算收入有所下降，但是它变化的原因不是由于大规模基础设施建设或重大项目落地导致财政支出大幅增加，进而对土地出让收入产生依赖，那么政府在土地征收补偿方面的资金压力未发生显著变化，沿用 2023 年补偿标准在资金保障和财政可持续性方面存在可行性。</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3.农村居民人均可支配收入</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据麒麟区2022 - 2024 年统计年鉴（统计公报）统计，2022年，全区居民人均可支配收入29142元，2023年，全区居民人均可支配收入41711元，比上年增长3.7%，2024年，全区居民人均可支配收入43429元，比上年增长4.1%，收入增长呈稳步上升趋势，但增长幅度与土地征收补偿标准的关联性不紧密，农民收入增长主要来源于非土地相关产业，而非单纯依赖土地征收补偿，那么在 2025年沿用 2023年补偿标准能够与当前农民收入增长趋势相适应，不会对农民生活水平造成明显冲击。</w:t>
      </w:r>
    </w:p>
    <w:p>
      <w:pPr>
        <w:pStyle w:val="10"/>
        <w:keepNext w:val="0"/>
        <w:keepLines w:val="0"/>
        <w:widowControl/>
        <w:suppressLineNumbers w:val="0"/>
        <w:spacing w:before="60" w:beforeAutospacing="0" w:after="60" w:afterAutospacing="0"/>
        <w:ind w:left="0" w:right="0"/>
      </w:pPr>
      <w:r>
        <w:rPr>
          <w:rStyle w:val="14"/>
          <w:rFonts w:hint="eastAsia" w:ascii="宋体" w:hAnsi="宋体" w:eastAsia="宋体" w:cs="宋体"/>
          <w:sz w:val="22"/>
          <w:szCs w:val="22"/>
        </w:rPr>
        <w:t>（三）社会保障水平分析</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1.农村居民最低生活保障水平</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根据《</w:t>
      </w:r>
      <w:r>
        <w:rPr>
          <w:rFonts w:hint="eastAsia" w:ascii="仿宋_GB2312" w:eastAsia="仿宋_GB2312" w:cs="仿宋_GB2312"/>
          <w:sz w:val="22"/>
          <w:szCs w:val="22"/>
        </w:rPr>
        <w:t>曲靖市民政局</w:t>
      </w:r>
      <w:r>
        <w:rPr>
          <w:rFonts w:hint="eastAsia" w:ascii="仿宋_GB2312" w:eastAsia="仿宋_GB2312" w:cs="仿宋_GB2312"/>
          <w:sz w:val="22"/>
          <w:szCs w:val="22"/>
        </w:rPr>
        <w:t> 曲靖市财政局关于提高2022年城乡居民最低生活保障特困人员救助供养孤儿基本生活保障标准的通知》</w:t>
      </w:r>
      <w:bookmarkStart w:id="12" w:name="_GoBack"/>
      <w:bookmarkEnd w:id="12"/>
      <w:r>
        <w:rPr>
          <w:rFonts w:hint="eastAsia" w:ascii="仿宋_GB2312" w:eastAsia="仿宋_GB2312" w:cs="仿宋_GB2312"/>
          <w:sz w:val="22"/>
          <w:szCs w:val="22"/>
        </w:rPr>
        <w:t>《曲靖市民政局 曲靖市财政局关于提高2023年城乡居民最低生活保障特困人员救助供养孤儿基本生活保障标准的通知》和《曲靖市民政局 曲靖市财政局关于提高2024年城乡居民最低生活保障特困人员救助供养孤儿基本生活保障标准的通知》，麒麟区2022年农村最低生活保障标准为253元/人</w:t>
      </w:r>
      <w:r>
        <w:rPr>
          <w:rFonts w:hint="eastAsia" w:ascii="仿宋_GB2312" w:eastAsia="仿宋_GB2312" w:cs="仿宋_GB2312"/>
          <w:sz w:val="22"/>
          <w:szCs w:val="22"/>
          <w:lang w:val="en-US" w:eastAsia="zh-CN"/>
        </w:rPr>
        <w:t>/</w:t>
      </w:r>
      <w:r>
        <w:rPr>
          <w:rFonts w:hint="eastAsia" w:ascii="仿宋_GB2312" w:eastAsia="仿宋_GB2312" w:cs="仿宋_GB2312"/>
          <w:sz w:val="22"/>
          <w:szCs w:val="22"/>
        </w:rPr>
        <w:t>年；麒麟区2023年农村最低生活保障标准为273元/人</w:t>
      </w:r>
      <w:r>
        <w:rPr>
          <w:rFonts w:hint="eastAsia" w:ascii="仿宋_GB2312" w:eastAsia="仿宋_GB2312" w:cs="仿宋_GB2312"/>
          <w:sz w:val="22"/>
          <w:szCs w:val="22"/>
          <w:lang w:val="en-US" w:eastAsia="zh-CN"/>
        </w:rPr>
        <w:t>/</w:t>
      </w:r>
      <w:r>
        <w:rPr>
          <w:rFonts w:hint="eastAsia" w:ascii="仿宋_GB2312" w:eastAsia="仿宋_GB2312" w:cs="仿宋_GB2312"/>
          <w:sz w:val="22"/>
          <w:szCs w:val="22"/>
        </w:rPr>
        <w:t>年，麒麟区2024年农村最低生活保障标准为278元/人</w:t>
      </w:r>
      <w:r>
        <w:rPr>
          <w:rFonts w:hint="eastAsia" w:ascii="仿宋_GB2312" w:eastAsia="仿宋_GB2312" w:cs="仿宋_GB2312"/>
          <w:sz w:val="22"/>
          <w:szCs w:val="22"/>
          <w:lang w:val="en-US" w:eastAsia="zh-CN"/>
        </w:rPr>
        <w:t>/</w:t>
      </w:r>
      <w:r>
        <w:rPr>
          <w:rFonts w:hint="eastAsia" w:ascii="仿宋_GB2312" w:eastAsia="仿宋_GB2312" w:cs="仿宋_GB2312"/>
          <w:sz w:val="22"/>
          <w:szCs w:val="22"/>
        </w:rPr>
        <w:t>年。农村低保标准在2022</w:t>
      </w:r>
      <w:r>
        <w:rPr>
          <w:rFonts w:hint="eastAsia" w:ascii="仿宋_GB2312" w:eastAsia="仿宋_GB2312" w:cs="仿宋_GB2312"/>
          <w:sz w:val="22"/>
          <w:szCs w:val="22"/>
          <w:lang w:eastAsia="zh-CN"/>
        </w:rPr>
        <w:t>—</w:t>
      </w:r>
      <w:r>
        <w:rPr>
          <w:rFonts w:hint="eastAsia" w:ascii="仿宋_GB2312" w:eastAsia="仿宋_GB2312" w:cs="仿宋_GB2312"/>
          <w:sz w:val="22"/>
          <w:szCs w:val="22"/>
        </w:rPr>
        <w:t>2024年期间调整幅度较小低保覆盖人数增长平稳，未出现因保障水平大幅提升而导致征地补偿标准必须同步调整的情况，那么沿用 2023 年征地补偿标准在保障农村居民基本生活与征地补偿之间能够保持相对平衡。</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2.基本养老保险标准</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根据人力资源和社会保障局提供的社会保障指标调查表统计，麒麟区2022年农村居民养老保险标准为134.08元/月。人，麒麟区2023年农村居民养老保险标准为149.96元/月。人，麒麟区2024年农村居民养老保险标准为174.25元/月。人，在 2022-2024年间养老保险标准未发生重大调整，参保人数增长稳定整体社会保障体系的完善未对征地补偿标准形成强烈倒逼机制，那么在2025年沿用2023年标准在社会保障水平协调方面具有一定合理性。</w:t>
      </w:r>
    </w:p>
    <w:p>
      <w:pPr>
        <w:pStyle w:val="10"/>
        <w:keepNext w:val="0"/>
        <w:keepLines w:val="0"/>
        <w:widowControl/>
        <w:suppressLineNumbers w:val="0"/>
        <w:spacing w:before="60" w:beforeAutospacing="0" w:after="60" w:afterAutospacing="0"/>
        <w:ind w:left="0" w:right="0"/>
      </w:pPr>
      <w:r>
        <w:rPr>
          <w:rStyle w:val="14"/>
          <w:rFonts w:hint="eastAsia" w:ascii="宋体" w:hAnsi="宋体" w:eastAsia="宋体" w:cs="宋体"/>
          <w:sz w:val="22"/>
          <w:szCs w:val="22"/>
        </w:rPr>
        <w:t>（四）土地供求关系分析</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1.人均农用地面积</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麒麟区在2022-2024 年间人均农用地面积有略微变化，但未出现急剧变化，土地流转情况平稳，未因城镇化、工业化进程加速导致土地稀缺性显著提升产业发展通过土地资源整合、优化利用等方式满足用地需求，而非单纯依赖大规模征地，那么在 2025 年沿用 2023 年补偿标准能够体现土地供求关系的现状，避免因过度调整地价影响土地市场稳定。</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2.征地规模</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麒麟区现行区片价公布实施时间为2023年11月18日，在区片价公布实施之后的两年内在征地规模未出现大幅增长，各类园区建设、基础设施项目推进过程中土地需求平稳，未因重大项目集中落地引发土地需求旺盛，导致地价与市场供需严重失衡，那么沿用 2023 年征地补偿标准具有合理性，有助于维持土地市场的供需平衡和资源合理利用。</w:t>
      </w:r>
    </w:p>
    <w:p>
      <w:pPr>
        <w:pStyle w:val="10"/>
        <w:keepNext w:val="0"/>
        <w:keepLines w:val="0"/>
        <w:widowControl/>
        <w:suppressLineNumbers w:val="0"/>
        <w:spacing w:before="60" w:beforeAutospacing="0" w:after="60" w:afterAutospacing="0"/>
        <w:ind w:left="0" w:right="0"/>
      </w:pPr>
      <w:r>
        <w:rPr>
          <w:rStyle w:val="14"/>
          <w:rFonts w:hint="eastAsia" w:ascii="宋体" w:hAnsi="宋体" w:eastAsia="宋体" w:cs="宋体"/>
          <w:sz w:val="22"/>
          <w:szCs w:val="22"/>
        </w:rPr>
        <w:t>（五）物价水平分析</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1.土地开发成本与农民生活成本</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麒麟区2023-2024 年麒麟区物价水平略有降低但总体保持稳定。在2022-2024 年间物价水平整体平稳，土地开发成本未因大规模建设活动出现急剧上升农民生活成本增长与农村居民人均可支配收入增长相匹配，现有征地补偿标准能够基本覆盖成本，那么在 2025 年沿用 2023 年区片地价标准在成本补偿方面具有合理性。</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2.土地市场趋势与区域价格差异</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麒麟区2023-2025年间，土地市场未出现过热或过冷的极端情况，土地价格波动较小与周边县区相比，在产业结构、经济发展水平相似的情况下，地价水平未出现明显背离，因此，沿用 2023 年补偿标准能够与土地市场现状相适应，保持区域地价的合理性和竞争力。</w:t>
      </w:r>
    </w:p>
    <w:p>
      <w:pPr>
        <w:pStyle w:val="10"/>
        <w:keepNext w:val="0"/>
        <w:keepLines w:val="0"/>
        <w:widowControl/>
        <w:suppressLineNumbers w:val="0"/>
        <w:spacing w:before="60" w:beforeAutospacing="0" w:after="60" w:afterAutospacing="0"/>
        <w:ind w:left="0" w:right="0"/>
      </w:pPr>
      <w:r>
        <w:rPr>
          <w:rStyle w:val="14"/>
          <w:rFonts w:hint="eastAsia" w:ascii="宋体" w:hAnsi="宋体" w:eastAsia="宋体" w:cs="宋体"/>
          <w:sz w:val="22"/>
          <w:szCs w:val="22"/>
        </w:rPr>
        <w:t>（六）上一轮区片价实施效果分析</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1.征地补偿政策执行情况</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麒麟区2023 年区片价实施以来，征地补偿款基本按时足额发放，补偿标准严格落实。在园区建设、基础设施建设等征地项目中，未出现因补偿款发放问题引发的大规模纠纷，政策执行规范，保障了被征地农民的合法权益，因此，沿用 2023 年补偿标准在政策延续性方面具有坚实基础。</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2.农民权益保障情况</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麒麟区2022-2024年被征地农民就业安置情况，就业岗位开发数量、新增就业人数、农村劳动力转移就业情况；同时关注社会保障覆盖程度，包括养老保险、医疗保险等参保情况。麒麟区2022-2024年农民在就业安置和社会保障方面得到有效保障，未因征地导致生活水平下降就业和社会保障体系不断完善，沿用2023年补偿标准在保障农民权益的延续性上具有合理性。</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3.对社会稳定的影响</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根据查阅征地补偿信访相关资料，麒麟区2023 年区片价实施后，未出现因征地补偿问题引发大规模矛盾纠纷，影响社会稳定。征地项目推进过程中社会秩序良好，未出现群体性事件，上一轮区片价在实施过程中对社会稳定未产生负面影响，在 2025 年沿用 2023 年补偿标准有助于保持社会稳定，避免因补偿标准调整引发不稳定因素。</w:t>
      </w:r>
    </w:p>
    <w:p>
      <w:pPr>
        <w:pStyle w:val="10"/>
        <w:keepNext w:val="0"/>
        <w:keepLines w:val="0"/>
        <w:widowControl/>
        <w:suppressLineNumbers w:val="0"/>
        <w:spacing w:before="60" w:beforeAutospacing="0" w:after="60" w:afterAutospacing="0"/>
        <w:ind w:left="0" w:right="0"/>
      </w:pPr>
      <w:r>
        <w:rPr>
          <w:rStyle w:val="14"/>
          <w:rFonts w:hint="eastAsia" w:ascii="宋体" w:hAnsi="宋体" w:eastAsia="宋体" w:cs="宋体"/>
          <w:sz w:val="22"/>
          <w:szCs w:val="22"/>
        </w:rPr>
        <w:t>（七）其他因素分析</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1.自然灾害影响</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麒麟区2022-2024 年未出现此类自然灾害，土地质量和产出未受到明显破坏，土地价值未因灾害而降低，因此，在 2025 年不存在因自然灾害而必须调整区片地价的因素，因此，沿用 2023 年补偿标准具有合理性。</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2.重大基础设施建设与区域发展战略调整</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麒麟区县2022-2024 年间重大基础设施建设项目推进平稳，未对土地价值产生瞬间大幅提升效应；区域发展战略调整未引发土地需求和价值的剧烈变化，那么基于重大基础设施建设和区域发展战略调整的渐进性，因此，在 2025 年沿用 2023 年补偿标准具有一定合理性。</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综合以上从经济发展水平、社会保障水平、土地供求关系、物价水平、上一轮区片价实施效果及其他因素等多维度的分析，各项指标变化平稳，未出现必须调整区片地价的显著因素，在 2025 年麒麟区征收农用地区片综合地价沿用 2023 年公布补偿标准具有一定合理性。</w:t>
      </w:r>
    </w:p>
    <w:p>
      <w:pPr>
        <w:pStyle w:val="3"/>
        <w:keepNext w:val="0"/>
        <w:keepLines w:val="0"/>
        <w:widowControl/>
        <w:suppressLineNumbers w:val="0"/>
        <w:spacing w:before="96" w:beforeAutospacing="0" w:after="96" w:afterAutospacing="0"/>
      </w:pPr>
      <w:r>
        <w:rPr>
          <w:rStyle w:val="14"/>
          <w:rFonts w:hint="eastAsia" w:ascii="宋体" w:hAnsi="宋体" w:eastAsia="宋体" w:cs="宋体"/>
          <w:b/>
          <w:sz w:val="22"/>
          <w:szCs w:val="22"/>
        </w:rPr>
        <w:t>五、结论</w:t>
      </w:r>
    </w:p>
    <w:p>
      <w:pPr>
        <w:pStyle w:val="10"/>
        <w:keepNext w:val="0"/>
        <w:keepLines w:val="0"/>
        <w:widowControl/>
        <w:suppressLineNumbers w:val="0"/>
        <w:spacing w:before="60" w:beforeAutospacing="0" w:after="60" w:afterAutospacing="0" w:line="444" w:lineRule="atLeast"/>
        <w:ind w:left="0" w:right="0" w:firstLine="444"/>
      </w:pPr>
      <w:r>
        <w:rPr>
          <w:rFonts w:hint="eastAsia" w:ascii="仿宋_GB2312" w:eastAsia="仿宋_GB2312" w:cs="仿宋_GB2312"/>
          <w:sz w:val="22"/>
          <w:szCs w:val="22"/>
        </w:rPr>
        <w:t>通过对上一轮区片划分的合理性和分析和区片价的合理性两方面进行初步分析，2025 年麒麟区征收农用地区片综合地价沿用 2023 年公布补偿标准具有一定合理性。但需建立长效监测机制，持续关注各因素动态变化，以便在未来根据实际情况及时、合理地调整区片地价，切实保障被征地农民权益，促进土地资源优化配置和区域经济社会可持续发展。</w:t>
      </w:r>
    </w:p>
    <w:p>
      <w:pPr>
        <w:pStyle w:val="10"/>
        <w:keepNext w:val="0"/>
        <w:keepLines w:val="0"/>
        <w:widowControl/>
        <w:suppressLineNumbers w:val="0"/>
        <w:spacing w:before="60" w:beforeAutospacing="0" w:after="60" w:afterAutospacing="0"/>
        <w:ind w:left="0" w:right="0"/>
      </w:pPr>
    </w:p>
    <w:p>
      <w:pPr>
        <w:shd w:val="clea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br w:type="page"/>
      </w:r>
    </w:p>
    <w:p>
      <w:pPr>
        <w:pStyle w:val="17"/>
        <w:shd w:val="clear"/>
        <w:adjustRightInd w:val="0"/>
        <w:snapToGrid w:val="0"/>
        <w:spacing w:line="640" w:lineRule="exact"/>
        <w:ind w:firstLine="0" w:firstLineChars="0"/>
        <w:rPr>
          <w:rFonts w:ascii="方正黑体_GBK" w:hAnsi="宋体" w:eastAsia="方正黑体_GBK"/>
          <w:color w:val="auto"/>
          <w:sz w:val="32"/>
          <w:szCs w:val="32"/>
          <w:highlight w:val="none"/>
        </w:rPr>
        <w:sectPr>
          <w:footerReference r:id="rId3" w:type="default"/>
          <w:pgSz w:w="11906" w:h="16838"/>
          <w:pgMar w:top="1440" w:right="1800" w:bottom="1440" w:left="1800" w:header="851" w:footer="992" w:gutter="0"/>
          <w:cols w:space="425" w:num="1"/>
          <w:docGrid w:type="lines" w:linePitch="312" w:charSpace="0"/>
        </w:sectPr>
      </w:pPr>
      <w:bookmarkStart w:id="0" w:name="_Toc143610954"/>
    </w:p>
    <w:p>
      <w:pPr>
        <w:pStyle w:val="17"/>
        <w:shd w:val="clear"/>
        <w:adjustRightInd w:val="0"/>
        <w:snapToGrid w:val="0"/>
        <w:ind w:firstLine="0" w:firstLineChars="0"/>
        <w:outlineLvl w:val="0"/>
        <w:rPr>
          <w:rFonts w:ascii="方正黑体_GBK" w:hAnsi="宋体" w:eastAsia="方正黑体_GBK"/>
          <w:color w:val="auto"/>
          <w:sz w:val="32"/>
          <w:szCs w:val="32"/>
          <w:highlight w:val="none"/>
        </w:rPr>
      </w:pPr>
      <w:bookmarkStart w:id="1" w:name="_Toc19981"/>
      <w:r>
        <w:rPr>
          <w:rFonts w:hint="eastAsia" w:ascii="方正黑体_GBK" w:hAnsi="宋体" w:eastAsia="方正黑体_GBK"/>
          <w:color w:val="auto"/>
          <w:sz w:val="32"/>
          <w:szCs w:val="32"/>
          <w:highlight w:val="none"/>
        </w:rPr>
        <w:t>附件:</w:t>
      </w:r>
      <w:bookmarkEnd w:id="0"/>
      <w:bookmarkEnd w:id="1"/>
    </w:p>
    <w:p>
      <w:pPr>
        <w:shd w:val="clear"/>
        <w:adjustRightInd w:val="0"/>
        <w:snapToGrid w:val="0"/>
        <w:ind w:firstLine="482" w:firstLineChars="200"/>
        <w:jc w:val="center"/>
        <w:outlineLvl w:val="2"/>
        <w:rPr>
          <w:rFonts w:ascii="宋体" w:hAnsi="宋体" w:eastAsia="方正仿宋_GBK" w:cs="Times New Roman"/>
          <w:b/>
          <w:bCs/>
          <w:color w:val="auto"/>
          <w:sz w:val="24"/>
          <w:highlight w:val="none"/>
        </w:rPr>
      </w:pPr>
      <w:bookmarkStart w:id="2" w:name="_Toc143610955"/>
      <w:bookmarkStart w:id="3" w:name="_Toc21111"/>
      <w:bookmarkStart w:id="4" w:name="_Toc3725"/>
      <w:bookmarkStart w:id="5" w:name="_Toc28252"/>
      <w:bookmarkStart w:id="6" w:name="_Toc16474"/>
      <w:r>
        <w:rPr>
          <w:rFonts w:hint="eastAsia" w:ascii="宋体" w:hAnsi="宋体" w:eastAsia="方正仿宋_GBK" w:cs="Times New Roman"/>
          <w:b/>
          <w:bCs/>
          <w:color w:val="auto"/>
          <w:sz w:val="24"/>
          <w:highlight w:val="none"/>
        </w:rPr>
        <w:t xml:space="preserve">附表1 </w:t>
      </w:r>
      <w:r>
        <w:rPr>
          <w:rFonts w:hint="eastAsia" w:ascii="宋体" w:hAnsi="宋体" w:eastAsia="方正仿宋_GBK" w:cs="Times New Roman"/>
          <w:b/>
          <w:bCs/>
          <w:color w:val="auto"/>
          <w:sz w:val="24"/>
          <w:highlight w:val="none"/>
          <w:lang w:eastAsia="zh-CN"/>
        </w:rPr>
        <w:t>麒麟区</w:t>
      </w:r>
      <w:r>
        <w:rPr>
          <w:rFonts w:hint="eastAsia" w:ascii="宋体" w:hAnsi="宋体" w:eastAsia="方正仿宋_GBK" w:cs="Times New Roman"/>
          <w:b/>
          <w:bCs/>
          <w:color w:val="auto"/>
          <w:sz w:val="24"/>
          <w:highlight w:val="none"/>
        </w:rPr>
        <w:t>征收农用地区片价更新调整结果表</w:t>
      </w:r>
      <w:bookmarkEnd w:id="2"/>
      <w:bookmarkEnd w:id="3"/>
      <w:r>
        <w:rPr>
          <w:color w:val="auto"/>
          <w:highlight w:val="none"/>
        </w:rPr>
        <w:drawing>
          <wp:anchor distT="0" distB="0" distL="114300" distR="114300" simplePos="0" relativeHeight="251659264" behindDoc="0" locked="0" layoutInCell="1" allowOverlap="1">
            <wp:simplePos x="0" y="0"/>
            <wp:positionH relativeFrom="column">
              <wp:posOffset>-8255</wp:posOffset>
            </wp:positionH>
            <wp:positionV relativeFrom="paragraph">
              <wp:posOffset>436880</wp:posOffset>
            </wp:positionV>
            <wp:extent cx="7888605" cy="4370705"/>
            <wp:effectExtent l="0" t="0" r="17145" b="1079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rcRect t="2458"/>
                    <a:stretch>
                      <a:fillRect/>
                    </a:stretch>
                  </pic:blipFill>
                  <pic:spPr>
                    <a:xfrm>
                      <a:off x="0" y="0"/>
                      <a:ext cx="7888605" cy="4370705"/>
                    </a:xfrm>
                    <a:prstGeom prst="rect">
                      <a:avLst/>
                    </a:prstGeom>
                    <a:noFill/>
                    <a:ln>
                      <a:noFill/>
                    </a:ln>
                  </pic:spPr>
                </pic:pic>
              </a:graphicData>
            </a:graphic>
          </wp:anchor>
        </w:drawing>
      </w:r>
    </w:p>
    <w:p>
      <w:pPr>
        <w:pStyle w:val="2"/>
        <w:shd w:val="clear"/>
        <w:rPr>
          <w:color w:val="auto"/>
          <w:highlight w:val="none"/>
        </w:rPr>
      </w:pPr>
    </w:p>
    <w:p>
      <w:pPr>
        <w:pStyle w:val="2"/>
        <w:shd w:val="clear"/>
        <w:rPr>
          <w:color w:val="auto"/>
          <w:highlight w:val="none"/>
        </w:rPr>
      </w:pPr>
    </w:p>
    <w:p>
      <w:pPr>
        <w:pStyle w:val="2"/>
        <w:shd w:val="clear"/>
        <w:rPr>
          <w:color w:val="auto"/>
          <w:highlight w:val="none"/>
        </w:rPr>
      </w:pPr>
    </w:p>
    <w:p>
      <w:pPr>
        <w:shd w:val="clear"/>
        <w:ind w:firstLine="420" w:firstLineChars="200"/>
        <w:rPr>
          <w:rFonts w:ascii="Times New Roman" w:hAnsi="Times New Roman" w:cs="Times New Roman"/>
          <w:color w:val="auto"/>
          <w:highlight w:val="none"/>
        </w:rPr>
        <w:sectPr>
          <w:type w:val="continuous"/>
          <w:pgSz w:w="16838" w:h="11906" w:orient="landscape"/>
          <w:pgMar w:top="1800" w:right="1440" w:bottom="1800" w:left="1440" w:header="851" w:footer="992" w:gutter="0"/>
          <w:cols w:space="425" w:num="1"/>
          <w:docGrid w:type="lines" w:linePitch="312" w:charSpace="0"/>
        </w:sectPr>
      </w:pPr>
    </w:p>
    <w:bookmarkEnd w:id="4"/>
    <w:bookmarkEnd w:id="5"/>
    <w:bookmarkEnd w:id="6"/>
    <w:p>
      <w:pPr>
        <w:shd w:val="clear"/>
        <w:adjustRightInd w:val="0"/>
        <w:snapToGrid w:val="0"/>
        <w:spacing w:line="500" w:lineRule="exact"/>
        <w:ind w:firstLine="482" w:firstLineChars="200"/>
        <w:jc w:val="center"/>
        <w:outlineLvl w:val="2"/>
        <w:rPr>
          <w:rFonts w:ascii="宋体" w:hAnsi="宋体" w:eastAsia="方正仿宋_GBK" w:cs="Times New Roman"/>
          <w:b/>
          <w:bCs/>
          <w:color w:val="auto"/>
          <w:sz w:val="24"/>
          <w:highlight w:val="none"/>
        </w:rPr>
      </w:pPr>
      <w:bookmarkStart w:id="7" w:name="_Toc18762"/>
      <w:bookmarkStart w:id="8" w:name="_Toc143610956"/>
      <w:r>
        <w:rPr>
          <w:rFonts w:hint="eastAsia" w:ascii="宋体" w:hAnsi="宋体" w:eastAsia="方正仿宋_GBK" w:cs="Times New Roman"/>
          <w:b/>
          <w:bCs/>
          <w:color w:val="auto"/>
          <w:sz w:val="24"/>
          <w:highlight w:val="none"/>
        </w:rPr>
        <w:t>附表2</w:t>
      </w:r>
      <w:r>
        <w:rPr>
          <w:rFonts w:ascii="宋体" w:hAnsi="宋体" w:eastAsia="方正仿宋_GBK" w:cs="Times New Roman"/>
          <w:b/>
          <w:bCs/>
          <w:color w:val="auto"/>
          <w:sz w:val="24"/>
          <w:highlight w:val="none"/>
        </w:rPr>
        <w:t xml:space="preserve"> </w:t>
      </w:r>
      <w:r>
        <w:rPr>
          <w:rFonts w:hint="eastAsia" w:ascii="宋体" w:hAnsi="宋体" w:eastAsia="方正仿宋_GBK" w:cs="Times New Roman"/>
          <w:b/>
          <w:bCs/>
          <w:color w:val="auto"/>
          <w:sz w:val="24"/>
          <w:highlight w:val="none"/>
          <w:lang w:eastAsia="zh-CN"/>
        </w:rPr>
        <w:t>麒麟区</w:t>
      </w:r>
      <w:r>
        <w:rPr>
          <w:rFonts w:hint="eastAsia" w:ascii="宋体" w:hAnsi="宋体" w:eastAsia="方正仿宋_GBK" w:cs="Times New Roman"/>
          <w:b/>
          <w:bCs/>
          <w:color w:val="auto"/>
          <w:sz w:val="24"/>
          <w:highlight w:val="none"/>
        </w:rPr>
        <w:t>征收农用地区片综合地价更新调整地类调节系数表</w:t>
      </w:r>
      <w:bookmarkEnd w:id="7"/>
      <w:bookmarkEnd w:id="8"/>
    </w:p>
    <w:p>
      <w:pPr>
        <w:shd w:val="clear"/>
        <w:ind w:firstLine="420" w:firstLineChars="200"/>
        <w:jc w:val="right"/>
        <w:rPr>
          <w:rFonts w:ascii="宋体" w:hAnsi="宋体" w:eastAsia="方正仿宋_GBK" w:cs="Times New Roman"/>
          <w:color w:val="auto"/>
          <w:highlight w:val="none"/>
        </w:rPr>
      </w:pPr>
      <w:bookmarkStart w:id="9" w:name="_Toc5154"/>
      <w:r>
        <w:rPr>
          <w:rFonts w:hint="eastAsia" w:ascii="宋体" w:hAnsi="宋体" w:eastAsia="方正仿宋_GBK" w:cs="Times New Roman"/>
          <w:color w:val="auto"/>
          <w:highlight w:val="none"/>
        </w:rPr>
        <w:t>单位：元/亩</w:t>
      </w:r>
      <w:bookmarkEnd w:id="9"/>
    </w:p>
    <w:p>
      <w:pPr>
        <w:shd w:val="clear"/>
        <w:rPr>
          <w:color w:val="auto"/>
          <w:highlight w:val="none"/>
        </w:rPr>
      </w:pPr>
    </w:p>
    <w:p>
      <w:pPr>
        <w:shd w:val="clear"/>
        <w:rPr>
          <w:color w:val="auto"/>
          <w:highlight w:val="none"/>
        </w:rPr>
      </w:pPr>
      <w:r>
        <w:rPr>
          <w:color w:val="auto"/>
          <w:highlight w:val="none"/>
        </w:rPr>
        <w:drawing>
          <wp:anchor distT="0" distB="0" distL="114300" distR="114300" simplePos="0" relativeHeight="251661312" behindDoc="0" locked="0" layoutInCell="1" allowOverlap="1">
            <wp:simplePos x="0" y="0"/>
            <wp:positionH relativeFrom="column">
              <wp:posOffset>-231140</wp:posOffset>
            </wp:positionH>
            <wp:positionV relativeFrom="paragraph">
              <wp:posOffset>20955</wp:posOffset>
            </wp:positionV>
            <wp:extent cx="8860790" cy="2261870"/>
            <wp:effectExtent l="0" t="0" r="0" b="0"/>
            <wp:wrapNone/>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7"/>
                    <a:srcRect t="7481"/>
                    <a:stretch>
                      <a:fillRect/>
                    </a:stretch>
                  </pic:blipFill>
                  <pic:spPr>
                    <a:xfrm>
                      <a:off x="0" y="0"/>
                      <a:ext cx="8860790" cy="2261870"/>
                    </a:xfrm>
                    <a:prstGeom prst="rect">
                      <a:avLst/>
                    </a:prstGeom>
                    <a:noFill/>
                    <a:ln>
                      <a:noFill/>
                    </a:ln>
                  </pic:spPr>
                </pic:pic>
              </a:graphicData>
            </a:graphic>
          </wp:anchor>
        </w:drawing>
      </w:r>
    </w:p>
    <w:p>
      <w:pPr>
        <w:pStyle w:val="17"/>
        <w:shd w:val="clear"/>
        <w:adjustRightInd w:val="0"/>
        <w:snapToGrid w:val="0"/>
        <w:ind w:firstLine="0" w:firstLineChars="0"/>
        <w:rPr>
          <w:rFonts w:ascii="方正黑体_GBK" w:hAnsi="宋体" w:eastAsia="方正黑体_GBK"/>
          <w:color w:val="auto"/>
          <w:sz w:val="32"/>
          <w:szCs w:val="32"/>
          <w:highlight w:val="none"/>
        </w:rPr>
        <w:sectPr>
          <w:pgSz w:w="16838" w:h="11906" w:orient="landscape"/>
          <w:pgMar w:top="1701" w:right="1701" w:bottom="1701" w:left="1701" w:header="1418" w:footer="1134" w:gutter="0"/>
          <w:cols w:space="425" w:num="1"/>
          <w:docGrid w:linePitch="312" w:charSpace="0"/>
        </w:sectPr>
      </w:pPr>
    </w:p>
    <w:p>
      <w:pPr>
        <w:shd w:val="clear"/>
        <w:adjustRightInd w:val="0"/>
        <w:snapToGrid w:val="0"/>
        <w:spacing w:line="500" w:lineRule="exact"/>
        <w:ind w:firstLine="482" w:firstLineChars="200"/>
        <w:jc w:val="left"/>
        <w:outlineLvl w:val="2"/>
        <w:rPr>
          <w:rFonts w:ascii="宋体" w:hAnsi="宋体" w:eastAsia="方正仿宋_GBK" w:cs="Times New Roman"/>
          <w:b/>
          <w:bCs/>
          <w:color w:val="auto"/>
          <w:sz w:val="24"/>
          <w:highlight w:val="none"/>
        </w:rPr>
      </w:pPr>
      <w:bookmarkStart w:id="10" w:name="_Toc17364"/>
      <w:bookmarkStart w:id="11" w:name="_Toc143610957"/>
      <w:r>
        <w:rPr>
          <w:rFonts w:hint="eastAsia" w:ascii="宋体" w:hAnsi="宋体" w:eastAsia="方正仿宋_GBK" w:cs="Times New Roman"/>
          <w:b/>
          <w:bCs/>
          <w:color w:val="auto"/>
          <w:sz w:val="24"/>
          <w:highlight w:val="none"/>
        </w:rPr>
        <w:t xml:space="preserve">附图 </w:t>
      </w:r>
      <w:r>
        <w:rPr>
          <w:rFonts w:ascii="宋体" w:hAnsi="宋体" w:eastAsia="方正仿宋_GBK" w:cs="Times New Roman"/>
          <w:b/>
          <w:bCs/>
          <w:color w:val="auto"/>
          <w:sz w:val="24"/>
          <w:highlight w:val="none"/>
        </w:rPr>
        <w:t xml:space="preserve">  </w:t>
      </w:r>
      <w:r>
        <w:rPr>
          <w:rFonts w:hint="eastAsia" w:ascii="宋体" w:hAnsi="宋体" w:eastAsia="方正仿宋_GBK" w:cs="Times New Roman"/>
          <w:b/>
          <w:bCs/>
          <w:color w:val="auto"/>
          <w:sz w:val="24"/>
          <w:highlight w:val="none"/>
          <w:lang w:eastAsia="zh-CN"/>
        </w:rPr>
        <w:t>麒麟区</w:t>
      </w:r>
      <w:r>
        <w:rPr>
          <w:rFonts w:hint="eastAsia" w:ascii="宋体" w:hAnsi="宋体" w:eastAsia="方正仿宋_GBK" w:cs="Times New Roman"/>
          <w:b/>
          <w:bCs/>
          <w:color w:val="auto"/>
          <w:sz w:val="24"/>
          <w:highlight w:val="none"/>
        </w:rPr>
        <w:t>征收农用地区片综合地价更新调整图</w:t>
      </w:r>
      <w:bookmarkEnd w:id="10"/>
      <w:bookmarkEnd w:id="11"/>
    </w:p>
    <w:p>
      <w:pPr>
        <w:shd w:val="clear"/>
        <w:rPr>
          <w:color w:val="auto"/>
          <w:highlight w:val="none"/>
        </w:rPr>
      </w:pPr>
      <w:r>
        <w:rPr>
          <w:rFonts w:hint="eastAsia" w:eastAsia="仿宋"/>
          <w:color w:val="auto"/>
          <w:highlight w:val="none"/>
          <w:lang w:eastAsia="zh-CN"/>
        </w:rPr>
        <w:drawing>
          <wp:anchor distT="0" distB="0" distL="114300" distR="114300" simplePos="0" relativeHeight="251662336" behindDoc="0" locked="0" layoutInCell="1" allowOverlap="1">
            <wp:simplePos x="0" y="0"/>
            <wp:positionH relativeFrom="column">
              <wp:posOffset>-1941195</wp:posOffset>
            </wp:positionH>
            <wp:positionV relativeFrom="paragraph">
              <wp:posOffset>1967865</wp:posOffset>
            </wp:positionV>
            <wp:extent cx="12303125" cy="8705850"/>
            <wp:effectExtent l="0" t="0" r="0" b="3175"/>
            <wp:wrapNone/>
            <wp:docPr id="3" name="图片 3" descr="麒麟区征收农用地区片综合地价更新调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麒麟区征收农用地区片综合地价更新调整图"/>
                    <pic:cNvPicPr>
                      <a:picLocks noChangeAspect="1"/>
                    </pic:cNvPicPr>
                  </pic:nvPicPr>
                  <pic:blipFill>
                    <a:blip r:embed="rId8"/>
                    <a:stretch>
                      <a:fillRect/>
                    </a:stretch>
                  </pic:blipFill>
                  <pic:spPr>
                    <a:xfrm rot="16200000">
                      <a:off x="0" y="0"/>
                      <a:ext cx="12303125" cy="8705850"/>
                    </a:xfrm>
                    <a:prstGeom prst="rect">
                      <a:avLst/>
                    </a:prstGeom>
                  </pic:spPr>
                </pic:pic>
              </a:graphicData>
            </a:graphic>
          </wp:anchor>
        </w:drawing>
      </w:r>
    </w:p>
    <w:p>
      <w:pPr>
        <w:shd w:val="clear"/>
        <w:rPr>
          <w:color w:val="auto"/>
          <w:highlight w:val="none"/>
        </w:rPr>
      </w:pPr>
    </w:p>
    <w:p>
      <w:pPr>
        <w:shd w:val="clear"/>
        <w:rPr>
          <w:color w:val="auto"/>
          <w:highlight w:val="none"/>
        </w:rPr>
      </w:pPr>
      <w:r>
        <w:rPr>
          <w:color w:val="auto"/>
          <w:highlight w:val="none"/>
        </w:rPr>
        <w:br w:type="page"/>
      </w:r>
    </w:p>
    <w:p>
      <w:pPr>
        <w:pStyle w:val="2"/>
        <w:shd w:val="clear"/>
        <w:rPr>
          <w:color w:val="auto"/>
          <w:highlight w:val="none"/>
        </w:rPr>
        <w:sectPr>
          <w:pgSz w:w="16838" w:h="23811"/>
          <w:pgMar w:top="1440" w:right="1800" w:bottom="1440" w:left="1800" w:header="851" w:footer="992" w:gutter="0"/>
          <w:cols w:space="425" w:num="1"/>
          <w:docGrid w:type="lines" w:linePitch="312" w:charSpace="0"/>
        </w:sectPr>
      </w:pPr>
    </w:p>
    <w:p>
      <w:pPr>
        <w:shd w:val="clear"/>
        <w:outlineLvl w:val="2"/>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附件</w:t>
      </w:r>
      <w:r>
        <w:rPr>
          <w:rFonts w:ascii="仿宋_GB2312" w:hAnsi="宋体" w:eastAsia="仿宋_GB2312"/>
          <w:color w:val="auto"/>
          <w:sz w:val="28"/>
          <w:szCs w:val="28"/>
          <w:highlight w:val="none"/>
        </w:rPr>
        <w:t>1</w:t>
      </w:r>
      <w:r>
        <w:rPr>
          <w:rFonts w:hint="eastAsia" w:ascii="仿宋_GB2312" w:hAnsi="宋体" w:eastAsia="仿宋_GB2312"/>
          <w:color w:val="auto"/>
          <w:sz w:val="28"/>
          <w:szCs w:val="28"/>
          <w:highlight w:val="none"/>
        </w:rPr>
        <w:t>：政府网站公开意见征询</w:t>
      </w:r>
    </w:p>
    <w:p>
      <w:pPr>
        <w:shd w:val="clear"/>
        <w:rPr>
          <w:rFonts w:hint="eastAsia" w:ascii="仿宋_GB2312" w:hAnsi="宋体" w:eastAsia="仿宋_GB2312"/>
          <w:color w:val="auto"/>
          <w:sz w:val="28"/>
          <w:szCs w:val="28"/>
          <w:highlight w:val="none"/>
          <w:lang w:eastAsia="zh-CN"/>
        </w:rPr>
      </w:pPr>
      <w:r>
        <w:rPr>
          <w:rFonts w:hint="eastAsia" w:ascii="仿宋_GB2312" w:hAnsi="宋体" w:eastAsia="仿宋_GB2312"/>
          <w:color w:val="auto"/>
          <w:sz w:val="28"/>
          <w:szCs w:val="28"/>
          <w:highlight w:val="none"/>
          <w:lang w:eastAsia="zh-CN"/>
        </w:rPr>
        <w:drawing>
          <wp:inline distT="0" distB="0" distL="114300" distR="114300">
            <wp:extent cx="5273040" cy="7456805"/>
            <wp:effectExtent l="0" t="0" r="3810" b="10795"/>
            <wp:docPr id="7" name="图片 7" descr="（意见征集 附起草说明）曲靖市麒麟区人民政府关于公开征求沿用《2023年麒麟区征收农用地区片综合地价》意见的公告-曲靖市麒麟区人民政府-曲靖市麒麟区人民政府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意见征集 附起草说明）曲靖市麒麟区人民政府关于公开征求沿用《2023年麒麟区征收农用地区片综合地价》意见的公告-曲靖市麒麟区人民政府-曲靖市麒麟区人民政府_页面_1"/>
                    <pic:cNvPicPr>
                      <a:picLocks noChangeAspect="1"/>
                    </pic:cNvPicPr>
                  </pic:nvPicPr>
                  <pic:blipFill>
                    <a:blip r:embed="rId9"/>
                    <a:stretch>
                      <a:fillRect/>
                    </a:stretch>
                  </pic:blipFill>
                  <pic:spPr>
                    <a:xfrm>
                      <a:off x="0" y="0"/>
                      <a:ext cx="5273040" cy="7456805"/>
                    </a:xfrm>
                    <a:prstGeom prst="rect">
                      <a:avLst/>
                    </a:prstGeom>
                  </pic:spPr>
                </pic:pic>
              </a:graphicData>
            </a:graphic>
          </wp:inline>
        </w:drawing>
      </w:r>
      <w:r>
        <w:rPr>
          <w:rFonts w:hint="eastAsia" w:ascii="仿宋_GB2312" w:hAnsi="宋体" w:eastAsia="仿宋_GB2312"/>
          <w:color w:val="auto"/>
          <w:sz w:val="28"/>
          <w:szCs w:val="28"/>
          <w:highlight w:val="none"/>
          <w:lang w:eastAsia="zh-CN"/>
        </w:rPr>
        <w:drawing>
          <wp:inline distT="0" distB="0" distL="114300" distR="114300">
            <wp:extent cx="5273040" cy="7456805"/>
            <wp:effectExtent l="0" t="0" r="3810" b="10795"/>
            <wp:docPr id="6" name="图片 6" descr="（意见征集 附起草说明）曲靖市麒麟区人民政府关于公开征求沿用《2023年麒麟区征收农用地区片综合地价》意见的公告-曲靖市麒麟区人民政府-曲靖市麒麟区人民政府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意见征集 附起草说明）曲靖市麒麟区人民政府关于公开征求沿用《2023年麒麟区征收农用地区片综合地价》意见的公告-曲靖市麒麟区人民政府-曲靖市麒麟区人民政府_页面_2"/>
                    <pic:cNvPicPr>
                      <a:picLocks noChangeAspect="1"/>
                    </pic:cNvPicPr>
                  </pic:nvPicPr>
                  <pic:blipFill>
                    <a:blip r:embed="rId10"/>
                    <a:stretch>
                      <a:fillRect/>
                    </a:stretch>
                  </pic:blipFill>
                  <pic:spPr>
                    <a:xfrm>
                      <a:off x="0" y="0"/>
                      <a:ext cx="5273040" cy="7456805"/>
                    </a:xfrm>
                    <a:prstGeom prst="rect">
                      <a:avLst/>
                    </a:prstGeom>
                  </pic:spPr>
                </pic:pic>
              </a:graphicData>
            </a:graphic>
          </wp:inline>
        </w:drawing>
      </w:r>
    </w:p>
    <w:p>
      <w:pPr>
        <w:pStyle w:val="2"/>
        <w:shd w:val="clear"/>
        <w:rPr>
          <w:color w:val="auto"/>
          <w:highlight w:val="none"/>
        </w:rPr>
      </w:pPr>
      <w:r>
        <w:rPr>
          <w:color w:val="auto"/>
          <w:highlight w:val="none"/>
        </w:rPr>
        <w:br w:type="page"/>
      </w:r>
    </w:p>
    <w:p>
      <w:pPr>
        <w:shd w:val="clear"/>
        <w:outlineLvl w:val="2"/>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附件</w:t>
      </w:r>
      <w:r>
        <w:rPr>
          <w:rFonts w:hint="eastAsia" w:ascii="仿宋_GB2312" w:hAnsi="宋体" w:eastAsia="仿宋_GB2312"/>
          <w:color w:val="auto"/>
          <w:sz w:val="28"/>
          <w:szCs w:val="28"/>
          <w:highlight w:val="none"/>
          <w:lang w:val="en-US" w:eastAsia="zh-CN"/>
        </w:rPr>
        <w:t>2</w:t>
      </w:r>
      <w:r>
        <w:rPr>
          <w:rFonts w:hint="eastAsia" w:ascii="仿宋_GB2312" w:hAnsi="宋体" w:eastAsia="仿宋_GB2312"/>
          <w:color w:val="auto"/>
          <w:sz w:val="28"/>
          <w:szCs w:val="28"/>
          <w:highlight w:val="none"/>
        </w:rPr>
        <w:t>：意见征询反馈（部分）</w:t>
      </w:r>
    </w:p>
    <w:p>
      <w:pPr>
        <w:shd w:val="clear"/>
        <w:rPr>
          <w:rFonts w:ascii="仿宋_GB2312" w:hAnsi="宋体" w:eastAsia="仿宋_GB2312"/>
          <w:color w:val="auto"/>
          <w:sz w:val="28"/>
          <w:szCs w:val="28"/>
          <w:highlight w:val="none"/>
        </w:rPr>
      </w:pPr>
    </w:p>
    <w:p>
      <w:pPr>
        <w:shd w:val="clear"/>
        <w:rPr>
          <w:rFonts w:ascii="仿宋_GB2312" w:hAnsi="宋体" w:eastAsia="仿宋_GB2312"/>
          <w:color w:val="auto"/>
          <w:sz w:val="28"/>
          <w:szCs w:val="28"/>
          <w:highlight w:val="none"/>
        </w:rPr>
      </w:pPr>
      <w:r>
        <w:rPr>
          <w:rFonts w:ascii="仿宋_GB2312" w:hAnsi="宋体" w:eastAsia="仿宋_GB2312"/>
          <w:color w:val="auto"/>
          <w:sz w:val="28"/>
          <w:szCs w:val="28"/>
          <w:highlight w:val="none"/>
        </w:rPr>
        <w:drawing>
          <wp:inline distT="0" distB="0" distL="0" distR="0">
            <wp:extent cx="4079875" cy="7006590"/>
            <wp:effectExtent l="0" t="0" r="0" b="0"/>
            <wp:docPr id="15" name="图片 15" descr="C:\Users\LCR.YOUHUA\Desktop\新建文件夹\麒麟区25年区片价意见征询表\区民政局征求意见表.jpg区民政局征求意见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LCR.YOUHUA\Desktop\新建文件夹\麒麟区25年区片价意见征询表\区民政局征求意见表.jpg区民政局征求意见表"/>
                    <pic:cNvPicPr>
                      <a:picLocks noChangeAspect="1"/>
                    </pic:cNvPicPr>
                  </pic:nvPicPr>
                  <pic:blipFill>
                    <a:blip r:embed="rId11"/>
                    <a:srcRect t="3363"/>
                    <a:stretch>
                      <a:fillRect/>
                    </a:stretch>
                  </pic:blipFill>
                  <pic:spPr>
                    <a:xfrm>
                      <a:off x="0" y="0"/>
                      <a:ext cx="4079875" cy="7006590"/>
                    </a:xfrm>
                    <a:prstGeom prst="rect">
                      <a:avLst/>
                    </a:prstGeom>
                  </pic:spPr>
                </pic:pic>
              </a:graphicData>
            </a:graphic>
          </wp:inline>
        </w:drawing>
      </w:r>
      <w:r>
        <w:rPr>
          <w:rFonts w:ascii="仿宋_GB2312" w:hAnsi="宋体" w:eastAsia="仿宋_GB2312"/>
          <w:color w:val="auto"/>
          <w:sz w:val="28"/>
          <w:szCs w:val="28"/>
          <w:highlight w:val="none"/>
        </w:rPr>
        <w:drawing>
          <wp:inline distT="0" distB="0" distL="0" distR="0">
            <wp:extent cx="5274310" cy="7456805"/>
            <wp:effectExtent l="0" t="0" r="2540" b="10795"/>
            <wp:docPr id="16" name="图片 16" descr="C:\Users\LCR.YOUHUA\Desktop\新建文件夹\麒麟区25年区片价意见征询表\区人社局报送意见表.jpg区人社局报送意见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LCR.YOUHUA\Desktop\新建文件夹\麒麟区25年区片价意见征询表\区人社局报送意见表.jpg区人社局报送意见表"/>
                    <pic:cNvPicPr>
                      <a:picLocks noChangeAspect="1"/>
                    </pic:cNvPicPr>
                  </pic:nvPicPr>
                  <pic:blipFill>
                    <a:blip r:embed="rId12"/>
                    <a:srcRect/>
                    <a:stretch>
                      <a:fillRect/>
                    </a:stretch>
                  </pic:blipFill>
                  <pic:spPr>
                    <a:xfrm>
                      <a:off x="0" y="0"/>
                      <a:ext cx="5274310" cy="7456805"/>
                    </a:xfrm>
                    <a:prstGeom prst="rect">
                      <a:avLst/>
                    </a:prstGeom>
                  </pic:spPr>
                </pic:pic>
              </a:graphicData>
            </a:graphic>
          </wp:inline>
        </w:drawing>
      </w:r>
      <w:r>
        <w:rPr>
          <w:rFonts w:ascii="仿宋_GB2312" w:hAnsi="宋体" w:eastAsia="仿宋_GB2312"/>
          <w:color w:val="auto"/>
          <w:sz w:val="28"/>
          <w:szCs w:val="28"/>
          <w:highlight w:val="none"/>
        </w:rPr>
        <w:drawing>
          <wp:inline distT="0" distB="0" distL="0" distR="0">
            <wp:extent cx="5257800" cy="7459980"/>
            <wp:effectExtent l="0" t="0" r="0" b="7620"/>
            <wp:docPr id="17" name="图片 17" descr="C:\Users\LCR.YOUHUA\Desktop\新建文件夹\麒麟区25年区片价意见征询表\区发改局.png区发改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LCR.YOUHUA\Desktop\新建文件夹\麒麟区25年区片价意见征询表\区发改局.png区发改局"/>
                    <pic:cNvPicPr>
                      <a:picLocks noChangeAspect="1"/>
                    </pic:cNvPicPr>
                  </pic:nvPicPr>
                  <pic:blipFill>
                    <a:blip r:embed="rId13"/>
                    <a:srcRect/>
                    <a:stretch>
                      <a:fillRect/>
                    </a:stretch>
                  </pic:blipFill>
                  <pic:spPr>
                    <a:xfrm>
                      <a:off x="0" y="0"/>
                      <a:ext cx="5257800" cy="7459980"/>
                    </a:xfrm>
                    <a:prstGeom prst="rect">
                      <a:avLst/>
                    </a:prstGeom>
                  </pic:spPr>
                </pic:pic>
              </a:graphicData>
            </a:graphic>
          </wp:inline>
        </w:drawing>
      </w:r>
    </w:p>
    <w:p>
      <w:pPr>
        <w:shd w:val="clear"/>
        <w:rPr>
          <w:rFonts w:ascii="仿宋_GB2312" w:hAnsi="宋体" w:eastAsia="仿宋_GB2312"/>
          <w:color w:val="auto"/>
          <w:sz w:val="28"/>
          <w:szCs w:val="28"/>
          <w:highlight w:val="none"/>
        </w:rPr>
      </w:pPr>
      <w:r>
        <w:rPr>
          <w:rFonts w:ascii="仿宋_GB2312" w:hAnsi="宋体" w:eastAsia="仿宋_GB2312"/>
          <w:color w:val="auto"/>
          <w:sz w:val="28"/>
          <w:szCs w:val="28"/>
          <w:highlight w:val="none"/>
        </w:rPr>
        <w:br w:type="page"/>
      </w:r>
    </w:p>
    <w:p>
      <w:pPr>
        <w:shd w:val="clear"/>
        <w:rPr>
          <w:color w:val="auto"/>
          <w:highlight w:val="none"/>
        </w:rPr>
      </w:pPr>
    </w:p>
    <w:p>
      <w:pPr>
        <w:shd w:val="clear"/>
        <w:rPr>
          <w:color w:val="auto"/>
          <w:highlight w:val="none"/>
        </w:rPr>
      </w:pPr>
      <w:r>
        <w:rPr>
          <w:color w:val="auto"/>
          <w:highlight w:val="none"/>
        </w:rPr>
        <w:drawing>
          <wp:inline distT="0" distB="0" distL="114300" distR="114300">
            <wp:extent cx="6028690" cy="4714875"/>
            <wp:effectExtent l="657225" t="0" r="0" b="0"/>
            <wp:docPr id="12" name="图片 12" descr="麒麟区征收农用地区片综合地价更新调整意见（区财政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麒麟区征收农用地区片综合地价更新调整意见（区财政局）"/>
                    <pic:cNvPicPr>
                      <a:picLocks noChangeAspect="1"/>
                    </pic:cNvPicPr>
                  </pic:nvPicPr>
                  <pic:blipFill>
                    <a:blip r:embed="rId14"/>
                    <a:srcRect l="18634" t="8896" r="7620" b="9555"/>
                    <a:stretch>
                      <a:fillRect/>
                    </a:stretch>
                  </pic:blipFill>
                  <pic:spPr>
                    <a:xfrm rot="16200000">
                      <a:off x="0" y="0"/>
                      <a:ext cx="6028690" cy="4714875"/>
                    </a:xfrm>
                    <a:prstGeom prst="rect">
                      <a:avLst/>
                    </a:prstGeom>
                  </pic:spPr>
                </pic:pic>
              </a:graphicData>
            </a:graphic>
          </wp:inline>
        </w:drawing>
      </w:r>
      <w:r>
        <w:rPr>
          <w:color w:val="auto"/>
          <w:highlight w:val="none"/>
        </w:rPr>
        <w:br w:type="page"/>
      </w:r>
    </w:p>
    <w:p>
      <w:pPr>
        <w:shd w:val="clear"/>
        <w:rPr>
          <w:color w:val="auto"/>
          <w:highlight w:val="none"/>
        </w:rPr>
      </w:pPr>
      <w:r>
        <w:rPr>
          <w:color w:val="auto"/>
          <w:highlight w:val="none"/>
        </w:rPr>
        <w:drawing>
          <wp:inline distT="0" distB="0" distL="114300" distR="114300">
            <wp:extent cx="5271135" cy="7450455"/>
            <wp:effectExtent l="0" t="0" r="5715" b="17145"/>
            <wp:docPr id="14" name="图片 14" descr="关于区片综合地价调整部门意见表（区住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关于区片综合地价调整部门意见表（区住建）"/>
                    <pic:cNvPicPr>
                      <a:picLocks noChangeAspect="1"/>
                    </pic:cNvPicPr>
                  </pic:nvPicPr>
                  <pic:blipFill>
                    <a:blip r:embed="rId15"/>
                    <a:stretch>
                      <a:fillRect/>
                    </a:stretch>
                  </pic:blipFill>
                  <pic:spPr>
                    <a:xfrm>
                      <a:off x="0" y="0"/>
                      <a:ext cx="5271135" cy="7450455"/>
                    </a:xfrm>
                    <a:prstGeom prst="rect">
                      <a:avLst/>
                    </a:prstGeom>
                  </pic:spPr>
                </pic:pic>
              </a:graphicData>
            </a:graphic>
          </wp:inline>
        </w:drawing>
      </w:r>
    </w:p>
    <w:p>
      <w:pPr>
        <w:shd w:val="clear"/>
        <w:rPr>
          <w:color w:val="auto"/>
          <w:highlight w:val="none"/>
        </w:rPr>
      </w:pPr>
      <w:r>
        <w:rPr>
          <w:color w:val="auto"/>
          <w:highlight w:val="none"/>
        </w:rPr>
        <w:br w:type="page"/>
      </w:r>
    </w:p>
    <w:p>
      <w:pPr>
        <w:shd w:val="clear"/>
        <w:rPr>
          <w:color w:val="auto"/>
          <w:highlight w:val="none"/>
        </w:rPr>
      </w:pPr>
      <w:r>
        <w:rPr>
          <w:color w:val="auto"/>
          <w:highlight w:val="none"/>
        </w:rPr>
        <w:drawing>
          <wp:inline distT="0" distB="0" distL="114300" distR="114300">
            <wp:extent cx="5271770" cy="7496810"/>
            <wp:effectExtent l="0" t="0" r="5080" b="8890"/>
            <wp:docPr id="23" name="图片 23" descr="农用地区片综合地价更新调整意见表（麒麟区税务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农用地区片综合地价更新调整意见表（麒麟区税务局）"/>
                    <pic:cNvPicPr>
                      <a:picLocks noChangeAspect="1"/>
                    </pic:cNvPicPr>
                  </pic:nvPicPr>
                  <pic:blipFill>
                    <a:blip r:embed="rId16"/>
                    <a:stretch>
                      <a:fillRect/>
                    </a:stretch>
                  </pic:blipFill>
                  <pic:spPr>
                    <a:xfrm>
                      <a:off x="0" y="0"/>
                      <a:ext cx="5271770" cy="7496810"/>
                    </a:xfrm>
                    <a:prstGeom prst="rect">
                      <a:avLst/>
                    </a:prstGeom>
                  </pic:spPr>
                </pic:pic>
              </a:graphicData>
            </a:graphic>
          </wp:inline>
        </w:drawing>
      </w:r>
      <w:r>
        <w:rPr>
          <w:color w:val="auto"/>
          <w:highlight w:val="none"/>
        </w:rPr>
        <w:br w:type="page"/>
      </w:r>
    </w:p>
    <w:p>
      <w:pPr>
        <w:pStyle w:val="2"/>
        <w:shd w:val="clear"/>
        <w:rPr>
          <w:color w:val="auto"/>
          <w:highlight w:val="none"/>
        </w:rPr>
      </w:pPr>
    </w:p>
    <w:p>
      <w:pPr>
        <w:shd w:val="clear"/>
        <w:rPr>
          <w:rFonts w:ascii="仿宋_GB2312" w:hAnsi="宋体" w:eastAsia="仿宋_GB2312"/>
          <w:color w:val="auto"/>
          <w:sz w:val="28"/>
          <w:szCs w:val="28"/>
          <w:highlight w:val="none"/>
        </w:rPr>
      </w:pPr>
      <w:r>
        <w:rPr>
          <w:rFonts w:ascii="仿宋_GB2312" w:hAnsi="宋体" w:eastAsia="仿宋_GB2312"/>
          <w:color w:val="auto"/>
          <w:sz w:val="28"/>
          <w:szCs w:val="28"/>
          <w:highlight w:val="none"/>
        </w:rPr>
        <w:drawing>
          <wp:inline distT="0" distB="0" distL="0" distR="0">
            <wp:extent cx="5845810" cy="4535805"/>
            <wp:effectExtent l="655320" t="0" r="0" b="0"/>
            <wp:docPr id="18" name="图片 18" descr="C:\Users\LCR.YOUHUA\Desktop\新建文件夹\麒麟区25年区片价意见征询表\区水务局.jpg区水务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LCR.YOUHUA\Desktop\新建文件夹\麒麟区25年区片价意见征询表\区水务局.jpg区水务局"/>
                    <pic:cNvPicPr>
                      <a:picLocks noChangeAspect="1"/>
                    </pic:cNvPicPr>
                  </pic:nvPicPr>
                  <pic:blipFill>
                    <a:blip r:embed="rId17"/>
                    <a:srcRect l="19116" t="9822" r="8316" b="10546"/>
                    <a:stretch>
                      <a:fillRect/>
                    </a:stretch>
                  </pic:blipFill>
                  <pic:spPr>
                    <a:xfrm rot="16200000">
                      <a:off x="0" y="0"/>
                      <a:ext cx="5845810" cy="4535805"/>
                    </a:xfrm>
                    <a:prstGeom prst="rect">
                      <a:avLst/>
                    </a:prstGeom>
                  </pic:spPr>
                </pic:pic>
              </a:graphicData>
            </a:graphic>
          </wp:inline>
        </w:drawing>
      </w:r>
      <w:r>
        <w:rPr>
          <w:rFonts w:ascii="仿宋_GB2312" w:hAnsi="宋体" w:eastAsia="仿宋_GB2312"/>
          <w:color w:val="auto"/>
          <w:sz w:val="28"/>
          <w:szCs w:val="28"/>
          <w:highlight w:val="none"/>
        </w:rPr>
        <w:drawing>
          <wp:inline distT="0" distB="0" distL="0" distR="0">
            <wp:extent cx="5247640" cy="7462520"/>
            <wp:effectExtent l="0" t="0" r="10160" b="5080"/>
            <wp:docPr id="19" name="图片 19" descr="C:\Users\LCR.YOUHUA\Desktop\新建文件夹\麒麟区25年区片价意见征询表\统计局(1).jpg统计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LCR.YOUHUA\Desktop\新建文件夹\麒麟区25年区片价意见征询表\统计局(1).jpg统计局(1)"/>
                    <pic:cNvPicPr>
                      <a:picLocks noChangeAspect="1"/>
                    </pic:cNvPicPr>
                  </pic:nvPicPr>
                  <pic:blipFill>
                    <a:blip r:embed="rId18"/>
                    <a:srcRect/>
                    <a:stretch>
                      <a:fillRect/>
                    </a:stretch>
                  </pic:blipFill>
                  <pic:spPr>
                    <a:xfrm>
                      <a:off x="0" y="0"/>
                      <a:ext cx="5247640" cy="7462520"/>
                    </a:xfrm>
                    <a:prstGeom prst="rect">
                      <a:avLst/>
                    </a:prstGeom>
                  </pic:spPr>
                </pic:pic>
              </a:graphicData>
            </a:graphic>
          </wp:inline>
        </w:drawing>
      </w:r>
      <w:r>
        <w:rPr>
          <w:rFonts w:ascii="仿宋_GB2312" w:hAnsi="宋体" w:eastAsia="仿宋_GB2312"/>
          <w:color w:val="auto"/>
          <w:sz w:val="28"/>
          <w:szCs w:val="28"/>
          <w:highlight w:val="none"/>
        </w:rPr>
        <w:drawing>
          <wp:inline distT="0" distB="0" distL="0" distR="0">
            <wp:extent cx="7198995" cy="5088890"/>
            <wp:effectExtent l="0" t="0" r="16510" b="1905"/>
            <wp:docPr id="20" name="图片 20" descr="C:\Users\LCR.YOUHUA\Desktop\新建文件夹\麒麟区25年区片价意见征询表\文华街道.jpg文华街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LCR.YOUHUA\Desktop\新建文件夹\麒麟区25年区片价意见征询表\文华街道.jpg文华街道"/>
                    <pic:cNvPicPr>
                      <a:picLocks noChangeAspect="1"/>
                    </pic:cNvPicPr>
                  </pic:nvPicPr>
                  <pic:blipFill>
                    <a:blip r:embed="rId19"/>
                    <a:srcRect/>
                    <a:stretch>
                      <a:fillRect/>
                    </a:stretch>
                  </pic:blipFill>
                  <pic:spPr>
                    <a:xfrm rot="16200000">
                      <a:off x="0" y="0"/>
                      <a:ext cx="7198995" cy="5088890"/>
                    </a:xfrm>
                    <a:prstGeom prst="rect">
                      <a:avLst/>
                    </a:prstGeom>
                  </pic:spPr>
                </pic:pic>
              </a:graphicData>
            </a:graphic>
          </wp:inline>
        </w:drawing>
      </w:r>
      <w:r>
        <w:rPr>
          <w:rFonts w:ascii="仿宋_GB2312" w:hAnsi="宋体" w:eastAsia="仿宋_GB2312"/>
          <w:color w:val="auto"/>
          <w:sz w:val="28"/>
          <w:szCs w:val="28"/>
          <w:highlight w:val="none"/>
        </w:rPr>
        <w:drawing>
          <wp:inline distT="0" distB="0" distL="0" distR="0">
            <wp:extent cx="7149465" cy="5053330"/>
            <wp:effectExtent l="0" t="0" r="13970" b="13335"/>
            <wp:docPr id="21" name="图片 21" descr="C:\Users\LCR.YOUHUA\Desktop\新建文件夹\麒麟区25年区片价意见征询表\东山镇.jpg东山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LCR.YOUHUA\Desktop\新建文件夹\麒麟区25年区片价意见征询表\东山镇.jpg东山镇"/>
                    <pic:cNvPicPr>
                      <a:picLocks noChangeAspect="1"/>
                    </pic:cNvPicPr>
                  </pic:nvPicPr>
                  <pic:blipFill>
                    <a:blip r:embed="rId20"/>
                    <a:srcRect/>
                    <a:stretch>
                      <a:fillRect/>
                    </a:stretch>
                  </pic:blipFill>
                  <pic:spPr>
                    <a:xfrm rot="16200000">
                      <a:off x="0" y="0"/>
                      <a:ext cx="7149465" cy="5053330"/>
                    </a:xfrm>
                    <a:prstGeom prst="rect">
                      <a:avLst/>
                    </a:prstGeom>
                  </pic:spPr>
                </pic:pic>
              </a:graphicData>
            </a:graphic>
          </wp:inline>
        </w:drawing>
      </w:r>
      <w:r>
        <w:rPr>
          <w:rFonts w:ascii="仿宋_GB2312" w:hAnsi="宋体" w:eastAsia="仿宋_GB2312"/>
          <w:color w:val="auto"/>
          <w:sz w:val="28"/>
          <w:szCs w:val="28"/>
          <w:highlight w:val="none"/>
        </w:rPr>
        <w:drawing>
          <wp:inline distT="0" distB="0" distL="0" distR="0">
            <wp:extent cx="5273040" cy="7458075"/>
            <wp:effectExtent l="0" t="0" r="3810" b="9525"/>
            <wp:docPr id="22" name="图片 22" descr="C:\Users\LCR.YOUHUA\Desktop\新建文件夹\麒麟区25年区片价意见征询表\（南宁街道）麒麟区征收农用地区片综合地价更新调整意见.jpg（南宁街道）麒麟区征收农用地区片综合地价更新调整意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LCR.YOUHUA\Desktop\新建文件夹\麒麟区25年区片价意见征询表\（南宁街道）麒麟区征收农用地区片综合地价更新调整意见.jpg（南宁街道）麒麟区征收农用地区片综合地价更新调整意见"/>
                    <pic:cNvPicPr>
                      <a:picLocks noChangeAspect="1"/>
                    </pic:cNvPicPr>
                  </pic:nvPicPr>
                  <pic:blipFill>
                    <a:blip r:embed="rId21"/>
                    <a:srcRect/>
                    <a:stretch>
                      <a:fillRect/>
                    </a:stretch>
                  </pic:blipFill>
                  <pic:spPr>
                    <a:xfrm>
                      <a:off x="0" y="0"/>
                      <a:ext cx="5273040" cy="7458075"/>
                    </a:xfrm>
                    <a:prstGeom prst="rect">
                      <a:avLst/>
                    </a:prstGeom>
                  </pic:spPr>
                </pic:pic>
              </a:graphicData>
            </a:graphic>
          </wp:inline>
        </w:drawing>
      </w:r>
    </w:p>
    <w:p>
      <w:pPr>
        <w:shd w:val="clear"/>
        <w:rPr>
          <w:rFonts w:ascii="仿宋_GB2312" w:hAnsi="宋体" w:eastAsia="仿宋_GB2312"/>
          <w:color w:val="auto"/>
          <w:sz w:val="28"/>
          <w:szCs w:val="28"/>
          <w:highlight w:val="none"/>
        </w:rPr>
      </w:pPr>
      <w:r>
        <w:rPr>
          <w:rFonts w:ascii="仿宋_GB2312" w:hAnsi="宋体" w:eastAsia="仿宋_GB2312"/>
          <w:color w:val="auto"/>
          <w:sz w:val="28"/>
          <w:szCs w:val="28"/>
          <w:highlight w:val="none"/>
        </w:rPr>
        <w:br w:type="page"/>
      </w:r>
    </w:p>
    <w:p>
      <w:pPr>
        <w:shd w:val="clear"/>
        <w:rPr>
          <w:rFonts w:ascii="仿宋_GB2312" w:hAnsi="宋体" w:eastAsia="仿宋_GB2312"/>
          <w:color w:val="auto"/>
          <w:sz w:val="28"/>
          <w:szCs w:val="28"/>
          <w:highlight w:val="none"/>
        </w:rPr>
      </w:pPr>
      <w:r>
        <w:rPr>
          <w:rFonts w:ascii="仿宋_GB2312" w:hAnsi="宋体" w:eastAsia="仿宋_GB2312"/>
          <w:color w:val="auto"/>
          <w:sz w:val="28"/>
          <w:szCs w:val="28"/>
          <w:highlight w:val="none"/>
        </w:rPr>
        <w:drawing>
          <wp:inline distT="0" distB="0" distL="114300" distR="114300">
            <wp:extent cx="5268595" cy="7446010"/>
            <wp:effectExtent l="0" t="0" r="8255" b="2540"/>
            <wp:docPr id="8" name="图片 8" descr="（益宁街道报送）麒麟区征收农用地区片综合地价更新调整意见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益宁街道报送）麒麟区征收农用地区片综合地价更新调整意见表"/>
                    <pic:cNvPicPr>
                      <a:picLocks noChangeAspect="1"/>
                    </pic:cNvPicPr>
                  </pic:nvPicPr>
                  <pic:blipFill>
                    <a:blip r:embed="rId22"/>
                    <a:stretch>
                      <a:fillRect/>
                    </a:stretch>
                  </pic:blipFill>
                  <pic:spPr>
                    <a:xfrm>
                      <a:off x="0" y="0"/>
                      <a:ext cx="5268595" cy="7446010"/>
                    </a:xfrm>
                    <a:prstGeom prst="rect">
                      <a:avLst/>
                    </a:prstGeom>
                  </pic:spPr>
                </pic:pic>
              </a:graphicData>
            </a:graphic>
          </wp:inline>
        </w:drawing>
      </w:r>
      <w:r>
        <w:rPr>
          <w:rFonts w:ascii="仿宋_GB2312" w:hAnsi="宋体" w:eastAsia="仿宋_GB2312"/>
          <w:color w:val="auto"/>
          <w:sz w:val="28"/>
          <w:szCs w:val="28"/>
          <w:highlight w:val="none"/>
        </w:rPr>
        <w:br w:type="page"/>
      </w:r>
    </w:p>
    <w:p>
      <w:pPr>
        <w:shd w:val="clear"/>
        <w:rPr>
          <w:rFonts w:hint="eastAsia" w:ascii="仿宋_GB2312" w:hAnsi="宋体" w:eastAsia="仿宋_GB2312"/>
          <w:color w:val="auto"/>
          <w:sz w:val="28"/>
          <w:szCs w:val="28"/>
          <w:highlight w:val="none"/>
          <w:lang w:eastAsia="zh-CN"/>
        </w:rPr>
      </w:pPr>
      <w:r>
        <w:rPr>
          <w:rFonts w:ascii="仿宋_GB2312" w:hAnsi="宋体" w:eastAsia="仿宋_GB2312"/>
          <w:color w:val="auto"/>
          <w:sz w:val="28"/>
          <w:szCs w:val="28"/>
          <w:highlight w:val="none"/>
        </w:rPr>
        <w:br w:type="page"/>
      </w:r>
      <w:r>
        <w:rPr>
          <w:rFonts w:hint="eastAsia" w:ascii="仿宋_GB2312" w:hAnsi="宋体" w:eastAsia="仿宋_GB2312"/>
          <w:color w:val="auto"/>
          <w:sz w:val="28"/>
          <w:szCs w:val="28"/>
          <w:highlight w:val="none"/>
          <w:lang w:eastAsia="zh-CN"/>
        </w:rPr>
        <w:drawing>
          <wp:inline distT="0" distB="0" distL="114300" distR="114300">
            <wp:extent cx="5268595" cy="7450455"/>
            <wp:effectExtent l="0" t="0" r="8255" b="17145"/>
            <wp:docPr id="9" name="图片 9" descr="（珠街街道）意见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珠街街道）意见表(2)"/>
                    <pic:cNvPicPr>
                      <a:picLocks noChangeAspect="1"/>
                    </pic:cNvPicPr>
                  </pic:nvPicPr>
                  <pic:blipFill>
                    <a:blip r:embed="rId23"/>
                    <a:stretch>
                      <a:fillRect/>
                    </a:stretch>
                  </pic:blipFill>
                  <pic:spPr>
                    <a:xfrm>
                      <a:off x="0" y="0"/>
                      <a:ext cx="5268595" cy="7450455"/>
                    </a:xfrm>
                    <a:prstGeom prst="rect">
                      <a:avLst/>
                    </a:prstGeom>
                  </pic:spPr>
                </pic:pic>
              </a:graphicData>
            </a:graphic>
          </wp:inline>
        </w:drawing>
      </w:r>
    </w:p>
    <w:p>
      <w:pPr>
        <w:shd w:val="clear"/>
        <w:rPr>
          <w:rFonts w:ascii="仿宋_GB2312" w:hAnsi="宋体" w:eastAsia="仿宋_GB2312"/>
          <w:color w:val="auto"/>
          <w:sz w:val="28"/>
          <w:szCs w:val="28"/>
          <w:highlight w:val="none"/>
        </w:rPr>
      </w:pPr>
      <w:r>
        <w:rPr>
          <w:rFonts w:ascii="仿宋_GB2312" w:hAnsi="宋体" w:eastAsia="仿宋_GB2312"/>
          <w:color w:val="auto"/>
          <w:sz w:val="28"/>
          <w:szCs w:val="28"/>
          <w:highlight w:val="none"/>
        </w:rPr>
        <w:br w:type="page"/>
      </w:r>
    </w:p>
    <w:p>
      <w:pPr>
        <w:shd w:val="clear"/>
        <w:rPr>
          <w:rFonts w:hint="eastAsia" w:ascii="仿宋_GB2312" w:hAnsi="宋体" w:eastAsia="仿宋_GB2312"/>
          <w:color w:val="auto"/>
          <w:sz w:val="28"/>
          <w:szCs w:val="28"/>
          <w:highlight w:val="none"/>
          <w:lang w:eastAsia="zh-CN"/>
        </w:rPr>
      </w:pPr>
      <w:r>
        <w:rPr>
          <w:rFonts w:ascii="仿宋_GB2312" w:hAnsi="宋体" w:eastAsia="仿宋_GB2312"/>
          <w:color w:val="auto"/>
          <w:sz w:val="28"/>
          <w:szCs w:val="28"/>
          <w:highlight w:val="none"/>
        </w:rPr>
        <w:drawing>
          <wp:inline distT="0" distB="0" distL="0" distR="0">
            <wp:extent cx="53975" cy="386715"/>
            <wp:effectExtent l="0" t="0" r="317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604" cy="387031"/>
                    </a:xfrm>
                    <a:prstGeom prst="rect">
                      <a:avLst/>
                    </a:prstGeom>
                  </pic:spPr>
                </pic:pic>
              </a:graphicData>
            </a:graphic>
          </wp:inline>
        </w:drawing>
      </w:r>
      <w:r>
        <w:rPr>
          <w:rFonts w:ascii="仿宋_GB2312" w:hAnsi="宋体" w:eastAsia="仿宋_GB2312"/>
          <w:color w:val="auto"/>
          <w:sz w:val="28"/>
          <w:szCs w:val="28"/>
          <w:highlight w:val="none"/>
        </w:rPr>
        <w:drawing>
          <wp:inline distT="0" distB="0" distL="0" distR="0">
            <wp:extent cx="55880" cy="391160"/>
            <wp:effectExtent l="0" t="0" r="127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341" cy="391567"/>
                    </a:xfrm>
                    <a:prstGeom prst="rect">
                      <a:avLst/>
                    </a:prstGeom>
                  </pic:spPr>
                </pic:pic>
              </a:graphicData>
            </a:graphic>
          </wp:inline>
        </w:drawing>
      </w:r>
      <w:r>
        <w:rPr>
          <w:rFonts w:hint="eastAsia" w:ascii="仿宋_GB2312" w:hAnsi="宋体" w:eastAsia="仿宋_GB2312"/>
          <w:color w:val="auto"/>
          <w:sz w:val="28"/>
          <w:szCs w:val="28"/>
          <w:highlight w:val="none"/>
          <w:lang w:eastAsia="zh-CN"/>
        </w:rPr>
        <w:drawing>
          <wp:inline distT="0" distB="0" distL="114300" distR="114300">
            <wp:extent cx="5268595" cy="7450455"/>
            <wp:effectExtent l="0" t="0" r="8255" b="17145"/>
            <wp:docPr id="11" name="图片 11" descr="（经开区自规分局）麒麟区征收农用地区片综合地价更新调整意见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经开区自规分局）麒麟区征收农用地区片综合地价更新调整意见表"/>
                    <pic:cNvPicPr>
                      <a:picLocks noChangeAspect="1"/>
                    </pic:cNvPicPr>
                  </pic:nvPicPr>
                  <pic:blipFill>
                    <a:blip r:embed="rId26"/>
                    <a:stretch>
                      <a:fillRect/>
                    </a:stretch>
                  </pic:blipFill>
                  <pic:spPr>
                    <a:xfrm>
                      <a:off x="0" y="0"/>
                      <a:ext cx="5268595" cy="7450455"/>
                    </a:xfrm>
                    <a:prstGeom prst="rect">
                      <a:avLst/>
                    </a:prstGeom>
                  </pic:spPr>
                </pic:pic>
              </a:graphicData>
            </a:graphic>
          </wp:inline>
        </w:drawing>
      </w:r>
    </w:p>
    <w:p>
      <w:pPr>
        <w:pStyle w:val="2"/>
        <w:shd w:val="clear"/>
        <w:rPr>
          <w:color w:val="auto"/>
          <w:highlight w:val="none"/>
        </w:rPr>
      </w:pPr>
      <w:r>
        <w:rPr>
          <w:color w:val="auto"/>
          <w:highlight w:val="none"/>
        </w:rPr>
        <w:br w:type="page"/>
      </w:r>
    </w:p>
    <w:p>
      <w:pPr>
        <w:shd w:val="clear"/>
        <w:outlineLvl w:val="2"/>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附件</w:t>
      </w:r>
      <w:r>
        <w:rPr>
          <w:rFonts w:hint="eastAsia" w:ascii="仿宋_GB2312" w:hAnsi="宋体" w:eastAsia="仿宋_GB2312"/>
          <w:color w:val="auto"/>
          <w:sz w:val="28"/>
          <w:szCs w:val="28"/>
          <w:highlight w:val="none"/>
          <w:lang w:val="en-US" w:eastAsia="zh-CN"/>
        </w:rPr>
        <w:t>3</w:t>
      </w:r>
      <w:r>
        <w:rPr>
          <w:rFonts w:hint="eastAsia" w:ascii="仿宋_GB2312" w:hAnsi="宋体" w:eastAsia="仿宋_GB2312"/>
          <w:color w:val="auto"/>
          <w:sz w:val="28"/>
          <w:szCs w:val="28"/>
          <w:highlight w:val="none"/>
        </w:rPr>
        <w:t>：问卷调查表（部分）</w:t>
      </w:r>
    </w:p>
    <w:p>
      <w:pPr>
        <w:shd w:val="clear"/>
        <w:rPr>
          <w:rFonts w:ascii="仿宋_GB2312" w:hAnsi="宋体" w:eastAsia="仿宋_GB2312"/>
          <w:color w:val="auto"/>
          <w:sz w:val="28"/>
          <w:szCs w:val="28"/>
          <w:highlight w:val="none"/>
        </w:rPr>
      </w:pPr>
      <w:r>
        <w:rPr>
          <w:rFonts w:ascii="仿宋_GB2312" w:hAnsi="宋体" w:eastAsia="仿宋_GB2312"/>
          <w:color w:val="auto"/>
          <w:sz w:val="28"/>
          <w:szCs w:val="28"/>
          <w:highlight w:val="none"/>
        </w:rPr>
        <w:drawing>
          <wp:inline distT="0" distB="0" distL="0" distR="0">
            <wp:extent cx="5274310" cy="7459980"/>
            <wp:effectExtent l="0" t="0" r="2540" b="7620"/>
            <wp:docPr id="27" name="图片 27" descr="C:\Users\LCR.YOUHUA\Desktop\新建文件夹\新建文件夹\白石江街道-麒麟区征收农用地区片综合地价更新调查意见表（表7）_页面_01.jpg白石江街道-麒麟区征收农用地区片综合地价更新调查意见表（表7）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LCR.YOUHUA\Desktop\新建文件夹\新建文件夹\白石江街道-麒麟区征收农用地区片综合地价更新调查意见表（表7）_页面_01.jpg白石江街道-麒麟区征收农用地区片综合地价更新调查意见表（表7）_页面_01"/>
                    <pic:cNvPicPr>
                      <a:picLocks noChangeAspect="1"/>
                    </pic:cNvPicPr>
                  </pic:nvPicPr>
                  <pic:blipFill>
                    <a:blip r:embed="rId27"/>
                    <a:srcRect/>
                    <a:stretch>
                      <a:fillRect/>
                    </a:stretch>
                  </pic:blipFill>
                  <pic:spPr>
                    <a:xfrm>
                      <a:off x="0" y="0"/>
                      <a:ext cx="5274310" cy="7459980"/>
                    </a:xfrm>
                    <a:prstGeom prst="rect">
                      <a:avLst/>
                    </a:prstGeom>
                  </pic:spPr>
                </pic:pic>
              </a:graphicData>
            </a:graphic>
          </wp:inline>
        </w:drawing>
      </w:r>
      <w:r>
        <w:rPr>
          <w:rFonts w:ascii="仿宋_GB2312" w:hAnsi="宋体" w:eastAsia="仿宋_GB2312"/>
          <w:color w:val="auto"/>
          <w:sz w:val="28"/>
          <w:szCs w:val="28"/>
          <w:highlight w:val="none"/>
        </w:rPr>
        <w:drawing>
          <wp:inline distT="0" distB="0" distL="0" distR="0">
            <wp:extent cx="4740910" cy="6699885"/>
            <wp:effectExtent l="0" t="0" r="2540" b="5715"/>
            <wp:docPr id="28" name="图片 28" descr="C:\Users\LCR.YOUHUA\Desktop\新建文件夹\新建文件夹\表4、6、7_页面_7.jpg表4、6、7_页面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LCR.YOUHUA\Desktop\新建文件夹\新建文件夹\表4、6、7_页面_7.jpg表4、6、7_页面_7"/>
                    <pic:cNvPicPr>
                      <a:picLocks noChangeAspect="1"/>
                    </pic:cNvPicPr>
                  </pic:nvPicPr>
                  <pic:blipFill>
                    <a:blip r:embed="rId28"/>
                    <a:srcRect/>
                    <a:stretch>
                      <a:fillRect/>
                    </a:stretch>
                  </pic:blipFill>
                  <pic:spPr>
                    <a:xfrm>
                      <a:off x="0" y="0"/>
                      <a:ext cx="4740910" cy="6699885"/>
                    </a:xfrm>
                    <a:prstGeom prst="rect">
                      <a:avLst/>
                    </a:prstGeom>
                  </pic:spPr>
                </pic:pic>
              </a:graphicData>
            </a:graphic>
          </wp:inline>
        </w:drawing>
      </w:r>
      <w:r>
        <w:rPr>
          <w:rFonts w:ascii="仿宋_GB2312" w:hAnsi="宋体" w:eastAsia="仿宋_GB2312"/>
          <w:color w:val="auto"/>
          <w:sz w:val="28"/>
          <w:szCs w:val="28"/>
          <w:highlight w:val="none"/>
        </w:rPr>
        <w:drawing>
          <wp:inline distT="0" distB="0" distL="0" distR="0">
            <wp:extent cx="5274310" cy="7458075"/>
            <wp:effectExtent l="0" t="0" r="2540" b="9525"/>
            <wp:docPr id="29" name="图片 29" descr="C:\Users\LCR.YOUHUA\Desktop\新建文件夹\新建文件夹\表5、7_页面_5.jpg表5、7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LCR.YOUHUA\Desktop\新建文件夹\新建文件夹\表5、7_页面_5.jpg表5、7_页面_5"/>
                    <pic:cNvPicPr>
                      <a:picLocks noChangeAspect="1"/>
                    </pic:cNvPicPr>
                  </pic:nvPicPr>
                  <pic:blipFill>
                    <a:blip r:embed="rId29"/>
                    <a:srcRect/>
                    <a:stretch>
                      <a:fillRect/>
                    </a:stretch>
                  </pic:blipFill>
                  <pic:spPr>
                    <a:xfrm>
                      <a:off x="0" y="0"/>
                      <a:ext cx="5274310" cy="7458075"/>
                    </a:xfrm>
                    <a:prstGeom prst="rect">
                      <a:avLst/>
                    </a:prstGeom>
                  </pic:spPr>
                </pic:pic>
              </a:graphicData>
            </a:graphic>
          </wp:inline>
        </w:drawing>
      </w:r>
      <w:r>
        <w:rPr>
          <w:rFonts w:ascii="仿宋_GB2312" w:hAnsi="宋体" w:eastAsia="仿宋_GB2312"/>
          <w:color w:val="auto"/>
          <w:sz w:val="28"/>
          <w:szCs w:val="28"/>
          <w:highlight w:val="none"/>
        </w:rPr>
        <w:drawing>
          <wp:inline distT="0" distB="0" distL="0" distR="0">
            <wp:extent cx="5274310" cy="7459980"/>
            <wp:effectExtent l="0" t="0" r="2540" b="7620"/>
            <wp:docPr id="30" name="图片 30" descr="C:\Users\LCR.YOUHUA\Desktop\新建文件夹\新建文件夹\表7_页面_3.jpg表7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LCR.YOUHUA\Desktop\新建文件夹\新建文件夹\表7_页面_3.jpg表7_页面_3"/>
                    <pic:cNvPicPr>
                      <a:picLocks noChangeAspect="1"/>
                    </pic:cNvPicPr>
                  </pic:nvPicPr>
                  <pic:blipFill>
                    <a:blip r:embed="rId30"/>
                    <a:srcRect/>
                    <a:stretch>
                      <a:fillRect/>
                    </a:stretch>
                  </pic:blipFill>
                  <pic:spPr>
                    <a:xfrm>
                      <a:off x="0" y="0"/>
                      <a:ext cx="5274310" cy="7459980"/>
                    </a:xfrm>
                    <a:prstGeom prst="rect">
                      <a:avLst/>
                    </a:prstGeom>
                  </pic:spPr>
                </pic:pic>
              </a:graphicData>
            </a:graphic>
          </wp:inline>
        </w:drawing>
      </w:r>
      <w:r>
        <w:rPr>
          <w:rFonts w:ascii="仿宋_GB2312" w:hAnsi="宋体" w:eastAsia="仿宋_GB2312"/>
          <w:color w:val="auto"/>
          <w:sz w:val="28"/>
          <w:szCs w:val="28"/>
          <w:highlight w:val="none"/>
        </w:rPr>
        <w:drawing>
          <wp:inline distT="0" distB="0" distL="0" distR="0">
            <wp:extent cx="4737735" cy="6700520"/>
            <wp:effectExtent l="0" t="0" r="5715" b="5080"/>
            <wp:docPr id="31" name="图片 31" descr="C:\Users\LCR.YOUHUA\Desktop\新建文件夹\新建文件夹\三宝-麒麟区区片综合地价更新调整基本情况调查表_页面_20.jpg三宝-麒麟区区片综合地价更新调整基本情况调查表_页面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LCR.YOUHUA\Desktop\新建文件夹\新建文件夹\三宝-麒麟区区片综合地价更新调整基本情况调查表_页面_20.jpg三宝-麒麟区区片综合地价更新调整基本情况调查表_页面_20"/>
                    <pic:cNvPicPr>
                      <a:picLocks noChangeAspect="1"/>
                    </pic:cNvPicPr>
                  </pic:nvPicPr>
                  <pic:blipFill>
                    <a:blip r:embed="rId31"/>
                    <a:srcRect/>
                    <a:stretch>
                      <a:fillRect/>
                    </a:stretch>
                  </pic:blipFill>
                  <pic:spPr>
                    <a:xfrm>
                      <a:off x="0" y="0"/>
                      <a:ext cx="4737735" cy="6700520"/>
                    </a:xfrm>
                    <a:prstGeom prst="rect">
                      <a:avLst/>
                    </a:prstGeom>
                  </pic:spPr>
                </pic:pic>
              </a:graphicData>
            </a:graphic>
          </wp:inline>
        </w:drawing>
      </w:r>
      <w:r>
        <w:rPr>
          <w:rFonts w:ascii="仿宋_GB2312" w:hAnsi="宋体" w:eastAsia="仿宋_GB2312"/>
          <w:color w:val="auto"/>
          <w:sz w:val="28"/>
          <w:szCs w:val="28"/>
          <w:highlight w:val="none"/>
        </w:rPr>
        <w:drawing>
          <wp:inline distT="0" distB="0" distL="0" distR="0">
            <wp:extent cx="5270500" cy="7453630"/>
            <wp:effectExtent l="0" t="0" r="6350" b="13970"/>
            <wp:docPr id="32" name="图片 32" descr="C:\Users\LCR.YOUHUA\Desktop\新建文件夹\新建文件夹\太和街道表7_页面_07.jpg太和街道表7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LCR.YOUHUA\Desktop\新建文件夹\新建文件夹\太和街道表7_页面_07.jpg太和街道表7_页面_07"/>
                    <pic:cNvPicPr>
                      <a:picLocks noChangeAspect="1"/>
                    </pic:cNvPicPr>
                  </pic:nvPicPr>
                  <pic:blipFill>
                    <a:blip r:embed="rId32"/>
                    <a:srcRect/>
                    <a:stretch>
                      <a:fillRect/>
                    </a:stretch>
                  </pic:blipFill>
                  <pic:spPr>
                    <a:xfrm>
                      <a:off x="0" y="0"/>
                      <a:ext cx="5270500" cy="7453630"/>
                    </a:xfrm>
                    <a:prstGeom prst="rect">
                      <a:avLst/>
                    </a:prstGeom>
                  </pic:spPr>
                </pic:pic>
              </a:graphicData>
            </a:graphic>
          </wp:inline>
        </w:drawing>
      </w:r>
      <w:r>
        <w:rPr>
          <w:rFonts w:ascii="仿宋_GB2312" w:hAnsi="宋体" w:eastAsia="仿宋_GB2312"/>
          <w:color w:val="auto"/>
          <w:sz w:val="28"/>
          <w:szCs w:val="28"/>
          <w:highlight w:val="none"/>
        </w:rPr>
        <w:drawing>
          <wp:inline distT="0" distB="0" distL="0" distR="0">
            <wp:extent cx="5266055" cy="7452360"/>
            <wp:effectExtent l="0" t="0" r="10795" b="15240"/>
            <wp:docPr id="33" name="图片 33" descr="C:\Users\LCR.YOUHUA\Desktop\新建文件夹\新建文件夹\越州-表7_页面_3.jpg越州-表7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LCR.YOUHUA\Desktop\新建文件夹\新建文件夹\越州-表7_页面_3.jpg越州-表7_页面_3"/>
                    <pic:cNvPicPr>
                      <a:picLocks noChangeAspect="1"/>
                    </pic:cNvPicPr>
                  </pic:nvPicPr>
                  <pic:blipFill>
                    <a:blip r:embed="rId33"/>
                    <a:srcRect/>
                    <a:stretch>
                      <a:fillRect/>
                    </a:stretch>
                  </pic:blipFill>
                  <pic:spPr>
                    <a:xfrm>
                      <a:off x="0" y="0"/>
                      <a:ext cx="5266055" cy="745236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9" w:usb3="00000000" w:csb0="200001FF" w:csb1="00000000"/>
  </w:font>
  <w:font w:name="方正仿宋_GBK">
    <w:panose1 w:val="03000509000000000000"/>
    <w:charset w:val="86"/>
    <w:family w:val="script"/>
    <w:pitch w:val="default"/>
    <w:sig w:usb0="00000001" w:usb1="080E0000" w:usb2="00000000" w:usb3="00000000" w:csb0="00040000" w:csb1="00000000"/>
  </w:font>
  <w:font w:name="仿宋_GB2312">
    <w:panose1 w:val="02010609030101010101"/>
    <w:charset w:val="86"/>
    <w:family w:val="roma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0000012" w:usb3="00000000" w:csb0="4002009F" w:csb1="DFD70000"/>
  </w:font>
  <w:font w:name="方正黑体_GBK">
    <w:panose1 w:val="03000509000000000000"/>
    <w:charset w:val="86"/>
    <w:family w:val="script"/>
    <w:pitch w:val="default"/>
    <w:sig w:usb0="00000001" w:usb1="080E0000" w:usb2="00000000" w:usb3="00000000" w:csb0="00040000"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rPr>
                            <w:t>1</w:t>
                          </w:r>
                          <w:r>
                            <w:rPr>
                              <w:rFonts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6"/>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rPr>
                      <w:t>1</w:t>
                    </w:r>
                    <w:r>
                      <w:rPr>
                        <w:rFonts w:ascii="Times New Roman" w:hAnsi="Times New Roman" w:cs="Times New Roman"/>
                        <w:sz w:val="21"/>
                        <w:szCs w:val="21"/>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oNotDisplayPageBoundaries w:val="1"/>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NmOTBiOGE4Y2Y3M2IwNDk1ZDlmODUzN2I5ZGM2OGMifQ=="/>
  </w:docVars>
  <w:rsids>
    <w:rsidRoot w:val="00821CE9"/>
    <w:rsid w:val="000021D5"/>
    <w:rsid w:val="00010A1F"/>
    <w:rsid w:val="00011935"/>
    <w:rsid w:val="000F533F"/>
    <w:rsid w:val="00101060"/>
    <w:rsid w:val="00125C38"/>
    <w:rsid w:val="00130578"/>
    <w:rsid w:val="00135DF0"/>
    <w:rsid w:val="00157606"/>
    <w:rsid w:val="001576C2"/>
    <w:rsid w:val="00195261"/>
    <w:rsid w:val="002141EC"/>
    <w:rsid w:val="002716A2"/>
    <w:rsid w:val="00294C1D"/>
    <w:rsid w:val="0030668B"/>
    <w:rsid w:val="00307D40"/>
    <w:rsid w:val="00377BB1"/>
    <w:rsid w:val="003F5983"/>
    <w:rsid w:val="00434C26"/>
    <w:rsid w:val="00437086"/>
    <w:rsid w:val="00477D43"/>
    <w:rsid w:val="004840B9"/>
    <w:rsid w:val="00494D69"/>
    <w:rsid w:val="004A6E1B"/>
    <w:rsid w:val="004B3D7B"/>
    <w:rsid w:val="004D665B"/>
    <w:rsid w:val="00550F61"/>
    <w:rsid w:val="005549BF"/>
    <w:rsid w:val="005620A5"/>
    <w:rsid w:val="0057584C"/>
    <w:rsid w:val="00592655"/>
    <w:rsid w:val="005A72B0"/>
    <w:rsid w:val="00602D74"/>
    <w:rsid w:val="0062088E"/>
    <w:rsid w:val="006935C4"/>
    <w:rsid w:val="006A1D10"/>
    <w:rsid w:val="006A3399"/>
    <w:rsid w:val="006C6263"/>
    <w:rsid w:val="006F11D4"/>
    <w:rsid w:val="007B0EA0"/>
    <w:rsid w:val="007B5E8E"/>
    <w:rsid w:val="007D61D9"/>
    <w:rsid w:val="00803FD1"/>
    <w:rsid w:val="00821CE9"/>
    <w:rsid w:val="00822759"/>
    <w:rsid w:val="00852474"/>
    <w:rsid w:val="0089315D"/>
    <w:rsid w:val="008C5235"/>
    <w:rsid w:val="008D5232"/>
    <w:rsid w:val="008F5A89"/>
    <w:rsid w:val="009B6BC7"/>
    <w:rsid w:val="009C2773"/>
    <w:rsid w:val="00A11C0F"/>
    <w:rsid w:val="00A57FAC"/>
    <w:rsid w:val="00A97900"/>
    <w:rsid w:val="00AD29BD"/>
    <w:rsid w:val="00AD5B90"/>
    <w:rsid w:val="00AF1A69"/>
    <w:rsid w:val="00B0637C"/>
    <w:rsid w:val="00B07B3B"/>
    <w:rsid w:val="00B20A9B"/>
    <w:rsid w:val="00B27E39"/>
    <w:rsid w:val="00B304B2"/>
    <w:rsid w:val="00BB1B8B"/>
    <w:rsid w:val="00BD2C8D"/>
    <w:rsid w:val="00BD5A54"/>
    <w:rsid w:val="00BE3C8D"/>
    <w:rsid w:val="00BF5261"/>
    <w:rsid w:val="00C37C3C"/>
    <w:rsid w:val="00C46D3A"/>
    <w:rsid w:val="00C84A4B"/>
    <w:rsid w:val="00D12FB1"/>
    <w:rsid w:val="00D13D4D"/>
    <w:rsid w:val="00DA7947"/>
    <w:rsid w:val="00DB592B"/>
    <w:rsid w:val="00DD182A"/>
    <w:rsid w:val="00DD3C0A"/>
    <w:rsid w:val="00DF3EF2"/>
    <w:rsid w:val="00E04D77"/>
    <w:rsid w:val="00E10886"/>
    <w:rsid w:val="00E15234"/>
    <w:rsid w:val="00E15AE2"/>
    <w:rsid w:val="00E55AA8"/>
    <w:rsid w:val="00E763C0"/>
    <w:rsid w:val="00E801CA"/>
    <w:rsid w:val="00EB6234"/>
    <w:rsid w:val="00F01E59"/>
    <w:rsid w:val="00F326A4"/>
    <w:rsid w:val="00F46FF4"/>
    <w:rsid w:val="00F47C25"/>
    <w:rsid w:val="00FB2C96"/>
    <w:rsid w:val="011125B6"/>
    <w:rsid w:val="0113796E"/>
    <w:rsid w:val="01373494"/>
    <w:rsid w:val="014D28C9"/>
    <w:rsid w:val="016909D8"/>
    <w:rsid w:val="016A741B"/>
    <w:rsid w:val="01942606"/>
    <w:rsid w:val="01A74552"/>
    <w:rsid w:val="02D01386"/>
    <w:rsid w:val="042A7C8E"/>
    <w:rsid w:val="04705B7E"/>
    <w:rsid w:val="04C3537C"/>
    <w:rsid w:val="0516104C"/>
    <w:rsid w:val="063B7194"/>
    <w:rsid w:val="06451DC1"/>
    <w:rsid w:val="06541E19"/>
    <w:rsid w:val="06624721"/>
    <w:rsid w:val="06D17AD2"/>
    <w:rsid w:val="06D51AAA"/>
    <w:rsid w:val="071E2D3E"/>
    <w:rsid w:val="07E41110"/>
    <w:rsid w:val="080041F1"/>
    <w:rsid w:val="086638C9"/>
    <w:rsid w:val="0878647D"/>
    <w:rsid w:val="08FF68B5"/>
    <w:rsid w:val="093F7232"/>
    <w:rsid w:val="09622C8A"/>
    <w:rsid w:val="0BAD4D82"/>
    <w:rsid w:val="0C4B49F2"/>
    <w:rsid w:val="0CBD6825"/>
    <w:rsid w:val="0D305579"/>
    <w:rsid w:val="0FD61CDB"/>
    <w:rsid w:val="10FB1F86"/>
    <w:rsid w:val="112E0D9D"/>
    <w:rsid w:val="11B76268"/>
    <w:rsid w:val="12A647DD"/>
    <w:rsid w:val="12F72695"/>
    <w:rsid w:val="13426006"/>
    <w:rsid w:val="13AC04A2"/>
    <w:rsid w:val="147F425B"/>
    <w:rsid w:val="14CA14DD"/>
    <w:rsid w:val="151A70C1"/>
    <w:rsid w:val="155D1CA9"/>
    <w:rsid w:val="15AB5340"/>
    <w:rsid w:val="15FE7C89"/>
    <w:rsid w:val="161F3818"/>
    <w:rsid w:val="16E1316A"/>
    <w:rsid w:val="170A508C"/>
    <w:rsid w:val="186B3909"/>
    <w:rsid w:val="190D49C0"/>
    <w:rsid w:val="193957B5"/>
    <w:rsid w:val="197F7EC5"/>
    <w:rsid w:val="198561B8"/>
    <w:rsid w:val="19E550E3"/>
    <w:rsid w:val="19F64BF9"/>
    <w:rsid w:val="1A3146DE"/>
    <w:rsid w:val="1A647CD4"/>
    <w:rsid w:val="1ADD44FE"/>
    <w:rsid w:val="1AF5187E"/>
    <w:rsid w:val="1AFE1A48"/>
    <w:rsid w:val="1BDD2DF3"/>
    <w:rsid w:val="1C9A5CD8"/>
    <w:rsid w:val="1C9B0535"/>
    <w:rsid w:val="1CB2491D"/>
    <w:rsid w:val="1D7E39F3"/>
    <w:rsid w:val="1ED33E41"/>
    <w:rsid w:val="1EE461C3"/>
    <w:rsid w:val="1F525EBD"/>
    <w:rsid w:val="1F7B4BB4"/>
    <w:rsid w:val="1FB931AC"/>
    <w:rsid w:val="20936F5C"/>
    <w:rsid w:val="20A0675E"/>
    <w:rsid w:val="215B39F6"/>
    <w:rsid w:val="219537A4"/>
    <w:rsid w:val="219B2A3A"/>
    <w:rsid w:val="21F7620D"/>
    <w:rsid w:val="223905D4"/>
    <w:rsid w:val="233511C3"/>
    <w:rsid w:val="23911EAF"/>
    <w:rsid w:val="254F3E60"/>
    <w:rsid w:val="261A6112"/>
    <w:rsid w:val="267E3226"/>
    <w:rsid w:val="27D25A15"/>
    <w:rsid w:val="27E25126"/>
    <w:rsid w:val="27F05BD9"/>
    <w:rsid w:val="29192F0D"/>
    <w:rsid w:val="29AA1D19"/>
    <w:rsid w:val="2A180949"/>
    <w:rsid w:val="2AD32EDE"/>
    <w:rsid w:val="2AFE7CF8"/>
    <w:rsid w:val="2B381D70"/>
    <w:rsid w:val="2B9B52EB"/>
    <w:rsid w:val="2BAA460A"/>
    <w:rsid w:val="2C773724"/>
    <w:rsid w:val="2C9B7ADD"/>
    <w:rsid w:val="2CCB2770"/>
    <w:rsid w:val="2D2E669B"/>
    <w:rsid w:val="2D8C326F"/>
    <w:rsid w:val="2DBD3696"/>
    <w:rsid w:val="2E16087D"/>
    <w:rsid w:val="2E353BFD"/>
    <w:rsid w:val="2EB642B8"/>
    <w:rsid w:val="2EED2E72"/>
    <w:rsid w:val="2F4607D4"/>
    <w:rsid w:val="2FE647C3"/>
    <w:rsid w:val="2FF60E4A"/>
    <w:rsid w:val="2FF7387C"/>
    <w:rsid w:val="2FF76305"/>
    <w:rsid w:val="30556F21"/>
    <w:rsid w:val="305A66BB"/>
    <w:rsid w:val="3150690A"/>
    <w:rsid w:val="321019BC"/>
    <w:rsid w:val="328A6C2A"/>
    <w:rsid w:val="32990DD4"/>
    <w:rsid w:val="32A20056"/>
    <w:rsid w:val="33CC574C"/>
    <w:rsid w:val="340F73E6"/>
    <w:rsid w:val="34A07E82"/>
    <w:rsid w:val="34AC70A4"/>
    <w:rsid w:val="34C72B84"/>
    <w:rsid w:val="352E7D40"/>
    <w:rsid w:val="353C420B"/>
    <w:rsid w:val="35674A45"/>
    <w:rsid w:val="36216DAB"/>
    <w:rsid w:val="363E2205"/>
    <w:rsid w:val="36A54032"/>
    <w:rsid w:val="36E62C83"/>
    <w:rsid w:val="3736296D"/>
    <w:rsid w:val="379320DC"/>
    <w:rsid w:val="37B704C1"/>
    <w:rsid w:val="37BC5AD7"/>
    <w:rsid w:val="387206DF"/>
    <w:rsid w:val="38C20ECB"/>
    <w:rsid w:val="38D62BC9"/>
    <w:rsid w:val="39E3559D"/>
    <w:rsid w:val="39F913B3"/>
    <w:rsid w:val="3AC5548E"/>
    <w:rsid w:val="3AFC68D4"/>
    <w:rsid w:val="3BAB2F3B"/>
    <w:rsid w:val="3D333800"/>
    <w:rsid w:val="3DFF474F"/>
    <w:rsid w:val="3E3E013F"/>
    <w:rsid w:val="3E860BED"/>
    <w:rsid w:val="3F20694C"/>
    <w:rsid w:val="3F4F3C80"/>
    <w:rsid w:val="3F663E5C"/>
    <w:rsid w:val="3F957889"/>
    <w:rsid w:val="3F9D36D7"/>
    <w:rsid w:val="406D3E12"/>
    <w:rsid w:val="42674891"/>
    <w:rsid w:val="432E5795"/>
    <w:rsid w:val="43367E61"/>
    <w:rsid w:val="446B0669"/>
    <w:rsid w:val="44C479E0"/>
    <w:rsid w:val="44D0772C"/>
    <w:rsid w:val="45817FF0"/>
    <w:rsid w:val="46017D10"/>
    <w:rsid w:val="46411FAD"/>
    <w:rsid w:val="46650756"/>
    <w:rsid w:val="467D28D5"/>
    <w:rsid w:val="46E87033"/>
    <w:rsid w:val="46F52C0A"/>
    <w:rsid w:val="47D172DF"/>
    <w:rsid w:val="47E502C2"/>
    <w:rsid w:val="481125F3"/>
    <w:rsid w:val="48AC2FFE"/>
    <w:rsid w:val="49245C3F"/>
    <w:rsid w:val="492A2EBB"/>
    <w:rsid w:val="49331971"/>
    <w:rsid w:val="49331BA1"/>
    <w:rsid w:val="49C53976"/>
    <w:rsid w:val="49CA4084"/>
    <w:rsid w:val="49CC4E4A"/>
    <w:rsid w:val="4A385466"/>
    <w:rsid w:val="4A743CE3"/>
    <w:rsid w:val="4A9F72BE"/>
    <w:rsid w:val="4ACD6C0B"/>
    <w:rsid w:val="4AEB42B2"/>
    <w:rsid w:val="4B23701F"/>
    <w:rsid w:val="4BDC3C39"/>
    <w:rsid w:val="4CB02CCD"/>
    <w:rsid w:val="4D427A14"/>
    <w:rsid w:val="4D5521D0"/>
    <w:rsid w:val="4D61085B"/>
    <w:rsid w:val="4E121B55"/>
    <w:rsid w:val="4E3A10AC"/>
    <w:rsid w:val="4E414D34"/>
    <w:rsid w:val="4E8130D3"/>
    <w:rsid w:val="4EA31857"/>
    <w:rsid w:val="4EB255E9"/>
    <w:rsid w:val="4F38159C"/>
    <w:rsid w:val="4F756840"/>
    <w:rsid w:val="4FD95020"/>
    <w:rsid w:val="4FEB2996"/>
    <w:rsid w:val="4FEE5EDE"/>
    <w:rsid w:val="51F56E12"/>
    <w:rsid w:val="526540D9"/>
    <w:rsid w:val="52F64047"/>
    <w:rsid w:val="544A13FD"/>
    <w:rsid w:val="547C2386"/>
    <w:rsid w:val="54CB3E77"/>
    <w:rsid w:val="54F2229E"/>
    <w:rsid w:val="552A59D6"/>
    <w:rsid w:val="561D708B"/>
    <w:rsid w:val="56786C15"/>
    <w:rsid w:val="567946E6"/>
    <w:rsid w:val="568E3CF4"/>
    <w:rsid w:val="57297A44"/>
    <w:rsid w:val="572A1F2D"/>
    <w:rsid w:val="57D1552F"/>
    <w:rsid w:val="58184791"/>
    <w:rsid w:val="58922210"/>
    <w:rsid w:val="58D41C07"/>
    <w:rsid w:val="5ADB74A9"/>
    <w:rsid w:val="5AEF2CCD"/>
    <w:rsid w:val="5B94122F"/>
    <w:rsid w:val="5C433822"/>
    <w:rsid w:val="5D1160E9"/>
    <w:rsid w:val="5D7A7717"/>
    <w:rsid w:val="5D7D36C0"/>
    <w:rsid w:val="5F330EDF"/>
    <w:rsid w:val="5FC15189"/>
    <w:rsid w:val="609A171B"/>
    <w:rsid w:val="60A800F7"/>
    <w:rsid w:val="60D31618"/>
    <w:rsid w:val="620B6B90"/>
    <w:rsid w:val="62B2627C"/>
    <w:rsid w:val="6399558A"/>
    <w:rsid w:val="63A5373A"/>
    <w:rsid w:val="63EA3686"/>
    <w:rsid w:val="642E6B65"/>
    <w:rsid w:val="652154E5"/>
    <w:rsid w:val="6550026D"/>
    <w:rsid w:val="657F01CD"/>
    <w:rsid w:val="66612194"/>
    <w:rsid w:val="671F36BD"/>
    <w:rsid w:val="67672DBA"/>
    <w:rsid w:val="6776697C"/>
    <w:rsid w:val="6BFF455F"/>
    <w:rsid w:val="6C31527F"/>
    <w:rsid w:val="6C5A5992"/>
    <w:rsid w:val="6C6E7082"/>
    <w:rsid w:val="6C782A7A"/>
    <w:rsid w:val="6D0F2C0E"/>
    <w:rsid w:val="6DE309C1"/>
    <w:rsid w:val="6E2E1F48"/>
    <w:rsid w:val="6EE13152"/>
    <w:rsid w:val="6EF41BA1"/>
    <w:rsid w:val="70365600"/>
    <w:rsid w:val="709D21B7"/>
    <w:rsid w:val="72672C4C"/>
    <w:rsid w:val="72EE2201"/>
    <w:rsid w:val="740712D3"/>
    <w:rsid w:val="748D335D"/>
    <w:rsid w:val="75293BF3"/>
    <w:rsid w:val="752F5236"/>
    <w:rsid w:val="753D6E5D"/>
    <w:rsid w:val="76716C87"/>
    <w:rsid w:val="76A1440D"/>
    <w:rsid w:val="772054B7"/>
    <w:rsid w:val="774049FE"/>
    <w:rsid w:val="77754D7F"/>
    <w:rsid w:val="79843ED2"/>
    <w:rsid w:val="798562EC"/>
    <w:rsid w:val="79BD26AF"/>
    <w:rsid w:val="79DA6B82"/>
    <w:rsid w:val="79DB6C2B"/>
    <w:rsid w:val="79E75BAB"/>
    <w:rsid w:val="7A456C8B"/>
    <w:rsid w:val="7A6716DC"/>
    <w:rsid w:val="7D221AE4"/>
    <w:rsid w:val="7D8E0949"/>
    <w:rsid w:val="7D9B1783"/>
    <w:rsid w:val="7ECB1729"/>
    <w:rsid w:val="7EDE06A6"/>
    <w:rsid w:val="7F0F065F"/>
    <w:rsid w:val="7F194030"/>
    <w:rsid w:val="7F765B38"/>
    <w:rsid w:val="7FA442D5"/>
    <w:rsid w:val="7FCB3154"/>
    <w:rsid w:val="7FE303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18"/>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19"/>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customStyle="1" w:styleId="2">
    <w:name w:val="Normal Indent1"/>
    <w:basedOn w:val="1"/>
    <w:qFormat/>
    <w:uiPriority w:val="0"/>
    <w:pPr>
      <w:ind w:firstLine="420" w:firstLineChars="200"/>
    </w:pPr>
    <w:rPr>
      <w:rFonts w:ascii="Times New Roman" w:hAnsi="Times New Roman" w:cs="Times New Roman"/>
    </w:rPr>
  </w:style>
  <w:style w:type="paragraph" w:styleId="5">
    <w:name w:val="annotation text"/>
    <w:basedOn w:val="1"/>
    <w:link w:val="24"/>
    <w:qFormat/>
    <w:uiPriority w:val="0"/>
    <w:pPr>
      <w:jc w:val="left"/>
    </w:pPr>
  </w:style>
  <w:style w:type="paragraph" w:styleId="6">
    <w:name w:val="footer"/>
    <w:basedOn w:val="1"/>
    <w:link w:val="21"/>
    <w:qFormat/>
    <w:uiPriority w:val="0"/>
    <w:pPr>
      <w:tabs>
        <w:tab w:val="center" w:pos="4153"/>
        <w:tab w:val="right" w:pos="8306"/>
      </w:tabs>
      <w:snapToGrid w:val="0"/>
      <w:jc w:val="left"/>
    </w:pPr>
    <w:rPr>
      <w:sz w:val="18"/>
      <w:szCs w:val="18"/>
    </w:rPr>
  </w:style>
  <w:style w:type="paragraph" w:styleId="7">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paragraph" w:styleId="10">
    <w:name w:val="Normal (Web)"/>
    <w:basedOn w:val="1"/>
    <w:uiPriority w:val="0"/>
    <w:pPr>
      <w:spacing w:before="0" w:beforeAutospacing="1" w:after="0" w:afterAutospacing="1"/>
      <w:ind w:left="0" w:right="0"/>
      <w:jc w:val="left"/>
    </w:pPr>
    <w:rPr>
      <w:kern w:val="0"/>
      <w:sz w:val="24"/>
      <w:lang w:val="en-US" w:eastAsia="zh-CN" w:bidi="ar"/>
    </w:rPr>
  </w:style>
  <w:style w:type="paragraph" w:styleId="11">
    <w:name w:val="annotation subject"/>
    <w:basedOn w:val="5"/>
    <w:next w:val="5"/>
    <w:link w:val="25"/>
    <w:uiPriority w:val="0"/>
    <w:rPr>
      <w:b/>
      <w:bCs/>
    </w:rPr>
  </w:style>
  <w:style w:type="character" w:styleId="14">
    <w:name w:val="Strong"/>
    <w:basedOn w:val="13"/>
    <w:qFormat/>
    <w:uiPriority w:val="0"/>
    <w:rPr>
      <w:b/>
    </w:rPr>
  </w:style>
  <w:style w:type="character" w:styleId="15">
    <w:name w:val="Hyperlink"/>
    <w:basedOn w:val="13"/>
    <w:uiPriority w:val="0"/>
    <w:rPr>
      <w:color w:val="0000FF"/>
      <w:u w:val="single"/>
    </w:rPr>
  </w:style>
  <w:style w:type="character" w:styleId="16">
    <w:name w:val="annotation reference"/>
    <w:basedOn w:val="13"/>
    <w:qFormat/>
    <w:uiPriority w:val="0"/>
    <w:rPr>
      <w:sz w:val="21"/>
      <w:szCs w:val="21"/>
    </w:rPr>
  </w:style>
  <w:style w:type="paragraph" w:styleId="17">
    <w:name w:val="List Paragraph"/>
    <w:basedOn w:val="1"/>
    <w:qFormat/>
    <w:uiPriority w:val="99"/>
    <w:pPr>
      <w:ind w:firstLine="420" w:firstLineChars="200"/>
    </w:pPr>
  </w:style>
  <w:style w:type="character" w:customStyle="1" w:styleId="18">
    <w:name w:val="标题 1 字符"/>
    <w:basedOn w:val="13"/>
    <w:link w:val="3"/>
    <w:qFormat/>
    <w:uiPriority w:val="0"/>
    <w:rPr>
      <w:rFonts w:asciiTheme="minorHAnsi" w:hAnsiTheme="minorHAnsi" w:eastAsiaTheme="minorEastAsia" w:cstheme="minorBidi"/>
      <w:b/>
      <w:bCs/>
      <w:kern w:val="44"/>
      <w:sz w:val="44"/>
      <w:szCs w:val="44"/>
    </w:rPr>
  </w:style>
  <w:style w:type="character" w:customStyle="1" w:styleId="19">
    <w:name w:val="标题 2 字符"/>
    <w:basedOn w:val="13"/>
    <w:link w:val="4"/>
    <w:qFormat/>
    <w:uiPriority w:val="0"/>
    <w:rPr>
      <w:rFonts w:asciiTheme="majorHAnsi" w:hAnsiTheme="majorHAnsi" w:eastAsiaTheme="majorEastAsia" w:cstheme="majorBidi"/>
      <w:b/>
      <w:bCs/>
      <w:kern w:val="2"/>
      <w:sz w:val="32"/>
      <w:szCs w:val="32"/>
    </w:rPr>
  </w:style>
  <w:style w:type="character" w:customStyle="1" w:styleId="20">
    <w:name w:val="页眉 字符"/>
    <w:basedOn w:val="13"/>
    <w:link w:val="7"/>
    <w:qFormat/>
    <w:uiPriority w:val="0"/>
    <w:rPr>
      <w:rFonts w:asciiTheme="minorHAnsi" w:hAnsiTheme="minorHAnsi" w:eastAsiaTheme="minorEastAsia" w:cstheme="minorBidi"/>
      <w:kern w:val="2"/>
      <w:sz w:val="18"/>
      <w:szCs w:val="18"/>
    </w:rPr>
  </w:style>
  <w:style w:type="character" w:customStyle="1" w:styleId="21">
    <w:name w:val="页脚 字符"/>
    <w:basedOn w:val="13"/>
    <w:link w:val="6"/>
    <w:qFormat/>
    <w:uiPriority w:val="0"/>
    <w:rPr>
      <w:rFonts w:asciiTheme="minorHAnsi" w:hAnsiTheme="minorHAnsi" w:eastAsiaTheme="minorEastAsia" w:cstheme="minorBidi"/>
      <w:kern w:val="2"/>
      <w:sz w:val="18"/>
      <w:szCs w:val="18"/>
    </w:rPr>
  </w:style>
  <w:style w:type="paragraph" w:customStyle="1" w:styleId="22">
    <w:name w:val="WPSOffice手动目录 1"/>
    <w:qFormat/>
    <w:uiPriority w:val="0"/>
    <w:rPr>
      <w:rFonts w:ascii="Times New Roman" w:hAnsi="Times New Roman" w:eastAsia="宋体" w:cs="Times New Roman"/>
      <w:lang w:val="en-US" w:eastAsia="zh-CN" w:bidi="ar-SA"/>
    </w:rPr>
  </w:style>
  <w:style w:type="paragraph" w:customStyle="1" w:styleId="23">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4">
    <w:name w:val="批注文字 字符"/>
    <w:basedOn w:val="13"/>
    <w:link w:val="5"/>
    <w:qFormat/>
    <w:uiPriority w:val="0"/>
    <w:rPr>
      <w:rFonts w:asciiTheme="minorHAnsi" w:hAnsiTheme="minorHAnsi" w:eastAsiaTheme="minorEastAsia" w:cstheme="minorBidi"/>
      <w:kern w:val="2"/>
      <w:sz w:val="21"/>
      <w:szCs w:val="24"/>
    </w:rPr>
  </w:style>
  <w:style w:type="character" w:customStyle="1" w:styleId="25">
    <w:name w:val="批注主题 字符"/>
    <w:basedOn w:val="24"/>
    <w:link w:val="11"/>
    <w:qFormat/>
    <w:uiPriority w:val="0"/>
    <w:rPr>
      <w:rFonts w:asciiTheme="minorHAnsi" w:hAnsiTheme="minorHAnsi" w:eastAsiaTheme="minorEastAsia" w:cstheme="minorBidi"/>
      <w:b/>
      <w:bCs/>
      <w:kern w:val="2"/>
      <w:sz w:val="21"/>
      <w:szCs w:val="24"/>
    </w:rPr>
  </w:style>
  <w:style w:type="paragraph" w:customStyle="1" w:styleId="26">
    <w:name w:val="修订1"/>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27">
    <w:name w:val="font41"/>
    <w:basedOn w:val="13"/>
    <w:qFormat/>
    <w:uiPriority w:val="0"/>
    <w:rPr>
      <w:rFonts w:hint="eastAsia" w:ascii="宋体" w:hAnsi="宋体" w:eastAsia="宋体" w:cs="宋体"/>
      <w:color w:val="000000"/>
      <w:sz w:val="21"/>
      <w:szCs w:val="21"/>
      <w:u w:val="none"/>
    </w:rPr>
  </w:style>
  <w:style w:type="character" w:customStyle="1" w:styleId="28">
    <w:name w:val="font31"/>
    <w:basedOn w:val="13"/>
    <w:qFormat/>
    <w:uiPriority w:val="0"/>
    <w:rPr>
      <w:rFonts w:hint="default" w:ascii="方正仿宋_GBK" w:hAnsi="方正仿宋_GBK" w:eastAsia="方正仿宋_GBK" w:cs="方正仿宋_GBK"/>
      <w:color w:val="000000"/>
      <w:sz w:val="21"/>
      <w:szCs w:val="21"/>
      <w:u w:val="none"/>
    </w:rPr>
  </w:style>
  <w:style w:type="character" w:customStyle="1" w:styleId="29">
    <w:name w:val="font21"/>
    <w:basedOn w:val="13"/>
    <w:qFormat/>
    <w:uiPriority w:val="0"/>
    <w:rPr>
      <w:rFonts w:hint="default" w:ascii="Times New Roman" w:hAnsi="Times New Roman" w:cs="Times New Roman"/>
      <w:color w:val="000000"/>
      <w:sz w:val="24"/>
      <w:szCs w:val="24"/>
      <w:u w:val="none"/>
    </w:rPr>
  </w:style>
  <w:style w:type="character" w:customStyle="1" w:styleId="30">
    <w:name w:val="font01"/>
    <w:basedOn w:val="13"/>
    <w:qFormat/>
    <w:uiPriority w:val="0"/>
    <w:rPr>
      <w:rFonts w:hint="eastAsia" w:ascii="仿宋_GB2312" w:eastAsia="仿宋_GB2312" w:cs="仿宋_GB2312"/>
      <w:b/>
      <w:bCs/>
      <w:color w:val="000000"/>
      <w:sz w:val="24"/>
      <w:szCs w:val="24"/>
      <w:u w:val="none"/>
    </w:rPr>
  </w:style>
  <w:style w:type="character" w:customStyle="1" w:styleId="31">
    <w:name w:val="font11"/>
    <w:basedOn w:val="13"/>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customXml" Target="../customXml/item1.xml"/><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9D9160-4C23-4136-AC54-EE4968054BCB}">
  <ds:schemaRefs/>
</ds:datastoreItem>
</file>

<file path=docProps/app.xml><?xml version="1.0" encoding="utf-8"?>
<Properties xmlns="http://schemas.openxmlformats.org/officeDocument/2006/extended-properties" xmlns:vt="http://schemas.openxmlformats.org/officeDocument/2006/docPropsVTypes">
  <Template>Normal</Template>
  <Pages>52</Pages>
  <Words>10146</Words>
  <Characters>11399</Characters>
  <Lines>99</Lines>
  <Paragraphs>28</Paragraphs>
  <TotalTime>1</TotalTime>
  <ScaleCrop>false</ScaleCrop>
  <LinksUpToDate>false</LinksUpToDate>
  <CharactersWithSpaces>11899</CharactersWithSpaces>
  <Application>WPS Office_11.1.0.14235_F1E327BC-269C-435d-A152-05C5408002CA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2025-06-16T05:43:00Z</dcterms:created>
  <dc:creator>杨金福</dc:creator>
  <cp:lastModifiedBy>包华</cp:lastModifiedBy>
  <dcterms:modified xsi:type="dcterms:W3CDTF">2025-08-08T02:22:20Z</dcterms:modified>
  <cp:revision>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2052-11.1.0.14235</vt:lpwstr>
  </property>
  <property fmtid="{D5CDD505-2E9C-101B-9397-08002B2CF9AE}" pid="3" name="KSOTemplateDocerSaveRecord">
    <vt:lpwstr>eyJoZGlkIjoiZTQ5OGUwZDg3NjVkYTcwYTUzYTViMTMwMjlkMmVhNmQiLCJ1c2VySWQiOiI0MDk4NDAwMTQifQ==</vt:lpwstr>
  </property>
  <property fmtid="{D5CDD505-2E9C-101B-9397-08002B2CF9AE}" pid="4" name="ICV">
    <vt:lpwstr>12E6330DC5934F55AA6111F684B7C45F_13</vt:lpwstr>
  </property>
</Properties>
</file>