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曲靖麒麟区鹏辉力赫能源科技发展有限公司麒麟区集中共享新型储能项目建设工程设计方案批前公示</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曲靖麒麟区鹏辉力赫能源科技发展有限公司麒麟区集中共享新型储能项目建设工程设计方案</w:t>
      </w:r>
      <w:r>
        <w:rPr>
          <w:rFonts w:hint="eastAsia" w:ascii="仿宋" w:hAnsi="仿宋" w:eastAsia="仿宋" w:cs="宋体"/>
          <w:color w:val="000000"/>
          <w:kern w:val="0"/>
          <w:sz w:val="32"/>
          <w:szCs w:val="32"/>
          <w:lang w:val="en-US" w:eastAsia="zh-CN"/>
        </w:rPr>
        <w:t>已经属地自然资源部门审查，符合当地规划技术指标要求，经麒麟区国土空间规划和土地储备委员会2025年第四次会议审议，拟同意该项目办理规划手续，按照有关规定，现将该项目规划予以批前公示。</w:t>
      </w:r>
    </w:p>
    <w:p>
      <w:pPr>
        <w:keepNext w:val="0"/>
        <w:keepLines w:val="0"/>
        <w:pageBreakBefore w:val="0"/>
        <w:widowControl w:val="0"/>
        <w:kinsoku/>
        <w:wordWrap/>
        <w:overflowPunct/>
        <w:topLinePunct w:val="0"/>
        <w:autoSpaceDE/>
        <w:autoSpaceDN/>
        <w:bidi w:val="0"/>
        <w:adjustRightInd/>
        <w:snapToGrid/>
        <w:spacing w:line="420" w:lineRule="exact"/>
        <w:ind w:left="2244" w:leftChars="304" w:hanging="1606" w:hangingChars="500"/>
        <w:jc w:val="left"/>
        <w:textAlignment w:val="auto"/>
        <w:rPr>
          <w:rFonts w:hint="eastAsia"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麒麟区集中共享新型储能项目建设工程设计方案</w:t>
      </w:r>
    </w:p>
    <w:p>
      <w:pPr>
        <w:keepNext w:val="0"/>
        <w:keepLines w:val="0"/>
        <w:pageBreakBefore w:val="0"/>
        <w:widowControl w:val="0"/>
        <w:kinsoku/>
        <w:wordWrap/>
        <w:overflowPunct/>
        <w:topLinePunct w:val="0"/>
        <w:autoSpaceDE/>
        <w:autoSpaceDN/>
        <w:bidi w:val="0"/>
        <w:adjustRightInd/>
        <w:snapToGrid/>
        <w:spacing w:line="42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color w:val="000000"/>
          <w:kern w:val="0"/>
          <w:sz w:val="32"/>
          <w:szCs w:val="32"/>
          <w:u w:val="single"/>
          <w:lang w:val="en-US" w:eastAsia="zh-CN"/>
        </w:rPr>
        <w:t>曲靖麒麟区鹏辉力赫能源科技发展有限公司</w:t>
      </w:r>
    </w:p>
    <w:p>
      <w:pPr>
        <w:keepNext w:val="0"/>
        <w:keepLines w:val="0"/>
        <w:pageBreakBefore w:val="0"/>
        <w:widowControl w:val="0"/>
        <w:kinsoku/>
        <w:wordWrap/>
        <w:overflowPunct/>
        <w:topLinePunct w:val="0"/>
        <w:autoSpaceDE/>
        <w:autoSpaceDN/>
        <w:bidi w:val="0"/>
        <w:adjustRightInd/>
        <w:snapToGrid/>
        <w:spacing w:line="42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color w:val="000000"/>
          <w:kern w:val="0"/>
          <w:sz w:val="32"/>
          <w:szCs w:val="32"/>
          <w:u w:val="none"/>
          <w:lang w:val="en-US" w:eastAsia="zh-CN"/>
        </w:rPr>
        <w:t>项目位置：</w:t>
      </w:r>
      <w:r>
        <w:rPr>
          <w:rFonts w:hint="eastAsia" w:ascii="仿宋" w:hAnsi="仿宋" w:eastAsia="仿宋" w:cs="宋体"/>
          <w:b/>
          <w:color w:val="000000"/>
          <w:kern w:val="0"/>
          <w:sz w:val="32"/>
          <w:szCs w:val="32"/>
          <w:u w:val="single"/>
          <w:lang w:val="en-US" w:eastAsia="zh-CN"/>
        </w:rPr>
        <w:t>麒麟产业园区越州片区</w:t>
      </w:r>
    </w:p>
    <w:p>
      <w:pPr>
        <w:keepNext w:val="0"/>
        <w:keepLines w:val="0"/>
        <w:pageBreakBefore w:val="0"/>
        <w:widowControl w:val="0"/>
        <w:kinsoku/>
        <w:wordWrap/>
        <w:overflowPunct/>
        <w:topLinePunct w:val="0"/>
        <w:autoSpaceDE/>
        <w:autoSpaceDN/>
        <w:bidi w:val="0"/>
        <w:adjustRightInd/>
        <w:snapToGrid/>
        <w:spacing w:line="420" w:lineRule="exact"/>
        <w:ind w:firstLine="643" w:firstLineChars="200"/>
        <w:jc w:val="both"/>
        <w:textAlignment w:val="auto"/>
        <w:rPr>
          <w:rFonts w:hint="default" w:ascii="仿宋" w:hAnsi="仿宋" w:eastAsia="仿宋" w:cs="宋体"/>
          <w:color w:val="000000"/>
          <w:kern w:val="0"/>
          <w:sz w:val="32"/>
          <w:szCs w:val="32"/>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总用地面积23271㎡，总建筑面积1176.08㎡，建构筑物总占地面积5636.08㎡（其中建筑占地面积1176.08㎡，构筑物占地面积4460㎡），绿地面积810㎡，容积率0.05，建筑系数24.22%，绿地率3.48%，机动车停车位3个。</w:t>
      </w:r>
    </w:p>
    <w:p>
      <w:pPr>
        <w:keepNext w:val="0"/>
        <w:keepLines w:val="0"/>
        <w:pageBreakBefore w:val="0"/>
        <w:widowControl w:val="0"/>
        <w:kinsoku/>
        <w:wordWrap/>
        <w:overflowPunct/>
        <w:topLinePunct w:val="0"/>
        <w:autoSpaceDE/>
        <w:autoSpaceDN/>
        <w:bidi w:val="0"/>
        <w:adjustRightInd/>
        <w:snapToGrid/>
        <w:spacing w:line="420" w:lineRule="exact"/>
        <w:ind w:firstLine="643"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b/>
          <w:bCs/>
          <w:color w:val="000000"/>
          <w:kern w:val="0"/>
          <w:sz w:val="32"/>
          <w:szCs w:val="32"/>
          <w:highlight w:val="none"/>
          <w:u w:val="single"/>
          <w:lang w:val="en-US" w:eastAsia="zh-CN"/>
        </w:rPr>
        <w:t>公示时间：2025年8月21日至8月29日（7个工作日）</w:t>
      </w:r>
      <w:r>
        <w:rPr>
          <w:rFonts w:hint="eastAsia" w:ascii="仿宋" w:hAnsi="仿宋" w:eastAsia="仿宋" w:cs="宋体"/>
          <w:color w:val="FF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附件：1.规划总平面图、经济技术指标表</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w:t>
      </w:r>
      <w:r>
        <w:rPr>
          <w:rFonts w:hint="eastAsia" w:ascii="仿宋" w:hAnsi="仿宋" w:eastAsia="仿宋" w:cs="宋体"/>
          <w:kern w:val="0"/>
          <w:sz w:val="32"/>
          <w:szCs w:val="32"/>
          <w:lang w:val="en-US" w:eastAsia="zh-CN"/>
        </w:rPr>
        <w:t>效果图</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曲靖市麒麟区自然资源局</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                             2025年8月21日</w:t>
      </w:r>
    </w:p>
    <w:p>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eastAsiaTheme="minorEastAsia"/>
          <w:lang w:val="en-US" w:eastAsia="zh-CN"/>
        </w:rPr>
      </w:pPr>
      <w:r>
        <w:rPr>
          <w:rFonts w:hint="eastAsia" w:ascii="仿宋" w:hAnsi="仿宋" w:eastAsia="仿宋" w:cs="宋体"/>
          <w:color w:val="000000"/>
          <w:kern w:val="0"/>
          <w:sz w:val="32"/>
          <w:szCs w:val="32"/>
          <w:lang w:val="en-US" w:eastAsia="zh-CN"/>
        </w:rPr>
        <w:t>附件1：总平面图</w:t>
      </w:r>
      <w:bookmarkStart w:id="0" w:name="_GoBack"/>
      <w:bookmarkEnd w:id="0"/>
    </w:p>
    <w:p>
      <w:pPr>
        <w:shd w:val="clea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-626745</wp:posOffset>
            </wp:positionH>
            <wp:positionV relativeFrom="paragraph">
              <wp:posOffset>158115</wp:posOffset>
            </wp:positionV>
            <wp:extent cx="6564630" cy="5749290"/>
            <wp:effectExtent l="9525" t="9525" r="17145" b="13335"/>
            <wp:wrapNone/>
            <wp:docPr id="1" name="图片 1" descr="ddbeec3584c8bd893a481b9ab5c92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beec3584c8bd893a481b9ab5c920a4"/>
                    <pic:cNvPicPr>
                      <a:picLocks noChangeAspect="1"/>
                    </pic:cNvPicPr>
                  </pic:nvPicPr>
                  <pic:blipFill>
                    <a:blip r:embed="rId4"/>
                    <a:srcRect r="18720" b="-655"/>
                    <a:stretch>
                      <a:fillRect/>
                    </a:stretch>
                  </pic:blipFill>
                  <pic:spPr>
                    <a:xfrm>
                      <a:off x="0" y="0"/>
                      <a:ext cx="6564630" cy="5749290"/>
                    </a:xfrm>
                    <a:prstGeom prst="rect">
                      <a:avLst/>
                    </a:prstGeom>
                    <a:ln>
                      <a:solidFill>
                        <a:schemeClr val="tx1"/>
                      </a:solidFill>
                    </a:ln>
                  </pic:spPr>
                </pic:pic>
              </a:graphicData>
            </a:graphic>
          </wp:anchor>
        </w:drawing>
      </w: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shd w:val="clear"/>
        <w:rPr>
          <w:rFonts w:hint="eastAsia" w:eastAsiaTheme="minorEastAsia"/>
          <w:lang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both"/>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20" w:lineRule="exact"/>
        <w:jc w:val="center"/>
        <w:textAlignment w:val="auto"/>
        <w:rPr>
          <w:rFonts w:hint="eastAsia"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121"/>
        <w:gridCol w:w="3448"/>
        <w:gridCol w:w="1703"/>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000" w:type="pct"/>
            <w:gridSpan w:val="5"/>
            <w:vAlign w:val="top"/>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曲靖麒麟区鹏辉力赫能源科技发展有限公司麒麟区集中共享新型储能项目</w:t>
            </w:r>
          </w:p>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rPr>
              <w:t>主要经济指标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序号</w:t>
            </w:r>
          </w:p>
        </w:tc>
        <w:tc>
          <w:tcPr>
            <w:tcW w:w="2681" w:type="pct"/>
            <w:gridSpan w:val="2"/>
            <w:vAlign w:val="top"/>
          </w:tcPr>
          <w:p>
            <w:pPr>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rPr>
              <w:t>项目</w:t>
            </w:r>
          </w:p>
        </w:tc>
        <w:tc>
          <w:tcPr>
            <w:tcW w:w="999"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数量</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w:t>
            </w:r>
          </w:p>
        </w:tc>
        <w:tc>
          <w:tcPr>
            <w:tcW w:w="2681" w:type="pct"/>
            <w:gridSpan w:val="2"/>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总用地面积</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23271</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w:t>
            </w:r>
          </w:p>
        </w:tc>
        <w:tc>
          <w:tcPr>
            <w:tcW w:w="2681" w:type="pct"/>
            <w:gridSpan w:val="2"/>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总建筑面积</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1176.08</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restart"/>
            <w:vAlign w:val="top"/>
          </w:tcPr>
          <w:p>
            <w:pPr>
              <w:spacing w:line="360" w:lineRule="auto"/>
              <w:jc w:val="center"/>
              <w:rPr>
                <w:rFonts w:hint="eastAsia" w:asciiTheme="minorEastAsia" w:hAnsiTheme="minorEastAsia" w:cstheme="minorEastAsia"/>
                <w:color w:val="auto"/>
                <w:kern w:val="0"/>
                <w:sz w:val="24"/>
                <w:szCs w:val="24"/>
                <w:lang w:val="en-US" w:eastAsia="zh-CN"/>
              </w:rPr>
            </w:pPr>
          </w:p>
          <w:p>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3</w:t>
            </w:r>
          </w:p>
        </w:tc>
        <w:tc>
          <w:tcPr>
            <w:tcW w:w="2681" w:type="pct"/>
            <w:gridSpan w:val="2"/>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建、构筑物总占地面积</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5636.08</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continue"/>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p>
        </w:tc>
        <w:tc>
          <w:tcPr>
            <w:tcW w:w="658" w:type="pct"/>
            <w:vMerge w:val="restar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其中</w:t>
            </w:r>
          </w:p>
        </w:tc>
        <w:tc>
          <w:tcPr>
            <w:tcW w:w="2022" w:type="pct"/>
            <w:vAlign w:val="top"/>
          </w:tcPr>
          <w:p>
            <w:pPr>
              <w:spacing w:line="360" w:lineRule="auto"/>
              <w:jc w:val="center"/>
              <w:rPr>
                <w:rFonts w:hint="eastAsia" w:asciiTheme="minorEastAsia" w:hAnsi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建筑物占地面积</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1176.08</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continue"/>
            <w:vAlign w:val="top"/>
          </w:tcPr>
          <w:p>
            <w:pPr>
              <w:spacing w:line="360" w:lineRule="auto"/>
              <w:jc w:val="center"/>
              <w:rPr>
                <w:rFonts w:hint="eastAsia" w:asciiTheme="minorEastAsia" w:hAnsiTheme="minorEastAsia" w:eastAsiaTheme="minorEastAsia" w:cstheme="minorEastAsia"/>
                <w:color w:val="auto"/>
                <w:kern w:val="0"/>
                <w:sz w:val="24"/>
                <w:szCs w:val="24"/>
              </w:rPr>
            </w:pPr>
          </w:p>
        </w:tc>
        <w:tc>
          <w:tcPr>
            <w:tcW w:w="658" w:type="pct"/>
            <w:vMerge w:val="continue"/>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p>
        </w:tc>
        <w:tc>
          <w:tcPr>
            <w:tcW w:w="2022" w:type="pct"/>
            <w:vAlign w:val="top"/>
          </w:tcPr>
          <w:p>
            <w:pPr>
              <w:spacing w:line="360" w:lineRule="auto"/>
              <w:jc w:val="center"/>
              <w:rPr>
                <w:rFonts w:hint="eastAsia" w:asciiTheme="minorEastAsia" w:hAnsi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构筑物占地面积</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4460</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restart"/>
            <w:vAlign w:val="top"/>
          </w:tcPr>
          <w:p>
            <w:pPr>
              <w:spacing w:line="360" w:lineRule="auto"/>
              <w:jc w:val="center"/>
              <w:rPr>
                <w:rFonts w:hint="eastAsia" w:asciiTheme="minorEastAsia" w:hAnsiTheme="minorEastAsia" w:cstheme="minorEastAsia"/>
                <w:color w:val="auto"/>
                <w:kern w:val="0"/>
                <w:sz w:val="24"/>
                <w:szCs w:val="24"/>
                <w:lang w:val="en-US" w:eastAsia="zh-CN"/>
              </w:rPr>
            </w:pPr>
          </w:p>
          <w:p>
            <w:pPr>
              <w:spacing w:line="360" w:lineRule="auto"/>
              <w:jc w:val="center"/>
              <w:rPr>
                <w:rFonts w:hint="eastAsia" w:asciiTheme="minorEastAsia" w:hAnsiTheme="minorEastAsia" w:cstheme="minorEastAsia"/>
                <w:color w:val="auto"/>
                <w:kern w:val="0"/>
                <w:sz w:val="24"/>
                <w:szCs w:val="24"/>
                <w:lang w:val="en-US" w:eastAsia="zh-CN"/>
              </w:rPr>
            </w:pPr>
          </w:p>
          <w:p>
            <w:pPr>
              <w:spacing w:line="360" w:lineRule="auto"/>
              <w:jc w:val="center"/>
              <w:rPr>
                <w:rFonts w:hint="eastAsia" w:asciiTheme="minorEastAsia" w:hAnsi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4</w:t>
            </w:r>
          </w:p>
          <w:p>
            <w:pPr>
              <w:spacing w:line="360" w:lineRule="auto"/>
              <w:jc w:val="center"/>
              <w:rPr>
                <w:rFonts w:hint="default" w:asciiTheme="minorEastAsia" w:hAnsiTheme="minorEastAsia" w:eastAsiaTheme="minorEastAsia" w:cstheme="minorEastAsia"/>
                <w:color w:val="auto"/>
                <w:kern w:val="0"/>
                <w:sz w:val="24"/>
                <w:szCs w:val="24"/>
                <w:lang w:val="en-US" w:eastAsia="zh-CN"/>
              </w:rPr>
            </w:pPr>
          </w:p>
        </w:tc>
        <w:tc>
          <w:tcPr>
            <w:tcW w:w="2681" w:type="pct"/>
            <w:gridSpan w:val="2"/>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rPr>
              <w:t>总建筑面积</w:t>
            </w:r>
          </w:p>
        </w:tc>
        <w:tc>
          <w:tcPr>
            <w:tcW w:w="999" w:type="pct"/>
            <w:shd w:val="clear" w:color="auto" w:fill="auto"/>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cstheme="minorEastAsia"/>
                <w:color w:val="auto"/>
                <w:kern w:val="0"/>
                <w:sz w:val="24"/>
                <w:szCs w:val="24"/>
                <w:lang w:val="en-US" w:eastAsia="zh-CN"/>
              </w:rPr>
              <w:t>1176.08</w:t>
            </w:r>
          </w:p>
        </w:tc>
        <w:tc>
          <w:tcPr>
            <w:tcW w:w="660" w:type="pct"/>
            <w:shd w:val="clear" w:color="auto" w:fill="auto"/>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continue"/>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p>
        </w:tc>
        <w:tc>
          <w:tcPr>
            <w:tcW w:w="658" w:type="pct"/>
            <w:vMerge w:val="restart"/>
            <w:vAlign w:val="top"/>
          </w:tcPr>
          <w:p>
            <w:pPr>
              <w:spacing w:line="360" w:lineRule="auto"/>
              <w:jc w:val="center"/>
              <w:rPr>
                <w:rFonts w:hint="eastAsia" w:asciiTheme="minorEastAsia" w:hAnsiTheme="minorEastAsia" w:cstheme="minorEastAsia"/>
                <w:color w:val="auto"/>
                <w:kern w:val="0"/>
                <w:sz w:val="24"/>
                <w:szCs w:val="24"/>
                <w:lang w:val="en-US" w:eastAsia="zh-CN"/>
              </w:rPr>
            </w:pPr>
          </w:p>
          <w:p>
            <w:pPr>
              <w:spacing w:line="360" w:lineRule="auto"/>
              <w:jc w:val="center"/>
              <w:rPr>
                <w:rFonts w:hint="eastAsia" w:asciiTheme="minorEastAsia" w:hAnsiTheme="minorEastAsia" w:cstheme="minorEastAsia"/>
                <w:color w:val="auto"/>
                <w:kern w:val="0"/>
                <w:sz w:val="24"/>
                <w:szCs w:val="24"/>
                <w:lang w:val="en-US" w:eastAsia="zh-CN"/>
              </w:rPr>
            </w:pPr>
          </w:p>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其中</w:t>
            </w:r>
          </w:p>
        </w:tc>
        <w:tc>
          <w:tcPr>
            <w:tcW w:w="2022" w:type="pct"/>
            <w:shd w:val="clear" w:color="auto" w:fill="auto"/>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cstheme="minorEastAsia"/>
                <w:color w:val="auto"/>
                <w:kern w:val="0"/>
                <w:sz w:val="24"/>
                <w:szCs w:val="24"/>
                <w:lang w:val="en-US" w:eastAsia="zh-CN"/>
              </w:rPr>
              <w:t>配电装置楼</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632.12</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continue"/>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p>
        </w:tc>
        <w:tc>
          <w:tcPr>
            <w:tcW w:w="658" w:type="pct"/>
            <w:vMerge w:val="continue"/>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p>
        </w:tc>
        <w:tc>
          <w:tcPr>
            <w:tcW w:w="2022" w:type="pct"/>
            <w:shd w:val="clear" w:color="auto" w:fill="auto"/>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cstheme="minorEastAsia"/>
                <w:color w:val="auto"/>
                <w:kern w:val="0"/>
                <w:sz w:val="24"/>
                <w:szCs w:val="24"/>
                <w:lang w:val="en-US" w:eastAsia="zh-CN"/>
              </w:rPr>
              <w:t>生活、办公综合楼</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471.61</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continue"/>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p>
        </w:tc>
        <w:tc>
          <w:tcPr>
            <w:tcW w:w="658" w:type="pct"/>
            <w:vMerge w:val="continue"/>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p>
        </w:tc>
        <w:tc>
          <w:tcPr>
            <w:tcW w:w="2022" w:type="pct"/>
            <w:shd w:val="clear" w:color="auto" w:fill="auto"/>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cstheme="minorEastAsia"/>
                <w:color w:val="auto"/>
                <w:kern w:val="0"/>
                <w:sz w:val="24"/>
                <w:szCs w:val="24"/>
                <w:lang w:val="en-US" w:eastAsia="zh-CN"/>
              </w:rPr>
              <w:t>门卫室</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33.29</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Merge w:val="continue"/>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p>
        </w:tc>
        <w:tc>
          <w:tcPr>
            <w:tcW w:w="658" w:type="pct"/>
            <w:vMerge w:val="continue"/>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p>
        </w:tc>
        <w:tc>
          <w:tcPr>
            <w:tcW w:w="2022" w:type="pct"/>
            <w:shd w:val="clear" w:color="auto" w:fill="auto"/>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cstheme="minorEastAsia"/>
                <w:color w:val="auto"/>
                <w:kern w:val="0"/>
                <w:sz w:val="24"/>
                <w:szCs w:val="24"/>
                <w:lang w:val="en-US" w:eastAsia="zh-CN"/>
              </w:rPr>
              <w:t>危废间</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39.06</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5</w:t>
            </w:r>
          </w:p>
        </w:tc>
        <w:tc>
          <w:tcPr>
            <w:tcW w:w="2681" w:type="pct"/>
            <w:gridSpan w:val="2"/>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容积率</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0.05</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eastAsia" w:asciiTheme="minorEastAsia" w:hAnsiTheme="minorEastAsia" w:cstheme="minorEastAsia"/>
                <w:color w:val="auto"/>
                <w:kern w:val="0"/>
                <w:sz w:val="24"/>
                <w:szCs w:val="24"/>
                <w:lang w:val="en-US" w:eastAsia="zh-CN"/>
              </w:rPr>
            </w:pPr>
          </w:p>
        </w:tc>
        <w:tc>
          <w:tcPr>
            <w:tcW w:w="2681" w:type="pct"/>
            <w:gridSpan w:val="2"/>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建筑系数</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24.22</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eastAsia" w:asciiTheme="minorEastAsia" w:hAnsiTheme="minorEastAsia" w:cstheme="minorEastAsia"/>
                <w:color w:val="auto"/>
                <w:kern w:val="0"/>
                <w:sz w:val="24"/>
                <w:szCs w:val="24"/>
                <w:lang w:val="en-US" w:eastAsia="zh-CN"/>
              </w:rPr>
            </w:pPr>
          </w:p>
        </w:tc>
        <w:tc>
          <w:tcPr>
            <w:tcW w:w="2681" w:type="pct"/>
            <w:gridSpan w:val="2"/>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绿地面积</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810</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eastAsia" w:asciiTheme="minorEastAsia" w:hAnsiTheme="minorEastAsia" w:cstheme="minorEastAsia"/>
                <w:color w:val="auto"/>
                <w:kern w:val="0"/>
                <w:sz w:val="24"/>
                <w:szCs w:val="24"/>
                <w:lang w:val="en-US" w:eastAsia="zh-CN"/>
              </w:rPr>
            </w:pPr>
          </w:p>
        </w:tc>
        <w:tc>
          <w:tcPr>
            <w:tcW w:w="2681" w:type="pct"/>
            <w:gridSpan w:val="2"/>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绿地率</w:t>
            </w:r>
          </w:p>
        </w:tc>
        <w:tc>
          <w:tcPr>
            <w:tcW w:w="999"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3.48</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pct"/>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6</w:t>
            </w:r>
          </w:p>
        </w:tc>
        <w:tc>
          <w:tcPr>
            <w:tcW w:w="2681" w:type="pct"/>
            <w:gridSpan w:val="2"/>
            <w:vAlign w:val="top"/>
          </w:tcPr>
          <w:p>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机动车停车位</w:t>
            </w:r>
          </w:p>
        </w:tc>
        <w:tc>
          <w:tcPr>
            <w:tcW w:w="999" w:type="pct"/>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3</w:t>
            </w:r>
          </w:p>
        </w:tc>
        <w:tc>
          <w:tcPr>
            <w:tcW w:w="660" w:type="pct"/>
            <w:vAlign w:val="top"/>
          </w:tcPr>
          <w:p>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个</w:t>
            </w:r>
          </w:p>
        </w:tc>
      </w:tr>
    </w:tbl>
    <w:p>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kern w:val="0"/>
          <w:sz w:val="32"/>
          <w:szCs w:val="32"/>
          <w:lang w:val="en-US" w:eastAsia="zh-CN"/>
        </w:rPr>
      </w:pPr>
      <w:r>
        <w:rPr>
          <w:rFonts w:hint="eastAsia" w:ascii="仿宋" w:hAnsi="仿宋" w:eastAsia="仿宋" w:cs="宋体"/>
          <w:color w:val="000000"/>
          <w:kern w:val="0"/>
          <w:sz w:val="32"/>
          <w:szCs w:val="32"/>
          <w:lang w:val="en-US" w:eastAsia="zh-CN"/>
        </w:rPr>
        <w:t>附件2：</w:t>
      </w:r>
      <w:r>
        <w:rPr>
          <w:rFonts w:hint="eastAsia" w:ascii="仿宋" w:hAnsi="仿宋" w:eastAsia="仿宋" w:cs="宋体"/>
          <w:kern w:val="0"/>
          <w:sz w:val="32"/>
          <w:szCs w:val="32"/>
          <w:lang w:val="en-US" w:eastAsia="zh-CN"/>
        </w:rPr>
        <w:t>效果图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kern w:val="0"/>
          <w:sz w:val="32"/>
          <w:szCs w:val="32"/>
          <w:lang w:val="en-US" w:eastAsia="zh-CN"/>
        </w:rPr>
      </w:pPr>
      <w:r>
        <w:drawing>
          <wp:anchor distT="0" distB="0" distL="114300" distR="114300" simplePos="0" relativeHeight="251660288" behindDoc="0" locked="0" layoutInCell="1" allowOverlap="1">
            <wp:simplePos x="0" y="0"/>
            <wp:positionH relativeFrom="column">
              <wp:posOffset>-560705</wp:posOffset>
            </wp:positionH>
            <wp:positionV relativeFrom="paragraph">
              <wp:posOffset>27940</wp:posOffset>
            </wp:positionV>
            <wp:extent cx="5795010" cy="4138295"/>
            <wp:effectExtent l="0" t="0" r="15240" b="146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795010" cy="4138295"/>
                    </a:xfrm>
                    <a:prstGeom prst="rect">
                      <a:avLst/>
                    </a:prstGeom>
                    <a:noFill/>
                    <a:ln>
                      <a:noFill/>
                    </a:ln>
                  </pic:spPr>
                </pic:pic>
              </a:graphicData>
            </a:graphic>
          </wp:anchor>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r>
        <w:drawing>
          <wp:anchor distT="0" distB="0" distL="114300" distR="114300" simplePos="0" relativeHeight="251661312" behindDoc="0" locked="0" layoutInCell="1" allowOverlap="1">
            <wp:simplePos x="0" y="0"/>
            <wp:positionH relativeFrom="column">
              <wp:posOffset>-599440</wp:posOffset>
            </wp:positionH>
            <wp:positionV relativeFrom="paragraph">
              <wp:posOffset>2734945</wp:posOffset>
            </wp:positionV>
            <wp:extent cx="5848350" cy="4177030"/>
            <wp:effectExtent l="0" t="0" r="0" b="1397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848350" cy="4177030"/>
                    </a:xfrm>
                    <a:prstGeom prst="rect">
                      <a:avLst/>
                    </a:prstGeom>
                    <a:noFill/>
                    <a:ln>
                      <a:noFill/>
                    </a:ln>
                  </pic:spPr>
                </pic:pic>
              </a:graphicData>
            </a:graphic>
          </wp:anchor>
        </w:drawing>
      </w:r>
    </w:p>
    <w:p>
      <w:r>
        <w:br w:type="page"/>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lang w:val="en-US" w:eastAsia="zh-CN"/>
        </w:rPr>
      </w:pPr>
      <w:r>
        <w:drawing>
          <wp:anchor distT="0" distB="0" distL="114300" distR="114300" simplePos="0" relativeHeight="251662336" behindDoc="0" locked="0" layoutInCell="1" allowOverlap="1">
            <wp:simplePos x="0" y="0"/>
            <wp:positionH relativeFrom="column">
              <wp:posOffset>-448945</wp:posOffset>
            </wp:positionH>
            <wp:positionV relativeFrom="paragraph">
              <wp:posOffset>285750</wp:posOffset>
            </wp:positionV>
            <wp:extent cx="6273800" cy="4481830"/>
            <wp:effectExtent l="0" t="0" r="12700" b="1397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6273800" cy="448183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1" w:fontKey="{2C2FEFE8-386E-4684-A8C8-F3F6B6DB865E}"/>
  </w:font>
  <w:font w:name="仿宋">
    <w:panose1 w:val="02010609060101010101"/>
    <w:charset w:val="86"/>
    <w:family w:val="modern"/>
    <w:pitch w:val="default"/>
    <w:sig w:usb0="800002BF" w:usb1="38CF7CFA" w:usb2="00000016" w:usb3="00000000" w:csb0="00040001" w:csb1="00000000"/>
    <w:embedRegular r:id="rId2" w:fontKey="{D321A025-FA35-4BA9-A36F-3D9FCAC3D455}"/>
  </w:font>
  <w:font w:name="微软雅黑">
    <w:panose1 w:val="020B0503020204020204"/>
    <w:charset w:val="86"/>
    <w:family w:val="auto"/>
    <w:pitch w:val="default"/>
    <w:sig w:usb0="80000287" w:usb1="2ACF3C50" w:usb2="00000016" w:usb3="00000000" w:csb0="0004001F" w:csb1="00000000"/>
    <w:embedRegular r:id="rId3" w:fontKey="{42A47721-A4A3-4E75-B2AA-72F1ECC2FF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jNDIzMTljY2JmOTg3MzRhZDFlNzE0OTU4ZjY0MzUifQ=="/>
    <w:docVar w:name="KSO_WPS_MARK_KEY" w:val="b0957b1a-9431-4949-bf1e-c484317e1821"/>
  </w:docVars>
  <w:rsids>
    <w:rsidRoot w:val="689C49DC"/>
    <w:rsid w:val="003F007A"/>
    <w:rsid w:val="0097577D"/>
    <w:rsid w:val="00A3295D"/>
    <w:rsid w:val="00C44C44"/>
    <w:rsid w:val="00F82459"/>
    <w:rsid w:val="012A0989"/>
    <w:rsid w:val="01960D43"/>
    <w:rsid w:val="019D115B"/>
    <w:rsid w:val="019E1F3A"/>
    <w:rsid w:val="01D45748"/>
    <w:rsid w:val="01F072A7"/>
    <w:rsid w:val="01F73B1B"/>
    <w:rsid w:val="02D77D9B"/>
    <w:rsid w:val="031413F0"/>
    <w:rsid w:val="04683B9C"/>
    <w:rsid w:val="04AB1DE0"/>
    <w:rsid w:val="052A6AD1"/>
    <w:rsid w:val="054952BE"/>
    <w:rsid w:val="059B6E4A"/>
    <w:rsid w:val="06E635A4"/>
    <w:rsid w:val="071F2612"/>
    <w:rsid w:val="074C3905"/>
    <w:rsid w:val="083D71F3"/>
    <w:rsid w:val="088A4403"/>
    <w:rsid w:val="097C2D95"/>
    <w:rsid w:val="09BB63D1"/>
    <w:rsid w:val="09CD3B43"/>
    <w:rsid w:val="0A837CCA"/>
    <w:rsid w:val="0AC21C32"/>
    <w:rsid w:val="0AE0504E"/>
    <w:rsid w:val="0B375B18"/>
    <w:rsid w:val="0BCF59FE"/>
    <w:rsid w:val="0C5B7E66"/>
    <w:rsid w:val="0CC05AB7"/>
    <w:rsid w:val="0CCB51C9"/>
    <w:rsid w:val="0D3112F1"/>
    <w:rsid w:val="0DE74598"/>
    <w:rsid w:val="0EC00531"/>
    <w:rsid w:val="0EC817E1"/>
    <w:rsid w:val="0F3E5F10"/>
    <w:rsid w:val="0F770A50"/>
    <w:rsid w:val="0FA00DEF"/>
    <w:rsid w:val="0FEF7661"/>
    <w:rsid w:val="102F1A55"/>
    <w:rsid w:val="1141273A"/>
    <w:rsid w:val="119D0AFF"/>
    <w:rsid w:val="11B55F40"/>
    <w:rsid w:val="11D3306C"/>
    <w:rsid w:val="12186707"/>
    <w:rsid w:val="12E176DE"/>
    <w:rsid w:val="12F5045C"/>
    <w:rsid w:val="13B24196"/>
    <w:rsid w:val="14A40083"/>
    <w:rsid w:val="15040C8C"/>
    <w:rsid w:val="151F0FBF"/>
    <w:rsid w:val="15B92EBA"/>
    <w:rsid w:val="15DF1345"/>
    <w:rsid w:val="15E7531B"/>
    <w:rsid w:val="16E573D4"/>
    <w:rsid w:val="17656988"/>
    <w:rsid w:val="178D3C98"/>
    <w:rsid w:val="1891463B"/>
    <w:rsid w:val="189B06E3"/>
    <w:rsid w:val="18F93076"/>
    <w:rsid w:val="193B71B3"/>
    <w:rsid w:val="197A4209"/>
    <w:rsid w:val="19C31523"/>
    <w:rsid w:val="19F142E2"/>
    <w:rsid w:val="1B1C538E"/>
    <w:rsid w:val="1B886580"/>
    <w:rsid w:val="1BFD0C46"/>
    <w:rsid w:val="1C1C04CF"/>
    <w:rsid w:val="1C59205A"/>
    <w:rsid w:val="1C846B66"/>
    <w:rsid w:val="1D3A087F"/>
    <w:rsid w:val="1DA0658B"/>
    <w:rsid w:val="1DDB37DB"/>
    <w:rsid w:val="1E225169"/>
    <w:rsid w:val="1E27029E"/>
    <w:rsid w:val="1EB9781E"/>
    <w:rsid w:val="1F7D79B2"/>
    <w:rsid w:val="1FB22434"/>
    <w:rsid w:val="2048214B"/>
    <w:rsid w:val="204D1E63"/>
    <w:rsid w:val="212D0CD3"/>
    <w:rsid w:val="219B0A39"/>
    <w:rsid w:val="21B31E7D"/>
    <w:rsid w:val="21CB262D"/>
    <w:rsid w:val="21D634B3"/>
    <w:rsid w:val="227C3BB4"/>
    <w:rsid w:val="22AE50CC"/>
    <w:rsid w:val="22BE6D2B"/>
    <w:rsid w:val="244D0366"/>
    <w:rsid w:val="249661B1"/>
    <w:rsid w:val="249935AC"/>
    <w:rsid w:val="24FC442D"/>
    <w:rsid w:val="25074BFD"/>
    <w:rsid w:val="25377454"/>
    <w:rsid w:val="259A59BE"/>
    <w:rsid w:val="268D5392"/>
    <w:rsid w:val="26927023"/>
    <w:rsid w:val="27037402"/>
    <w:rsid w:val="272F01F7"/>
    <w:rsid w:val="273344B2"/>
    <w:rsid w:val="273B4DEE"/>
    <w:rsid w:val="27932534"/>
    <w:rsid w:val="27D8088F"/>
    <w:rsid w:val="28834ADA"/>
    <w:rsid w:val="28F55CE4"/>
    <w:rsid w:val="293E0E3F"/>
    <w:rsid w:val="29753E1C"/>
    <w:rsid w:val="29B50E88"/>
    <w:rsid w:val="29D532D8"/>
    <w:rsid w:val="2A6D15FD"/>
    <w:rsid w:val="2B2362C5"/>
    <w:rsid w:val="2B637A26"/>
    <w:rsid w:val="2BDB2782"/>
    <w:rsid w:val="2C0737B5"/>
    <w:rsid w:val="2C11611D"/>
    <w:rsid w:val="2C9C1CC7"/>
    <w:rsid w:val="2CB06C5F"/>
    <w:rsid w:val="2CB24021"/>
    <w:rsid w:val="2CE113E7"/>
    <w:rsid w:val="2D0A5DDE"/>
    <w:rsid w:val="2E504D48"/>
    <w:rsid w:val="2E5846E0"/>
    <w:rsid w:val="2ECA5697"/>
    <w:rsid w:val="2F500AD6"/>
    <w:rsid w:val="2F5C49DA"/>
    <w:rsid w:val="2F8F1226"/>
    <w:rsid w:val="2FB4573E"/>
    <w:rsid w:val="303C1F64"/>
    <w:rsid w:val="306F0895"/>
    <w:rsid w:val="3138414C"/>
    <w:rsid w:val="3210686D"/>
    <w:rsid w:val="327D3987"/>
    <w:rsid w:val="32AB05FE"/>
    <w:rsid w:val="33A516A6"/>
    <w:rsid w:val="33F67FC4"/>
    <w:rsid w:val="34413A33"/>
    <w:rsid w:val="34AA1C4B"/>
    <w:rsid w:val="356C2617"/>
    <w:rsid w:val="35E37DFC"/>
    <w:rsid w:val="36766209"/>
    <w:rsid w:val="36A91D74"/>
    <w:rsid w:val="36BD75CE"/>
    <w:rsid w:val="36F124CE"/>
    <w:rsid w:val="371328B1"/>
    <w:rsid w:val="378974B0"/>
    <w:rsid w:val="378D3EBA"/>
    <w:rsid w:val="37AF2AD9"/>
    <w:rsid w:val="37EB016A"/>
    <w:rsid w:val="38353194"/>
    <w:rsid w:val="384E318F"/>
    <w:rsid w:val="38545D10"/>
    <w:rsid w:val="38D97FC3"/>
    <w:rsid w:val="392751D2"/>
    <w:rsid w:val="39E62317"/>
    <w:rsid w:val="39FA6443"/>
    <w:rsid w:val="39FD6893"/>
    <w:rsid w:val="39FE36C4"/>
    <w:rsid w:val="3A773F37"/>
    <w:rsid w:val="3AD96FF8"/>
    <w:rsid w:val="3B23042C"/>
    <w:rsid w:val="3BD63FE6"/>
    <w:rsid w:val="3C0D42D6"/>
    <w:rsid w:val="3C795D45"/>
    <w:rsid w:val="3C836BC3"/>
    <w:rsid w:val="3C8F795C"/>
    <w:rsid w:val="3D7529B0"/>
    <w:rsid w:val="3DA57E10"/>
    <w:rsid w:val="3DB640DE"/>
    <w:rsid w:val="3DD60F75"/>
    <w:rsid w:val="3DE07D45"/>
    <w:rsid w:val="3E277DF2"/>
    <w:rsid w:val="3E8D3D29"/>
    <w:rsid w:val="3EA177D5"/>
    <w:rsid w:val="3F027239"/>
    <w:rsid w:val="3F1C7FA4"/>
    <w:rsid w:val="3FAE00B2"/>
    <w:rsid w:val="3FF73B50"/>
    <w:rsid w:val="40464190"/>
    <w:rsid w:val="407707ED"/>
    <w:rsid w:val="412804C6"/>
    <w:rsid w:val="413606A8"/>
    <w:rsid w:val="414508EB"/>
    <w:rsid w:val="419E1F1B"/>
    <w:rsid w:val="42097B6B"/>
    <w:rsid w:val="43686B13"/>
    <w:rsid w:val="436F7EA2"/>
    <w:rsid w:val="43B35FE0"/>
    <w:rsid w:val="43B76311"/>
    <w:rsid w:val="43E55CD4"/>
    <w:rsid w:val="43E63694"/>
    <w:rsid w:val="44550EAB"/>
    <w:rsid w:val="44B90FD0"/>
    <w:rsid w:val="45E350EA"/>
    <w:rsid w:val="46933926"/>
    <w:rsid w:val="46F32D69"/>
    <w:rsid w:val="47F47406"/>
    <w:rsid w:val="480D3608"/>
    <w:rsid w:val="481D1D1C"/>
    <w:rsid w:val="485C77F9"/>
    <w:rsid w:val="4970716C"/>
    <w:rsid w:val="49D863F6"/>
    <w:rsid w:val="49DC31EF"/>
    <w:rsid w:val="4A4166E1"/>
    <w:rsid w:val="4B2A6BA7"/>
    <w:rsid w:val="4B9E7576"/>
    <w:rsid w:val="4CF65190"/>
    <w:rsid w:val="4D896004"/>
    <w:rsid w:val="4E721F64"/>
    <w:rsid w:val="4ECF5C98"/>
    <w:rsid w:val="4EDF107B"/>
    <w:rsid w:val="4F1072D9"/>
    <w:rsid w:val="4F515D67"/>
    <w:rsid w:val="4F6872B7"/>
    <w:rsid w:val="4FA61921"/>
    <w:rsid w:val="50594988"/>
    <w:rsid w:val="515D5808"/>
    <w:rsid w:val="51F84504"/>
    <w:rsid w:val="53274B11"/>
    <w:rsid w:val="536E3A9E"/>
    <w:rsid w:val="53F52FE5"/>
    <w:rsid w:val="54770566"/>
    <w:rsid w:val="55194746"/>
    <w:rsid w:val="580249E9"/>
    <w:rsid w:val="584E7C2E"/>
    <w:rsid w:val="595E2AC4"/>
    <w:rsid w:val="59AF6DF2"/>
    <w:rsid w:val="59FB4523"/>
    <w:rsid w:val="5A261E9C"/>
    <w:rsid w:val="5BF44F90"/>
    <w:rsid w:val="5C513715"/>
    <w:rsid w:val="5C7B120D"/>
    <w:rsid w:val="5C9D2F32"/>
    <w:rsid w:val="5CBB61C7"/>
    <w:rsid w:val="5CD475E1"/>
    <w:rsid w:val="5D1E3978"/>
    <w:rsid w:val="5D431107"/>
    <w:rsid w:val="5E565A8E"/>
    <w:rsid w:val="5E824FEC"/>
    <w:rsid w:val="5EB537BB"/>
    <w:rsid w:val="5F1020E1"/>
    <w:rsid w:val="5FA5225D"/>
    <w:rsid w:val="601B0D2A"/>
    <w:rsid w:val="608D1895"/>
    <w:rsid w:val="60FC4DC1"/>
    <w:rsid w:val="61C6560F"/>
    <w:rsid w:val="61C80AAF"/>
    <w:rsid w:val="62210161"/>
    <w:rsid w:val="62DB4C16"/>
    <w:rsid w:val="62EA05E4"/>
    <w:rsid w:val="6315416A"/>
    <w:rsid w:val="63193A22"/>
    <w:rsid w:val="6329064A"/>
    <w:rsid w:val="6404589F"/>
    <w:rsid w:val="643A0431"/>
    <w:rsid w:val="645E635E"/>
    <w:rsid w:val="6483759B"/>
    <w:rsid w:val="64D15426"/>
    <w:rsid w:val="66576847"/>
    <w:rsid w:val="66611986"/>
    <w:rsid w:val="66A16CEA"/>
    <w:rsid w:val="670342D9"/>
    <w:rsid w:val="670C4040"/>
    <w:rsid w:val="67D30150"/>
    <w:rsid w:val="680A039A"/>
    <w:rsid w:val="689C49DC"/>
    <w:rsid w:val="68A13DAA"/>
    <w:rsid w:val="68AC2CF6"/>
    <w:rsid w:val="68B166E3"/>
    <w:rsid w:val="68C16542"/>
    <w:rsid w:val="69321FF0"/>
    <w:rsid w:val="698D2452"/>
    <w:rsid w:val="6D667FB0"/>
    <w:rsid w:val="6D8E61F1"/>
    <w:rsid w:val="6D91309A"/>
    <w:rsid w:val="6D9F7806"/>
    <w:rsid w:val="6DF826BE"/>
    <w:rsid w:val="6E493F8C"/>
    <w:rsid w:val="6E5C3ECA"/>
    <w:rsid w:val="6EE70955"/>
    <w:rsid w:val="6F130C28"/>
    <w:rsid w:val="6FC646EE"/>
    <w:rsid w:val="703379DD"/>
    <w:rsid w:val="708F4019"/>
    <w:rsid w:val="70F04B7F"/>
    <w:rsid w:val="71256C76"/>
    <w:rsid w:val="71846A96"/>
    <w:rsid w:val="719170B1"/>
    <w:rsid w:val="72B10E3E"/>
    <w:rsid w:val="734E4B2E"/>
    <w:rsid w:val="73C75DED"/>
    <w:rsid w:val="740C459B"/>
    <w:rsid w:val="74390581"/>
    <w:rsid w:val="74DF156F"/>
    <w:rsid w:val="75B3511C"/>
    <w:rsid w:val="76065B94"/>
    <w:rsid w:val="762027B2"/>
    <w:rsid w:val="76750136"/>
    <w:rsid w:val="76B26BEF"/>
    <w:rsid w:val="76F75DE3"/>
    <w:rsid w:val="77006879"/>
    <w:rsid w:val="77AB6956"/>
    <w:rsid w:val="79336CA0"/>
    <w:rsid w:val="79387C62"/>
    <w:rsid w:val="7A2860D9"/>
    <w:rsid w:val="7A577765"/>
    <w:rsid w:val="7B10284A"/>
    <w:rsid w:val="7B110F3C"/>
    <w:rsid w:val="7B564EC8"/>
    <w:rsid w:val="7B661868"/>
    <w:rsid w:val="7B8F6A55"/>
    <w:rsid w:val="7B9258BE"/>
    <w:rsid w:val="7BF8164C"/>
    <w:rsid w:val="7C014E34"/>
    <w:rsid w:val="7C156B31"/>
    <w:rsid w:val="7C694787"/>
    <w:rsid w:val="7C945CA8"/>
    <w:rsid w:val="7CA852AF"/>
    <w:rsid w:val="7CC1454F"/>
    <w:rsid w:val="7CC540B3"/>
    <w:rsid w:val="7D006E99"/>
    <w:rsid w:val="7D3A6542"/>
    <w:rsid w:val="7DC12ACC"/>
    <w:rsid w:val="7E1C1010"/>
    <w:rsid w:val="7E84452A"/>
    <w:rsid w:val="7E9F68DA"/>
    <w:rsid w:val="7F2A5EEC"/>
    <w:rsid w:val="7FC03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5</Pages>
  <Words>707</Words>
  <Characters>843</Characters>
  <Lines>0</Lines>
  <Paragraphs>0</Paragraphs>
  <TotalTime>15</TotalTime>
  <ScaleCrop>false</ScaleCrop>
  <LinksUpToDate>false</LinksUpToDate>
  <CharactersWithSpaces>854</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代丽英</cp:lastModifiedBy>
  <cp:lastPrinted>2023-09-27T07:05:00Z</cp:lastPrinted>
  <dcterms:modified xsi:type="dcterms:W3CDTF">2025-08-21T01:08:11Z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F3DDFD3E8B2645F1A627ABD1CB0394FE_13</vt:lpwstr>
  </property>
  <property fmtid="{D5CDD505-2E9C-101B-9397-08002B2CF9AE}" pid="4" name="KSOTemplateDocerSaveRecord">
    <vt:lpwstr>eyJoZGlkIjoiZmI1ZGEzYjhmZDlkNGU0Y2NkMGQ2MDE5NzQ1MzJlNDAiLCJ1c2VySWQiOiIxNjQyNTQ5NzM4In0=</vt:lpwstr>
  </property>
</Properties>
</file>